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0"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ind w:left="4140" w:right="2000" w:hanging="4135"/>
        <w:spacing w:after="0" w:line="252" w:lineRule="auto"/>
        <w:tabs>
          <w:tab w:leader="none" w:pos="33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75"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2820" w:right="2000" w:hanging="2815"/>
        <w:spacing w:after="0" w:line="333" w:lineRule="auto"/>
        <w:tabs>
          <w:tab w:leader="none" w:pos="342"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____________________ to ____________________</w:t>
      </w:r>
    </w:p>
    <w:p>
      <w:pPr>
        <w:spacing w:after="0" w:line="146"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Commission File Number: 000-30141</w:t>
      </w:r>
    </w:p>
    <w:p>
      <w:pPr>
        <w:spacing w:after="0" w:line="152"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LIVEPERSON,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269875</wp:posOffset>
            </wp:positionH>
            <wp:positionV relativeFrom="paragraph">
              <wp:posOffset>18415</wp:posOffset>
            </wp:positionV>
            <wp:extent cx="693102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1025" cy="16510"/>
                    </a:xfrm>
                    <a:prstGeom prst="rect">
                      <a:avLst/>
                    </a:prstGeom>
                    <a:noFill/>
                  </pic:spPr>
                </pic:pic>
              </a:graphicData>
            </a:graphic>
          </wp:anchor>
        </w:drawing>
      </w:r>
    </w:p>
    <w:p>
      <w:pPr>
        <w:spacing w:after="0" w:line="34"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76" w:lineRule="exact"/>
        <w:rPr>
          <w:sz w:val="24"/>
          <w:szCs w:val="24"/>
          <w:color w:val="auto"/>
        </w:rPr>
      </w:pPr>
    </w:p>
    <w:tbl>
      <w:tblPr>
        <w:tblLayout w:type="fixed"/>
        <w:tblInd w:w="1300" w:type="dxa"/>
        <w:tblCellMar>
          <w:top w:w="0" w:type="dxa"/>
          <w:left w:w="0" w:type="dxa"/>
          <w:bottom w:w="0" w:type="dxa"/>
          <w:right w:w="0" w:type="dxa"/>
        </w:tblCellMar>
      </w:tblPr>
      <w:tr>
        <w:trPr>
          <w:trHeight w:val="217"/>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c>
          <w:tcPr>
            <w:tcW w:w="840" w:type="dxa"/>
            <w:vAlign w:val="bottom"/>
          </w:tcPr>
          <w:p>
            <w:pPr>
              <w:spacing w:after="0"/>
              <w:rPr>
                <w:sz w:val="18"/>
                <w:szCs w:val="18"/>
                <w:color w:val="auto"/>
              </w:rPr>
            </w:pPr>
          </w:p>
        </w:tc>
        <w:tc>
          <w:tcPr>
            <w:tcW w:w="4120" w:type="dxa"/>
            <w:vAlign w:val="bottom"/>
            <w:tcBorders>
              <w:bottom w:val="single" w:sz="8" w:color="auto"/>
            </w:tcBorders>
          </w:tcPr>
          <w:p>
            <w:pPr>
              <w:jc w:val="right"/>
              <w:ind w:right="1601"/>
              <w:spacing w:after="0"/>
              <w:rPr>
                <w:sz w:val="20"/>
                <w:szCs w:val="20"/>
                <w:color w:val="auto"/>
              </w:rPr>
            </w:pPr>
            <w:r>
              <w:rPr>
                <w:rFonts w:ascii="Times New Roman" w:cs="Times New Roman" w:eastAsia="Times New Roman" w:hAnsi="Times New Roman"/>
                <w:sz w:val="16"/>
                <w:szCs w:val="16"/>
                <w:color w:val="auto"/>
              </w:rPr>
              <w:t>13-3861628</w:t>
            </w:r>
          </w:p>
        </w:tc>
      </w:tr>
      <w:tr>
        <w:trPr>
          <w:trHeight w:val="232"/>
        </w:trPr>
        <w:tc>
          <w:tcPr>
            <w:tcW w:w="4940" w:type="dxa"/>
            <w:vAlign w:val="bottom"/>
            <w:gridSpan w:val="2"/>
          </w:tcPr>
          <w:p>
            <w:pPr>
              <w:jc w:val="center"/>
              <w:ind w:right="820"/>
              <w:spacing w:after="0"/>
              <w:rPr>
                <w:sz w:val="20"/>
                <w:szCs w:val="20"/>
                <w:color w:val="auto"/>
              </w:rPr>
            </w:pPr>
            <w:r>
              <w:rPr>
                <w:rFonts w:ascii="Times New Roman" w:cs="Times New Roman" w:eastAsia="Times New Roman" w:hAnsi="Times New Roman"/>
                <w:sz w:val="16"/>
                <w:szCs w:val="16"/>
                <w:color w:val="auto"/>
                <w:w w:val="98"/>
              </w:rPr>
              <w:t>(State or other jurisdiction of incorporation or organization)</w:t>
            </w:r>
          </w:p>
        </w:tc>
        <w:tc>
          <w:tcPr>
            <w:tcW w:w="4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(IRS Employer Identification No.)</w:t>
            </w:r>
          </w:p>
        </w:tc>
      </w:tr>
      <w:tr>
        <w:trPr>
          <w:trHeight w:val="354"/>
        </w:trPr>
        <w:tc>
          <w:tcPr>
            <w:tcW w:w="494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8"/>
              </w:rPr>
              <w:t>530 7th Ave, Floor M1</w:t>
            </w:r>
          </w:p>
        </w:tc>
        <w:tc>
          <w:tcPr>
            <w:tcW w:w="4120" w:type="dxa"/>
            <w:vAlign w:val="bottom"/>
          </w:tcPr>
          <w:p>
            <w:pPr>
              <w:spacing w:after="0"/>
              <w:rPr>
                <w:sz w:val="24"/>
                <w:szCs w:val="24"/>
                <w:color w:val="auto"/>
              </w:rPr>
            </w:pPr>
          </w:p>
        </w:tc>
      </w:tr>
      <w:tr>
        <w:trPr>
          <w:trHeight w:val="247"/>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New York, New York</w:t>
            </w:r>
          </w:p>
        </w:tc>
        <w:tc>
          <w:tcPr>
            <w:tcW w:w="840" w:type="dxa"/>
            <w:vAlign w:val="bottom"/>
          </w:tcPr>
          <w:p>
            <w:pPr>
              <w:spacing w:after="0"/>
              <w:rPr>
                <w:sz w:val="21"/>
                <w:szCs w:val="21"/>
                <w:color w:val="auto"/>
              </w:rPr>
            </w:pPr>
          </w:p>
        </w:tc>
        <w:tc>
          <w:tcPr>
            <w:tcW w:w="4120" w:type="dxa"/>
            <w:vAlign w:val="bottom"/>
            <w:tcBorders>
              <w:bottom w:val="single" w:sz="8" w:color="auto"/>
            </w:tcBorders>
          </w:tcPr>
          <w:p>
            <w:pPr>
              <w:jc w:val="right"/>
              <w:ind w:right="1781"/>
              <w:spacing w:after="0"/>
              <w:rPr>
                <w:sz w:val="20"/>
                <w:szCs w:val="20"/>
                <w:color w:val="auto"/>
              </w:rPr>
            </w:pPr>
            <w:r>
              <w:rPr>
                <w:rFonts w:ascii="Times New Roman" w:cs="Times New Roman" w:eastAsia="Times New Roman" w:hAnsi="Times New Roman"/>
                <w:sz w:val="16"/>
                <w:szCs w:val="16"/>
                <w:color w:val="auto"/>
              </w:rPr>
              <w:t>10018</w:t>
            </w:r>
          </w:p>
        </w:tc>
      </w:tr>
      <w:tr>
        <w:trPr>
          <w:trHeight w:val="232"/>
        </w:trPr>
        <w:tc>
          <w:tcPr>
            <w:tcW w:w="494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8"/>
              </w:rPr>
              <w:t>(Address of principal executive offices)</w:t>
            </w:r>
          </w:p>
        </w:tc>
        <w:tc>
          <w:tcPr>
            <w:tcW w:w="4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(212) 609-4200</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4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Borders>
              <w:top w:val="single" w:sz="8" w:color="auto"/>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color w:val="auto"/>
                <w:w w:val="98"/>
              </w:rPr>
              <w:t>Title of each class</w:t>
            </w:r>
          </w:p>
        </w:tc>
        <w:tc>
          <w:tcPr>
            <w:tcW w:w="27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220" w:type="dxa"/>
            <w:vAlign w:val="bottom"/>
            <w:tcBorders>
              <w:top w:val="single" w:sz="8" w:color="auto"/>
              <w:bottom w:val="single" w:sz="8" w:color="auto"/>
            </w:tcBorders>
          </w:tcPr>
          <w:p>
            <w:pPr>
              <w:jc w:val="center"/>
              <w:ind w:left="61"/>
              <w:spacing w:after="0"/>
              <w:rPr>
                <w:sz w:val="20"/>
                <w:szCs w:val="20"/>
                <w:color w:val="auto"/>
              </w:rPr>
            </w:pPr>
            <w:r>
              <w:rPr>
                <w:rFonts w:ascii="Times New Roman" w:cs="Times New Roman" w:eastAsia="Times New Roman" w:hAnsi="Times New Roman"/>
                <w:sz w:val="16"/>
                <w:szCs w:val="16"/>
                <w:color w:val="auto"/>
                <w:w w:val="98"/>
              </w:rPr>
              <w:t>Name of each exchange on which registered</w:t>
            </w:r>
          </w:p>
        </w:tc>
      </w:tr>
      <w:tr>
        <w:trPr>
          <w:trHeight w:val="200"/>
        </w:trPr>
        <w:tc>
          <w:tcPr>
            <w:tcW w:w="4240" w:type="dxa"/>
            <w:vAlign w:val="bottom"/>
          </w:tcPr>
          <w:p>
            <w:pPr>
              <w:jc w:val="center"/>
              <w:ind w:right="21"/>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LPSN</w:t>
            </w:r>
          </w:p>
        </w:tc>
        <w:tc>
          <w:tcPr>
            <w:tcW w:w="4220" w:type="dxa"/>
            <w:vAlign w:val="bottom"/>
          </w:tcPr>
          <w:p>
            <w:pPr>
              <w:jc w:val="center"/>
              <w:ind w:left="61"/>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bl>
    <w:p>
      <w:pPr>
        <w:spacing w:after="0" w:line="314"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160" w:type="dxa"/>
        <w:tblCellMar>
          <w:top w:w="0" w:type="dxa"/>
          <w:left w:w="0" w:type="dxa"/>
          <w:bottom w:w="0" w:type="dxa"/>
          <w:right w:w="0" w:type="dxa"/>
        </w:tblCellMar>
      </w:tblPr>
      <w:tr>
        <w:trPr>
          <w:trHeight w:val="210"/>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08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358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0"/>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08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358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6"/>
        </w:trPr>
        <w:tc>
          <w:tcPr>
            <w:tcW w:w="21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580" w:type="dxa"/>
            <w:vAlign w:val="bottom"/>
          </w:tcPr>
          <w:p>
            <w:pPr>
              <w:ind w:left="130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54"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200"/>
        <w:spacing w:after="0" w:line="28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August 5, 2022, 75,012,352 shares of the registrant’s common stock were outstanding.</w:t>
      </w:r>
    </w:p>
    <w:p>
      <w:pPr>
        <w:spacing w:after="0" w:line="200" w:lineRule="exact"/>
        <w:rPr>
          <w:sz w:val="24"/>
          <w:szCs w:val="24"/>
          <w:color w:val="auto"/>
        </w:rPr>
      </w:pPr>
    </w:p>
    <w:p>
      <w:pPr>
        <w:spacing w:after="0" w:line="360"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69" w:right="339" w:bottom="1440" w:gutter="0" w:footer="0" w:header="0"/>
        </w:sectPr>
      </w:pPr>
    </w:p>
    <w:bookmarkStart w:id="1" w:name="page2"/>
    <w:bookmarkEnd w:id="1"/>
    <w:p>
      <w:pPr>
        <w:ind w:left="500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9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color w:val="auto"/>
              </w:rPr>
              <w:t>PAGE</w:t>
            </w:r>
          </w:p>
        </w:tc>
        <w:tc>
          <w:tcPr>
            <w:tcW w:w="0" w:type="dxa"/>
            <w:vAlign w:val="bottom"/>
          </w:tcPr>
          <w:p>
            <w:pPr>
              <w:spacing w:after="0"/>
              <w:rPr>
                <w:sz w:val="1"/>
                <w:szCs w:val="1"/>
                <w:color w:val="auto"/>
              </w:rPr>
            </w:pPr>
          </w:p>
        </w:tc>
      </w:tr>
      <w:tr>
        <w:trPr>
          <w:trHeight w:val="161"/>
        </w:trPr>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60" w:type="dxa"/>
            <w:vAlign w:val="bottom"/>
            <w:gridSpan w:val="11"/>
          </w:tcPr>
          <w:p>
            <w:pPr>
              <w:ind w:left="600"/>
              <w:spacing w:after="0" w:line="136" w:lineRule="exact"/>
              <w:rPr>
                <w:sz w:val="20"/>
                <w:szCs w:val="20"/>
                <w:color w:val="auto"/>
              </w:rPr>
            </w:pPr>
            <w:r>
              <w:rPr>
                <w:rFonts w:ascii="Times New Roman" w:cs="Times New Roman" w:eastAsia="Times New Roman" w:hAnsi="Times New Roman"/>
                <w:sz w:val="15"/>
                <w:szCs w:val="15"/>
                <w:color w:val="0000FF"/>
              </w:rPr>
              <w:t>PART I. Financial Information</w:t>
            </w:r>
          </w:p>
        </w:tc>
        <w:tc>
          <w:tcPr>
            <w:tcW w:w="960" w:type="dxa"/>
            <w:vAlign w:val="bottom"/>
            <w:gridSpan w:val="3"/>
          </w:tcPr>
          <w:p>
            <w:pPr>
              <w:jc w:val="right"/>
              <w:spacing w:after="0" w:line="138" w:lineRule="exact"/>
              <w:rPr>
                <w:sz w:val="20"/>
                <w:szCs w:val="20"/>
                <w:color w:val="auto"/>
              </w:rPr>
            </w:pPr>
            <w:r>
              <w:rPr>
                <w:rFonts w:ascii="Times New Roman" w:cs="Times New Roman" w:eastAsia="Times New Roman" w:hAnsi="Times New Roman"/>
                <w:sz w:val="15"/>
                <w:szCs w:val="15"/>
                <w:color w:val="0000FF"/>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21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w w:val="98"/>
              </w:rPr>
              <w:t>Financial Statements (Unaudited):</w:t>
            </w:r>
          </w:p>
        </w:tc>
        <w:tc>
          <w:tcPr>
            <w:tcW w:w="1340" w:type="dxa"/>
            <w:vAlign w:val="bottom"/>
            <w:gridSpan w:val="3"/>
          </w:tcPr>
          <w:p>
            <w:pPr>
              <w:spacing w:after="0"/>
              <w:rPr>
                <w:sz w:val="24"/>
                <w:szCs w:val="24"/>
                <w:color w:val="auto"/>
              </w:rPr>
            </w:pPr>
          </w:p>
        </w:tc>
        <w:tc>
          <w:tcPr>
            <w:tcW w:w="2140" w:type="dxa"/>
            <w:vAlign w:val="bottom"/>
            <w:tcBorders>
              <w:top w:val="single" w:sz="8" w:color="0000FF"/>
            </w:tcBorders>
            <w:gridSpan w:val="8"/>
          </w:tcPr>
          <w:p>
            <w:pPr>
              <w:spacing w:after="0"/>
              <w:rPr>
                <w:sz w:val="24"/>
                <w:szCs w:val="24"/>
                <w:color w:val="auto"/>
              </w:rPr>
            </w:pPr>
          </w:p>
        </w:tc>
        <w:tc>
          <w:tcPr>
            <w:tcW w:w="330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w w:val="98"/>
              </w:rPr>
              <w:t>Condensed Consolidated Balance Sheets</w:t>
            </w:r>
          </w:p>
        </w:tc>
        <w:tc>
          <w:tcPr>
            <w:tcW w:w="6060" w:type="dxa"/>
            <w:vAlign w:val="bottom"/>
            <w:gridSpan w:val="11"/>
          </w:tcPr>
          <w:p>
            <w:pPr>
              <w:spacing w:after="0"/>
              <w:rPr>
                <w:sz w:val="24"/>
                <w:szCs w:val="24"/>
                <w:color w:val="auto"/>
              </w:rPr>
            </w:pP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40" w:type="dxa"/>
            <w:vAlign w:val="bottom"/>
            <w:gridSpan w:val="19"/>
          </w:tcPr>
          <w:p>
            <w:pPr>
              <w:spacing w:after="0" w:line="138" w:lineRule="exact"/>
              <w:rPr>
                <w:sz w:val="20"/>
                <w:szCs w:val="20"/>
                <w:color w:val="auto"/>
              </w:rPr>
            </w:pPr>
            <w:r>
              <w:rPr>
                <w:rFonts w:ascii="Times New Roman" w:cs="Times New Roman" w:eastAsia="Times New Roman" w:hAnsi="Times New Roman"/>
                <w:sz w:val="15"/>
                <w:szCs w:val="15"/>
                <w:color w:val="auto"/>
              </w:rPr>
              <w:t>as of June 30, 2022 and December 31, 2021</w:t>
            </w:r>
          </w:p>
        </w:tc>
        <w:tc>
          <w:tcPr>
            <w:tcW w:w="9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0"/>
        </w:trPr>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4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Condensed Consolidated Statements of Operations</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0" w:type="dxa"/>
            <w:vAlign w:val="bottom"/>
            <w:tcBorders>
              <w:top w:val="single" w:sz="8" w:color="0000FF"/>
            </w:tcBorders>
            <w:gridSpan w:val="10"/>
          </w:tcPr>
          <w:p>
            <w:pPr>
              <w:spacing w:after="0" w:line="138" w:lineRule="exact"/>
              <w:rPr>
                <w:sz w:val="20"/>
                <w:szCs w:val="20"/>
                <w:color w:val="auto"/>
              </w:rPr>
            </w:pPr>
            <w:r>
              <w:rPr>
                <w:rFonts w:ascii="Times New Roman" w:cs="Times New Roman" w:eastAsia="Times New Roman" w:hAnsi="Times New Roman"/>
                <w:sz w:val="15"/>
                <w:szCs w:val="15"/>
                <w:color w:val="auto"/>
              </w:rPr>
              <w:t>for the Three and Six Months Ended June 30, 2022</w:t>
            </w:r>
          </w:p>
        </w:tc>
        <w:tc>
          <w:tcPr>
            <w:tcW w:w="60" w:type="dxa"/>
            <w:vAlign w:val="bottom"/>
          </w:tcPr>
          <w:p>
            <w:pPr>
              <w:spacing w:after="0"/>
              <w:rPr>
                <w:sz w:val="11"/>
                <w:szCs w:val="11"/>
                <w:color w:val="auto"/>
              </w:rPr>
            </w:pPr>
          </w:p>
        </w:tc>
        <w:tc>
          <w:tcPr>
            <w:tcW w:w="5380" w:type="dxa"/>
            <w:vAlign w:val="bottom"/>
            <w:gridSpan w:val="8"/>
          </w:tcPr>
          <w:p>
            <w:pPr>
              <w:spacing w:after="0" w:line="138" w:lineRule="exact"/>
              <w:rPr>
                <w:sz w:val="20"/>
                <w:szCs w:val="20"/>
                <w:color w:val="auto"/>
              </w:rPr>
            </w:pPr>
            <w:r>
              <w:rPr>
                <w:rFonts w:ascii="Times New Roman" w:cs="Times New Roman" w:eastAsia="Times New Roman" w:hAnsi="Times New Roman"/>
                <w:sz w:val="15"/>
                <w:szCs w:val="15"/>
                <w:color w:val="auto"/>
              </w:rPr>
              <w:t>and 2021</w:t>
            </w:r>
          </w:p>
        </w:tc>
        <w:tc>
          <w:tcPr>
            <w:tcW w:w="880" w:type="dxa"/>
            <w:vAlign w:val="bottom"/>
            <w:gridSpan w:val="2"/>
          </w:tcPr>
          <w:p>
            <w:pPr>
              <w:spacing w:after="0"/>
              <w:rPr>
                <w:sz w:val="11"/>
                <w:szCs w:val="11"/>
                <w:color w:val="auto"/>
              </w:rPr>
            </w:pPr>
          </w:p>
        </w:tc>
        <w:tc>
          <w:tcPr>
            <w:tcW w:w="80" w:type="dxa"/>
            <w:vAlign w:val="bottom"/>
            <w:tcBorders>
              <w:bottom w:val="single" w:sz="8" w:color="0000FF"/>
            </w:tcBorders>
          </w:tcPr>
          <w:p>
            <w:pPr>
              <w:jc w:val="right"/>
              <w:spacing w:after="0" w:line="138" w:lineRule="exact"/>
              <w:rPr>
                <w:sz w:val="20"/>
                <w:szCs w:val="20"/>
                <w:color w:val="auto"/>
              </w:rPr>
            </w:pPr>
            <w:r>
              <w:rPr>
                <w:rFonts w:ascii="Times New Roman" w:cs="Times New Roman" w:eastAsia="Times New Roman" w:hAnsi="Times New Roman"/>
                <w:sz w:val="15"/>
                <w:szCs w:val="15"/>
                <w:color w:val="0000FF"/>
                <w:w w:val="79"/>
              </w:rPr>
              <w:t>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0"/>
        </w:trPr>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4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Condensed Consolidated Statements of Comprehensive Loss</w:t>
            </w:r>
          </w:p>
        </w:tc>
        <w:tc>
          <w:tcPr>
            <w:tcW w:w="880" w:type="dxa"/>
            <w:vAlign w:val="bottom"/>
            <w:gridSpan w:val="2"/>
            <w:vMerge w:val="restart"/>
          </w:tcPr>
          <w:p>
            <w:pPr>
              <w:spacing w:after="0"/>
              <w:rPr>
                <w:sz w:val="24"/>
                <w:szCs w:val="2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74"/>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40" w:type="dxa"/>
            <w:vAlign w:val="bottom"/>
            <w:tcBorders>
              <w:top w:val="single" w:sz="8" w:color="0000FF"/>
            </w:tcBorders>
            <w:gridSpan w:val="14"/>
          </w:tcPr>
          <w:p>
            <w:pPr>
              <w:spacing w:after="0" w:line="138" w:lineRule="exact"/>
              <w:rPr>
                <w:sz w:val="20"/>
                <w:szCs w:val="20"/>
                <w:color w:val="auto"/>
              </w:rPr>
            </w:pPr>
            <w:r>
              <w:rPr>
                <w:rFonts w:ascii="Times New Roman" w:cs="Times New Roman" w:eastAsia="Times New Roman" w:hAnsi="Times New Roman"/>
                <w:sz w:val="15"/>
                <w:szCs w:val="15"/>
                <w:color w:val="auto"/>
              </w:rPr>
              <w:t>for the Three and Six Months Ended June 30, 2022 and 2021</w:t>
            </w:r>
          </w:p>
        </w:tc>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gridSpan w:val="2"/>
          </w:tcPr>
          <w:p>
            <w:pPr>
              <w:spacing w:after="0"/>
              <w:rPr>
                <w:sz w:val="11"/>
                <w:szCs w:val="11"/>
                <w:color w:val="auto"/>
              </w:rPr>
            </w:pPr>
          </w:p>
        </w:tc>
        <w:tc>
          <w:tcPr>
            <w:tcW w:w="33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0"/>
        </w:trPr>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4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Condensed Consolidated Statements of Stockholders’ Equity</w:t>
            </w:r>
          </w:p>
        </w:tc>
        <w:tc>
          <w:tcPr>
            <w:tcW w:w="880" w:type="dxa"/>
            <w:vAlign w:val="bottom"/>
            <w:gridSpan w:val="2"/>
            <w:vMerge w:val="restart"/>
          </w:tcPr>
          <w:p>
            <w:pPr>
              <w:spacing w:after="0"/>
              <w:rPr>
                <w:sz w:val="24"/>
                <w:szCs w:val="24"/>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74"/>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60" w:type="dxa"/>
            <w:vAlign w:val="bottom"/>
            <w:tcBorders>
              <w:top w:val="single" w:sz="8" w:color="0000FF"/>
            </w:tcBorders>
            <w:gridSpan w:val="15"/>
          </w:tcPr>
          <w:p>
            <w:pPr>
              <w:spacing w:after="0" w:line="138" w:lineRule="exact"/>
              <w:rPr>
                <w:sz w:val="20"/>
                <w:szCs w:val="20"/>
                <w:color w:val="auto"/>
              </w:rPr>
            </w:pPr>
            <w:r>
              <w:rPr>
                <w:rFonts w:ascii="Times New Roman" w:cs="Times New Roman" w:eastAsia="Times New Roman" w:hAnsi="Times New Roman"/>
                <w:sz w:val="15"/>
                <w:szCs w:val="15"/>
                <w:color w:val="auto"/>
              </w:rPr>
              <w:t>for the Three and Six Months Ended June 30, 2022 and 2021</w:t>
            </w:r>
          </w:p>
        </w:tc>
        <w:tc>
          <w:tcPr>
            <w:tcW w:w="1160" w:type="dxa"/>
            <w:vAlign w:val="bottom"/>
          </w:tcPr>
          <w:p>
            <w:pPr>
              <w:spacing w:after="0"/>
              <w:rPr>
                <w:sz w:val="11"/>
                <w:szCs w:val="11"/>
                <w:color w:val="auto"/>
              </w:rPr>
            </w:pPr>
          </w:p>
        </w:tc>
        <w:tc>
          <w:tcPr>
            <w:tcW w:w="320" w:type="dxa"/>
            <w:vAlign w:val="bottom"/>
            <w:gridSpan w:val="2"/>
          </w:tcPr>
          <w:p>
            <w:pPr>
              <w:spacing w:after="0"/>
              <w:rPr>
                <w:sz w:val="11"/>
                <w:szCs w:val="11"/>
                <w:color w:val="auto"/>
              </w:rPr>
            </w:pPr>
          </w:p>
        </w:tc>
        <w:tc>
          <w:tcPr>
            <w:tcW w:w="33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0"/>
        </w:trPr>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4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w:t>
            </w:r>
          </w:p>
        </w:tc>
        <w:tc>
          <w:tcPr>
            <w:tcW w:w="800" w:type="dxa"/>
            <w:vAlign w:val="bottom"/>
            <w:vMerge w:val="restart"/>
          </w:tcPr>
          <w:p>
            <w:pPr>
              <w:spacing w:after="0"/>
              <w:rPr>
                <w:sz w:val="24"/>
                <w:szCs w:val="24"/>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w w:val="87"/>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60" w:type="dxa"/>
            <w:vAlign w:val="bottom"/>
            <w:tcBorders>
              <w:top w:val="single" w:sz="8" w:color="0000FF"/>
            </w:tcBorders>
            <w:gridSpan w:val="11"/>
          </w:tcPr>
          <w:p>
            <w:pPr>
              <w:spacing w:after="0" w:line="138" w:lineRule="exact"/>
              <w:rPr>
                <w:sz w:val="20"/>
                <w:szCs w:val="20"/>
                <w:color w:val="auto"/>
              </w:rPr>
            </w:pPr>
            <w:r>
              <w:rPr>
                <w:rFonts w:ascii="Times New Roman" w:cs="Times New Roman" w:eastAsia="Times New Roman" w:hAnsi="Times New Roman"/>
                <w:sz w:val="15"/>
                <w:szCs w:val="15"/>
                <w:color w:val="auto"/>
              </w:rPr>
              <w:t>for the Six Months Ended June 30, 2022 and 2021</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gridSpan w:val="3"/>
          </w:tcPr>
          <w:p>
            <w:pPr>
              <w:spacing w:after="0"/>
              <w:rPr>
                <w:sz w:val="11"/>
                <w:szCs w:val="11"/>
                <w:color w:val="auto"/>
              </w:rPr>
            </w:pPr>
          </w:p>
        </w:tc>
        <w:tc>
          <w:tcPr>
            <w:tcW w:w="320" w:type="dxa"/>
            <w:vAlign w:val="bottom"/>
            <w:gridSpan w:val="2"/>
          </w:tcPr>
          <w:p>
            <w:pPr>
              <w:spacing w:after="0"/>
              <w:rPr>
                <w:sz w:val="11"/>
                <w:szCs w:val="11"/>
                <w:color w:val="auto"/>
              </w:rPr>
            </w:pPr>
          </w:p>
        </w:tc>
        <w:tc>
          <w:tcPr>
            <w:tcW w:w="33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60" w:type="dxa"/>
            <w:vAlign w:val="bottom"/>
            <w:tcBorders>
              <w:bottom w:val="single" w:sz="8" w:color="0000FF"/>
            </w:tcBorders>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40" w:type="dxa"/>
            <w:vAlign w:val="bottom"/>
            <w:gridSpan w:val="19"/>
          </w:tcPr>
          <w:p>
            <w:pPr>
              <w:spacing w:after="0"/>
              <w:rPr>
                <w:sz w:val="20"/>
                <w:szCs w:val="20"/>
                <w:color w:val="auto"/>
              </w:rPr>
            </w:pPr>
            <w:r>
              <w:rPr>
                <w:rFonts w:ascii="Times New Roman" w:cs="Times New Roman" w:eastAsia="Times New Roman" w:hAnsi="Times New Roman"/>
                <w:sz w:val="16"/>
                <w:szCs w:val="16"/>
                <w:color w:val="0000FF"/>
              </w:rPr>
              <w:t>Notes to Condensed Consolidated Financial Statements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2.</w:t>
            </w:r>
          </w:p>
        </w:tc>
        <w:tc>
          <w:tcPr>
            <w:tcW w:w="896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3.</w:t>
            </w:r>
          </w:p>
        </w:tc>
        <w:tc>
          <w:tcPr>
            <w:tcW w:w="56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3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4.</w:t>
            </w:r>
          </w:p>
        </w:tc>
        <w:tc>
          <w:tcPr>
            <w:tcW w:w="15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7"/>
              </w:rPr>
              <w:t>Controls and Procedures</w:t>
            </w:r>
          </w:p>
        </w:tc>
        <w:tc>
          <w:tcPr>
            <w:tcW w:w="2260" w:type="dxa"/>
            <w:vAlign w:val="bottom"/>
            <w:tcBorders>
              <w:top w:val="single" w:sz="8" w:color="0000FF"/>
            </w:tcBorders>
            <w:gridSpan w:val="8"/>
          </w:tcPr>
          <w:p>
            <w:pPr>
              <w:spacing w:after="0"/>
              <w:rPr>
                <w:sz w:val="24"/>
                <w:szCs w:val="24"/>
                <w:color w:val="auto"/>
              </w:rPr>
            </w:pPr>
          </w:p>
        </w:tc>
        <w:tc>
          <w:tcPr>
            <w:tcW w:w="5140" w:type="dxa"/>
            <w:vAlign w:val="bottom"/>
            <w:gridSpan w:val="6"/>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8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0000FF"/>
              </w:rPr>
              <w:t>PART II. Other Information</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11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7"/>
              </w:rPr>
              <w:t>Legal Proceedings</w:t>
            </w:r>
          </w:p>
        </w:tc>
        <w:tc>
          <w:tcPr>
            <w:tcW w:w="2420" w:type="dxa"/>
            <w:vAlign w:val="bottom"/>
            <w:gridSpan w:val="8"/>
          </w:tcPr>
          <w:p>
            <w:pPr>
              <w:spacing w:after="0"/>
              <w:rPr>
                <w:sz w:val="24"/>
                <w:szCs w:val="24"/>
                <w:color w:val="auto"/>
              </w:rPr>
            </w:pPr>
          </w:p>
        </w:tc>
        <w:tc>
          <w:tcPr>
            <w:tcW w:w="1740" w:type="dxa"/>
            <w:vAlign w:val="bottom"/>
            <w:tcBorders>
              <w:top w:val="single" w:sz="8" w:color="0000FF"/>
            </w:tcBorders>
            <w:gridSpan w:val="4"/>
          </w:tcPr>
          <w:p>
            <w:pPr>
              <w:spacing w:after="0"/>
              <w:rPr>
                <w:sz w:val="24"/>
                <w:szCs w:val="24"/>
                <w:color w:val="auto"/>
              </w:rPr>
            </w:pPr>
          </w:p>
        </w:tc>
        <w:tc>
          <w:tcPr>
            <w:tcW w:w="362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1A.</w:t>
            </w:r>
          </w:p>
        </w:tc>
        <w:tc>
          <w:tcPr>
            <w:tcW w:w="896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2.</w:t>
            </w:r>
          </w:p>
        </w:tc>
        <w:tc>
          <w:tcPr>
            <w:tcW w:w="89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80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3.</w:t>
            </w:r>
          </w:p>
        </w:tc>
        <w:tc>
          <w:tcPr>
            <w:tcW w:w="89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Defaults Upon Senior Securities</w:t>
            </w:r>
          </w:p>
        </w:tc>
        <w:tc>
          <w:tcPr>
            <w:tcW w:w="80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4.</w:t>
            </w:r>
          </w:p>
        </w:tc>
        <w:tc>
          <w:tcPr>
            <w:tcW w:w="15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w w:val="97"/>
              </w:rPr>
              <w:t>Mine Safety Disclosures</w:t>
            </w:r>
          </w:p>
        </w:tc>
        <w:tc>
          <w:tcPr>
            <w:tcW w:w="7400" w:type="dxa"/>
            <w:vAlign w:val="bottom"/>
            <w:gridSpan w:val="14"/>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5.</w:t>
            </w:r>
          </w:p>
        </w:tc>
        <w:tc>
          <w:tcPr>
            <w:tcW w:w="1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7"/>
              </w:rPr>
              <w:t>Other Information</w:t>
            </w:r>
          </w:p>
        </w:tc>
        <w:tc>
          <w:tcPr>
            <w:tcW w:w="7800" w:type="dxa"/>
            <w:vAlign w:val="bottom"/>
            <w:gridSpan w:val="16"/>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6.</w:t>
            </w: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7"/>
              </w:rPr>
              <w:t>Exhibits</w:t>
            </w:r>
          </w:p>
        </w:tc>
        <w:tc>
          <w:tcPr>
            <w:tcW w:w="8420" w:type="dxa"/>
            <w:vAlign w:val="bottom"/>
            <w:gridSpan w:val="18"/>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67310</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1064"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Statements in this Quarterly Report on Form 10-Q about LivePerson, Inc. (“LivePerson”, the “Company”, “our”, “we” or “us”) that are not historical facts are forward-looking statements. These forward-looking statements are based on our current expectations, assumptions, estimates and projections about LivePerson and our industry. Our expectations, assumptions, estimates and projections are expressed in good faith, and we believe there is a reasonable basis for them, but we cannot assure you that our expectations, assumptions, estimates and projections will be realized. Examples of forward-looking statements include, but are not limited to, statements regarding future business, future results of operations or financial condition (including based on examinations of historical operating trends), management strategies and the COVID-19 pandemic. Many of these statements are found in the “Management’s Discussion and Analysis of Financial Condition and Results of Operations” section of this Quarterly Report on Form 10-Q. When used in this Quarterly Report on Form 10-Q, the words “estimates,” “expects,” “anticipates,” “projects,” “plans,” “intends,” “believes” and variations of such words or similar expressions are intended to identify forward-looking statements. However, not all forward-looking statements contain these words. Forward-looking statements are subject to risks and uncertainties that could cause actual future events or results to differ materially from those expressed or implied in the forward-looking statements. Important factors that could cause our actual results to differ materially from the forward-looking statements we make in this Quarterly Report on Form 10-Q include those set forth in our Annual Report on Form 10-K filed with the Securities and Exchange Commission (the “SEC”) on February 28, 2022 in the section entitled Part I, Item 1A. “Risk Factors.”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policy is generally to provide our expectations only once per quarter, and not to update that information until the next quarter. We do not undertake any obligation to revise forward-looking statements to reflect future events or circumstances. All forward-looking statements are made pursuant to the safe harbor provisions of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3" w:name="page4"/>
    <w:bookmarkEnd w:id="3"/>
    <w:p>
      <w:pPr>
        <w:ind w:left="45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0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0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2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8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4"/>
          </w:tcPr>
          <w:p>
            <w:pPr>
              <w:jc w:val="right"/>
              <w:ind w:right="92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ind w:left="38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425,944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521,846</w:t>
            </w:r>
          </w:p>
        </w:tc>
        <w:tc>
          <w:tcPr>
            <w:tcW w:w="0" w:type="dxa"/>
            <w:vAlign w:val="bottom"/>
          </w:tcPr>
          <w:p>
            <w:pPr>
              <w:spacing w:after="0"/>
              <w:rPr>
                <w:sz w:val="1"/>
                <w:szCs w:val="1"/>
                <w:color w:val="auto"/>
              </w:rPr>
            </w:pPr>
          </w:p>
        </w:tc>
      </w:tr>
      <w:tr>
        <w:trPr>
          <w:trHeight w:val="208"/>
        </w:trPr>
        <w:tc>
          <w:tcPr>
            <w:tcW w:w="8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 of allowances of $8,204 and $6,338 as of June 30, 2022 and December 31, 2021, respectively</w:t>
            </w:r>
          </w:p>
        </w:tc>
        <w:tc>
          <w:tcPr>
            <w:tcW w:w="26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121,728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93,804</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26,799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20,626</w:t>
            </w:r>
          </w:p>
        </w:tc>
        <w:tc>
          <w:tcPr>
            <w:tcW w:w="0" w:type="dxa"/>
            <w:vAlign w:val="bottom"/>
          </w:tcPr>
          <w:p>
            <w:pPr>
              <w:spacing w:after="0"/>
              <w:rPr>
                <w:sz w:val="1"/>
                <w:szCs w:val="1"/>
                <w:color w:val="auto"/>
              </w:rPr>
            </w:pPr>
          </w:p>
        </w:tc>
      </w:tr>
      <w:tr>
        <w:trPr>
          <w:trHeight w:val="201"/>
        </w:trPr>
        <w:tc>
          <w:tcPr>
            <w:tcW w:w="8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574,471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636,276</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 of use assets (Note 10)</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0" w:type="dxa"/>
            <w:vAlign w:val="bottom"/>
          </w:tcPr>
          <w:p>
            <w:pPr>
              <w:spacing w:after="0"/>
              <w:rPr>
                <w:sz w:val="1"/>
                <w:szCs w:val="1"/>
                <w:color w:val="auto"/>
              </w:rPr>
            </w:pPr>
          </w:p>
        </w:tc>
      </w:tr>
      <w:tr>
        <w:trPr>
          <w:trHeight w:val="208"/>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 (Note 6)</w:t>
            </w:r>
          </w:p>
        </w:tc>
        <w:tc>
          <w:tcPr>
            <w:tcW w:w="26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133,709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124,726</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acquisition costs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43,387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40,675</w:t>
            </w:r>
          </w:p>
        </w:tc>
        <w:tc>
          <w:tcPr>
            <w:tcW w:w="0" w:type="dxa"/>
            <w:vAlign w:val="bottom"/>
          </w:tcPr>
          <w:p>
            <w:pPr>
              <w:spacing w:after="0"/>
              <w:rPr>
                <w:sz w:val="1"/>
                <w:szCs w:val="1"/>
                <w:color w:val="auto"/>
              </w:rPr>
            </w:pPr>
          </w:p>
        </w:tc>
      </w:tr>
      <w:tr>
        <w:trPr>
          <w:trHeight w:val="208"/>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Intangibles, net (Note 5)</w:t>
            </w:r>
          </w:p>
        </w:tc>
        <w:tc>
          <w:tcPr>
            <w:tcW w:w="26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86,002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85,554</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 (Note 5)</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303,268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291,215</w:t>
            </w:r>
          </w:p>
        </w:tc>
        <w:tc>
          <w:tcPr>
            <w:tcW w:w="0" w:type="dxa"/>
            <w:vAlign w:val="bottom"/>
          </w:tcPr>
          <w:p>
            <w:pPr>
              <w:spacing w:after="0"/>
              <w:rPr>
                <w:sz w:val="1"/>
                <w:szCs w:val="1"/>
                <w:color w:val="auto"/>
              </w:rPr>
            </w:pPr>
          </w:p>
        </w:tc>
      </w:tr>
      <w:tr>
        <w:trPr>
          <w:trHeight w:val="208"/>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6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4,600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5,034</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 joint venture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8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2,521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1,154,673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1,186,656</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8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24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22,615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16,942</w:t>
            </w:r>
          </w:p>
        </w:tc>
        <w:tc>
          <w:tcPr>
            <w:tcW w:w="0" w:type="dxa"/>
            <w:vAlign w:val="bottom"/>
          </w:tcPr>
          <w:p>
            <w:pPr>
              <w:spacing w:after="0"/>
              <w:rPr>
                <w:sz w:val="1"/>
                <w:szCs w:val="1"/>
                <w:color w:val="auto"/>
              </w:rPr>
            </w:pPr>
          </w:p>
        </w:tc>
      </w:tr>
      <w:tr>
        <w:trPr>
          <w:trHeight w:val="208"/>
        </w:trPr>
        <w:tc>
          <w:tcPr>
            <w:tcW w:w="8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 (Note 7)</w:t>
            </w:r>
          </w:p>
        </w:tc>
        <w:tc>
          <w:tcPr>
            <w:tcW w:w="26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120,916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104,297</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revenue (Note 2)</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110,594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98,808</w:t>
            </w:r>
          </w:p>
        </w:tc>
        <w:tc>
          <w:tcPr>
            <w:tcW w:w="0" w:type="dxa"/>
            <w:vAlign w:val="bottom"/>
          </w:tcPr>
          <w:p>
            <w:pPr>
              <w:spacing w:after="0"/>
              <w:rPr>
                <w:sz w:val="1"/>
                <w:szCs w:val="1"/>
                <w:color w:val="auto"/>
              </w:rPr>
            </w:pPr>
          </w:p>
        </w:tc>
      </w:tr>
      <w:tr>
        <w:trPr>
          <w:trHeight w:val="208"/>
        </w:trPr>
        <w:tc>
          <w:tcPr>
            <w:tcW w:w="83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Operating lease liability (Note 10)</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4,100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3,380</w:t>
            </w:r>
          </w:p>
        </w:tc>
        <w:tc>
          <w:tcPr>
            <w:tcW w:w="0" w:type="dxa"/>
            <w:vAlign w:val="bottom"/>
          </w:tcPr>
          <w:p>
            <w:pPr>
              <w:spacing w:after="0"/>
              <w:rPr>
                <w:sz w:val="1"/>
                <w:szCs w:val="1"/>
                <w:color w:val="auto"/>
              </w:rPr>
            </w:pPr>
          </w:p>
        </w:tc>
      </w:tr>
      <w:tr>
        <w:trPr>
          <w:trHeight w:val="205"/>
        </w:trPr>
        <w:tc>
          <w:tcPr>
            <w:tcW w:w="8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258,225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223,427</w:t>
            </w:r>
          </w:p>
        </w:tc>
        <w:tc>
          <w:tcPr>
            <w:tcW w:w="0" w:type="dxa"/>
            <w:vAlign w:val="bottom"/>
          </w:tcPr>
          <w:p>
            <w:pPr>
              <w:spacing w:after="0"/>
              <w:rPr>
                <w:sz w:val="1"/>
                <w:szCs w:val="1"/>
                <w:color w:val="auto"/>
              </w:rPr>
            </w:pPr>
          </w:p>
        </w:tc>
      </w:tr>
      <w:tr>
        <w:trPr>
          <w:trHeight w:val="208"/>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 net of current portion (Note 2)</w:t>
            </w: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senior notes, net (Note 8)</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735,530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574,238</w:t>
            </w:r>
          </w:p>
        </w:tc>
        <w:tc>
          <w:tcPr>
            <w:tcW w:w="0" w:type="dxa"/>
            <w:vAlign w:val="bottom"/>
          </w:tcPr>
          <w:p>
            <w:pPr>
              <w:spacing w:after="0"/>
              <w:rPr>
                <w:sz w:val="1"/>
                <w:szCs w:val="1"/>
                <w:color w:val="auto"/>
              </w:rPr>
            </w:pPr>
          </w:p>
        </w:tc>
      </w:tr>
      <w:tr>
        <w:trPr>
          <w:trHeight w:val="208"/>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liability, net of current portion (Note 10)</w:t>
            </w:r>
          </w:p>
        </w:tc>
        <w:tc>
          <w:tcPr>
            <w:tcW w:w="26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0" w:type="dxa"/>
            <w:vAlign w:val="bottom"/>
          </w:tcPr>
          <w:p>
            <w:pPr>
              <w:spacing w:after="0"/>
              <w:rPr>
                <w:sz w:val="1"/>
                <w:szCs w:val="1"/>
                <w:color w:val="auto"/>
              </w:rPr>
            </w:pPr>
          </w:p>
        </w:tc>
      </w:tr>
      <w:tr>
        <w:trPr>
          <w:trHeight w:val="208"/>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36,455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34,718</w:t>
            </w:r>
          </w:p>
        </w:tc>
        <w:tc>
          <w:tcPr>
            <w:tcW w:w="0" w:type="dxa"/>
            <w:vAlign w:val="bottom"/>
          </w:tcPr>
          <w:p>
            <w:pPr>
              <w:spacing w:after="0"/>
              <w:rPr>
                <w:sz w:val="1"/>
                <w:szCs w:val="1"/>
                <w:color w:val="auto"/>
              </w:rPr>
            </w:pPr>
          </w:p>
        </w:tc>
      </w:tr>
      <w:tr>
        <w:trPr>
          <w:trHeight w:val="205"/>
        </w:trPr>
        <w:tc>
          <w:tcPr>
            <w:tcW w:w="8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1,033,918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837,219</w:t>
            </w:r>
          </w:p>
        </w:tc>
        <w:tc>
          <w:tcPr>
            <w:tcW w:w="0" w:type="dxa"/>
            <w:vAlign w:val="bottom"/>
          </w:tcPr>
          <w:p>
            <w:pPr>
              <w:spacing w:after="0"/>
              <w:rPr>
                <w:sz w:val="1"/>
                <w:szCs w:val="1"/>
                <w:color w:val="auto"/>
              </w:rPr>
            </w:pPr>
          </w:p>
        </w:tc>
      </w:tr>
      <w:tr>
        <w:trPr>
          <w:trHeight w:val="208"/>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equity:</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Preferred stock, $0.001 par value - 5,000,000 shares authorized, none issued</w:t>
            </w: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8300" w:type="dxa"/>
            <w:vAlign w:val="bottom"/>
            <w:shd w:val="clear" w:color="auto" w:fill="CCEEFF"/>
          </w:tcPr>
          <w:p>
            <w:pPr>
              <w:ind w:left="120"/>
              <w:spacing w:after="0" w:line="159" w:lineRule="exact"/>
              <w:rPr>
                <w:sz w:val="20"/>
                <w:szCs w:val="20"/>
                <w:color w:val="auto"/>
              </w:rPr>
            </w:pPr>
            <w:r>
              <w:rPr>
                <w:rFonts w:ascii="Times New Roman" w:cs="Times New Roman" w:eastAsia="Times New Roman" w:hAnsi="Times New Roman"/>
                <w:sz w:val="16"/>
                <w:szCs w:val="16"/>
                <w:color w:val="auto"/>
              </w:rPr>
              <w:t>Common stock, $0.001 par value - 200,000,000 shares authorized, 77,559,927 and 74,980,546 shares issued, 74,813,684 and</w:t>
            </w:r>
          </w:p>
        </w:tc>
        <w:tc>
          <w:tcPr>
            <w:tcW w:w="2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72,234,303 shares outstanding as of June 30, 2022 and December 31, 2021, respectively</w:t>
            </w:r>
          </w:p>
        </w:tc>
        <w:tc>
          <w:tcPr>
            <w:tcW w:w="2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740,132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871,788</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Treasury stock - 2,746,243 shares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8"/>
        </w:trPr>
        <w:tc>
          <w:tcPr>
            <w:tcW w:w="83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(607,390)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(516,859)</w:t>
            </w: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(5,564)</w:t>
            </w:r>
          </w:p>
        </w:tc>
        <w:tc>
          <w:tcPr>
            <w:tcW w:w="0" w:type="dxa"/>
            <w:vAlign w:val="bottom"/>
          </w:tcPr>
          <w:p>
            <w:pPr>
              <w:spacing w:after="0"/>
              <w:rPr>
                <w:sz w:val="1"/>
                <w:szCs w:val="1"/>
                <w:color w:val="auto"/>
              </w:rPr>
            </w:pPr>
          </w:p>
        </w:tc>
      </w:tr>
      <w:tr>
        <w:trPr>
          <w:trHeight w:val="201"/>
        </w:trPr>
        <w:tc>
          <w:tcPr>
            <w:tcW w:w="83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120,755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349,437</w:t>
            </w:r>
          </w:p>
        </w:tc>
        <w:tc>
          <w:tcPr>
            <w:tcW w:w="0" w:type="dxa"/>
            <w:vAlign w:val="bottom"/>
          </w:tcPr>
          <w:p>
            <w:pPr>
              <w:spacing w:after="0"/>
              <w:rPr>
                <w:sz w:val="1"/>
                <w:szCs w:val="1"/>
                <w:color w:val="auto"/>
              </w:rPr>
            </w:pPr>
          </w:p>
        </w:tc>
      </w:tr>
      <w:tr>
        <w:trPr>
          <w:trHeight w:val="230"/>
        </w:trPr>
        <w:tc>
          <w:tcPr>
            <w:tcW w:w="8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equity</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1,154,673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1,186,656</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67310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1064"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9019"/>
          </w:cols>
          <w:pgMar w:left="1440" w:top="106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81915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type w:val="continuous"/>
        </w:sectPr>
      </w:pPr>
    </w:p>
    <w:bookmarkStart w:id="5" w:name="page6"/>
    <w:bookmarkEnd w:id="5"/>
    <w:p>
      <w:pPr>
        <w:ind w:left="504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0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220" w:type="dxa"/>
            <w:vAlign w:val="bottom"/>
          </w:tcPr>
          <w:p>
            <w:pPr>
              <w:spacing w:after="0"/>
              <w:rPr>
                <w:sz w:val="16"/>
                <w:szCs w:val="16"/>
                <w:color w:val="auto"/>
              </w:rPr>
            </w:pPr>
          </w:p>
        </w:tc>
        <w:tc>
          <w:tcPr>
            <w:tcW w:w="2080" w:type="dxa"/>
            <w:vAlign w:val="bottom"/>
            <w:gridSpan w:val="4"/>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0" w:type="dxa"/>
            <w:vAlign w:val="bottom"/>
          </w:tcPr>
          <w:p>
            <w:pPr>
              <w:spacing w:after="0"/>
              <w:rPr>
                <w:sz w:val="1"/>
                <w:szCs w:val="1"/>
                <w:color w:val="auto"/>
              </w:rPr>
            </w:pPr>
          </w:p>
        </w:tc>
      </w:tr>
      <w:tr>
        <w:trPr>
          <w:trHeight w:val="197"/>
        </w:trPr>
        <w:tc>
          <w:tcPr>
            <w:tcW w:w="6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3"/>
          </w:tcPr>
          <w:p>
            <w:pPr>
              <w:jc w:val="center"/>
              <w:ind w:left="56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center"/>
              <w:ind w:left="50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760" w:type="dxa"/>
            <w:vAlign w:val="bottom"/>
            <w:gridSpan w:val="9"/>
          </w:tcPr>
          <w:p>
            <w:pPr>
              <w:ind w:left="64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119,605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262,762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227,496</w:t>
            </w:r>
          </w:p>
        </w:tc>
        <w:tc>
          <w:tcPr>
            <w:tcW w:w="0" w:type="dxa"/>
            <w:vAlign w:val="bottom"/>
          </w:tcPr>
          <w:p>
            <w:pPr>
              <w:spacing w:after="0"/>
              <w:rPr>
                <w:sz w:val="1"/>
                <w:szCs w:val="1"/>
                <w:color w:val="auto"/>
              </w:rPr>
            </w:pPr>
          </w:p>
        </w:tc>
      </w:tr>
      <w:tr>
        <w:trPr>
          <w:trHeight w:val="210"/>
        </w:trPr>
        <w:tc>
          <w:tcPr>
            <w:tcW w:w="648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Costs and expenses: </w:t>
            </w:r>
            <w:r>
              <w:rPr>
                <w:rFonts w:ascii="Times New Roman" w:cs="Times New Roman" w:eastAsia="Times New Roman" w:hAnsi="Times New Roman"/>
                <w:sz w:val="20"/>
                <w:szCs w:val="20"/>
                <w:color w:val="auto"/>
                <w:vertAlign w:val="superscript"/>
              </w:rPr>
              <w:t>(1) (2)</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ind w:left="240"/>
              <w:spacing w:after="0" w:line="210" w:lineRule="exact"/>
              <w:rPr>
                <w:sz w:val="20"/>
                <w:szCs w:val="20"/>
                <w:color w:val="auto"/>
              </w:rPr>
            </w:pPr>
            <w:r>
              <w:rPr>
                <w:rFonts w:ascii="Times New Roman" w:cs="Times New Roman" w:eastAsia="Times New Roman" w:hAnsi="Times New Roman"/>
                <w:sz w:val="16"/>
                <w:szCs w:val="16"/>
                <w:color w:val="auto"/>
              </w:rPr>
              <w:t xml:space="preserve">Cost of revenue </w:t>
            </w:r>
            <w:r>
              <w:rPr>
                <w:rFonts w:ascii="Times New Roman" w:cs="Times New Roman" w:eastAsia="Times New Roman" w:hAnsi="Times New Roman"/>
                <w:sz w:val="20"/>
                <w:szCs w:val="20"/>
                <w:color w:val="auto"/>
                <w:vertAlign w:val="superscript"/>
              </w:rPr>
              <w:t>(3)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40,063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73,582</w:t>
            </w:r>
          </w:p>
        </w:tc>
        <w:tc>
          <w:tcPr>
            <w:tcW w:w="0" w:type="dxa"/>
            <w:vAlign w:val="bottom"/>
          </w:tcPr>
          <w:p>
            <w:pPr>
              <w:spacing w:after="0"/>
              <w:rPr>
                <w:sz w:val="1"/>
                <w:szCs w:val="1"/>
                <w:color w:val="auto"/>
              </w:rPr>
            </w:pPr>
          </w:p>
        </w:tc>
      </w:tr>
      <w:tr>
        <w:trPr>
          <w:trHeight w:val="208"/>
        </w:trPr>
        <w:tc>
          <w:tcPr>
            <w:tcW w:w="6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Sales and marketing</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38,622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75,575</w:t>
            </w:r>
          </w:p>
        </w:tc>
        <w:tc>
          <w:tcPr>
            <w:tcW w:w="0" w:type="dxa"/>
            <w:vAlign w:val="bottom"/>
          </w:tcPr>
          <w:p>
            <w:pPr>
              <w:spacing w:after="0"/>
              <w:rPr>
                <w:sz w:val="1"/>
                <w:szCs w:val="1"/>
                <w:color w:val="auto"/>
              </w:rPr>
            </w:pPr>
          </w:p>
        </w:tc>
      </w:tr>
      <w:tr>
        <w:trPr>
          <w:trHeight w:val="212"/>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16,105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30,591</w:t>
            </w:r>
          </w:p>
        </w:tc>
        <w:tc>
          <w:tcPr>
            <w:tcW w:w="0" w:type="dxa"/>
            <w:vAlign w:val="bottom"/>
          </w:tcPr>
          <w:p>
            <w:pPr>
              <w:spacing w:after="0"/>
              <w:rPr>
                <w:sz w:val="1"/>
                <w:szCs w:val="1"/>
                <w:color w:val="auto"/>
              </w:rPr>
            </w:pPr>
          </w:p>
        </w:tc>
      </w:tr>
      <w:tr>
        <w:trPr>
          <w:trHeight w:val="208"/>
        </w:trPr>
        <w:tc>
          <w:tcPr>
            <w:tcW w:w="6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Product development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37,526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70,981</w:t>
            </w:r>
          </w:p>
        </w:tc>
        <w:tc>
          <w:tcPr>
            <w:tcW w:w="0" w:type="dxa"/>
            <w:vAlign w:val="bottom"/>
          </w:tcPr>
          <w:p>
            <w:pPr>
              <w:spacing w:after="0"/>
              <w:rPr>
                <w:sz w:val="1"/>
                <w:szCs w:val="1"/>
                <w:color w:val="auto"/>
              </w:rPr>
            </w:pPr>
          </w:p>
        </w:tc>
      </w:tr>
      <w:tr>
        <w:trPr>
          <w:trHeight w:val="212"/>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Restructuring costs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493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3,225</w:t>
            </w:r>
          </w:p>
        </w:tc>
        <w:tc>
          <w:tcPr>
            <w:tcW w:w="0" w:type="dxa"/>
            <w:vAlign w:val="bottom"/>
          </w:tcPr>
          <w:p>
            <w:pPr>
              <w:spacing w:after="0"/>
              <w:rPr>
                <w:sz w:val="1"/>
                <w:szCs w:val="1"/>
                <w:color w:val="auto"/>
              </w:rPr>
            </w:pPr>
          </w:p>
        </w:tc>
      </w:tr>
      <w:tr>
        <w:trPr>
          <w:trHeight w:val="208"/>
        </w:trPr>
        <w:tc>
          <w:tcPr>
            <w:tcW w:w="6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374</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0" w:type="dxa"/>
            <w:vAlign w:val="bottom"/>
          </w:tcPr>
          <w:p>
            <w:pPr>
              <w:spacing w:after="0"/>
              <w:rPr>
                <w:sz w:val="1"/>
                <w:szCs w:val="1"/>
                <w:color w:val="auto"/>
              </w:rPr>
            </w:pPr>
          </w:p>
        </w:tc>
      </w:tr>
      <w:tr>
        <w:trPr>
          <w:trHeight w:val="205"/>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202,814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133,183</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397,196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254,703</w:t>
            </w:r>
          </w:p>
        </w:tc>
        <w:tc>
          <w:tcPr>
            <w:tcW w:w="0" w:type="dxa"/>
            <w:vAlign w:val="bottom"/>
          </w:tcPr>
          <w:p>
            <w:pPr>
              <w:spacing w:after="0"/>
              <w:rPr>
                <w:sz w:val="1"/>
                <w:szCs w:val="1"/>
                <w:color w:val="auto"/>
              </w:rPr>
            </w:pPr>
          </w:p>
        </w:tc>
      </w:tr>
      <w:tr>
        <w:trPr>
          <w:trHeight w:val="201"/>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(70,249)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(27,207)</w:t>
            </w:r>
          </w:p>
        </w:tc>
        <w:tc>
          <w:tcPr>
            <w:tcW w:w="0" w:type="dxa"/>
            <w:vAlign w:val="bottom"/>
          </w:tcPr>
          <w:p>
            <w:pPr>
              <w:spacing w:after="0"/>
              <w:rPr>
                <w:sz w:val="1"/>
                <w:szCs w:val="1"/>
                <w:color w:val="auto"/>
              </w:rPr>
            </w:pPr>
          </w:p>
        </w:tc>
      </w:tr>
      <w:tr>
        <w:trPr>
          <w:trHeight w:val="21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(18,410)</w:t>
            </w:r>
          </w:p>
        </w:tc>
        <w:tc>
          <w:tcPr>
            <w:tcW w:w="0" w:type="dxa"/>
            <w:vAlign w:val="bottom"/>
          </w:tcPr>
          <w:p>
            <w:pPr>
              <w:spacing w:after="0"/>
              <w:rPr>
                <w:sz w:val="1"/>
                <w:szCs w:val="1"/>
                <w:color w:val="auto"/>
              </w:rPr>
            </w:pPr>
          </w:p>
        </w:tc>
      </w:tr>
      <w:tr>
        <w:trPr>
          <w:trHeight w:val="212"/>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2,338</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0" w:type="dxa"/>
            <w:vAlign w:val="bottom"/>
          </w:tcPr>
          <w:p>
            <w:pPr>
              <w:spacing w:after="0"/>
              <w:rPr>
                <w:sz w:val="1"/>
                <w:szCs w:val="1"/>
                <w:color w:val="auto"/>
              </w:rPr>
            </w:pPr>
          </w:p>
        </w:tc>
      </w:tr>
      <w:tr>
        <w:trPr>
          <w:trHeight w:val="201"/>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expense, net</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(6,943)</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(15,360)</w:t>
            </w:r>
          </w:p>
        </w:tc>
        <w:tc>
          <w:tcPr>
            <w:tcW w:w="0" w:type="dxa"/>
            <w:vAlign w:val="bottom"/>
          </w:tcPr>
          <w:p>
            <w:pPr>
              <w:spacing w:after="0"/>
              <w:rPr>
                <w:sz w:val="1"/>
                <w:szCs w:val="1"/>
                <w:color w:val="auto"/>
              </w:rPr>
            </w:pPr>
          </w:p>
        </w:tc>
      </w:tr>
      <w:tr>
        <w:trPr>
          <w:trHeight w:val="139"/>
        </w:trPr>
        <w:tc>
          <w:tcPr>
            <w:tcW w:w="64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6"/>
                <w:szCs w:val="16"/>
                <w:color w:val="auto"/>
              </w:rPr>
              <w:t>Loss before provision for (benefit from) income</w:t>
            </w:r>
          </w:p>
        </w:tc>
        <w:tc>
          <w:tcPr>
            <w:tcW w:w="2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(74,197)</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(20,521)</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(139,754)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(42,567)</w:t>
            </w: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598</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(75,411)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(21,119)</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(140,775)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(42,314)</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of common stock:</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6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used to compute net loss per share:</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77,290,465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69,057,129</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76,555,518</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68,482,653</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77,290,465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69,057,129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76,555,518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68,482,653</w:t>
            </w:r>
          </w:p>
        </w:tc>
        <w:tc>
          <w:tcPr>
            <w:tcW w:w="0" w:type="dxa"/>
            <w:vAlign w:val="bottom"/>
          </w:tcPr>
          <w:p>
            <w:pPr>
              <w:spacing w:after="0"/>
              <w:rPr>
                <w:sz w:val="1"/>
                <w:szCs w:val="1"/>
                <w:color w:val="auto"/>
              </w:rPr>
            </w:pPr>
          </w:p>
        </w:tc>
      </w:tr>
      <w:tr>
        <w:trPr>
          <w:trHeight w:val="249"/>
        </w:trPr>
        <w:tc>
          <w:tcPr>
            <w:tcW w:w="648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  Amounts include stock-based compensation expense, as follows:</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Cost of revenue</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4,120</w:t>
            </w:r>
          </w:p>
        </w:tc>
        <w:tc>
          <w:tcPr>
            <w:tcW w:w="10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16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6,251</w:t>
            </w:r>
          </w:p>
        </w:tc>
        <w:tc>
          <w:tcPr>
            <w:tcW w:w="100" w:type="dxa"/>
            <w:vAlign w:val="bottom"/>
          </w:tcPr>
          <w:p>
            <w:pPr>
              <w:spacing w:after="0"/>
              <w:rPr>
                <w:sz w:val="16"/>
                <w:szCs w:val="16"/>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3,281</w:t>
            </w:r>
          </w:p>
        </w:tc>
        <w:tc>
          <w:tcPr>
            <w:tcW w:w="0" w:type="dxa"/>
            <w:vAlign w:val="bottom"/>
          </w:tcPr>
          <w:p>
            <w:pPr>
              <w:spacing w:after="0"/>
              <w:rPr>
                <w:sz w:val="1"/>
                <w:szCs w:val="1"/>
                <w:color w:val="auto"/>
              </w:rPr>
            </w:pPr>
          </w:p>
        </w:tc>
      </w:tr>
      <w:tr>
        <w:trPr>
          <w:trHeight w:val="204"/>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Sales and marketing</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3,373</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7,155</w:t>
            </w:r>
          </w:p>
        </w:tc>
        <w:tc>
          <w:tcPr>
            <w:tcW w:w="0" w:type="dxa"/>
            <w:vAlign w:val="bottom"/>
          </w:tcPr>
          <w:p>
            <w:pPr>
              <w:spacing w:after="0"/>
              <w:rPr>
                <w:sz w:val="1"/>
                <w:szCs w:val="1"/>
                <w:color w:val="auto"/>
              </w:rPr>
            </w:pPr>
          </w:p>
        </w:tc>
      </w:tr>
      <w:tr>
        <w:trPr>
          <w:trHeight w:val="190"/>
        </w:trPr>
        <w:tc>
          <w:tcPr>
            <w:tcW w:w="6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5,760</w:t>
            </w:r>
          </w:p>
        </w:tc>
        <w:tc>
          <w:tcPr>
            <w:tcW w:w="0" w:type="dxa"/>
            <w:vAlign w:val="bottom"/>
          </w:tcPr>
          <w:p>
            <w:pPr>
              <w:spacing w:after="0"/>
              <w:rPr>
                <w:sz w:val="1"/>
                <w:szCs w:val="1"/>
                <w:color w:val="auto"/>
              </w:rPr>
            </w:pPr>
          </w:p>
        </w:tc>
      </w:tr>
      <w:tr>
        <w:trPr>
          <w:trHeight w:val="204"/>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Product development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7,218</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25,872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13,502</w:t>
            </w:r>
          </w:p>
        </w:tc>
        <w:tc>
          <w:tcPr>
            <w:tcW w:w="0" w:type="dxa"/>
            <w:vAlign w:val="bottom"/>
          </w:tcPr>
          <w:p>
            <w:pPr>
              <w:spacing w:after="0"/>
              <w:rPr>
                <w:sz w:val="1"/>
                <w:szCs w:val="1"/>
                <w:color w:val="auto"/>
              </w:rPr>
            </w:pPr>
          </w:p>
        </w:tc>
      </w:tr>
      <w:tr>
        <w:trPr>
          <w:trHeight w:val="210"/>
        </w:trPr>
        <w:tc>
          <w:tcPr>
            <w:tcW w:w="6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  Amounts include depreciation expense, as follows:</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Cost of revenue</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2,463</w:t>
            </w:r>
          </w:p>
        </w:tc>
        <w:tc>
          <w:tcPr>
            <w:tcW w:w="10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2,634</w:t>
            </w:r>
          </w:p>
        </w:tc>
        <w:tc>
          <w:tcPr>
            <w:tcW w:w="16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4,996</w:t>
            </w:r>
          </w:p>
        </w:tc>
        <w:tc>
          <w:tcPr>
            <w:tcW w:w="100" w:type="dxa"/>
            <w:vAlign w:val="bottom"/>
          </w:tcPr>
          <w:p>
            <w:pPr>
              <w:spacing w:after="0"/>
              <w:rPr>
                <w:sz w:val="16"/>
                <w:szCs w:val="16"/>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5,168</w:t>
            </w:r>
          </w:p>
        </w:tc>
        <w:tc>
          <w:tcPr>
            <w:tcW w:w="0" w:type="dxa"/>
            <w:vAlign w:val="bottom"/>
          </w:tcPr>
          <w:p>
            <w:pPr>
              <w:spacing w:after="0"/>
              <w:rPr>
                <w:sz w:val="1"/>
                <w:szCs w:val="1"/>
                <w:color w:val="auto"/>
              </w:rPr>
            </w:pPr>
          </w:p>
        </w:tc>
      </w:tr>
      <w:tr>
        <w:trPr>
          <w:trHeight w:val="204"/>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Sales and marketing</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1,218</w:t>
            </w:r>
          </w:p>
        </w:tc>
        <w:tc>
          <w:tcPr>
            <w:tcW w:w="0" w:type="dxa"/>
            <w:vAlign w:val="bottom"/>
          </w:tcPr>
          <w:p>
            <w:pPr>
              <w:spacing w:after="0"/>
              <w:rPr>
                <w:sz w:val="1"/>
                <w:szCs w:val="1"/>
                <w:color w:val="auto"/>
              </w:rPr>
            </w:pPr>
          </w:p>
        </w:tc>
      </w:tr>
      <w:tr>
        <w:trPr>
          <w:trHeight w:val="190"/>
        </w:trPr>
        <w:tc>
          <w:tcPr>
            <w:tcW w:w="6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204"/>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Product development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7,104</w:t>
            </w:r>
          </w:p>
        </w:tc>
        <w:tc>
          <w:tcPr>
            <w:tcW w:w="0" w:type="dxa"/>
            <w:vAlign w:val="bottom"/>
          </w:tcPr>
          <w:p>
            <w:pPr>
              <w:spacing w:after="0"/>
              <w:rPr>
                <w:sz w:val="1"/>
                <w:szCs w:val="1"/>
                <w:color w:val="auto"/>
              </w:rPr>
            </w:pPr>
          </w:p>
        </w:tc>
      </w:tr>
      <w:tr>
        <w:trPr>
          <w:trHeight w:val="210"/>
        </w:trPr>
        <w:tc>
          <w:tcPr>
            <w:tcW w:w="6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  Amounts include amortization of purchased intangibles and finance leases, as follows:</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4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Cost of revenue</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10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w:t>
            </w:r>
          </w:p>
        </w:tc>
        <w:tc>
          <w:tcPr>
            <w:tcW w:w="16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8,977</w:t>
            </w:r>
          </w:p>
        </w:tc>
        <w:tc>
          <w:tcPr>
            <w:tcW w:w="100" w:type="dxa"/>
            <w:vAlign w:val="bottom"/>
          </w:tcPr>
          <w:p>
            <w:pPr>
              <w:spacing w:after="0"/>
              <w:rPr>
                <w:sz w:val="15"/>
                <w:szCs w:val="15"/>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2,359</w:t>
            </w:r>
          </w:p>
        </w:tc>
        <w:tc>
          <w:tcPr>
            <w:tcW w:w="0" w:type="dxa"/>
            <w:vAlign w:val="bottom"/>
          </w:tcPr>
          <w:p>
            <w:pPr>
              <w:spacing w:after="0"/>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6" w:name="page7"/>
    <w:bookmarkEnd w:id="6"/>
    <w:p>
      <w:pPr>
        <w:ind w:left="482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0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2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2380" w:type="dxa"/>
            <w:vAlign w:val="bottom"/>
            <w:gridSpan w:val="4"/>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6"/>
                <w:szCs w:val="16"/>
                <w:color w:val="auto"/>
              </w:rPr>
            </w:pPr>
          </w:p>
        </w:tc>
      </w:tr>
      <w:tr>
        <w:trPr>
          <w:trHeight w:val="197"/>
        </w:trPr>
        <w:tc>
          <w:tcPr>
            <w:tcW w:w="5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20" w:type="dxa"/>
            <w:vAlign w:val="bottom"/>
            <w:gridSpan w:val="3"/>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0" w:type="dxa"/>
            <w:vAlign w:val="bottom"/>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7"/>
                <w:szCs w:val="17"/>
                <w:color w:val="auto"/>
              </w:rPr>
            </w:pPr>
          </w:p>
        </w:tc>
      </w:tr>
      <w:tr>
        <w:trPr>
          <w:trHeight w:val="24"/>
        </w:trPr>
        <w:tc>
          <w:tcPr>
            <w:tcW w:w="5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4"/>
        </w:trPr>
        <w:tc>
          <w:tcPr>
            <w:tcW w:w="516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0"/>
        </w:trPr>
        <w:tc>
          <w:tcPr>
            <w:tcW w:w="5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(75,411)</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(21,119)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(140,775)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(42,314)</w:t>
            </w:r>
          </w:p>
        </w:tc>
      </w:tr>
      <w:tr>
        <w:trPr>
          <w:trHeight w:val="208"/>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(4,799)</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(6,498)</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(1,181)</w:t>
            </w:r>
          </w:p>
        </w:tc>
      </w:tr>
      <w:tr>
        <w:trPr>
          <w:trHeight w:val="23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860" w:type="dxa"/>
            <w:vAlign w:val="bottom"/>
            <w:tcBorders>
              <w:bottom w:val="single" w:sz="8" w:color="auto"/>
            </w:tcBorders>
            <w:shd w:val="clear" w:color="auto" w:fill="CCEEFF"/>
          </w:tcPr>
          <w:p>
            <w:pPr>
              <w:jc w:val="right"/>
              <w:ind w:right="686"/>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(80,210)</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(20,554)</w:t>
            </w:r>
          </w:p>
        </w:tc>
        <w:tc>
          <w:tcPr>
            <w:tcW w:w="1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(147,273)</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(43,495)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7" w:name="page8"/>
    <w:bookmarkEnd w:id="7"/>
    <w:p>
      <w:pPr>
        <w:ind w:left="462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0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580" w:type="dxa"/>
            <w:vAlign w:val="bottom"/>
          </w:tcPr>
          <w:p>
            <w:pPr>
              <w:spacing w:after="0"/>
              <w:rPr>
                <w:sz w:val="10"/>
                <w:szCs w:val="10"/>
                <w:color w:val="auto"/>
              </w:rPr>
            </w:pPr>
          </w:p>
        </w:tc>
        <w:tc>
          <w:tcPr>
            <w:tcW w:w="2040" w:type="dxa"/>
            <w:vAlign w:val="bottom"/>
            <w:gridSpan w:val="4"/>
            <w:vMerge w:val="restart"/>
          </w:tcPr>
          <w:p>
            <w:pPr>
              <w:jc w:val="right"/>
              <w:ind w:right="55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80" w:type="dxa"/>
            <w:vAlign w:val="bottom"/>
            <w:vMerge w:val="restart"/>
          </w:tcPr>
          <w:p>
            <w:pPr>
              <w:spacing w:after="0"/>
              <w:rPr>
                <w:sz w:val="10"/>
                <w:szCs w:val="10"/>
                <w:color w:val="auto"/>
              </w:rPr>
            </w:pPr>
          </w:p>
        </w:tc>
        <w:tc>
          <w:tcPr>
            <w:tcW w:w="2060" w:type="dxa"/>
            <w:vAlign w:val="bottom"/>
            <w:gridSpan w:val="4"/>
            <w:vMerge w:val="restart"/>
          </w:tcPr>
          <w:p>
            <w:pPr>
              <w:ind w:left="64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rPr>
              <w:t>Other</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580" w:type="dxa"/>
            <w:vAlign w:val="bottom"/>
          </w:tcPr>
          <w:p>
            <w:pPr>
              <w:spacing w:after="0"/>
              <w:rPr>
                <w:sz w:val="8"/>
                <w:szCs w:val="8"/>
                <w:color w:val="auto"/>
              </w:rPr>
            </w:pPr>
          </w:p>
        </w:tc>
        <w:tc>
          <w:tcPr>
            <w:tcW w:w="204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20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8"/>
                <w:szCs w:val="8"/>
                <w:color w:val="auto"/>
              </w:rPr>
            </w:pPr>
          </w:p>
        </w:tc>
        <w:tc>
          <w:tcPr>
            <w:tcW w:w="96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8"/>
                <w:szCs w:val="8"/>
                <w:color w:val="auto"/>
              </w:rPr>
            </w:pPr>
          </w:p>
        </w:tc>
        <w:tc>
          <w:tcPr>
            <w:tcW w:w="11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2580" w:type="dxa"/>
            <w:vAlign w:val="bottom"/>
          </w:tcPr>
          <w:p>
            <w:pPr>
              <w:spacing w:after="0"/>
              <w:rPr>
                <w:sz w:val="15"/>
                <w:szCs w:val="15"/>
                <w:color w:val="auto"/>
              </w:rPr>
            </w:pPr>
          </w:p>
        </w:tc>
        <w:tc>
          <w:tcPr>
            <w:tcW w:w="10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Loss</w:t>
            </w: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6"/>
        </w:trPr>
        <w:tc>
          <w:tcPr>
            <w:tcW w:w="2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5"/>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(In thousands, except share data)</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74,980,546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w w:val="97"/>
              </w:rPr>
              <w:t>(2,746,243)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871,788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(516,859)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(5,564)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349</w:t>
            </w:r>
          </w:p>
        </w:tc>
        <w:tc>
          <w:tcPr>
            <w:tcW w:w="0" w:type="dxa"/>
            <w:vAlign w:val="bottom"/>
          </w:tcPr>
          <w:p>
            <w:pPr>
              <w:spacing w:after="0"/>
              <w:rPr>
                <w:sz w:val="1"/>
                <w:szCs w:val="1"/>
                <w:color w:val="auto"/>
              </w:rPr>
            </w:pPr>
          </w:p>
        </w:tc>
      </w:tr>
      <w:tr>
        <w:trPr>
          <w:trHeight w:val="131"/>
        </w:trPr>
        <w:tc>
          <w:tcPr>
            <w:tcW w:w="2580" w:type="dxa"/>
            <w:vAlign w:val="bottom"/>
          </w:tcPr>
          <w:p>
            <w:pPr>
              <w:ind w:left="220"/>
              <w:spacing w:after="0" w:line="131" w:lineRule="exact"/>
              <w:rPr>
                <w:sz w:val="20"/>
                <w:szCs w:val="20"/>
                <w:color w:val="auto"/>
              </w:rPr>
            </w:pPr>
            <w:r>
              <w:rPr>
                <w:rFonts w:ascii="Times New Roman" w:cs="Times New Roman" w:eastAsia="Times New Roman" w:hAnsi="Times New Roman"/>
                <w:sz w:val="14"/>
                <w:szCs w:val="14"/>
                <w:color w:val="auto"/>
              </w:rPr>
              <w:t>Cumulative adjustment due to adoption</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(209,651)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50,244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90"/>
        </w:trPr>
        <w:tc>
          <w:tcPr>
            <w:tcW w:w="2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of ASU 2020-06</w:t>
            </w: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580" w:type="dxa"/>
            <w:vAlign w:val="bottom"/>
            <w:shd w:val="clear" w:color="auto" w:fill="CCEEFF"/>
          </w:tcPr>
          <w:p>
            <w:pPr>
              <w:ind w:left="220"/>
              <w:spacing w:after="0" w:line="139" w:lineRule="exact"/>
              <w:rPr>
                <w:sz w:val="20"/>
                <w:szCs w:val="20"/>
                <w:color w:val="auto"/>
              </w:rPr>
            </w:pPr>
            <w:r>
              <w:rPr>
                <w:rFonts w:ascii="Times New Roman" w:cs="Times New Roman" w:eastAsia="Times New Roman" w:hAnsi="Times New Roman"/>
                <w:sz w:val="14"/>
                <w:szCs w:val="14"/>
                <w:color w:val="auto"/>
              </w:rPr>
              <w:t>Common stock issued upon exercise of</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40,483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 options</w:t>
            </w: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580" w:type="dxa"/>
            <w:vAlign w:val="bottom"/>
          </w:tcPr>
          <w:p>
            <w:pPr>
              <w:ind w:left="220"/>
              <w:spacing w:after="0" w:line="131" w:lineRule="exact"/>
              <w:rPr>
                <w:sz w:val="20"/>
                <w:szCs w:val="20"/>
                <w:color w:val="auto"/>
              </w:rPr>
            </w:pPr>
            <w:r>
              <w:rPr>
                <w:rFonts w:ascii="Times New Roman" w:cs="Times New Roman" w:eastAsia="Times New Roman" w:hAnsi="Times New Roman"/>
                <w:sz w:val="14"/>
                <w:szCs w:val="14"/>
                <w:color w:val="auto"/>
              </w:rPr>
              <w:t>Common stock issued upon vesting of</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444,043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stock units (“RSUs”)</w:t>
            </w: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61"/>
        </w:trPr>
        <w:tc>
          <w:tcPr>
            <w:tcW w:w="2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awards settled in shares of the</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Company’s 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735,519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17,298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580" w:type="dxa"/>
            <w:vAlign w:val="bottom"/>
            <w:shd w:val="clear" w:color="auto" w:fill="CCEEFF"/>
          </w:tcPr>
          <w:p>
            <w:pPr>
              <w:ind w:left="220"/>
              <w:spacing w:after="0" w:line="131" w:lineRule="exact"/>
              <w:rPr>
                <w:sz w:val="20"/>
                <w:szCs w:val="20"/>
                <w:color w:val="auto"/>
              </w:rPr>
            </w:pPr>
            <w:r>
              <w:rPr>
                <w:rFonts w:ascii="Times New Roman" w:cs="Times New Roman" w:eastAsia="Times New Roman" w:hAnsi="Times New Roman"/>
                <w:sz w:val="14"/>
                <w:szCs w:val="14"/>
                <w:color w:val="auto"/>
              </w:rPr>
              <w:t>Common stock issued under Employee</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82,100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7"/>
        </w:trPr>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 Purchase Plan</w:t>
            </w: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580" w:type="dxa"/>
            <w:vAlign w:val="bottom"/>
          </w:tcPr>
          <w:p>
            <w:pPr>
              <w:ind w:left="220"/>
              <w:spacing w:after="0" w:line="131" w:lineRule="exact"/>
              <w:rPr>
                <w:sz w:val="20"/>
                <w:szCs w:val="20"/>
                <w:color w:val="auto"/>
              </w:rPr>
            </w:pPr>
            <w:r>
              <w:rPr>
                <w:rFonts w:ascii="Times New Roman" w:cs="Times New Roman" w:eastAsia="Times New Roman" w:hAnsi="Times New Roman"/>
                <w:sz w:val="14"/>
                <w:szCs w:val="14"/>
                <w:color w:val="auto"/>
              </w:rPr>
              <w:t>Issuance of common stock in connection</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779,946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17,636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0"/>
        </w:trPr>
        <w:tc>
          <w:tcPr>
            <w:tcW w:w="2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with acquisitions</w:t>
            </w: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(65,364)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90"/>
        </w:trPr>
        <w:tc>
          <w:tcPr>
            <w:tcW w:w="2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7"/>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2022</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77,062,637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77</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w w:val="97"/>
              </w:rPr>
              <w:t>(2,746,243)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719,514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(531,979)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(7,263)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180</w:t>
            </w:r>
          </w:p>
        </w:tc>
        <w:tc>
          <w:tcPr>
            <w:tcW w:w="0" w:type="dxa"/>
            <w:vAlign w:val="bottom"/>
          </w:tcPr>
          <w:p>
            <w:pPr>
              <w:spacing w:after="0"/>
              <w:rPr>
                <w:sz w:val="1"/>
                <w:szCs w:val="1"/>
                <w:color w:val="auto"/>
              </w:rPr>
            </w:pPr>
          </w:p>
        </w:tc>
      </w:tr>
      <w:tr>
        <w:trPr>
          <w:trHeight w:val="131"/>
        </w:trPr>
        <w:tc>
          <w:tcPr>
            <w:tcW w:w="2580" w:type="dxa"/>
            <w:vAlign w:val="bottom"/>
          </w:tcPr>
          <w:p>
            <w:pPr>
              <w:ind w:left="220"/>
              <w:spacing w:after="0" w:line="131" w:lineRule="exact"/>
              <w:rPr>
                <w:sz w:val="20"/>
                <w:szCs w:val="20"/>
                <w:color w:val="auto"/>
              </w:rPr>
            </w:pPr>
            <w:r>
              <w:rPr>
                <w:rFonts w:ascii="Times New Roman" w:cs="Times New Roman" w:eastAsia="Times New Roman" w:hAnsi="Times New Roman"/>
                <w:sz w:val="14"/>
                <w:szCs w:val="14"/>
                <w:color w:val="auto"/>
              </w:rPr>
              <w:t>Common stock issued upon exercise of</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25,295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 options</w:t>
            </w: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580" w:type="dxa"/>
            <w:vAlign w:val="bottom"/>
            <w:shd w:val="clear" w:color="auto" w:fill="CCEEFF"/>
          </w:tcPr>
          <w:p>
            <w:pPr>
              <w:ind w:left="220"/>
              <w:spacing w:after="0" w:line="139" w:lineRule="exact"/>
              <w:rPr>
                <w:sz w:val="20"/>
                <w:szCs w:val="20"/>
                <w:color w:val="auto"/>
              </w:rPr>
            </w:pPr>
            <w:r>
              <w:rPr>
                <w:rFonts w:ascii="Times New Roman" w:cs="Times New Roman" w:eastAsia="Times New Roman" w:hAnsi="Times New Roman"/>
                <w:sz w:val="14"/>
                <w:szCs w:val="14"/>
                <w:color w:val="auto"/>
              </w:rPr>
              <w:t>Common stock issued upon vesting of</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RSUs</w:t>
            </w: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38"/>
        </w:trPr>
        <w:tc>
          <w:tcPr>
            <w:tcW w:w="2580" w:type="dxa"/>
            <w:vAlign w:val="bottom"/>
            <w:shd w:val="clear" w:color="auto" w:fill="CCEEFF"/>
          </w:tcPr>
          <w:p>
            <w:pPr>
              <w:ind w:left="220"/>
              <w:spacing w:after="0" w:line="139" w:lineRule="exact"/>
              <w:rPr>
                <w:sz w:val="20"/>
                <w:szCs w:val="20"/>
                <w:color w:val="auto"/>
              </w:rPr>
            </w:pPr>
            <w:r>
              <w:rPr>
                <w:rFonts w:ascii="Times New Roman" w:cs="Times New Roman" w:eastAsia="Times New Roman" w:hAnsi="Times New Roman"/>
                <w:sz w:val="14"/>
                <w:szCs w:val="14"/>
                <w:color w:val="auto"/>
              </w:rPr>
              <w:t>Common stock issued under Employee</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99,495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7"/>
        </w:trPr>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 Purchase Plan</w:t>
            </w: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97"/>
        </w:trPr>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7"/>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2022</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77,559,927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78</w:t>
            </w:r>
          </w:p>
        </w:tc>
        <w:tc>
          <w:tcPr>
            <w:tcW w:w="80" w:type="dxa"/>
            <w:vAlign w:val="bottom"/>
          </w:tcPr>
          <w:p>
            <w:pPr>
              <w:spacing w:after="0"/>
              <w:rPr>
                <w:sz w:val="17"/>
                <w:szCs w:val="17"/>
                <w:color w:val="auto"/>
              </w:rPr>
            </w:pPr>
          </w:p>
        </w:tc>
        <w:tc>
          <w:tcPr>
            <w:tcW w:w="9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w w:val="97"/>
              </w:rPr>
              <w:t>(2,746,243)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740,132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(607,390)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(12,062)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120</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67310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0"/>
          </w:cols>
          <w:pgMar w:left="740" w:top="867" w:right="239" w:bottom="1440" w:gutter="0" w:footer="0" w:header="0"/>
        </w:sectPr>
      </w:pPr>
    </w:p>
    <w:bookmarkStart w:id="8" w:name="page9"/>
    <w:bookmarkEnd w:id="8"/>
    <w:p>
      <w:pPr>
        <w:ind w:left="4620"/>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10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 CONTINUED</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580" w:type="dxa"/>
            <w:vAlign w:val="bottom"/>
          </w:tcPr>
          <w:p>
            <w:pPr>
              <w:spacing w:after="0"/>
              <w:rPr>
                <w:sz w:val="10"/>
                <w:szCs w:val="10"/>
                <w:color w:val="auto"/>
              </w:rPr>
            </w:pPr>
          </w:p>
        </w:tc>
        <w:tc>
          <w:tcPr>
            <w:tcW w:w="2040" w:type="dxa"/>
            <w:vAlign w:val="bottom"/>
            <w:gridSpan w:val="4"/>
            <w:vMerge w:val="restart"/>
          </w:tcPr>
          <w:p>
            <w:pPr>
              <w:jc w:val="right"/>
              <w:ind w:right="551"/>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80" w:type="dxa"/>
            <w:vAlign w:val="bottom"/>
            <w:vMerge w:val="restart"/>
          </w:tcPr>
          <w:p>
            <w:pPr>
              <w:spacing w:after="0"/>
              <w:rPr>
                <w:sz w:val="10"/>
                <w:szCs w:val="10"/>
                <w:color w:val="auto"/>
              </w:rPr>
            </w:pPr>
          </w:p>
        </w:tc>
        <w:tc>
          <w:tcPr>
            <w:tcW w:w="2060" w:type="dxa"/>
            <w:vAlign w:val="bottom"/>
            <w:gridSpan w:val="4"/>
            <w:vMerge w:val="restart"/>
          </w:tcPr>
          <w:p>
            <w:pPr>
              <w:ind w:left="64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2"/>
                <w:szCs w:val="12"/>
                <w:b w:val="1"/>
                <w:bCs w:val="1"/>
                <w:color w:val="auto"/>
              </w:rPr>
              <w:t>Other</w:t>
            </w: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580" w:type="dxa"/>
            <w:vAlign w:val="bottom"/>
          </w:tcPr>
          <w:p>
            <w:pPr>
              <w:spacing w:after="0"/>
              <w:rPr>
                <w:sz w:val="8"/>
                <w:szCs w:val="8"/>
                <w:color w:val="auto"/>
              </w:rPr>
            </w:pPr>
          </w:p>
        </w:tc>
        <w:tc>
          <w:tcPr>
            <w:tcW w:w="204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206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8"/>
                <w:szCs w:val="8"/>
                <w:color w:val="auto"/>
              </w:rPr>
            </w:pPr>
          </w:p>
        </w:tc>
        <w:tc>
          <w:tcPr>
            <w:tcW w:w="960" w:type="dxa"/>
            <w:vAlign w:val="bottom"/>
            <w:gridSpan w:val="2"/>
          </w:tcPr>
          <w:p>
            <w:pPr>
              <w:ind w:left="40"/>
              <w:spacing w:after="0" w:line="99"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8"/>
                <w:szCs w:val="8"/>
                <w:color w:val="auto"/>
              </w:rPr>
            </w:pPr>
          </w:p>
        </w:tc>
        <w:tc>
          <w:tcPr>
            <w:tcW w:w="11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580" w:type="dxa"/>
            <w:vAlign w:val="bottom"/>
          </w:tcPr>
          <w:p>
            <w:pPr>
              <w:spacing w:after="0"/>
              <w:rPr>
                <w:sz w:val="15"/>
                <w:szCs w:val="15"/>
                <w:color w:val="auto"/>
              </w:rPr>
            </w:pPr>
          </w:p>
        </w:tc>
        <w:tc>
          <w:tcPr>
            <w:tcW w:w="10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Loss</w:t>
            </w: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4"/>
        </w:trPr>
        <w:tc>
          <w:tcPr>
            <w:tcW w:w="2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5"/>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(In thousands, except share data)</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70,264,265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70</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w w:val="97"/>
              </w:rPr>
              <w:t>(2,709,830)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635,672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(391,885)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243</w:t>
            </w:r>
          </w:p>
        </w:tc>
        <w:tc>
          <w:tcPr>
            <w:tcW w:w="0" w:type="dxa"/>
            <w:vAlign w:val="bottom"/>
          </w:tcPr>
          <w:p>
            <w:pPr>
              <w:spacing w:after="0"/>
              <w:rPr>
                <w:sz w:val="1"/>
                <w:szCs w:val="1"/>
                <w:color w:val="auto"/>
              </w:rPr>
            </w:pPr>
          </w:p>
        </w:tc>
      </w:tr>
      <w:tr>
        <w:trPr>
          <w:trHeight w:val="135"/>
        </w:trPr>
        <w:tc>
          <w:tcPr>
            <w:tcW w:w="258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Common stock issued upon exercise of</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209,185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2,617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8"/>
        </w:trPr>
        <w:tc>
          <w:tcPr>
            <w:tcW w:w="2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 options</w:t>
            </w: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580" w:type="dxa"/>
            <w:vAlign w:val="bottom"/>
            <w:shd w:val="clear" w:color="auto" w:fill="CCEEFF"/>
          </w:tcPr>
          <w:p>
            <w:pPr>
              <w:ind w:left="220"/>
              <w:spacing w:after="0" w:line="141" w:lineRule="exact"/>
              <w:rPr>
                <w:sz w:val="20"/>
                <w:szCs w:val="20"/>
                <w:color w:val="auto"/>
              </w:rPr>
            </w:pPr>
            <w:r>
              <w:rPr>
                <w:rFonts w:ascii="Times New Roman" w:cs="Times New Roman" w:eastAsia="Times New Roman" w:hAnsi="Times New Roman"/>
                <w:sz w:val="14"/>
                <w:szCs w:val="14"/>
                <w:color w:val="auto"/>
              </w:rPr>
              <w:t>Common stock issued upon vesting of</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454,508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RSUs</w:t>
            </w: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2"/>
        </w:trPr>
        <w:tc>
          <w:tcPr>
            <w:tcW w:w="258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Cash awards settled in shares of the</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25,925</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3"/>
        </w:trPr>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Company’s common stock</w:t>
            </w: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Common stock issued under Employee</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22,544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8"/>
        </w:trPr>
        <w:tc>
          <w:tcPr>
            <w:tcW w:w="2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 Purchase Plan</w:t>
            </w: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0"/>
        </w:trPr>
        <w:tc>
          <w:tcPr>
            <w:tcW w:w="2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7"/>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71,351,202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w:t>
            </w:r>
          </w:p>
        </w:tc>
        <w:tc>
          <w:tcPr>
            <w:tcW w:w="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w w:val="97"/>
              </w:rPr>
              <w:t>(2,709,830)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674,695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(413,080)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(1,666)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260</w:t>
            </w:r>
          </w:p>
        </w:tc>
        <w:tc>
          <w:tcPr>
            <w:tcW w:w="0" w:type="dxa"/>
            <w:vAlign w:val="bottom"/>
          </w:tcPr>
          <w:p>
            <w:pPr>
              <w:spacing w:after="0"/>
              <w:rPr>
                <w:sz w:val="1"/>
                <w:szCs w:val="1"/>
                <w:color w:val="auto"/>
              </w:rPr>
            </w:pPr>
          </w:p>
        </w:tc>
      </w:tr>
      <w:tr>
        <w:trPr>
          <w:trHeight w:val="135"/>
        </w:trPr>
        <w:tc>
          <w:tcPr>
            <w:tcW w:w="258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Common stock issued upon exercise of</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252,155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3,999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8"/>
        </w:trPr>
        <w:tc>
          <w:tcPr>
            <w:tcW w:w="2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 options</w:t>
            </w: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580" w:type="dxa"/>
            <w:vAlign w:val="bottom"/>
            <w:shd w:val="clear" w:color="auto" w:fill="CCEEFF"/>
          </w:tcPr>
          <w:p>
            <w:pPr>
              <w:ind w:left="220"/>
              <w:spacing w:after="0" w:line="141" w:lineRule="exact"/>
              <w:rPr>
                <w:sz w:val="20"/>
                <w:szCs w:val="20"/>
                <w:color w:val="auto"/>
              </w:rPr>
            </w:pPr>
            <w:r>
              <w:rPr>
                <w:rFonts w:ascii="Times New Roman" w:cs="Times New Roman" w:eastAsia="Times New Roman" w:hAnsi="Times New Roman"/>
                <w:sz w:val="14"/>
                <w:szCs w:val="14"/>
                <w:color w:val="auto"/>
              </w:rPr>
              <w:t>Common stock issued upon vesting of</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252,218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RSUs</w:t>
            </w: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2"/>
        </w:trPr>
        <w:tc>
          <w:tcPr>
            <w:tcW w:w="258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Cash awards settled in shares of the</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3"/>
        </w:trPr>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Company’s common stock</w:t>
            </w: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Common stock issued under Employee</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24,270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8"/>
        </w:trPr>
        <w:tc>
          <w:tcPr>
            <w:tcW w:w="2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 Purchase Plan</w:t>
            </w: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0"/>
        </w:trPr>
        <w:tc>
          <w:tcPr>
            <w:tcW w:w="2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72,017,145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color w:val="auto"/>
                <w:w w:val="97"/>
              </w:rPr>
              <w:t>(2,709,830)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696,923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(434,199)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261</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67310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0"/>
          </w:cols>
          <w:pgMar w:left="740" w:top="867"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LIVEPERSON,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3"/>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6"/>
                <w:szCs w:val="16"/>
                <w:color w:val="auto"/>
              </w:rPr>
            </w:pPr>
          </w:p>
        </w:tc>
      </w:tr>
      <w:tr>
        <w:trPr>
          <w:trHeight w:val="197"/>
        </w:trPr>
        <w:tc>
          <w:tcPr>
            <w:tcW w:w="8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3"/>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860" w:type="dxa"/>
            <w:vAlign w:val="bottom"/>
          </w:tcPr>
          <w:p>
            <w:pPr>
              <w:spacing w:after="0"/>
              <w:rPr>
                <w:sz w:val="17"/>
                <w:szCs w:val="17"/>
                <w:color w:val="auto"/>
              </w:rPr>
            </w:pPr>
          </w:p>
        </w:tc>
      </w:tr>
      <w:tr>
        <w:trPr>
          <w:trHeight w:val="24"/>
        </w:trPr>
        <w:tc>
          <w:tcPr>
            <w:tcW w:w="8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83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0"/>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3"/>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8"/>
        </w:trPr>
        <w:tc>
          <w:tcPr>
            <w:tcW w:w="83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(140,775)</w:t>
            </w:r>
          </w:p>
        </w:tc>
        <w:tc>
          <w:tcPr>
            <w:tcW w:w="120" w:type="dxa"/>
            <w:vAlign w:val="bottom"/>
          </w:tcPr>
          <w:p>
            <w:pPr>
              <w:spacing w:after="0"/>
              <w:rPr>
                <w:sz w:val="18"/>
                <w:szCs w:val="18"/>
                <w:color w:val="auto"/>
              </w:rPr>
            </w:pPr>
          </w:p>
        </w:tc>
        <w:tc>
          <w:tcPr>
            <w:tcW w:w="52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(42,314)</w:t>
            </w:r>
          </w:p>
        </w:tc>
      </w:tr>
      <w:tr>
        <w:trPr>
          <w:trHeight w:val="212"/>
        </w:trPr>
        <w:tc>
          <w:tcPr>
            <w:tcW w:w="8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Adjustments to reconcile net loss to net cash (used in) provided by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8"/>
        </w:trPr>
        <w:tc>
          <w:tcPr>
            <w:tcW w:w="8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68,383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29,698</w:t>
            </w:r>
          </w:p>
        </w:tc>
      </w:tr>
      <w:tr>
        <w:trPr>
          <w:trHeight w:val="212"/>
        </w:trPr>
        <w:tc>
          <w:tcPr>
            <w:tcW w:w="8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13,578</w:t>
            </w:r>
          </w:p>
        </w:tc>
      </w:tr>
      <w:tr>
        <w:trPr>
          <w:trHeight w:val="208"/>
        </w:trPr>
        <w:tc>
          <w:tcPr>
            <w:tcW w:w="8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Amortization of purchased intangibles and finance leases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w:t>
            </w:r>
          </w:p>
        </w:tc>
      </w:tr>
      <w:tr>
        <w:trPr>
          <w:trHeight w:val="212"/>
        </w:trPr>
        <w:tc>
          <w:tcPr>
            <w:tcW w:w="8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r>
      <w:tr>
        <w:trPr>
          <w:trHeight w:val="208"/>
        </w:trPr>
        <w:tc>
          <w:tcPr>
            <w:tcW w:w="8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Accretion of debt discount on convertible senior notes</w:t>
            </w: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16,374</w:t>
            </w:r>
          </w:p>
        </w:tc>
      </w:tr>
      <w:tr>
        <w:trPr>
          <w:trHeight w:val="212"/>
        </w:trPr>
        <w:tc>
          <w:tcPr>
            <w:tcW w:w="8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w:t>
            </w:r>
          </w:p>
        </w:tc>
      </w:tr>
      <w:tr>
        <w:trPr>
          <w:trHeight w:val="208"/>
        </w:trPr>
        <w:tc>
          <w:tcPr>
            <w:tcW w:w="8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Gain on settlement of leases</w:t>
            </w: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w:t>
            </w:r>
          </w:p>
        </w:tc>
      </w:tr>
      <w:tr>
        <w:trPr>
          <w:trHeight w:val="212"/>
        </w:trPr>
        <w:tc>
          <w:tcPr>
            <w:tcW w:w="8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w:t>
            </w:r>
          </w:p>
        </w:tc>
      </w:tr>
      <w:tr>
        <w:trPr>
          <w:trHeight w:val="208"/>
        </w:trPr>
        <w:tc>
          <w:tcPr>
            <w:tcW w:w="8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2"/>
        </w:trPr>
        <w:tc>
          <w:tcPr>
            <w:tcW w:w="83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(11,665)</w:t>
            </w:r>
          </w:p>
        </w:tc>
      </w:tr>
      <w:tr>
        <w:trPr>
          <w:trHeight w:val="208"/>
        </w:trPr>
        <w:tc>
          <w:tcPr>
            <w:tcW w:w="83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(3,938)</w:t>
            </w:r>
          </w:p>
        </w:tc>
      </w:tr>
      <w:tr>
        <w:trPr>
          <w:trHeight w:val="212"/>
        </w:trPr>
        <w:tc>
          <w:tcPr>
            <w:tcW w:w="83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Contract acquisition costs noncurrent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(3,557)</w:t>
            </w:r>
          </w:p>
        </w:tc>
      </w:tr>
      <w:tr>
        <w:trPr>
          <w:trHeight w:val="208"/>
        </w:trPr>
        <w:tc>
          <w:tcPr>
            <w:tcW w:w="83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r>
      <w:tr>
        <w:trPr>
          <w:trHeight w:val="212"/>
        </w:trPr>
        <w:tc>
          <w:tcPr>
            <w:tcW w:w="83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(6,548)</w:t>
            </w:r>
          </w:p>
        </w:tc>
      </w:tr>
      <w:tr>
        <w:trPr>
          <w:trHeight w:val="208"/>
        </w:trPr>
        <w:tc>
          <w:tcPr>
            <w:tcW w:w="83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20,527</w:t>
            </w:r>
          </w:p>
        </w:tc>
      </w:tr>
      <w:tr>
        <w:trPr>
          <w:trHeight w:val="212"/>
        </w:trPr>
        <w:tc>
          <w:tcPr>
            <w:tcW w:w="83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20,126</w:t>
            </w:r>
          </w:p>
        </w:tc>
      </w:tr>
      <w:tr>
        <w:trPr>
          <w:trHeight w:val="208"/>
        </w:trPr>
        <w:tc>
          <w:tcPr>
            <w:tcW w:w="83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w:t>
            </w:r>
          </w:p>
        </w:tc>
      </w:tr>
      <w:tr>
        <w:trPr>
          <w:trHeight w:val="212"/>
        </w:trPr>
        <w:tc>
          <w:tcPr>
            <w:tcW w:w="83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r>
      <w:tr>
        <w:trPr>
          <w:trHeight w:val="201"/>
        </w:trPr>
        <w:tc>
          <w:tcPr>
            <w:tcW w:w="836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(64,367)</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30,614</w:t>
            </w:r>
          </w:p>
        </w:tc>
      </w:tr>
      <w:tr>
        <w:trPr>
          <w:trHeight w:val="87"/>
        </w:trPr>
        <w:tc>
          <w:tcPr>
            <w:tcW w:w="83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r>
      <w:tr>
        <w:trPr>
          <w:trHeight w:val="208"/>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2"/>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Purchases of property and equipment, including capitalized software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(23,172)</w:t>
            </w:r>
          </w:p>
        </w:tc>
      </w:tr>
      <w:tr>
        <w:trPr>
          <w:trHeight w:val="208"/>
        </w:trPr>
        <w:tc>
          <w:tcPr>
            <w:tcW w:w="8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Investment in joint venture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Payments for acquisition, net of cash acquired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Payments for intangible assets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(1,375)</w:t>
            </w:r>
          </w:p>
        </w:tc>
      </w:tr>
      <w:tr>
        <w:trPr>
          <w:trHeight w:val="203"/>
        </w:trPr>
        <w:tc>
          <w:tcPr>
            <w:tcW w:w="83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(33,435)</w:t>
            </w:r>
          </w:p>
        </w:tc>
        <w:tc>
          <w:tcPr>
            <w:tcW w:w="1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(24,547)</w:t>
            </w:r>
          </w:p>
        </w:tc>
      </w:tr>
      <w:tr>
        <w:trPr>
          <w:trHeight w:val="87"/>
        </w:trPr>
        <w:tc>
          <w:tcPr>
            <w:tcW w:w="8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r>
      <w:tr>
        <w:trPr>
          <w:trHeight w:val="21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8"/>
        </w:trPr>
        <w:tc>
          <w:tcPr>
            <w:tcW w:w="8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Principal payments for financing leases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w:t>
            </w:r>
          </w:p>
        </w:tc>
      </w:tr>
      <w:tr>
        <w:trPr>
          <w:trHeight w:val="212"/>
        </w:trPr>
        <w:tc>
          <w:tcPr>
            <w:tcW w:w="8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issuance of common stock in connection with the exercise of options and ESPP</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9,001</w:t>
            </w:r>
          </w:p>
        </w:tc>
      </w:tr>
      <w:tr>
        <w:trPr>
          <w:trHeight w:val="208"/>
        </w:trPr>
        <w:tc>
          <w:tcPr>
            <w:tcW w:w="8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on conversion of convertible senior notes</w:t>
            </w: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5"/>
        </w:trPr>
        <w:tc>
          <w:tcPr>
            <w:tcW w:w="8360" w:type="dxa"/>
            <w:vAlign w:val="bottom"/>
            <w:tcBorders>
              <w:top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7,271</w:t>
            </w:r>
          </w:p>
        </w:tc>
      </w:tr>
      <w:tr>
        <w:trPr>
          <w:trHeight w:val="201"/>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w:t>
            </w:r>
          </w:p>
        </w:tc>
      </w:tr>
      <w:tr>
        <w:trPr>
          <w:trHeight w:val="21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(97,178)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11,456</w:t>
            </w:r>
          </w:p>
        </w:tc>
      </w:tr>
      <w:tr>
        <w:trPr>
          <w:trHeight w:val="208"/>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year</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523,532</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654,152</w:t>
            </w:r>
          </w:p>
        </w:tc>
      </w:tr>
      <w:tr>
        <w:trPr>
          <w:trHeight w:val="23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426,354</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665,608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5"/>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3"/>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3"/>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8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0"/>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3"/>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 to condensed consolidated balance sheets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425,944</w:t>
            </w:r>
          </w:p>
        </w:tc>
        <w:tc>
          <w:tcPr>
            <w:tcW w:w="120" w:type="dxa"/>
            <w:vAlign w:val="bottom"/>
          </w:tcPr>
          <w:p>
            <w:pPr>
              <w:spacing w:after="0"/>
              <w:rPr>
                <w:sz w:val="18"/>
                <w:szCs w:val="18"/>
                <w:color w:val="auto"/>
              </w:rPr>
            </w:pPr>
          </w:p>
        </w:tc>
        <w:tc>
          <w:tcPr>
            <w:tcW w:w="52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664,334</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cash in prepaid expenses and 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0" w:type="dxa"/>
            <w:vAlign w:val="bottom"/>
          </w:tcPr>
          <w:p>
            <w:pPr>
              <w:spacing w:after="0"/>
              <w:rPr>
                <w:sz w:val="1"/>
                <w:szCs w:val="1"/>
                <w:color w:val="auto"/>
              </w:rPr>
            </w:pPr>
          </w:p>
        </w:tc>
      </w:tr>
      <w:tr>
        <w:trPr>
          <w:trHeight w:val="205"/>
        </w:trPr>
        <w:tc>
          <w:tcPr>
            <w:tcW w:w="8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cash, cash equivalents, and restricted cash - end of period</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426,354</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665,608</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Supplemental disclosure of other cash flow information:</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3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0" w:type="dxa"/>
            <w:vAlign w:val="bottom"/>
          </w:tcPr>
          <w:p>
            <w:pPr>
              <w:spacing w:after="0"/>
              <w:rPr>
                <w:sz w:val="1"/>
                <w:szCs w:val="1"/>
                <w:color w:val="auto"/>
              </w:rPr>
            </w:pPr>
          </w:p>
        </w:tc>
      </w:tr>
      <w:tr>
        <w:trPr>
          <w:trHeight w:val="208"/>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0" w:type="dxa"/>
            <w:vAlign w:val="bottom"/>
          </w:tcPr>
          <w:p>
            <w:pPr>
              <w:spacing w:after="0"/>
              <w:rPr>
                <w:sz w:val="1"/>
                <w:szCs w:val="1"/>
                <w:color w:val="auto"/>
              </w:rPr>
            </w:pPr>
          </w:p>
        </w:tc>
      </w:tr>
      <w:tr>
        <w:trPr>
          <w:trHeight w:val="107"/>
        </w:trPr>
        <w:tc>
          <w:tcPr>
            <w:tcW w:w="83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 of non-cash investing and financing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Increase in convertible senior notes, net upon adoption of ASU 2020-06 (Note 1)</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159,407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property and equipment recorded in accounts payable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0" w:type="dxa"/>
            <w:vAlign w:val="bottom"/>
          </w:tcPr>
          <w:p>
            <w:pPr>
              <w:spacing w:after="0"/>
              <w:rPr>
                <w:sz w:val="1"/>
                <w:szCs w:val="1"/>
                <w:color w:val="auto"/>
              </w:rPr>
            </w:pPr>
          </w:p>
        </w:tc>
      </w:tr>
      <w:tr>
        <w:trPr>
          <w:trHeight w:val="212"/>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shares of common stock to settle cash awards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33,503</w:t>
            </w:r>
          </w:p>
        </w:tc>
        <w:tc>
          <w:tcPr>
            <w:tcW w:w="0" w:type="dxa"/>
            <w:vAlign w:val="bottom"/>
          </w:tcPr>
          <w:p>
            <w:pPr>
              <w:spacing w:after="0"/>
              <w:rPr>
                <w:sz w:val="1"/>
                <w:szCs w:val="1"/>
                <w:color w:val="auto"/>
              </w:rPr>
            </w:pPr>
          </w:p>
        </w:tc>
      </w:tr>
      <w:tr>
        <w:trPr>
          <w:trHeight w:val="208"/>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 of use assets obtained in exchange for operating lease liabilities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776,825 shares of common stock in connection with the WildHealth transaction in February 2022</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11" w:name="page12"/>
    <w:bookmarkEnd w:id="11"/>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 and Basis of Presentation</w:t>
      </w:r>
    </w:p>
    <w:p>
      <w:pPr>
        <w:spacing w:after="0" w:line="241" w:lineRule="exact"/>
        <w:rPr>
          <w:sz w:val="20"/>
          <w:szCs w:val="20"/>
          <w:color w:val="auto"/>
        </w:rPr>
      </w:pPr>
    </w:p>
    <w:p>
      <w:pPr>
        <w:jc w:val="both"/>
        <w:ind w:firstLine="420"/>
        <w:spacing w:after="0" w:line="280" w:lineRule="auto"/>
        <w:rPr>
          <w:sz w:val="20"/>
          <w:szCs w:val="20"/>
          <w:color w:val="auto"/>
        </w:rPr>
      </w:pPr>
      <w:r>
        <w:rPr>
          <w:rFonts w:ascii="Times New Roman" w:cs="Times New Roman" w:eastAsia="Times New Roman" w:hAnsi="Times New Roman"/>
          <w:sz w:val="16"/>
          <w:szCs w:val="16"/>
          <w:color w:val="auto"/>
        </w:rPr>
        <w:t>LivePerson, Inc. (“LivePerson”, the “Company”, “we”, “our” or “us”) is a leading Conversational Artificial Intelligence (“AI”) company creating digital experiences that are Curiously Human. Conversational AI allows humans and machines to interact using natural language, including speech or text. During the past decade, consumers have made mobile devices the center of their digital lives, and they have made mobile messaging the center of communication with friends, family and peers. The Company’s technology enables consumers to connect with businesses through these same preferred conversational interfaces, including Facebook Messenger, short message service (“SMS”), WhatsApp, Apple Business Chat, Google Rich Business Messenger and Alexa. These messaging conversations harness human agents, bots and AI to power convenient, personalized and content-rich journeys across the entire consumer lifecycle, from discovery and research, to sales, service and support, and increasingly marketing, social, and brick and mortar engagements. For example, consumers can look up product info like ratings, images and pricing, search for stores, see product inventory, schedule appointments, apply for credit, approve repairs, and make purchases or payments - all without ever leaving the messaging channel. These AI and human-assisted conversational experiences constitute the Conversational Space, within which LivePerson has strategically developed one of the industry’s largest ecosystems of messaging endpoints and use cases.</w:t>
      </w:r>
    </w:p>
    <w:p>
      <w:pPr>
        <w:spacing w:after="0" w:line="190" w:lineRule="exact"/>
        <w:rPr>
          <w:sz w:val="20"/>
          <w:szCs w:val="20"/>
          <w:color w:val="auto"/>
        </w:rPr>
      </w:pPr>
    </w:p>
    <w:p>
      <w:pPr>
        <w:jc w:val="both"/>
        <w:ind w:firstLine="420"/>
        <w:spacing w:after="0" w:line="283" w:lineRule="auto"/>
        <w:rPr>
          <w:sz w:val="20"/>
          <w:szCs w:val="20"/>
          <w:color w:val="auto"/>
        </w:rPr>
      </w:pPr>
      <w:r>
        <w:rPr>
          <w:rFonts w:ascii="Times New Roman" w:cs="Times New Roman" w:eastAsia="Times New Roman" w:hAnsi="Times New Roman"/>
          <w:sz w:val="16"/>
          <w:szCs w:val="16"/>
          <w:color w:val="auto"/>
        </w:rPr>
        <w:t>The Conversational Cloud, the Company’s enterprise-class cloud-based platform, enables businesses to become conversational by securely deploying AI-powered messaging at scale for brands with tens of millions of customers and many thousands of agents. The Conversational Cloud powers conversations across each of a brand’s primary digital channels, including mobile apps, mobile and desktop web browsers, SMS, social media and third-party consumer messaging platforms. Brands can also use the Conversational Cloud to message consumers when they dial a 1-800 number instead of forcing them to navigate interactive voice response systems (“IVRs”) and wait on hold. Similarly, the Conversational Cloud can ingest traditional emails and convert them into messaging conversations, or embed messaging conversations directly into web advertisements, rather than redirect consumers to static website landing pages. Agents can manage all conversations with consumers through a single console interface, regardless of where the conversations originated.</w:t>
      </w:r>
    </w:p>
    <w:p>
      <w:pPr>
        <w:spacing w:after="0" w:line="188" w:lineRule="exact"/>
        <w:rPr>
          <w:sz w:val="20"/>
          <w:szCs w:val="20"/>
          <w:color w:val="auto"/>
        </w:rPr>
      </w:pPr>
    </w:p>
    <w:p>
      <w:pPr>
        <w:jc w:val="both"/>
        <w:ind w:firstLine="420"/>
        <w:spacing w:after="0" w:line="249" w:lineRule="auto"/>
        <w:rPr>
          <w:sz w:val="20"/>
          <w:szCs w:val="20"/>
          <w:color w:val="auto"/>
        </w:rPr>
      </w:pPr>
      <w:r>
        <w:rPr>
          <w:rFonts w:ascii="Times New Roman" w:cs="Times New Roman" w:eastAsia="Times New Roman" w:hAnsi="Times New Roman"/>
          <w:sz w:val="18"/>
          <w:szCs w:val="18"/>
          <w:color w:val="auto"/>
        </w:rPr>
        <w:t>LivePerson’s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Payment Card Industry (“PCI”) compliance, co-browsing and a sophisticated proactive targeting engine. An extensible application programming interface (“API”) stack facilitates a lower cost of ownership by facilitating robust integration into back-end systems, as well as enabling developers to build their own programs and services on top of the platform. More than 40 APIs and software development kits are available on the Conversational Cloud.</w:t>
      </w:r>
    </w:p>
    <w:p>
      <w:pPr>
        <w:spacing w:after="0" w:line="213" w:lineRule="exact"/>
        <w:rPr>
          <w:sz w:val="20"/>
          <w:szCs w:val="20"/>
          <w:color w:val="auto"/>
        </w:rPr>
      </w:pPr>
    </w:p>
    <w:p>
      <w:pPr>
        <w:jc w:val="both"/>
        <w:ind w:firstLine="420"/>
        <w:spacing w:after="0" w:line="247" w:lineRule="auto"/>
        <w:rPr>
          <w:sz w:val="20"/>
          <w:szCs w:val="20"/>
          <w:color w:val="auto"/>
        </w:rPr>
      </w:pPr>
      <w:r>
        <w:rPr>
          <w:rFonts w:ascii="Times New Roman" w:cs="Times New Roman" w:eastAsia="Times New Roman" w:hAnsi="Times New Roman"/>
          <w:sz w:val="18"/>
          <w:szCs w:val="18"/>
          <w:color w:val="auto"/>
        </w:rPr>
        <w:t>LivePerson’s Conversational AI offerings put the power of bot development, training, management and analysis into the hands of the contact center and its agents, the teams most familiar with how to structure sales and service conversations to drive successful outcomes. The platform enables what the Company calls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the Company’s proprietary Conversational AI, as well as third-party bots, the Conversational Cloud offers brands a comprehensive approach to scaling automations across their millions of customer conversations.</w:t>
      </w:r>
    </w:p>
    <w:p>
      <w:pPr>
        <w:spacing w:after="0" w:line="216"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LivePerson’s consumer services offering is an online marketplace that connects independent service providers (“Experts”) who provide 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w:t>
      </w:r>
    </w:p>
    <w:p>
      <w:pPr>
        <w:spacing w:after="0" w:line="207" w:lineRule="exact"/>
        <w:rPr>
          <w:sz w:val="20"/>
          <w:szCs w:val="20"/>
          <w:color w:val="auto"/>
        </w:rPr>
      </w:pPr>
    </w:p>
    <w:p>
      <w:pPr>
        <w:jc w:val="both"/>
        <w:ind w:firstLine="420"/>
        <w:spacing w:after="0" w:line="288" w:lineRule="auto"/>
        <w:rPr>
          <w:sz w:val="20"/>
          <w:szCs w:val="20"/>
          <w:color w:val="auto"/>
        </w:rPr>
      </w:pPr>
      <w:r>
        <w:rPr>
          <w:rFonts w:ascii="Times New Roman" w:cs="Times New Roman" w:eastAsia="Times New Roman" w:hAnsi="Times New Roman"/>
          <w:sz w:val="16"/>
          <w:szCs w:val="16"/>
          <w:color w:val="auto"/>
        </w:rPr>
        <w:t>LivePerson was incorporated in the State of Delaware in November 1995 and the LivePerson service was introduced in November 1998. The Company completed an initial public offering in April 2000 and is currently traded on the Nasdaq Global Select Market (“Nasdaq”) and the Tel Aviv Stock Exchange (“TASE”). LivePerson is headquartered in New York City. In light of the COVID-19 pandemic and the Company’s strong performance working remotely, LivePerson has adopted an “employee-centric” workforce model that does not rely on traditional offices. During the second quarter of 2021, the Company decided to reoccupy some of its leased space to provide its employees with the option of working in an office space environment if they choose to do so.</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12" w:name="page13"/>
    <w:bookmarkEnd w:id="12"/>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41" w:lineRule="exact"/>
        <w:rPr>
          <w:sz w:val="20"/>
          <w:szCs w:val="20"/>
          <w:color w:val="auto"/>
        </w:rPr>
      </w:pPr>
    </w:p>
    <w:p>
      <w:pPr>
        <w:jc w:val="both"/>
        <w:ind w:firstLine="420"/>
        <w:spacing w:after="0" w:line="247"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as of June 30, 2022 and for the three and six months ended June 30, 2022 and 2021 are unaudited. In the opinion of management, the unaudited condensed consolidated financial statements have been prepared on the same basis as the annual financial statements and reflect all adjustments, which include only normal recurring adjustments, necessary to present fairly the condensed consolidated financial position of LivePerson as of June 30, 2022, and the condensed consolidated results of operations, comprehensive loss, and cash flows for the interim periods ended June 30, 2022 and 2021. The financial data and other information disclosed in these notes to the condensed consolidated financial statements related to these periods are unaudited. The results of operations for any interim period are not necessarily indicative of the results of operations for any other future interim period or for a full fiscal year. The condensed consolidated balance sheet as of December 31, 2021 has been derived from audited consolidated financial statements at that date.</w:t>
      </w:r>
    </w:p>
    <w:p>
      <w:pPr>
        <w:spacing w:after="0" w:line="213" w:lineRule="exact"/>
        <w:rPr>
          <w:sz w:val="20"/>
          <w:szCs w:val="20"/>
          <w:color w:val="auto"/>
        </w:rPr>
      </w:pPr>
    </w:p>
    <w:p>
      <w:pPr>
        <w:jc w:val="both"/>
        <w:ind w:firstLine="420"/>
        <w:spacing w:after="0" w:line="249" w:lineRule="auto"/>
        <w:rPr>
          <w:sz w:val="20"/>
          <w:szCs w:val="20"/>
          <w:color w:val="auto"/>
        </w:rPr>
      </w:pPr>
      <w:r>
        <w:rPr>
          <w:rFonts w:ascii="Times New Roman" w:cs="Times New Roman" w:eastAsia="Times New Roman" w:hAnsi="Times New Roman"/>
          <w:sz w:val="18"/>
          <w:szCs w:val="18"/>
          <w:color w:val="auto"/>
        </w:rPr>
        <w:t>Certain information and note disclosures normally included in financial statements prepared in accordance with generally accepted accounting principles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2021 included in the Company’s Annual Report on Form 10-K filed with the SEC on February 28, 2022.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41"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Company and its wholly-owned subsidiaries. All intercompany balances and transactions have been eliminated.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Method Investment</w:t>
      </w:r>
    </w:p>
    <w:p>
      <w:pPr>
        <w:spacing w:after="0" w:line="241" w:lineRule="exact"/>
        <w:rPr>
          <w:sz w:val="20"/>
          <w:szCs w:val="20"/>
          <w:color w:val="auto"/>
        </w:rPr>
      </w:pPr>
    </w:p>
    <w:p>
      <w:pPr>
        <w:jc w:val="both"/>
        <w:ind w:firstLine="420"/>
        <w:spacing w:after="0" w:line="280" w:lineRule="auto"/>
        <w:rPr>
          <w:sz w:val="20"/>
          <w:szCs w:val="20"/>
          <w:color w:val="auto"/>
        </w:rPr>
      </w:pPr>
      <w:r>
        <w:rPr>
          <w:rFonts w:ascii="Times New Roman" w:cs="Times New Roman" w:eastAsia="Times New Roman" w:hAnsi="Times New Roman"/>
          <w:sz w:val="16"/>
          <w:szCs w:val="16"/>
          <w:color w:val="auto"/>
        </w:rPr>
        <w:t>The Company utilizes the equity method to account for investments when it possesses the ability to exercise significant influence, but not control, over the operating and financial policies of the investee. The ability to exercise significant influence is presumed when an investor possesses more than 20.0% of the voting interests of the investee, and conversely, the ability to exercise significant influence is presumed not to exist when an investor possesses 20% or less of the voting interests of the investee. These presumptions may be overcome based on specific facts and circumstances that demonstrate an ability to exercise significant influence is restricted or demonstrate an ability to exercise significant influence notwithstanding a smaller voting interest, such as with the Company’s 19.2% equity method investment in Claire Holdings, Inc. (“Claire”), due to the Company’s seat on the entity’s board of directors which provides the Company the ability to exert significant influence. In applying the equity method, the Company records the investment at cost and subsequently increases or decreases the carrying amount of the investment by its proportionate share of the net earnings or losses. The Company records dividends or other equity distributions as reductions in the carrying value of the investment. The Company assesses the carrying value of equity method investment on a periodic basis to see if there has been a decline in carrying value that is not temporary. When deciding whether a decline in carrying value is more than temporary, a number of factors are considered, including the investee’s financial condition and business prospects, as well as the Company’s investment intentions.</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Entities</w:t>
      </w:r>
    </w:p>
    <w:p>
      <w:pPr>
        <w:spacing w:after="0" w:line="241"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financial statements of LivePerson, its wholly owned subsidiaries, and each variable interest entity (“VIE”) for which the Company is the primary beneficiary. The Company consolidates entities in which it has a controlling financial interest. All intercompany balances and transactions have been eliminated in consolidation.</w:t>
      </w:r>
    </w:p>
    <w:p>
      <w:pPr>
        <w:spacing w:after="0" w:line="207"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The Company evaluates whether an entity in which it has a variable interest is considered a variable interest entity. VIEs are generally entities that have either a total equity investment that is insufficient to permit the entity to finance its activities without additional subordinated financial support, or whose equity investors lack the characteristics of a controlling financial interest (i.e., ability to make significant decisions through voting rights and a right to receive the expected residual returns of the entity or an obligation to absorb the expected losses of the entity).</w:t>
      </w:r>
    </w:p>
    <w:p>
      <w:pPr>
        <w:spacing w:after="0" w:line="211"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Under the provisions of Accounting Standards Codification (“ASC”) 810, “Consolidation”, an entity consolidates a VIE if it is determined to be the primary beneficiary of the VIE. The primary beneficiary has both (a) the power to direct the activities of the VIE that most significantly impact the entity’s economic performance, and (b) the obligation to absorb losses or</w:t>
      </w:r>
    </w:p>
    <w:p>
      <w:pPr>
        <w:spacing w:after="0" w:line="200" w:lineRule="exact"/>
        <w:rPr>
          <w:sz w:val="20"/>
          <w:szCs w:val="20"/>
          <w:color w:val="auto"/>
        </w:rPr>
      </w:pPr>
    </w:p>
    <w:p>
      <w:pPr>
        <w:spacing w:after="0" w:line="34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13" w:name="page14"/>
    <w:bookmarkEnd w:id="13"/>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right to receive benefits from the VIE that could potentially be significant to the VIE. The Company periodically reassesses whether it is the primary beneficiary of a VIE. See Note 18 – Variable Interest Entity for the Company’s assessment of VIEs.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41"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Significant items subject to such estimates and assumptions include:</w:t>
      </w:r>
    </w:p>
    <w:p>
      <w:pPr>
        <w:spacing w:after="0" w:line="108" w:lineRule="exact"/>
        <w:rPr>
          <w:sz w:val="20"/>
          <w:szCs w:val="20"/>
          <w:color w:val="auto"/>
        </w:rPr>
      </w:pPr>
    </w:p>
    <w:p>
      <w:pPr>
        <w:ind w:left="1100" w:hanging="307"/>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108" w:lineRule="exact"/>
        <w:rPr>
          <w:rFonts w:ascii="Times New Roman" w:cs="Times New Roman" w:eastAsia="Times New Roman" w:hAnsi="Times New Roman"/>
          <w:sz w:val="18"/>
          <w:szCs w:val="18"/>
          <w:color w:val="auto"/>
        </w:rPr>
      </w:pPr>
    </w:p>
    <w:p>
      <w:pPr>
        <w:ind w:left="1100" w:hanging="307"/>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spacing w:after="0" w:line="108" w:lineRule="exact"/>
        <w:rPr>
          <w:rFonts w:ascii="Times New Roman" w:cs="Times New Roman" w:eastAsia="Times New Roman" w:hAnsi="Times New Roman"/>
          <w:sz w:val="18"/>
          <w:szCs w:val="18"/>
          <w:color w:val="auto"/>
        </w:rPr>
      </w:pPr>
    </w:p>
    <w:p>
      <w:pPr>
        <w:ind w:left="1100" w:hanging="307"/>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w:t>
      </w:r>
    </w:p>
    <w:p>
      <w:pPr>
        <w:spacing w:after="0" w:line="108" w:lineRule="exact"/>
        <w:rPr>
          <w:rFonts w:ascii="Times New Roman" w:cs="Times New Roman" w:eastAsia="Times New Roman" w:hAnsi="Times New Roman"/>
          <w:sz w:val="18"/>
          <w:szCs w:val="18"/>
          <w:color w:val="auto"/>
        </w:rPr>
      </w:pPr>
    </w:p>
    <w:p>
      <w:pPr>
        <w:ind w:left="1100" w:hanging="307"/>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goodwill;</w:t>
      </w:r>
    </w:p>
    <w:p>
      <w:pPr>
        <w:spacing w:after="0" w:line="108" w:lineRule="exact"/>
        <w:rPr>
          <w:rFonts w:ascii="Times New Roman" w:cs="Times New Roman" w:eastAsia="Times New Roman" w:hAnsi="Times New Roman"/>
          <w:sz w:val="18"/>
          <w:szCs w:val="18"/>
          <w:color w:val="auto"/>
        </w:rPr>
      </w:pPr>
    </w:p>
    <w:p>
      <w:pPr>
        <w:ind w:left="1100" w:hanging="307"/>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intangible assets;</w:t>
      </w:r>
    </w:p>
    <w:p>
      <w:pPr>
        <w:spacing w:after="0" w:line="108" w:lineRule="exact"/>
        <w:rPr>
          <w:rFonts w:ascii="Times New Roman" w:cs="Times New Roman" w:eastAsia="Times New Roman" w:hAnsi="Times New Roman"/>
          <w:sz w:val="18"/>
          <w:szCs w:val="18"/>
          <w:color w:val="auto"/>
        </w:rPr>
      </w:pPr>
    </w:p>
    <w:p>
      <w:pPr>
        <w:ind w:left="1100" w:hanging="307"/>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and</w:t>
      </w:r>
    </w:p>
    <w:p>
      <w:pPr>
        <w:spacing w:after="0" w:line="108" w:lineRule="exact"/>
        <w:rPr>
          <w:rFonts w:ascii="Times New Roman" w:cs="Times New Roman" w:eastAsia="Times New Roman" w:hAnsi="Times New Roman"/>
          <w:sz w:val="18"/>
          <w:szCs w:val="18"/>
          <w:color w:val="auto"/>
        </w:rPr>
      </w:pPr>
    </w:p>
    <w:p>
      <w:pPr>
        <w:ind w:left="1100" w:hanging="307"/>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contingencies.</w:t>
      </w:r>
    </w:p>
    <w:p>
      <w:pPr>
        <w:spacing w:after="0" w:line="200" w:lineRule="exact"/>
        <w:rPr>
          <w:sz w:val="20"/>
          <w:szCs w:val="20"/>
          <w:color w:val="auto"/>
        </w:rPr>
      </w:pPr>
    </w:p>
    <w:p>
      <w:pPr>
        <w:spacing w:after="0" w:line="276"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As of the date of issuance of the financial statements, the Company is not aware of any material specific events or circumstances that would require it to update its estimates, judgments, or to revise the carrying values of its assets or liabilities. These estimates may change, as new events occur and additional information is obtained, and are recognized in the condensed consolidated financial statements as soon as they become known. Actual results could differ from those estimates and any such differences may be material to the Company’s condensed consolidated financial statements.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41" w:lineRule="exact"/>
        <w:rPr>
          <w:sz w:val="20"/>
          <w:szCs w:val="20"/>
          <w:color w:val="auto"/>
        </w:rPr>
      </w:pPr>
    </w:p>
    <w:p>
      <w:pPr>
        <w:jc w:val="both"/>
        <w:ind w:firstLine="420"/>
        <w:spacing w:after="0" w:line="248" w:lineRule="auto"/>
        <w:rPr>
          <w:sz w:val="20"/>
          <w:szCs w:val="20"/>
          <w:color w:val="auto"/>
        </w:rPr>
      </w:pPr>
      <w:r>
        <w:rPr>
          <w:rFonts w:ascii="Times New Roman" w:cs="Times New Roman" w:eastAsia="Times New Roman" w:hAnsi="Times New Roman"/>
          <w:sz w:val="18"/>
          <w:szCs w:val="18"/>
          <w:color w:val="auto"/>
        </w:rPr>
        <w:t>The Company’s operations are conducted in various countries around the world and the financial statements of its foreign subsidiaries are reported in the applicable foreign currencies (functional currencies). Financial information is translated from the applicable functional currency to the U.S. dollar (the reporting currency) for inclusion in the Company’s condensed consolidated financial statements. Income, expenses, and cash flows are translated at weighted average exchange rates prevailing during the fiscal period, and assets and liabilities are translated at fiscal period-end exchange rates. Resulting translation adjustments are included as a component of accumulated other comprehensive loss in stockholders’ equity. Foreign exchange transaction gain or losses are included in other expense, net in the accompanying condensed consolidated statements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39" w:lineRule="exact"/>
        <w:rPr>
          <w:sz w:val="20"/>
          <w:szCs w:val="20"/>
          <w:color w:val="auto"/>
        </w:rPr>
      </w:pPr>
    </w:p>
    <w:p>
      <w:pPr>
        <w:jc w:val="both"/>
        <w:ind w:firstLine="4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Fair Value Measurement (Topic 820), Fair Value Measurement of Equity Securities Subject to Contractual Sale Restrictions: </w:t>
      </w:r>
      <w:r>
        <w:rPr>
          <w:rFonts w:ascii="Times New Roman" w:cs="Times New Roman" w:eastAsia="Times New Roman" w:hAnsi="Times New Roman"/>
          <w:sz w:val="18"/>
          <w:szCs w:val="18"/>
          <w:color w:val="auto"/>
        </w:rPr>
        <w:t>In June 2022,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Board (“FASB”) issued Accounting Standards Update (“ASU”) 2022-03 to clarify that a contractual restriction on the sale of an equity security is not considered part of a unit of account of the equity security, and, therefore, is not considered in measuring fair value. The amendments also clarify that an entity cannot, as a</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14" w:name="page15"/>
    <w:bookmarkEnd w:id="14"/>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separate unit of account, recognize and measure a contractual sale restriction. The amendments also require the following disclosures for equity securities subject to the contractual sale restrictions:</w:t>
      </w:r>
    </w:p>
    <w:p>
      <w:pPr>
        <w:spacing w:after="0" w:line="65" w:lineRule="exact"/>
        <w:rPr>
          <w:sz w:val="20"/>
          <w:szCs w:val="20"/>
          <w:color w:val="auto"/>
        </w:rPr>
      </w:pPr>
    </w:p>
    <w:p>
      <w:pPr>
        <w:ind w:left="640" w:hanging="32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equity securities subject to the contractual sale restrictions reflected on the balance sheet.</w:t>
      </w:r>
    </w:p>
    <w:p>
      <w:pPr>
        <w:spacing w:after="0" w:line="108"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remaining duration of the restriction(s).</w:t>
      </w:r>
    </w:p>
    <w:p>
      <w:pPr>
        <w:spacing w:after="0" w:line="108" w:lineRule="exact"/>
        <w:rPr>
          <w:rFonts w:ascii="Times New Roman" w:cs="Times New Roman" w:eastAsia="Times New Roman" w:hAnsi="Times New Roman"/>
          <w:sz w:val="18"/>
          <w:szCs w:val="18"/>
          <w:color w:val="auto"/>
        </w:rPr>
      </w:pPr>
    </w:p>
    <w:p>
      <w:pPr>
        <w:ind w:left="640" w:hanging="320"/>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that could cause a lapse in the restriction(s).</w:t>
      </w:r>
    </w:p>
    <w:p>
      <w:pPr>
        <w:spacing w:after="0" w:line="108" w:lineRule="exact"/>
        <w:rPr>
          <w:sz w:val="20"/>
          <w:szCs w:val="20"/>
          <w:color w:val="auto"/>
        </w:rPr>
      </w:pPr>
    </w:p>
    <w:p>
      <w:pPr>
        <w:jc w:val="both"/>
        <w:ind w:firstLine="630"/>
        <w:spacing w:after="0" w:line="267" w:lineRule="auto"/>
        <w:rPr>
          <w:sz w:val="20"/>
          <w:szCs w:val="20"/>
          <w:color w:val="auto"/>
        </w:rPr>
      </w:pPr>
      <w:r>
        <w:rPr>
          <w:rFonts w:ascii="Times New Roman" w:cs="Times New Roman" w:eastAsia="Times New Roman" w:hAnsi="Times New Roman"/>
          <w:sz w:val="18"/>
          <w:szCs w:val="18"/>
          <w:color w:val="auto"/>
        </w:rPr>
        <w:t>This guidance is effective for fiscal years beginning after December 15, 2023, and interim periods within those financial years. The Company does not expect the adoption of ASU 2022-03 to have a significant impact on its condensed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39" w:lineRule="exact"/>
        <w:rPr>
          <w:sz w:val="20"/>
          <w:szCs w:val="20"/>
          <w:color w:val="auto"/>
        </w:rPr>
      </w:pPr>
    </w:p>
    <w:p>
      <w:pPr>
        <w:jc w:val="both"/>
        <w:ind w:firstLine="42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Debt - Debt with Conversion and Other Options (Subtopic 470-20) and Derivatives and Hedging - Contracts in Entity’s Own Equity (Subtopic 815-40): Accounting for Convertible Instruments and Contracts in an Entity’s Own Equity. </w:t>
      </w:r>
      <w:r>
        <w:rPr>
          <w:rFonts w:ascii="Times New Roman" w:cs="Times New Roman" w:eastAsia="Times New Roman" w:hAnsi="Times New Roman"/>
          <w:sz w:val="18"/>
          <w:szCs w:val="18"/>
          <w:color w:val="auto"/>
        </w:rPr>
        <w:t>In August 2020, the FASB issued ASU 2020-06 which simplifies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convertible instruments by eliminating existing accounting models that require separation of a cash conversion or beneficial conversion feature from the host contract. Accordingly, a convertible debt instrument will be accounted as a single liability measured at its amortized cost and a convertible preferred stock will be accounted as a single equity instrument measured at its historical cost, as long as no other embedded features require bifurcation as derivatives and the convertible debt was not issued at a substantial premium. The ASU also simplifies the derivative scope exception for accounting for contracts in an entity’s own equity by:</w:t>
      </w:r>
    </w:p>
    <w:p>
      <w:pPr>
        <w:spacing w:after="0" w:line="86" w:lineRule="exact"/>
        <w:rPr>
          <w:sz w:val="20"/>
          <w:szCs w:val="20"/>
          <w:color w:val="auto"/>
        </w:rPr>
      </w:pPr>
    </w:p>
    <w:p>
      <w:pPr>
        <w:ind w:left="1260" w:hanging="415"/>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certain conditions required to meet the settlement criterion;</w:t>
      </w:r>
    </w:p>
    <w:p>
      <w:pPr>
        <w:spacing w:after="0" w:line="108" w:lineRule="exact"/>
        <w:rPr>
          <w:rFonts w:ascii="Times New Roman" w:cs="Times New Roman" w:eastAsia="Times New Roman" w:hAnsi="Times New Roman"/>
          <w:sz w:val="18"/>
          <w:szCs w:val="18"/>
          <w:color w:val="auto"/>
        </w:rPr>
      </w:pPr>
    </w:p>
    <w:p>
      <w:pPr>
        <w:ind w:left="1260" w:hanging="415"/>
        <w:spacing w:after="0" w:line="267" w:lineRule="auto"/>
        <w:tabs>
          <w:tab w:leader="none" w:pos="1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clarifying that instruments that are not indexed to the issuer’s own stock must be remeasured at fair value through earnings at each reporting period; and</w:t>
      </w:r>
    </w:p>
    <w:p>
      <w:pPr>
        <w:spacing w:after="0" w:line="64" w:lineRule="exact"/>
        <w:rPr>
          <w:rFonts w:ascii="Times New Roman" w:cs="Times New Roman" w:eastAsia="Times New Roman" w:hAnsi="Times New Roman"/>
          <w:sz w:val="18"/>
          <w:szCs w:val="18"/>
          <w:color w:val="auto"/>
        </w:rPr>
      </w:pPr>
    </w:p>
    <w:p>
      <w:pPr>
        <w:ind w:left="1260" w:hanging="415"/>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clarifying the scope of reassessment guidance and disclosure requirements in Subtopic 815-40.</w:t>
      </w:r>
    </w:p>
    <w:p>
      <w:pPr>
        <w:spacing w:after="0" w:line="2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ASU also makes targeted improvements to the disclosure requirements for convertible instruments and earnings per share guidance.</w:t>
      </w:r>
    </w:p>
    <w:p>
      <w:pPr>
        <w:spacing w:after="0" w:line="239" w:lineRule="exact"/>
        <w:rPr>
          <w:sz w:val="20"/>
          <w:szCs w:val="20"/>
          <w:color w:val="auto"/>
        </w:rPr>
      </w:pPr>
    </w:p>
    <w:p>
      <w:pPr>
        <w:jc w:val="both"/>
        <w:ind w:firstLine="420"/>
        <w:spacing w:after="0" w:line="247" w:lineRule="auto"/>
        <w:rPr>
          <w:sz w:val="20"/>
          <w:szCs w:val="20"/>
          <w:color w:val="auto"/>
        </w:rPr>
      </w:pPr>
      <w:r>
        <w:rPr>
          <w:rFonts w:ascii="Times New Roman" w:cs="Times New Roman" w:eastAsia="Times New Roman" w:hAnsi="Times New Roman"/>
          <w:sz w:val="18"/>
          <w:szCs w:val="18"/>
          <w:color w:val="auto"/>
        </w:rPr>
        <w:t>For SEC filers, excluding smaller reporting companies, the ASU is effective for fiscal years beginning after December 15, 2021, including interim periods within those fiscal years. The ASU specifies that the guidance should be adopted as of the beginning of the annual fiscal year. In connection with the adoption of ASU 2020-06, the Company recognized a $50.2 million decrease to accumulated deficit, a $209.7 million decrease to additional paid-in capital, and a $159.4 million increase to convertible senior notes, net. See Note 8 – Convertible Senior Notes, Net and Capped Call Transactions for a description of the convertible senior notes, net on the condensed consolidated balance sheet. With the exception of the new standards discussed above, there have been no other recent accounting pronouncements or changes in accounting pronouncements during the quarter ended June 30, 2022, that are of significance or potential significance to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 Recognition</w:t>
      </w:r>
    </w:p>
    <w:p>
      <w:pPr>
        <w:spacing w:after="0" w:line="241"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The majority of the Company’s revenue is generated from monthly service revenues, which is inclusive of its platform usage pricing model, and related professional services from the sale of its services. Revenues are recognized when control of these services is transferred to its customers, in an amount that reflects the consideration it expects to be entitled to in exchange for those services. No single customer accounted for 10% or more of the Company’s total revenue for the three and six months ended June 30, 2022 and 2021.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w:t>
      </w:r>
    </w:p>
    <w:p>
      <w:pPr>
        <w:spacing w:after="0" w:line="241" w:lineRule="exact"/>
        <w:rPr>
          <w:sz w:val="20"/>
          <w:szCs w:val="20"/>
          <w:color w:val="auto"/>
        </w:rPr>
      </w:pPr>
    </w:p>
    <w:p>
      <w:pPr>
        <w:jc w:val="both"/>
        <w:ind w:firstLine="420"/>
        <w:spacing w:after="0" w:line="249" w:lineRule="auto"/>
        <w:rPr>
          <w:sz w:val="20"/>
          <w:szCs w:val="20"/>
          <w:color w:val="auto"/>
        </w:rPr>
      </w:pPr>
      <w:r>
        <w:rPr>
          <w:rFonts w:ascii="Times New Roman" w:cs="Times New Roman" w:eastAsia="Times New Roman" w:hAnsi="Times New Roman"/>
          <w:sz w:val="18"/>
          <w:szCs w:val="18"/>
          <w:color w:val="auto"/>
        </w:rPr>
        <w:t>As of June 30, 2022, the aggregate amount of the total transaction price allocated in contracts with original duration of one year or greater to the remaining performance obligations was $408.8 million. Approximately 92% of the Company’s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cancellable by the customer, amounts associated with optional renewal periods, and any amounts related to performance obligations, which are billed and recognized as they are delivered.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Revenues</w:t>
      </w:r>
    </w:p>
    <w:p>
      <w:pPr>
        <w:sectPr>
          <w:pgSz w:w="11900" w:h="16838" w:orient="portrait"/>
          <w:cols w:equalWidth="0" w:num="1">
            <w:col w:w="11240"/>
          </w:cols>
          <w:pgMar w:left="320" w:top="172"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type w:val="continuous"/>
        </w:sectPr>
      </w:pPr>
    </w:p>
    <w:bookmarkStart w:id="15" w:name="page16"/>
    <w:bookmarkEnd w:id="15"/>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The Company records deferred revenues when cash payments are received or due in advance of its performance. The increase in the deferred revenue balance as of June 30, 2022 is primarily driven by cash payments received or due in advance of its performance obligations, partially offset by $95.8 million of revenues recognized that were included in the deferred revenue balance as of December 31, 2021.</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deferred revenue by revenue source: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4"/>
          </w:tcPr>
          <w:p>
            <w:pPr>
              <w:jc w:val="right"/>
              <w:ind w:right="863"/>
              <w:spacing w:after="0"/>
              <w:rPr>
                <w:sz w:val="20"/>
                <w:szCs w:val="20"/>
                <w:color w:val="auto"/>
              </w:rPr>
            </w:pPr>
            <w:r>
              <w:rPr>
                <w:rFonts w:ascii="Times New Roman" w:cs="Times New Roman" w:eastAsia="Times New Roman" w:hAnsi="Times New Roman"/>
                <w:sz w:val="14"/>
                <w:szCs w:val="14"/>
                <w:b w:val="1"/>
                <w:bCs w:val="1"/>
                <w:color w:val="auto"/>
              </w:rPr>
              <w:t>Deferred Revenue</w:t>
            </w:r>
          </w:p>
        </w:tc>
      </w:tr>
      <w:tr>
        <w:trPr>
          <w:trHeight w:val="24"/>
        </w:trPr>
        <w:tc>
          <w:tcPr>
            <w:tcW w:w="8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26"/>
        </w:trPr>
        <w:tc>
          <w:tcPr>
            <w:tcW w:w="8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tcPr>
          <w:p>
            <w:pPr>
              <w:ind w:left="180"/>
              <w:spacing w:after="0" w:line="12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0"/>
                <w:szCs w:val="10"/>
                <w:color w:val="auto"/>
              </w:rPr>
            </w:pPr>
          </w:p>
        </w:tc>
        <w:tc>
          <w:tcPr>
            <w:tcW w:w="1220" w:type="dxa"/>
            <w:vAlign w:val="bottom"/>
          </w:tcPr>
          <w:p>
            <w:pPr>
              <w:jc w:val="right"/>
              <w:ind w:right="223"/>
              <w:spacing w:after="0" w:line="127"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8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4"/>
          </w:tcPr>
          <w:p>
            <w:pPr>
              <w:jc w:val="right"/>
              <w:ind w:right="96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Hosted services – Business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94,107</w:t>
            </w:r>
          </w:p>
        </w:tc>
      </w:tr>
      <w:tr>
        <w:trPr>
          <w:trHeight w:val="208"/>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Hosted services – Consumer</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 – Business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3,831</w:t>
            </w:r>
          </w:p>
        </w:tc>
      </w:tr>
      <w:tr>
        <w:trPr>
          <w:trHeight w:val="205"/>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deferred revenue - short term</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110,594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98,808</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6"/>
        </w:trPr>
        <w:tc>
          <w:tcPr>
            <w:tcW w:w="8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8"/>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services – Business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30"/>
        </w:trPr>
        <w:tc>
          <w:tcPr>
            <w:tcW w:w="82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deferred revenue - long term</w:t>
            </w: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revenue source: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6"/>
                <w:szCs w:val="16"/>
                <w:color w:val="auto"/>
              </w:rPr>
            </w:pPr>
          </w:p>
        </w:tc>
      </w:tr>
      <w:tr>
        <w:trPr>
          <w:trHeight w:val="197"/>
        </w:trPr>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7"/>
                <w:szCs w:val="17"/>
                <w:color w:val="auto"/>
              </w:rPr>
            </w:pPr>
          </w:p>
        </w:tc>
      </w:tr>
      <w:tr>
        <w:trPr>
          <w:trHeight w:val="24"/>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5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0"/>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8"/>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Hosted services – Business</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94,856</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95,092</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201,180</w:t>
            </w:r>
          </w:p>
        </w:tc>
        <w:tc>
          <w:tcPr>
            <w:tcW w:w="120" w:type="dxa"/>
            <w:vAlign w:val="bottom"/>
          </w:tcPr>
          <w:p>
            <w:pPr>
              <w:spacing w:after="0"/>
              <w:rPr>
                <w:sz w:val="18"/>
                <w:szCs w:val="18"/>
                <w:color w:val="auto"/>
              </w:rPr>
            </w:pPr>
          </w:p>
        </w:tc>
        <w:tc>
          <w:tcPr>
            <w:tcW w:w="52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178,732</w:t>
            </w:r>
          </w:p>
        </w:tc>
      </w:tr>
      <w:tr>
        <w:trPr>
          <w:trHeight w:val="21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Hosted services – Consumer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9,129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9,810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18,251</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18,821</w:t>
            </w:r>
          </w:p>
        </w:tc>
      </w:tr>
      <w:tr>
        <w:trPr>
          <w:trHeight w:val="208"/>
        </w:trPr>
        <w:tc>
          <w:tcPr>
            <w:tcW w:w="5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Professional services – Business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28,580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14,703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43,331</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29,943</w:t>
            </w:r>
          </w:p>
        </w:tc>
      </w:tr>
      <w:tr>
        <w:trPr>
          <w:trHeight w:val="230"/>
        </w:trPr>
        <w:tc>
          <w:tcPr>
            <w:tcW w:w="5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132,565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119,605</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262,762</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227,496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Geographic Location</w:t>
      </w: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Company’s revenues attributable to domestic and foreign operations for the periods presented: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6"/>
                <w:szCs w:val="16"/>
                <w:color w:val="auto"/>
              </w:rPr>
            </w:pPr>
          </w:p>
        </w:tc>
      </w:tr>
      <w:tr>
        <w:trPr>
          <w:trHeight w:val="197"/>
        </w:trPr>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7"/>
                <w:szCs w:val="17"/>
                <w:color w:val="auto"/>
              </w:rPr>
            </w:pPr>
          </w:p>
        </w:tc>
      </w:tr>
      <w:tr>
        <w:trPr>
          <w:trHeight w:val="24"/>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5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0"/>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90,433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80,924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177,570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149,706</w:t>
            </w:r>
          </w:p>
        </w:tc>
      </w:tr>
      <w:tr>
        <w:trPr>
          <w:trHeight w:val="210"/>
        </w:trPr>
        <w:tc>
          <w:tcPr>
            <w:tcW w:w="5200" w:type="dxa"/>
            <w:vAlign w:val="bottom"/>
            <w:tcBorders>
              <w:bottom w:val="single" w:sz="8" w:color="CCEEFF"/>
            </w:tcBorders>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Other Americas </w:t>
            </w:r>
            <w:r>
              <w:rPr>
                <w:rFonts w:ascii="Times New Roman" w:cs="Times New Roman" w:eastAsia="Times New Roman" w:hAnsi="Times New Roman"/>
                <w:sz w:val="20"/>
                <w:szCs w:val="20"/>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2,975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3,995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8,014</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7,908</w:t>
            </w:r>
          </w:p>
        </w:tc>
      </w:tr>
      <w:tr>
        <w:trPr>
          <w:trHeight w:val="20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Americas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93,408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84,919</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185,584</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157,614</w:t>
            </w:r>
          </w:p>
        </w:tc>
      </w:tr>
      <w:tr>
        <w:trPr>
          <w:trHeight w:val="210"/>
        </w:trPr>
        <w:tc>
          <w:tcPr>
            <w:tcW w:w="5200" w:type="dxa"/>
            <w:vAlign w:val="bottom"/>
          </w:tcPr>
          <w:p>
            <w:pPr>
              <w:ind w:left="20"/>
              <w:spacing w:after="0" w:line="210" w:lineRule="exact"/>
              <w:rPr>
                <w:sz w:val="20"/>
                <w:szCs w:val="20"/>
                <w:color w:val="auto"/>
              </w:rPr>
            </w:pPr>
            <w:r>
              <w:rPr>
                <w:rFonts w:ascii="Times New Roman" w:cs="Times New Roman" w:eastAsia="Times New Roman" w:hAnsi="Times New Roman"/>
                <w:sz w:val="24"/>
                <w:szCs w:val="24"/>
                <w:color w:val="auto"/>
                <w:vertAlign w:val="subscript"/>
              </w:rPr>
              <w:t>EMEA</w:t>
            </w:r>
            <w:r>
              <w:rPr>
                <w:rFonts w:ascii="Times New Roman" w:cs="Times New Roman" w:eastAsia="Times New Roman" w:hAnsi="Times New Roman"/>
                <w:sz w:val="9"/>
                <w:szCs w:val="9"/>
                <w:color w:val="auto"/>
              </w:rPr>
              <w:t xml:space="preserve"> (2) (4)</w:t>
            </w:r>
          </w:p>
        </w:tc>
        <w:tc>
          <w:tcPr>
            <w:tcW w:w="340" w:type="dxa"/>
            <w:vAlign w:val="bottom"/>
          </w:tcPr>
          <w:p>
            <w:pPr>
              <w:spacing w:after="0"/>
              <w:rPr>
                <w:sz w:val="18"/>
                <w:szCs w:val="18"/>
                <w:color w:val="auto"/>
              </w:rPr>
            </w:pPr>
          </w:p>
        </w:tc>
        <w:tc>
          <w:tcPr>
            <w:tcW w:w="11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17,963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22,933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41,783</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44,693</w:t>
            </w:r>
          </w:p>
        </w:tc>
      </w:tr>
      <w:tr>
        <w:trPr>
          <w:trHeight w:val="210"/>
        </w:trPr>
        <w:tc>
          <w:tcPr>
            <w:tcW w:w="520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APAC </w:t>
            </w:r>
            <w:r>
              <w:rPr>
                <w:rFonts w:ascii="Times New Roman" w:cs="Times New Roman" w:eastAsia="Times New Roman" w:hAnsi="Times New Roman"/>
                <w:sz w:val="20"/>
                <w:szCs w:val="20"/>
                <w:color w:val="auto"/>
                <w:vertAlign w:val="superscript"/>
              </w:rPr>
              <w:t>(3)</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21,194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11,753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35,395</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25,189</w:t>
            </w:r>
          </w:p>
        </w:tc>
      </w:tr>
      <w:tr>
        <w:trPr>
          <w:trHeight w:val="20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132,565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119,605</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262,762</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227,496</w:t>
            </w: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2" w:lineRule="exact"/>
        <w:rPr>
          <w:sz w:val="20"/>
          <w:szCs w:val="20"/>
          <w:color w:val="auto"/>
        </w:rPr>
      </w:pPr>
    </w:p>
    <w:p>
      <w:pPr>
        <w:ind w:left="320" w:hanging="315"/>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Canada, Latin America and South America</w:t>
      </w:r>
    </w:p>
    <w:p>
      <w:pPr>
        <w:spacing w:after="0" w:line="50"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Europe, the Middle East and Africa (“EMEA”)</w:t>
      </w:r>
    </w:p>
    <w:p>
      <w:pPr>
        <w:spacing w:after="0" w:line="62"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Asia-Pacific (“APAC”)</w:t>
      </w:r>
    </w:p>
    <w:p>
      <w:pPr>
        <w:sectPr>
          <w:pgSz w:w="11900" w:h="16838" w:orient="portrait"/>
          <w:cols w:equalWidth="0" w:num="1">
            <w:col w:w="11240"/>
          </w:cols>
          <w:pgMar w:left="320" w:top="1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type w:val="continuous"/>
        </w:sectPr>
      </w:pPr>
    </w:p>
    <w:bookmarkStart w:id="16" w:name="page17"/>
    <w:bookmarkEnd w:id="16"/>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320" w:hanging="315"/>
        <w:spacing w:after="0" w:line="299" w:lineRule="auto"/>
        <w:tabs>
          <w:tab w:leader="none" w:pos="31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revenues from the United Kingdom of $13.8 million and $14.8 million for the three months ended June 30, 2022 and 2021, respectively, and from the Netherlands of $2.2 million and $1.2 million for the three months ended June 30, 2022 and 2021, respectively. Includes revenues from the United Kingdom of $28.5 million and $28.1 million for the six months ended June 30, 2022 and 2021, respectively, and from the Netherlands of $3.5 million and $2.5 million for the six months ended June 30, 2022 and 2021,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about Contract Balances</w:t>
      </w:r>
    </w:p>
    <w:p>
      <w:pPr>
        <w:spacing w:after="0" w:line="241"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Amounts collected in advance of services being provided are accounted for as deferred revenue. Nearly all of the Company’s deferred revenue balance is related to Hosted services - Business revenue</w:t>
      </w:r>
      <w:r>
        <w:rPr>
          <w:rFonts w:ascii="Times New Roman" w:cs="Times New Roman" w:eastAsia="Times New Roman" w:hAnsi="Times New Roman"/>
          <w:sz w:val="18"/>
          <w:szCs w:val="18"/>
          <w:i w:val="1"/>
          <w:iCs w:val="1"/>
          <w:color w:val="auto"/>
        </w:rPr>
        <w:t>.</w:t>
      </w:r>
    </w:p>
    <w:p>
      <w:pPr>
        <w:spacing w:after="0" w:line="196" w:lineRule="exact"/>
        <w:rPr>
          <w:sz w:val="20"/>
          <w:szCs w:val="20"/>
          <w:color w:val="auto"/>
        </w:rPr>
      </w:pPr>
    </w:p>
    <w:p>
      <w:pPr>
        <w:jc w:val="both"/>
        <w:ind w:firstLine="420"/>
        <w:spacing w:after="0" w:line="249" w:lineRule="auto"/>
        <w:rPr>
          <w:sz w:val="20"/>
          <w:szCs w:val="20"/>
          <w:color w:val="auto"/>
        </w:rPr>
      </w:pPr>
      <w:r>
        <w:rPr>
          <w:rFonts w:ascii="Times New Roman" w:cs="Times New Roman" w:eastAsia="Times New Roman" w:hAnsi="Times New Roman"/>
          <w:sz w:val="18"/>
          <w:szCs w:val="18"/>
          <w:color w:val="auto"/>
        </w:rPr>
        <w:t>In some arrangements, the Company allows customers to pay for access to the Conversational Cloud over the term of the software license. The Company refers to these as subscription transactions. Amounts recognized as revenue in excess of amounts billed are recorded as unbilled receivables. Unbilled receivables, anticipated to be invoiced in the next twelve months, are included in accounts receivable on the condensed consolidated balance sheet. Contract acquisition costs represent prepaid sales commissions. The opening and closing balances of the Company’s accounts receivable, unbilled receivables, contract acquisition costs, and deferred revenues are as follows: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Contract Acquisition</w:t>
            </w:r>
          </w:p>
        </w:tc>
        <w:tc>
          <w:tcPr>
            <w:tcW w:w="12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Deferred Revenue</w:t>
            </w:r>
          </w:p>
        </w:tc>
        <w:tc>
          <w:tcPr>
            <w:tcW w:w="120" w:type="dxa"/>
            <w:vAlign w:val="bottom"/>
          </w:tcPr>
          <w:p>
            <w:pPr>
              <w:spacing w:after="0"/>
              <w:rPr>
                <w:sz w:val="13"/>
                <w:szCs w:val="13"/>
                <w:color w:val="auto"/>
              </w:rPr>
            </w:pPr>
          </w:p>
        </w:tc>
        <w:tc>
          <w:tcPr>
            <w:tcW w:w="1300" w:type="dxa"/>
            <w:vAlign w:val="bottom"/>
            <w:vMerge w:val="restart"/>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9"/>
              </w:rPr>
              <w:t>Deferred Revenue</w:t>
            </w:r>
          </w:p>
        </w:tc>
        <w:tc>
          <w:tcPr>
            <w:tcW w:w="0" w:type="dxa"/>
            <w:vAlign w:val="bottom"/>
          </w:tcPr>
          <w:p>
            <w:pPr>
              <w:spacing w:after="0"/>
              <w:rPr>
                <w:sz w:val="1"/>
                <w:szCs w:val="1"/>
                <w:color w:val="auto"/>
              </w:rPr>
            </w:pPr>
          </w:p>
        </w:tc>
      </w:tr>
      <w:tr>
        <w:trPr>
          <w:trHeight w:val="143"/>
        </w:trPr>
        <w:tc>
          <w:tcPr>
            <w:tcW w:w="3680" w:type="dxa"/>
            <w:vAlign w:val="bottom"/>
          </w:tcPr>
          <w:p>
            <w:pPr>
              <w:spacing w:after="0"/>
              <w:rPr>
                <w:sz w:val="12"/>
                <w:szCs w:val="12"/>
                <w:color w:val="auto"/>
              </w:rPr>
            </w:pPr>
          </w:p>
        </w:tc>
        <w:tc>
          <w:tcPr>
            <w:tcW w:w="15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10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Unbilled Receivable</w:t>
            </w:r>
          </w:p>
        </w:tc>
        <w:tc>
          <w:tcPr>
            <w:tcW w:w="200" w:type="dxa"/>
            <w:vAlign w:val="bottom"/>
          </w:tcPr>
          <w:p>
            <w:pPr>
              <w:spacing w:after="0"/>
              <w:rPr>
                <w:sz w:val="12"/>
                <w:szCs w:val="12"/>
                <w:color w:val="auto"/>
              </w:rPr>
            </w:pPr>
          </w:p>
        </w:tc>
        <w:tc>
          <w:tcPr>
            <w:tcW w:w="1340" w:type="dxa"/>
            <w:vAlign w:val="bottom"/>
            <w:gridSpan w:val="2"/>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Costs</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15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(Non-current)</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(Current)</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9"/>
              </w:rPr>
              <w:t>(Non-current)</w:t>
            </w:r>
          </w:p>
        </w:tc>
        <w:tc>
          <w:tcPr>
            <w:tcW w:w="0" w:type="dxa"/>
            <w:vAlign w:val="bottom"/>
          </w:tcPr>
          <w:p>
            <w:pPr>
              <w:spacing w:after="0"/>
              <w:rPr>
                <w:sz w:val="1"/>
                <w:szCs w:val="1"/>
                <w:color w:val="auto"/>
              </w:rPr>
            </w:pPr>
          </w:p>
        </w:tc>
      </w:tr>
      <w:tr>
        <w:trPr>
          <w:trHeight w:val="189"/>
        </w:trPr>
        <w:tc>
          <w:tcPr>
            <w:tcW w:w="3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Opening balance as of December 31, 2021</w:t>
            </w:r>
          </w:p>
        </w:tc>
        <w:tc>
          <w:tcPr>
            <w:tcW w:w="50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69,259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24,545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40,675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98,808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center"/>
              <w:ind w:left="945"/>
              <w:spacing w:after="0"/>
              <w:rPr>
                <w:sz w:val="20"/>
                <w:szCs w:val="20"/>
                <w:color w:val="auto"/>
              </w:rPr>
            </w:pPr>
            <w:r>
              <w:rPr>
                <w:rFonts w:ascii="Times New Roman" w:cs="Times New Roman" w:eastAsia="Times New Roman" w:hAnsi="Times New Roman"/>
                <w:sz w:val="16"/>
                <w:szCs w:val="16"/>
                <w:color w:val="auto"/>
                <w:w w:val="99"/>
              </w:rPr>
              <w:t>54</w:t>
            </w:r>
          </w:p>
        </w:tc>
        <w:tc>
          <w:tcPr>
            <w:tcW w:w="0" w:type="dxa"/>
            <w:vAlign w:val="bottom"/>
          </w:tcPr>
          <w:p>
            <w:pPr>
              <w:spacing w:after="0"/>
              <w:rPr>
                <w:sz w:val="1"/>
                <w:szCs w:val="1"/>
                <w:color w:val="auto"/>
              </w:rPr>
            </w:pPr>
          </w:p>
        </w:tc>
      </w:tr>
      <w:tr>
        <w:trPr>
          <w:trHeight w:val="208"/>
        </w:trPr>
        <w:tc>
          <w:tcPr>
            <w:tcW w:w="3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(Decrease) increase, net</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24,262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3,662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2,712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11,786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left="925"/>
              <w:spacing w:after="0"/>
              <w:rPr>
                <w:sz w:val="20"/>
                <w:szCs w:val="20"/>
                <w:color w:val="auto"/>
              </w:rPr>
            </w:pPr>
            <w:r>
              <w:rPr>
                <w:rFonts w:ascii="Times New Roman" w:cs="Times New Roman" w:eastAsia="Times New Roman" w:hAnsi="Times New Roman"/>
                <w:sz w:val="16"/>
                <w:szCs w:val="16"/>
                <w:color w:val="auto"/>
                <w:w w:val="97"/>
              </w:rPr>
              <w:t>(54)</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as of June 30, 2022</w:t>
            </w:r>
          </w:p>
        </w:tc>
        <w:tc>
          <w:tcPr>
            <w:tcW w:w="500" w:type="dxa"/>
            <w:vAlign w:val="bottom"/>
            <w:tcBorders>
              <w:bottom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93,521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28,207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43,387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110,594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center"/>
              <w:ind w:left="945"/>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41" w:lineRule="exact"/>
        <w:rPr>
          <w:sz w:val="20"/>
          <w:szCs w:val="20"/>
          <w:color w:val="auto"/>
        </w:rPr>
      </w:pPr>
    </w:p>
    <w:p>
      <w:pPr>
        <w:jc w:val="both"/>
        <w:ind w:firstLine="420"/>
        <w:spacing w:after="0" w:line="248" w:lineRule="auto"/>
        <w:rPr>
          <w:sz w:val="20"/>
          <w:szCs w:val="20"/>
          <w:color w:val="auto"/>
        </w:rPr>
      </w:pPr>
      <w:r>
        <w:rPr>
          <w:rFonts w:ascii="Times New Roman" w:cs="Times New Roman" w:eastAsia="Times New Roman" w:hAnsi="Times New Roman"/>
          <w:sz w:val="18"/>
          <w:szCs w:val="18"/>
          <w:color w:val="auto"/>
        </w:rPr>
        <w:t>Accounts receivable are recorded at the invoiced amount and do not bear interest. The allowance for doubtful accounts is the Company’s best estimate of the amount of probable credit losses in the Company’s existing accounts receivable. The Company determines the allowance based on historical write-off experience. The Company reviews its allowance for doubtful accounts monthly. Past due balances over 90 days and over a specified amount are reviewed individually for collectability. All other balances are reviewed on a pooled basis. Account balances are charged off against the allowance after all means of collection have been exhausted and the potential for recovery is considered remote. Accounts receivable are written off against the allowance for uncollectible accounts when the Company determines amounts are no longer collectible.</w:t>
      </w:r>
    </w:p>
    <w:p>
      <w:pPr>
        <w:sectPr>
          <w:pgSz w:w="11900" w:h="16838" w:orient="portrait"/>
          <w:cols w:equalWidth="0" w:num="1">
            <w:col w:w="11240"/>
          </w:cols>
          <w:pgMar w:left="320" w:top="172"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130" cy="133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Additions charged to costs and expenses</w:t>
      </w:r>
    </w:p>
    <w:p>
      <w:pPr>
        <w:spacing w:after="0" w:line="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Deductions/ 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130" cy="133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Balance as of June 30, 2022</w:t>
      </w:r>
    </w:p>
    <w:p>
      <w:pPr>
        <w:spacing w:after="0" w:line="20" w:lineRule="exact"/>
        <w:rPr>
          <w:sz w:val="20"/>
          <w:szCs w:val="20"/>
          <w:color w:val="auto"/>
        </w:rPr>
      </w:pPr>
      <w:r>
        <w:rPr>
          <w:sz w:val="20"/>
          <w:szCs w:val="20"/>
          <w:color w:val="auto"/>
        </w:rPr>
        <w:br w:type="column"/>
      </w:r>
    </w:p>
    <w:p>
      <w:pPr>
        <w:jc w:val="center"/>
        <w:spacing w:after="0" w:line="237" w:lineRule="auto"/>
        <w:rPr>
          <w:sz w:val="20"/>
          <w:szCs w:val="20"/>
          <w:color w:val="auto"/>
        </w:rPr>
      </w:pPr>
      <w:r>
        <w:rPr>
          <w:rFonts w:ascii="Times New Roman" w:cs="Times New Roman" w:eastAsia="Times New Roman" w:hAnsi="Times New Roman"/>
          <w:sz w:val="14"/>
          <w:szCs w:val="14"/>
          <w:b w:val="1"/>
          <w:bCs w:val="1"/>
          <w:color w:val="auto"/>
        </w:rPr>
        <w:t>Allowance for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9086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7" w:lineRule="exact"/>
        <w:rPr>
          <w:sz w:val="20"/>
          <w:szCs w:val="20"/>
          <w:color w:val="auto"/>
        </w:rPr>
      </w:pPr>
    </w:p>
    <w:p>
      <w:pPr>
        <w:ind w:left="1000" w:hanging="991"/>
        <w:spacing w:after="0"/>
        <w:tabs>
          <w:tab w:leader="none" w:pos="10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6,338</w:t>
      </w:r>
    </w:p>
    <w:p>
      <w:pPr>
        <w:spacing w:after="0" w:line="26" w:lineRule="exact"/>
        <w:rPr>
          <w:rFonts w:ascii="Times New Roman" w:cs="Times New Roman" w:eastAsia="Times New Roman" w:hAnsi="Times New Roman"/>
          <w:sz w:val="16"/>
          <w:szCs w:val="16"/>
          <w:color w:val="auto"/>
        </w:rPr>
      </w:pPr>
    </w:p>
    <w:p>
      <w:pPr>
        <w:ind w:left="1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3,477</w:t>
      </w:r>
    </w:p>
    <w:p>
      <w:pPr>
        <w:spacing w:after="0" w:line="2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9086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9" w:lineRule="exact"/>
        <w:rPr>
          <w:sz w:val="20"/>
          <w:szCs w:val="20"/>
          <w:color w:val="auto"/>
        </w:rPr>
      </w:pPr>
    </w:p>
    <w:p>
      <w:pPr>
        <w:ind w:left="1000" w:hanging="991"/>
        <w:spacing w:after="0"/>
        <w:tabs>
          <w:tab w:leader="none" w:pos="10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9086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41910</wp:posOffset>
            </wp:positionV>
            <wp:extent cx="9086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100" w:space="720"/>
            <w:col w:w="1420"/>
          </w:cols>
          <w:pgMar w:left="320" w:top="172" w:right="339"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Net Loss Per Share</w:t>
      </w:r>
    </w:p>
    <w:p>
      <w:pPr>
        <w:spacing w:after="0" w:line="241" w:lineRule="exact"/>
        <w:rPr>
          <w:sz w:val="20"/>
          <w:szCs w:val="20"/>
          <w:color w:val="auto"/>
        </w:rPr>
      </w:pPr>
    </w:p>
    <w:p>
      <w:pPr>
        <w:jc w:val="both"/>
        <w:ind w:firstLine="420"/>
        <w:spacing w:after="0" w:line="246" w:lineRule="auto"/>
        <w:rPr>
          <w:sz w:val="20"/>
          <w:szCs w:val="20"/>
          <w:color w:val="auto"/>
        </w:rPr>
      </w:pPr>
      <w:r>
        <w:rPr>
          <w:rFonts w:ascii="Times New Roman" w:cs="Times New Roman" w:eastAsia="Times New Roman" w:hAnsi="Times New Roman"/>
          <w:sz w:val="18"/>
          <w:szCs w:val="18"/>
          <w:color w:val="auto"/>
        </w:rPr>
        <w:t>Basic earnings per share (“EPS”) excludes dilution for common stock equivalents and is computed by dividing net income or loss attributable to common stockholders by the weighted average number of shares of common stock outstanding for the period. All options, warrants, or other potentially dilutive instruments issued for nominal consideration are required to be included in the calculation of basic and diluted net income attributable to common stockholders. Diluted EPS is calculated using the “if-converted” method. The “if-converted” method is only assumed in periods where such application would be dilutive. In applying the “if-converted” method for diluted net income per share, the Company would assume conversion of the 2024 Notes at a ratio of 25.9182 shares of its common stock per $1,000 principal amount of the 2024 Notes. The Company would assume conversion of the 2026 Notes at a ratio of 13.2933 shares of its common stock per $1,000 principal amount of the 2026 Notes. Assumed converted shares of the Company’s common stock are weighted for the period the 2024 Notes and 2026 Notes were outstanding. The shares of common stock underlying the conversion option of the 2024 Notes and 2026 Notes were not included in the calculation of diluted income per share for the three and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type w:val="continuous"/>
        </w:sectPr>
      </w:pPr>
    </w:p>
    <w:bookmarkStart w:id="17" w:name="page18"/>
    <w:bookmarkEnd w:id="17"/>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Note 8 – Convertible Senior Notes, Net and Capped Call Transactions for a description of the 2024 Notes and 2026 Notes.</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shares used in calculating basic and diluted net loss per share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6"/>
                <w:szCs w:val="16"/>
                <w:color w:val="auto"/>
              </w:rPr>
            </w:pPr>
          </w:p>
        </w:tc>
      </w:tr>
      <w:tr>
        <w:trPr>
          <w:trHeight w:val="197"/>
        </w:trPr>
        <w:tc>
          <w:tcPr>
            <w:tcW w:w="5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7"/>
                <w:szCs w:val="17"/>
                <w:color w:val="auto"/>
              </w:rPr>
            </w:pPr>
          </w:p>
        </w:tc>
      </w:tr>
      <w:tr>
        <w:trPr>
          <w:trHeight w:val="24"/>
        </w:trPr>
        <w:tc>
          <w:tcPr>
            <w:tcW w:w="5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5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 thousands)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(140,775)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(42,314)</w:t>
            </w:r>
          </w:p>
        </w:tc>
      </w:tr>
      <w:tr>
        <w:trPr>
          <w:trHeight w:val="20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Weighted average number of shares outstanding, basic and diluted</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77,290,465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69,057,129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76,555,518</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68,482,653</w:t>
            </w:r>
          </w:p>
        </w:tc>
      </w:tr>
      <w:tr>
        <w:trPr>
          <w:trHeight w:val="23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anti-dilutive securities excluded from the shares used to calculate diluted net loss per share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202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940" w:type="dxa"/>
            <w:vAlign w:val="bottom"/>
          </w:tcPr>
          <w:p>
            <w:pPr>
              <w:spacing w:after="0"/>
              <w:rPr>
                <w:sz w:val="16"/>
                <w:szCs w:val="16"/>
                <w:color w:val="auto"/>
              </w:rPr>
            </w:pPr>
          </w:p>
        </w:tc>
      </w:tr>
      <w:tr>
        <w:trPr>
          <w:trHeight w:val="24"/>
        </w:trPr>
        <w:tc>
          <w:tcPr>
            <w:tcW w:w="82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4"/>
        </w:trPr>
        <w:tc>
          <w:tcPr>
            <w:tcW w:w="82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subject to outstanding common stock options and employee stock purchase plan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4,784,614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4,252,817</w:t>
            </w:r>
          </w:p>
        </w:tc>
      </w:tr>
      <w:tr>
        <w:trPr>
          <w:trHeight w:val="208"/>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4,066,555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3,023,476</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Conversion option of the 2024 Notes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5,961,186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5,961,186</w:t>
            </w:r>
          </w:p>
        </w:tc>
      </w:tr>
      <w:tr>
        <w:trPr>
          <w:trHeight w:val="208"/>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Conversion option of the 2026 Notes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6,879,283</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6,879,283</w:t>
            </w:r>
          </w:p>
        </w:tc>
      </w:tr>
      <w:tr>
        <w:trPr>
          <w:trHeight w:val="228"/>
        </w:trPr>
        <w:tc>
          <w:tcPr>
            <w:tcW w:w="82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21,691,638</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20,116,762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Segment Information</w:t>
      </w:r>
    </w:p>
    <w:p>
      <w:pPr>
        <w:spacing w:after="0" w:line="241" w:lineRule="exact"/>
        <w:rPr>
          <w:sz w:val="20"/>
          <w:szCs w:val="20"/>
          <w:color w:val="auto"/>
        </w:rPr>
      </w:pPr>
    </w:p>
    <w:p>
      <w:pPr>
        <w:jc w:val="both"/>
        <w:ind w:firstLine="420"/>
        <w:spacing w:after="0" w:line="246" w:lineRule="auto"/>
        <w:rPr>
          <w:sz w:val="20"/>
          <w:szCs w:val="20"/>
          <w:color w:val="auto"/>
        </w:rPr>
      </w:pPr>
      <w:r>
        <w:rPr>
          <w:rFonts w:ascii="Times New Roman" w:cs="Times New Roman" w:eastAsia="Times New Roman" w:hAnsi="Times New Roman"/>
          <w:sz w:val="18"/>
          <w:szCs w:val="18"/>
          <w:color w:val="auto"/>
        </w:rPr>
        <w:t>The Company is organized into two operating segments for purposes of making operating decisions and assessing performance. The Business segment enables brands to leverage the Conversational Cloud’s sophisticated intelligence engine to connect with consumers through an integrated suite of mobile and online business messaging technologies. The Consumer segment facilitates online transactions between Experts and Users seeking information and knowledge for a fee via mobile and online messaging. Both segments currently generate their revenue primarily in the United States. The chief operating decision maker (“CODM”), who is the Company’s Chief Executive Officer, evaluates performance, makes operating decisions, and allocates resources based on the operating income (loss) of each segment. The reporting segments follow the same accounting polices used in the preparation of the Company’s condensed consolidated financial statements which are described in Note 1 – Description of Business and Basis of Presentation. The Company allocates cost of revenue, sales and marketing, and amortization of purchased intangibles to the segments, but it does not allocate product development expenses, general and administrative expenses, restructuring costs, or income tax expense because management does not use this information to measure performance of the operating segments. There are currently no inter-segment sales.</w:t>
      </w:r>
    </w:p>
    <w:p>
      <w:pPr>
        <w:spacing w:after="0" w:line="110"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Summarized financial information by segment for the three months ended June 30, 2022, based on the Company’s internal financial reporting system utilized by the Company’s CODM,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38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6"/>
                <w:szCs w:val="16"/>
                <w:color w:val="auto"/>
              </w:rPr>
            </w:pPr>
          </w:p>
        </w:tc>
        <w:tc>
          <w:tcPr>
            <w:tcW w:w="122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4"/>
        </w:trPr>
        <w:tc>
          <w:tcPr>
            <w:tcW w:w="5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8"/>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Hosted services – Business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94,856</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94,856</w:t>
            </w:r>
          </w:p>
        </w:tc>
      </w:tr>
      <w:tr>
        <w:trPr>
          <w:trHeight w:val="21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Hosted services – Consumer</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9,129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9,129</w:t>
            </w:r>
          </w:p>
        </w:tc>
      </w:tr>
      <w:tr>
        <w:trPr>
          <w:trHeight w:val="208"/>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 services – Business</w:t>
            </w:r>
          </w:p>
        </w:tc>
        <w:tc>
          <w:tcPr>
            <w:tcW w:w="2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28,580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28,580</w:t>
            </w:r>
          </w:p>
        </w:tc>
      </w:tr>
      <w:tr>
        <w:trPr>
          <w:trHeight w:val="205"/>
        </w:trPr>
        <w:tc>
          <w:tcPr>
            <w:tcW w:w="5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123,436</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9,129</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132,565</w:t>
            </w:r>
          </w:p>
        </w:tc>
      </w:tr>
      <w:tr>
        <w:trPr>
          <w:trHeight w:val="201"/>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43,616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1,433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45,049</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53,260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6,723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59,983</w:t>
            </w:r>
          </w:p>
        </w:tc>
      </w:tr>
      <w:tr>
        <w:trPr>
          <w:trHeight w:val="208"/>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2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r>
      <w:tr>
        <w:trPr>
          <w:trHeight w:val="21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96,859</w:t>
            </w:r>
          </w:p>
        </w:tc>
      </w:tr>
      <w:tr>
        <w:trPr>
          <w:trHeight w:val="205"/>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26,579</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973</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(96,859)</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(70,249)</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18" w:name="page19"/>
    <w:bookmarkEnd w:id="18"/>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firstLine="420"/>
        <w:spacing w:after="0" w:line="267" w:lineRule="auto"/>
        <w:rPr>
          <w:sz w:val="20"/>
          <w:szCs w:val="20"/>
          <w:color w:val="auto"/>
        </w:rPr>
      </w:pPr>
      <w:r>
        <w:rPr>
          <w:rFonts w:ascii="Times New Roman" w:cs="Times New Roman" w:eastAsia="Times New Roman" w:hAnsi="Times New Roman"/>
          <w:sz w:val="18"/>
          <w:szCs w:val="18"/>
          <w:color w:val="auto"/>
        </w:rPr>
        <w:t>Summarized financial information by segment for the three months ended June 30, 2021, based on the Company’s internal financial reporting system utilized by the Company’s CODM,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38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6"/>
                <w:szCs w:val="16"/>
                <w:color w:val="auto"/>
              </w:rPr>
            </w:pPr>
          </w:p>
        </w:tc>
        <w:tc>
          <w:tcPr>
            <w:tcW w:w="122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4"/>
        </w:trPr>
        <w:tc>
          <w:tcPr>
            <w:tcW w:w="5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8"/>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Hosted services – Business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95,092</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95,092</w:t>
            </w:r>
          </w:p>
        </w:tc>
      </w:tr>
      <w:tr>
        <w:trPr>
          <w:trHeight w:val="21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Hosted services – Consumer</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9,810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9,810</w:t>
            </w:r>
          </w:p>
        </w:tc>
      </w:tr>
      <w:tr>
        <w:trPr>
          <w:trHeight w:val="208"/>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 services – Business</w:t>
            </w:r>
          </w:p>
        </w:tc>
        <w:tc>
          <w:tcPr>
            <w:tcW w:w="2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14,703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14,703</w:t>
            </w:r>
          </w:p>
        </w:tc>
      </w:tr>
      <w:tr>
        <w:trPr>
          <w:trHeight w:val="205"/>
        </w:trPr>
        <w:tc>
          <w:tcPr>
            <w:tcW w:w="5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109,795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9,810</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119,605</w:t>
            </w:r>
          </w:p>
        </w:tc>
      </w:tr>
      <w:tr>
        <w:trPr>
          <w:trHeight w:val="201"/>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38,265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1,798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40,063</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31,915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6,707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38,622</w:t>
            </w:r>
          </w:p>
        </w:tc>
      </w:tr>
      <w:tr>
        <w:trPr>
          <w:trHeight w:val="208"/>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2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r>
      <w:tr>
        <w:trPr>
          <w:trHeight w:val="21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54,124</w:t>
            </w:r>
          </w:p>
        </w:tc>
      </w:tr>
      <w:tr>
        <w:trPr>
          <w:trHeight w:val="205"/>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39,241</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1,305</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(54,124)</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(13,578)</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Summarized financial information by segment for the six months ended June 30, 2022, based on the Company’s internal financial reporting system utilized by the Company’s CODM,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38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6"/>
                <w:szCs w:val="16"/>
                <w:color w:val="auto"/>
              </w:rPr>
            </w:pPr>
          </w:p>
        </w:tc>
        <w:tc>
          <w:tcPr>
            <w:tcW w:w="122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4"/>
        </w:trPr>
        <w:tc>
          <w:tcPr>
            <w:tcW w:w="5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8"/>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Hosted services – Business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201,180</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201,180</w:t>
            </w:r>
          </w:p>
        </w:tc>
      </w:tr>
      <w:tr>
        <w:trPr>
          <w:trHeight w:val="21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Hosted services – Consumer</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18,251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18,251</w:t>
            </w:r>
          </w:p>
        </w:tc>
      </w:tr>
      <w:tr>
        <w:trPr>
          <w:trHeight w:val="208"/>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 services – Business</w:t>
            </w:r>
          </w:p>
        </w:tc>
        <w:tc>
          <w:tcPr>
            <w:tcW w:w="2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43,331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43,331</w:t>
            </w:r>
          </w:p>
        </w:tc>
      </w:tr>
      <w:tr>
        <w:trPr>
          <w:trHeight w:val="205"/>
        </w:trPr>
        <w:tc>
          <w:tcPr>
            <w:tcW w:w="5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244,511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18,251</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262,762</w:t>
            </w:r>
          </w:p>
        </w:tc>
      </w:tr>
      <w:tr>
        <w:trPr>
          <w:trHeight w:val="201"/>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91,837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2,779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94,616</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105,543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12,572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118,115</w:t>
            </w:r>
          </w:p>
        </w:tc>
      </w:tr>
      <w:tr>
        <w:trPr>
          <w:trHeight w:val="208"/>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2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w:t>
            </w:r>
          </w:p>
        </w:tc>
      </w:tr>
      <w:tr>
        <w:trPr>
          <w:trHeight w:val="21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182,643</w:t>
            </w:r>
          </w:p>
        </w:tc>
      </w:tr>
      <w:tr>
        <w:trPr>
          <w:trHeight w:val="205"/>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45,309</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2,900</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(182,643)</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(134,434)</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Summarized financial information by segment for the six months ended June 30, 2021, based on the Company’s internal financial reporting system utilized by the Company’s CODM,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38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6"/>
                <w:szCs w:val="16"/>
                <w:color w:val="auto"/>
              </w:rPr>
            </w:pPr>
          </w:p>
        </w:tc>
        <w:tc>
          <w:tcPr>
            <w:tcW w:w="122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4"/>
        </w:trPr>
        <w:tc>
          <w:tcPr>
            <w:tcW w:w="5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8"/>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Hosted services – Business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178,732</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178,732</w:t>
            </w:r>
          </w:p>
        </w:tc>
      </w:tr>
      <w:tr>
        <w:trPr>
          <w:trHeight w:val="21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Hosted services – Consumer</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18,821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18,821</w:t>
            </w:r>
          </w:p>
        </w:tc>
      </w:tr>
      <w:tr>
        <w:trPr>
          <w:trHeight w:val="208"/>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Professional services – Business</w:t>
            </w:r>
          </w:p>
        </w:tc>
        <w:tc>
          <w:tcPr>
            <w:tcW w:w="2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29,943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29,943</w:t>
            </w:r>
          </w:p>
        </w:tc>
      </w:tr>
      <w:tr>
        <w:trPr>
          <w:trHeight w:val="205"/>
        </w:trPr>
        <w:tc>
          <w:tcPr>
            <w:tcW w:w="5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208,675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18,821</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227,496</w:t>
            </w:r>
          </w:p>
        </w:tc>
      </w:tr>
      <w:tr>
        <w:trPr>
          <w:trHeight w:val="201"/>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69,875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3,707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73,582</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62,118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13,457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75,575</w:t>
            </w:r>
          </w:p>
        </w:tc>
      </w:tr>
      <w:tr>
        <w:trPr>
          <w:trHeight w:val="208"/>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2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r>
      <w:tr>
        <w:trPr>
          <w:trHeight w:val="21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Unallocated corporate expenses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104,797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104,797</w:t>
            </w:r>
          </w:p>
        </w:tc>
      </w:tr>
      <w:tr>
        <w:trPr>
          <w:trHeight w:val="205"/>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75,933</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1,657</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(104,797)</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(27,207)</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19" w:name="page20"/>
    <w:bookmarkEnd w:id="19"/>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41" w:lineRule="exact"/>
        <w:rPr>
          <w:sz w:val="20"/>
          <w:szCs w:val="20"/>
          <w:color w:val="auto"/>
        </w:rPr>
      </w:pPr>
    </w:p>
    <w:p>
      <w:pPr>
        <w:ind w:firstLine="420"/>
        <w:spacing w:after="0" w:line="267" w:lineRule="auto"/>
        <w:rPr>
          <w:sz w:val="20"/>
          <w:szCs w:val="20"/>
          <w:color w:val="auto"/>
        </w:rPr>
      </w:pPr>
      <w:r>
        <w:rPr>
          <w:rFonts w:ascii="Times New Roman" w:cs="Times New Roman" w:eastAsia="Times New Roman" w:hAnsi="Times New Roman"/>
          <w:sz w:val="18"/>
          <w:szCs w:val="18"/>
          <w:color w:val="auto"/>
        </w:rPr>
        <w:t>The Company is domiciled in the United States and has international operations around the globe. The following table presents the Company’s long-lived assets by geographic region as of the dates presented: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8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4"/>
          </w:tcPr>
          <w:p>
            <w:pPr>
              <w:jc w:val="right"/>
              <w:ind w:right="96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479,706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444,318</w:t>
            </w:r>
          </w:p>
        </w:tc>
      </w:tr>
      <w:tr>
        <w:trPr>
          <w:trHeight w:val="208"/>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Germany</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52,342</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Israel</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20,754</w:t>
            </w:r>
          </w:p>
        </w:tc>
      </w:tr>
      <w:tr>
        <w:trPr>
          <w:trHeight w:val="208"/>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12,771</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4,566</w:t>
            </w:r>
          </w:p>
        </w:tc>
      </w:tr>
      <w:tr>
        <w:trPr>
          <w:trHeight w:val="210"/>
        </w:trPr>
        <w:tc>
          <w:tcPr>
            <w:tcW w:w="8280" w:type="dxa"/>
            <w:vAlign w:val="bottom"/>
            <w:tcBorders>
              <w:bottom w:val="single" w:sz="8" w:color="CCEEFF"/>
            </w:tcBorders>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15,316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15,629</w:t>
            </w:r>
          </w:p>
        </w:tc>
      </w:tr>
      <w:tr>
        <w:trPr>
          <w:trHeight w:val="228"/>
        </w:trPr>
        <w:tc>
          <w:tcPr>
            <w:tcW w:w="8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long-lived assets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580,202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550,380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3"/>
          <w:szCs w:val="13"/>
          <w:color w:val="auto"/>
        </w:rPr>
        <w:t>United Kingdom, Japan, France, Italy, Spain, Canada, and Singapore.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Goodwill and Intangible Assets, Net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six months ended June 30, 2022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Consumer</w:t>
            </w:r>
          </w:p>
        </w:tc>
        <w:tc>
          <w:tcPr>
            <w:tcW w:w="200" w:type="dxa"/>
            <w:vAlign w:val="bottom"/>
          </w:tcPr>
          <w:p>
            <w:pPr>
              <w:spacing w:after="0"/>
              <w:rPr>
                <w:sz w:val="16"/>
                <w:szCs w:val="16"/>
                <w:color w:val="auto"/>
              </w:rPr>
            </w:pPr>
          </w:p>
        </w:tc>
        <w:tc>
          <w:tcPr>
            <w:tcW w:w="122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4"/>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4"/>
        </w:trPr>
        <w:tc>
          <w:tcPr>
            <w:tcW w:w="6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283,191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291,215</w:t>
            </w:r>
          </w:p>
        </w:tc>
      </w:tr>
      <w:tr>
        <w:trPr>
          <w:trHeight w:val="208"/>
        </w:trPr>
        <w:tc>
          <w:tcPr>
            <w:tcW w:w="6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to goodwill:</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2"/>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15,511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15,511</w:t>
            </w:r>
          </w:p>
        </w:tc>
      </w:tr>
      <w:tr>
        <w:trPr>
          <w:trHeight w:val="208"/>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exchange adjustment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(3,458)</w:t>
            </w:r>
          </w:p>
        </w:tc>
      </w:tr>
      <w:tr>
        <w:trPr>
          <w:trHeight w:val="230"/>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June 30, 2022</w:t>
            </w: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295,244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303,268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Intangible assets, net, are summarized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3"/>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5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120" w:type="dxa"/>
            <w:vAlign w:val="bottom"/>
          </w:tcPr>
          <w:p>
            <w:pPr>
              <w:spacing w:after="0"/>
              <w:rPr>
                <w:sz w:val="12"/>
                <w:szCs w:val="12"/>
                <w:color w:val="auto"/>
              </w:rPr>
            </w:pPr>
          </w:p>
        </w:tc>
        <w:tc>
          <w:tcPr>
            <w:tcW w:w="14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Amortization</w:t>
            </w:r>
          </w:p>
        </w:tc>
        <w:tc>
          <w:tcPr>
            <w:tcW w:w="0" w:type="dxa"/>
            <w:vAlign w:val="bottom"/>
          </w:tcPr>
          <w:p>
            <w:pPr>
              <w:spacing w:after="0"/>
              <w:rPr>
                <w:sz w:val="1"/>
                <w:szCs w:val="1"/>
                <w:color w:val="auto"/>
              </w:rPr>
            </w:pPr>
          </w:p>
        </w:tc>
      </w:tr>
      <w:tr>
        <w:trPr>
          <w:trHeight w:val="191"/>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42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Technology</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97,407</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(38,032)</w:t>
            </w:r>
          </w:p>
        </w:tc>
        <w:tc>
          <w:tcPr>
            <w:tcW w:w="100" w:type="dxa"/>
            <w:vAlign w:val="bottom"/>
          </w:tcPr>
          <w:p>
            <w:pPr>
              <w:spacing w:after="0"/>
              <w:rPr>
                <w:sz w:val="18"/>
                <w:szCs w:val="18"/>
                <w:color w:val="auto"/>
              </w:rPr>
            </w:pPr>
          </w:p>
        </w:tc>
        <w:tc>
          <w:tcPr>
            <w:tcW w:w="740" w:type="dxa"/>
            <w:vAlign w:val="bottom"/>
          </w:tcPr>
          <w:p>
            <w:pPr>
              <w:jc w:val="right"/>
              <w:ind w:right="56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59,375</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years</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31,956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15,693</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years</w:t>
            </w:r>
          </w:p>
        </w:tc>
        <w:tc>
          <w:tcPr>
            <w:tcW w:w="0" w:type="dxa"/>
            <w:vAlign w:val="bottom"/>
          </w:tcPr>
          <w:p>
            <w:pPr>
              <w:spacing w:after="0"/>
              <w:rPr>
                <w:sz w:val="1"/>
                <w:szCs w:val="1"/>
                <w:color w:val="auto"/>
              </w:rPr>
            </w:pPr>
          </w:p>
        </w:tc>
      </w:tr>
      <w:tr>
        <w:trPr>
          <w:trHeight w:val="208"/>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Patents</w:t>
            </w:r>
          </w:p>
        </w:tc>
        <w:tc>
          <w:tcPr>
            <w:tcW w:w="280" w:type="dxa"/>
            <w:vAlign w:val="bottom"/>
          </w:tcPr>
          <w:p>
            <w:pPr>
              <w:spacing w:after="0"/>
              <w:rPr>
                <w:sz w:val="18"/>
                <w:szCs w:val="18"/>
                <w:color w:val="auto"/>
              </w:rPr>
            </w:pP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9,612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8,350</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 years</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Trademarks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1,362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years</w:t>
            </w:r>
          </w:p>
        </w:tc>
        <w:tc>
          <w:tcPr>
            <w:tcW w:w="0" w:type="dxa"/>
            <w:vAlign w:val="bottom"/>
          </w:tcPr>
          <w:p>
            <w:pPr>
              <w:spacing w:after="0"/>
              <w:rPr>
                <w:sz w:val="1"/>
                <w:szCs w:val="1"/>
                <w:color w:val="auto"/>
              </w:rPr>
            </w:pPr>
          </w:p>
        </w:tc>
      </w:tr>
      <w:tr>
        <w:trPr>
          <w:trHeight w:val="208"/>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names</w:t>
            </w:r>
          </w:p>
        </w:tc>
        <w:tc>
          <w:tcPr>
            <w:tcW w:w="280" w:type="dxa"/>
            <w:vAlign w:val="bottom"/>
          </w:tcPr>
          <w:p>
            <w:pPr>
              <w:spacing w:after="0"/>
              <w:rPr>
                <w:sz w:val="18"/>
                <w:szCs w:val="18"/>
                <w:color w:val="auto"/>
              </w:rPr>
            </w:pP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years</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914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years</w:t>
            </w:r>
          </w:p>
        </w:tc>
        <w:tc>
          <w:tcPr>
            <w:tcW w:w="0" w:type="dxa"/>
            <w:vAlign w:val="bottom"/>
          </w:tcPr>
          <w:p>
            <w:pPr>
              <w:spacing w:after="0"/>
              <w:rPr>
                <w:sz w:val="1"/>
                <w:szCs w:val="1"/>
                <w:color w:val="auto"/>
              </w:rPr>
            </w:pPr>
          </w:p>
        </w:tc>
      </w:tr>
      <w:tr>
        <w:trPr>
          <w:trHeight w:val="205"/>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142,293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(56,291)</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86,002</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type w:val="continuous"/>
        </w:sectPr>
      </w:pPr>
    </w:p>
    <w:bookmarkStart w:id="20" w:name="page21"/>
    <w:bookmarkEnd w:id="20"/>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3"/>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5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3"/>
        </w:trPr>
        <w:tc>
          <w:tcPr>
            <w:tcW w:w="5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3"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120" w:type="dxa"/>
            <w:vAlign w:val="bottom"/>
          </w:tcPr>
          <w:p>
            <w:pPr>
              <w:spacing w:after="0"/>
              <w:rPr>
                <w:sz w:val="12"/>
                <w:szCs w:val="12"/>
                <w:color w:val="auto"/>
              </w:rPr>
            </w:pPr>
          </w:p>
        </w:tc>
        <w:tc>
          <w:tcPr>
            <w:tcW w:w="14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Amortization</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42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Technology</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90,626</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(30,757)</w:t>
            </w:r>
          </w:p>
        </w:tc>
        <w:tc>
          <w:tcPr>
            <w:tcW w:w="100" w:type="dxa"/>
            <w:vAlign w:val="bottom"/>
          </w:tcPr>
          <w:p>
            <w:pPr>
              <w:spacing w:after="0"/>
              <w:rPr>
                <w:sz w:val="18"/>
                <w:szCs w:val="18"/>
                <w:color w:val="auto"/>
              </w:rPr>
            </w:pPr>
          </w:p>
        </w:tc>
        <w:tc>
          <w:tcPr>
            <w:tcW w:w="800" w:type="dxa"/>
            <w:vAlign w:val="bottom"/>
          </w:tcPr>
          <w:p>
            <w:pPr>
              <w:jc w:val="right"/>
              <w:ind w:right="62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59,869</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years</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32,162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16,998</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years</w:t>
            </w:r>
          </w:p>
        </w:tc>
        <w:tc>
          <w:tcPr>
            <w:tcW w:w="0" w:type="dxa"/>
            <w:vAlign w:val="bottom"/>
          </w:tcPr>
          <w:p>
            <w:pPr>
              <w:spacing w:after="0"/>
              <w:rPr>
                <w:sz w:val="1"/>
                <w:szCs w:val="1"/>
                <w:color w:val="auto"/>
              </w:rPr>
            </w:pPr>
          </w:p>
        </w:tc>
      </w:tr>
      <w:tr>
        <w:trPr>
          <w:trHeight w:val="208"/>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Patents</w:t>
            </w:r>
          </w:p>
        </w:tc>
        <w:tc>
          <w:tcPr>
            <w:tcW w:w="280" w:type="dxa"/>
            <w:vAlign w:val="bottom"/>
          </w:tcPr>
          <w:p>
            <w:pPr>
              <w:spacing w:after="0"/>
              <w:rPr>
                <w:sz w:val="18"/>
                <w:szCs w:val="18"/>
                <w:color w:val="auto"/>
              </w:rPr>
            </w:pP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7,988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6,851</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 years</w:t>
            </w: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Trademarks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1,474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years</w:t>
            </w:r>
          </w:p>
        </w:tc>
        <w:tc>
          <w:tcPr>
            <w:tcW w:w="0" w:type="dxa"/>
            <w:vAlign w:val="bottom"/>
          </w:tcPr>
          <w:p>
            <w:pPr>
              <w:spacing w:after="0"/>
              <w:rPr>
                <w:sz w:val="1"/>
                <w:szCs w:val="1"/>
                <w:color w:val="auto"/>
              </w:rPr>
            </w:pPr>
          </w:p>
        </w:tc>
      </w:tr>
      <w:tr>
        <w:trPr>
          <w:trHeight w:val="208"/>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names</w:t>
            </w:r>
          </w:p>
        </w:tc>
        <w:tc>
          <w:tcPr>
            <w:tcW w:w="280" w:type="dxa"/>
            <w:vAlign w:val="bottom"/>
          </w:tcPr>
          <w:p>
            <w:pPr>
              <w:spacing w:after="0"/>
              <w:rPr>
                <w:sz w:val="18"/>
                <w:szCs w:val="18"/>
                <w:color w:val="auto"/>
              </w:rPr>
            </w:pPr>
          </w:p>
        </w:tc>
        <w:tc>
          <w:tcPr>
            <w:tcW w:w="11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years</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years</w:t>
            </w:r>
          </w:p>
        </w:tc>
        <w:tc>
          <w:tcPr>
            <w:tcW w:w="0" w:type="dxa"/>
            <w:vAlign w:val="bottom"/>
          </w:tcPr>
          <w:p>
            <w:pPr>
              <w:spacing w:after="0"/>
              <w:rPr>
                <w:sz w:val="1"/>
                <w:szCs w:val="1"/>
                <w:color w:val="auto"/>
              </w:rPr>
            </w:pPr>
          </w:p>
        </w:tc>
      </w:tr>
      <w:tr>
        <w:trPr>
          <w:trHeight w:val="205"/>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133,024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(47,470)</w:t>
            </w:r>
          </w:p>
        </w:tc>
        <w:tc>
          <w:tcPr>
            <w:tcW w:w="100" w:type="dxa"/>
            <w:vAlign w:val="bottom"/>
          </w:tcPr>
          <w:p>
            <w:pPr>
              <w:spacing w:after="0"/>
              <w:rPr>
                <w:sz w:val="17"/>
                <w:szCs w:val="17"/>
                <w:color w:val="auto"/>
              </w:rPr>
            </w:pPr>
          </w:p>
        </w:tc>
        <w:tc>
          <w:tcPr>
            <w:tcW w:w="80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85,554</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Amortization expense is calculated over the estimated useful life of the asset. Aggregate amortization expense for intangible assets, net was $4.5 million and $1.6 million for the three months ended June 30, 2022 and 2021, respectively, and $9.0 million and $3.1 million for the six months ended June 30, 2022 and 2021, respectively. For the three and six months ended June 30, 2022 and 2021, respectively, a portion of this amortization is included in cost of revenue. Estimated amortization expense for the next five years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0"/>
        </w:trPr>
        <w:tc>
          <w:tcPr>
            <w:tcW w:w="9820" w:type="dxa"/>
            <w:vAlign w:val="bottom"/>
          </w:tcPr>
          <w:p>
            <w:pPr>
              <w:spacing w:after="0"/>
              <w:rPr>
                <w:sz w:val="16"/>
                <w:szCs w:val="16"/>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189"/>
        </w:trPr>
        <w:tc>
          <w:tcPr>
            <w:tcW w:w="9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r>
      <w:tr>
        <w:trPr>
          <w:trHeight w:val="216"/>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2022</w:t>
            </w:r>
          </w:p>
        </w:tc>
        <w:tc>
          <w:tcPr>
            <w:tcW w:w="1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8,935</w:t>
            </w:r>
          </w:p>
        </w:tc>
      </w:tr>
      <w:tr>
        <w:trPr>
          <w:trHeight w:val="208"/>
        </w:trPr>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16,770</w:t>
            </w:r>
          </w:p>
        </w:tc>
      </w:tr>
      <w:tr>
        <w:trPr>
          <w:trHeight w:val="21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16,576</w:t>
            </w:r>
          </w:p>
        </w:tc>
      </w:tr>
      <w:tr>
        <w:trPr>
          <w:trHeight w:val="208"/>
        </w:trPr>
        <w:tc>
          <w:tcPr>
            <w:tcW w:w="9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16,177</w:t>
            </w:r>
          </w:p>
        </w:tc>
      </w:tr>
      <w:tr>
        <w:trPr>
          <w:trHeight w:val="212"/>
        </w:trPr>
        <w:tc>
          <w:tcPr>
            <w:tcW w:w="9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13,208</w:t>
            </w:r>
          </w:p>
        </w:tc>
      </w:tr>
      <w:tr>
        <w:trPr>
          <w:trHeight w:val="208"/>
        </w:trPr>
        <w:tc>
          <w:tcPr>
            <w:tcW w:w="9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14,336</w:t>
            </w:r>
          </w:p>
        </w:tc>
      </w:tr>
      <w:tr>
        <w:trPr>
          <w:trHeight w:val="230"/>
        </w:trPr>
        <w:tc>
          <w:tcPr>
            <w:tcW w:w="9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86,002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detail of property and equipment, net for the periods presented: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8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4"/>
          </w:tcPr>
          <w:p>
            <w:pPr>
              <w:jc w:val="right"/>
              <w:ind w:right="96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120,685</w:t>
            </w:r>
          </w:p>
        </w:tc>
      </w:tr>
      <w:tr>
        <w:trPr>
          <w:trHeight w:val="208"/>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Internal-use software development costs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122,479</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right of use assets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6,797</w:t>
            </w:r>
          </w:p>
        </w:tc>
      </w:tr>
      <w:tr>
        <w:trPr>
          <w:trHeight w:val="208"/>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Furniture, equipment, and building improvements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05"/>
        </w:trPr>
        <w:tc>
          <w:tcPr>
            <w:tcW w:w="8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271,476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250,219</w:t>
            </w:r>
          </w:p>
        </w:tc>
      </w:tr>
      <w:tr>
        <w:trPr>
          <w:trHeight w:val="208"/>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(137,767)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(125,493)</w:t>
            </w:r>
          </w:p>
        </w:tc>
      </w:tr>
      <w:tr>
        <w:trPr>
          <w:trHeight w:val="230"/>
        </w:trPr>
        <w:tc>
          <w:tcPr>
            <w:tcW w:w="8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133,709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124,726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21" w:name="page22"/>
    <w:bookmarkEnd w:id="21"/>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Accrued Expenses and Other Current Liabilities</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detail of accrued expenses and other current liabilities for the periods presented: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20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8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4"/>
          </w:tcPr>
          <w:p>
            <w:pPr>
              <w:jc w:val="right"/>
              <w:ind w:right="92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services and consulting and other vendor fees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58,811</w:t>
            </w:r>
          </w:p>
        </w:tc>
      </w:tr>
      <w:tr>
        <w:trPr>
          <w:trHeight w:val="208"/>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Payroll and other employee related costs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29,855</w:t>
            </w:r>
          </w:p>
        </w:tc>
      </w:tr>
      <w:tr>
        <w:trPr>
          <w:trHeight w:val="21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contingent earn-out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commissions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4,269</w:t>
            </w:r>
          </w:p>
        </w:tc>
      </w:tr>
      <w:tr>
        <w:trPr>
          <w:trHeight w:val="21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liability</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3,738</w:t>
            </w:r>
          </w:p>
        </w:tc>
      </w:tr>
      <w:tr>
        <w:trPr>
          <w:trHeight w:val="208"/>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Unrecognized tax benefits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w:t>
            </w:r>
          </w:p>
        </w:tc>
      </w:tr>
      <w:tr>
        <w:trPr>
          <w:trHeight w:val="212"/>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w:t>
            </w:r>
          </w:p>
        </w:tc>
      </w:tr>
      <w:tr>
        <w:trPr>
          <w:trHeight w:val="208"/>
        </w:trPr>
        <w:tc>
          <w:tcPr>
            <w:tcW w:w="8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other than income tax</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r>
      <w:tr>
        <w:trPr>
          <w:trHeight w:val="21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w:t>
            </w:r>
          </w:p>
        </w:tc>
      </w:tr>
      <w:tr>
        <w:trPr>
          <w:trHeight w:val="205"/>
        </w:trPr>
        <w:tc>
          <w:tcPr>
            <w:tcW w:w="8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120,916</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104,297</w:t>
            </w:r>
          </w:p>
        </w:tc>
      </w:tr>
      <w:tr>
        <w:trPr>
          <w:trHeight w:val="20"/>
        </w:trPr>
        <w:tc>
          <w:tcPr>
            <w:tcW w:w="8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Convertible Senior Notes, Net and Capped Call Transactions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 due 2024 and Capped Calls</w:t>
      </w:r>
    </w:p>
    <w:p>
      <w:pPr>
        <w:spacing w:after="0" w:line="241"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In March 2019, the Company issued $230.0 million aggregate principal amount of its 0.750% Convertible Senior Notes due 2024 (the “2024 Notes”) in a private placement, which amount includes $30.0 million aggregate principal amount of such Notes issued pursuant to the exercise in full by the initial purchasers of their option to purchase additional 2024 Notes. Interest on the 2024 Notes is payable semi-annually in arrears on March 1 and September 1 of each year, beginning on September 1, 2019.</w:t>
      </w:r>
    </w:p>
    <w:p>
      <w:pPr>
        <w:spacing w:after="0" w:line="211" w:lineRule="exact"/>
        <w:rPr>
          <w:sz w:val="20"/>
          <w:szCs w:val="20"/>
          <w:color w:val="auto"/>
        </w:rPr>
      </w:pPr>
    </w:p>
    <w:p>
      <w:pPr>
        <w:jc w:val="both"/>
        <w:ind w:firstLine="420"/>
        <w:spacing w:after="0" w:line="331" w:lineRule="auto"/>
        <w:rPr>
          <w:sz w:val="20"/>
          <w:szCs w:val="20"/>
          <w:color w:val="auto"/>
        </w:rPr>
      </w:pPr>
      <w:r>
        <w:rPr>
          <w:rFonts w:ascii="Times New Roman" w:cs="Times New Roman" w:eastAsia="Times New Roman" w:hAnsi="Times New Roman"/>
          <w:sz w:val="16"/>
          <w:szCs w:val="16"/>
          <w:color w:val="auto"/>
        </w:rPr>
        <w:t>The 2024 Notes will mature on March 1, 2024, unless earlier repurchased or redeemed by the Company or converted pursuant to their terms. The total net proceeds from the offering of the 2024 Notes, after deducting debt issuance costs, paid, or payable by the Company, was approximately $221.4 million.</w:t>
      </w:r>
    </w:p>
    <w:p>
      <w:pPr>
        <w:spacing w:after="0" w:line="149" w:lineRule="exact"/>
        <w:rPr>
          <w:sz w:val="20"/>
          <w:szCs w:val="20"/>
          <w:color w:val="auto"/>
        </w:rPr>
      </w:pPr>
    </w:p>
    <w:p>
      <w:pPr>
        <w:jc w:val="both"/>
        <w:ind w:firstLine="420"/>
        <w:spacing w:after="0" w:line="282" w:lineRule="auto"/>
        <w:rPr>
          <w:sz w:val="20"/>
          <w:szCs w:val="20"/>
          <w:color w:val="auto"/>
        </w:rPr>
      </w:pPr>
      <w:r>
        <w:rPr>
          <w:rFonts w:ascii="Times New Roman" w:cs="Times New Roman" w:eastAsia="Times New Roman" w:hAnsi="Times New Roman"/>
          <w:sz w:val="16"/>
          <w:szCs w:val="16"/>
          <w:color w:val="auto"/>
        </w:rPr>
        <w:t>Each $1,000 in principal amount of the 2024 Notes is initially convertible into 25.9182 shares of the Company’s common stock par value $0.001, which is equivalent to an initial conversion price of approximately $38.58 per share. The conversion rate is subject to adjustment upon the occurrence of certain specified events but will not be adjusted for any accrued and unpaid interest. In addition, following certain corporate events that occur prior to the maturity date, the Company will increase the conversion rate for a holder who elects to convert its 2024 Notes in connection with such a corporate event. The 2024 Notes are not redeemable prior to the maturity date of the 2024 Notes and no sinking fund is provided for the 2024 Notes. If the Company undergoes a fundamental change (as defined in the indenture governing the 2024 Notes) prior to the maturity date, holders may require the Company to repurchase for cash all or any portion of their 2024 Notes in principal amounts of $1,000 or a multiple thereof at a fundamental change repurchase price equal to 100% of the principal amount of the 2024 Notes to be repurchased, plus accrued and unpaid interest to, but excluding, the fundamental change repurchase date.</w:t>
      </w:r>
    </w:p>
    <w:p>
      <w:pPr>
        <w:spacing w:after="0" w:line="187" w:lineRule="exact"/>
        <w:rPr>
          <w:sz w:val="20"/>
          <w:szCs w:val="20"/>
          <w:color w:val="auto"/>
        </w:rPr>
      </w:pPr>
    </w:p>
    <w:p>
      <w:pPr>
        <w:jc w:val="both"/>
        <w:ind w:firstLine="420"/>
        <w:spacing w:after="0" w:line="246" w:lineRule="auto"/>
        <w:rPr>
          <w:sz w:val="20"/>
          <w:szCs w:val="20"/>
          <w:color w:val="auto"/>
        </w:rPr>
      </w:pPr>
      <w:r>
        <w:rPr>
          <w:rFonts w:ascii="Times New Roman" w:cs="Times New Roman" w:eastAsia="Times New Roman" w:hAnsi="Times New Roman"/>
          <w:sz w:val="18"/>
          <w:szCs w:val="18"/>
          <w:color w:val="auto"/>
        </w:rPr>
        <w:t>Holders of the 2024 Notes may convert their 2024 Notes at their option at any time prior to the close of business on the business day immediately preceding November 1, 2023, in multiples of $1,000 principal amount, only under the following circumstances: (1) during any calendar quarter commencing after the calendar quarter ending on June 30, 2019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2024 Notes on each applicable trading day as determined by the Company; (2) during the five business day period after any five consecutive trading day period (the “measurement period”) in which the “trading price” (as defined in the indenture governing the 2024 Notes) per $1,000 principal amount of 2024 Notes for each trading day of the measurement period was less than 98% of the product of the last reported sale price of the Company’s common stock and the conversion rate for the 2024 Notes on each such trading day; or (3) upon the occurrence of specified corporate events. On or after November 1, 2023, holders may convert all or any portion of their 2024 Notes at any time prior to the close of business on the second scheduled trading day immediately preceding the</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22" w:name="page23"/>
    <w:bookmarkEnd w:id="22"/>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maturity date, regardless of the foregoing circumstances. Upon conversion, the Company will pay or deliver, as the case may be, cash, shares of its common stock, or a combination of cash and shares of its common stock, at the Company’s election.</w:t>
      </w:r>
    </w:p>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three and six months ended June 30, 2022, the conditions allowing holders of the 2024 Notes to convert were not met.</w:t>
      </w:r>
    </w:p>
    <w:p>
      <w:pPr>
        <w:spacing w:after="0" w:line="239"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The 2024 Notes are senior unsecured obligations and will rank senior in right of payment to any of the Company’s indebtedness that is expressly subordinated in right of payment to the 2024 Notes; equal in right of payment with the Company’s existing and future liabilities that are not so subordinated; effectively subordinated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211" w:lineRule="exact"/>
        <w:rPr>
          <w:sz w:val="20"/>
          <w:szCs w:val="20"/>
          <w:color w:val="auto"/>
        </w:rPr>
      </w:pPr>
    </w:p>
    <w:p>
      <w:pPr>
        <w:jc w:val="both"/>
        <w:ind w:firstLine="420"/>
        <w:spacing w:after="0" w:line="248" w:lineRule="auto"/>
        <w:rPr>
          <w:sz w:val="20"/>
          <w:szCs w:val="20"/>
          <w:color w:val="auto"/>
        </w:rPr>
      </w:pPr>
      <w:r>
        <w:rPr>
          <w:rFonts w:ascii="Times New Roman" w:cs="Times New Roman" w:eastAsia="Times New Roman" w:hAnsi="Times New Roman"/>
          <w:sz w:val="18"/>
          <w:szCs w:val="18"/>
          <w:color w:val="auto"/>
        </w:rPr>
        <w:t>Prior to the adoption of ASU 2020-06 on January 1, 2022, the Company separated the 2024 Notes into liability and equity components. The carrying amount of the liability component was calculated by measuring the fair value of a similar debt instrument that did not have an associated convertible feature. The carrying amount of the equity component representing the conversion option was $52.9 million and was determined by deducting the fair value of the liability component from the par value of the 2024 Notes. The equity component was not remeasured as long as it continued to meet the conditions for equity classification. The excess of the principal amount of the liability component over its carrying amount, or the debt discount, was amortized to interest expense at an effective interest rate over the contractual term of the 2024 Notes. This accounting treatment no longer applies under ASU 2020-06.</w:t>
      </w:r>
    </w:p>
    <w:p>
      <w:pPr>
        <w:spacing w:after="0" w:line="213" w:lineRule="exact"/>
        <w:rPr>
          <w:sz w:val="20"/>
          <w:szCs w:val="20"/>
          <w:color w:val="auto"/>
        </w:rPr>
      </w:pPr>
    </w:p>
    <w:p>
      <w:pPr>
        <w:jc w:val="both"/>
        <w:ind w:firstLine="420"/>
        <w:spacing w:after="0" w:line="288" w:lineRule="auto"/>
        <w:rPr>
          <w:sz w:val="20"/>
          <w:szCs w:val="20"/>
          <w:color w:val="auto"/>
        </w:rPr>
      </w:pPr>
      <w:r>
        <w:rPr>
          <w:rFonts w:ascii="Times New Roman" w:cs="Times New Roman" w:eastAsia="Times New Roman" w:hAnsi="Times New Roman"/>
          <w:sz w:val="16"/>
          <w:szCs w:val="16"/>
          <w:color w:val="auto"/>
        </w:rPr>
        <w:t>Prior to the adoption of ASU 2020-06 on January 1, 2022, the Company allocated the total amount incurred of approximately $8.6 million to the liability and equity components of the 2024 Notes based on the proportion of the proceeds allocated to the debt and equity components. Issuance costs attributable to the liability component were approximately $6.6 million, were recorded as an additional debt discount and were amortized to interest expense using the effective interest method over the contractual term of the 2024 Notes. Issuance costs attributable to the equity component were approximately $2.0 million and recorded as a reduction of additional paid in capital in stockholders’ equity. This accounting treatment no longer applies under ASU 2020-06.</w:t>
      </w:r>
    </w:p>
    <w:p>
      <w:pPr>
        <w:spacing w:after="0" w:line="183"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In accounting for the 2024 Notes after the adoption of ASU 2020-06, the 2024 Notes are accounted for as a single liability, and the carrying amount of the 2024 Notes is $227.1 million as of June 30, 2022, consisting of principal of $230.0 million, net of unamortized debt issuance costs of $2.9 million. The 2024 Notes were classified as long term liabilities as of June 30, 2022. The remaining term over which the 2024 Notes’ debt issuance costs will be amortized is 1.7 years. The effective interest rate on the debt was 1.53% for the three and six months ended June 30, 2022.</w:t>
      </w:r>
    </w:p>
    <w:p>
      <w:pPr>
        <w:spacing w:after="0" w:line="211" w:lineRule="exact"/>
        <w:rPr>
          <w:sz w:val="20"/>
          <w:szCs w:val="20"/>
          <w:color w:val="auto"/>
        </w:rPr>
      </w:pPr>
    </w:p>
    <w:p>
      <w:pPr>
        <w:jc w:val="both"/>
        <w:ind w:firstLine="420"/>
        <w:spacing w:after="0" w:line="280" w:lineRule="auto"/>
        <w:rPr>
          <w:sz w:val="20"/>
          <w:szCs w:val="20"/>
          <w:color w:val="auto"/>
        </w:rPr>
      </w:pPr>
      <w:r>
        <w:rPr>
          <w:rFonts w:ascii="Times New Roman" w:cs="Times New Roman" w:eastAsia="Times New Roman" w:hAnsi="Times New Roman"/>
          <w:sz w:val="16"/>
          <w:szCs w:val="16"/>
          <w:color w:val="auto"/>
        </w:rPr>
        <w:t>In connection with the offering of the 2024 Notes, the Company entered into privately-negotiated capped call option transactions with certain counterparties (the “2024 capped calls”). The 2024 capped calls each have an initial strike price of approximately $38.58 per share, subject to certain adjustments, which corresponds to the initial conversion price of the 2024 Notes. The 2024 capped calls have initial cap prices of $57.16 per share, subject to certain adjustment events. The 2024 capped calls cover, subject to anti-dilution adjustments, approximately 5.96 million shares of common stock. The 2024 capped calls are generally intended to reduce or offset the potential dilution to the common stock upon any conversion of the 2024 Notes with such reduction or offset, as the case may be, subject to a cap based on the cap price. The 2024 capped calls expire on March 1, 2024, subject to earlier exercise. The 2024 capped calls are subject to either adjustment or termination upon the occurrence of specified extraordinary events affecting the Company, including a merger event, a tender offer, and a nationalization, insolvency or delisting involving the Company. In addition, the 2024 capped calls are subject to certain specified additional disruption events that may give rise to a termination of the 2024 capped calls, including changes in law, failure to deliver, and hedging disruptions. The 2024 capped calls are recorded in stockholders’ equity and are not accounted for as derivatives. The net cost of $23.2 million incurred to purchase the 2024 capped calls was recorded as a reduction to additional paid-in capital in the accompanying condensed consolidated balance sheet.</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 due 2026 and Capped Calls</w:t>
      </w:r>
    </w:p>
    <w:p>
      <w:pPr>
        <w:spacing w:after="0" w:line="241"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In December 2020, the Company issued $517.5 million aggregate principal amount of its 0% Convertible Senior Notes due 2026 (the “2026 Notes” and together with the 2024 Notes, the “Notes”) in a private placement, which amount includes $67.5 million aggregate principal amount of such Notes issued pursuant to the exercise in full by the initial purchasers of their option to purchase additional 2026 Notes.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23" w:name="page24"/>
    <w:bookmarkEnd w:id="23"/>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420"/>
        <w:spacing w:after="0" w:line="331" w:lineRule="auto"/>
        <w:rPr>
          <w:sz w:val="20"/>
          <w:szCs w:val="20"/>
          <w:color w:val="auto"/>
        </w:rPr>
      </w:pPr>
      <w:r>
        <w:rPr>
          <w:rFonts w:ascii="Times New Roman" w:cs="Times New Roman" w:eastAsia="Times New Roman" w:hAnsi="Times New Roman"/>
          <w:sz w:val="16"/>
          <w:szCs w:val="16"/>
          <w:color w:val="auto"/>
        </w:rPr>
        <w:t>The 2026 Notes will mature on December 15, 2026, unless earlier repurchased or redeemed by the Company or converted pursuant to their terms. The total net proceeds from the offering of the 2026 Notes, after deducting debt issuance costs, paid or payable by the Company, was approximately $505.3 million.</w:t>
      </w:r>
    </w:p>
    <w:p>
      <w:pPr>
        <w:spacing w:after="0" w:line="149" w:lineRule="exact"/>
        <w:rPr>
          <w:sz w:val="20"/>
          <w:szCs w:val="20"/>
          <w:color w:val="auto"/>
        </w:rPr>
      </w:pPr>
    </w:p>
    <w:p>
      <w:pPr>
        <w:jc w:val="both"/>
        <w:ind w:firstLine="420"/>
        <w:spacing w:after="0" w:line="282" w:lineRule="auto"/>
        <w:rPr>
          <w:sz w:val="20"/>
          <w:szCs w:val="20"/>
          <w:color w:val="auto"/>
        </w:rPr>
      </w:pPr>
      <w:r>
        <w:rPr>
          <w:rFonts w:ascii="Times New Roman" w:cs="Times New Roman" w:eastAsia="Times New Roman" w:hAnsi="Times New Roman"/>
          <w:sz w:val="16"/>
          <w:szCs w:val="16"/>
          <w:color w:val="auto"/>
        </w:rPr>
        <w:t>Each $1,000 in principal amount of the 2026 Notes is initially convertible into 13.2933 shares of the Company’s common stock par value $0.001, which is equivalent to an initial conversion price of approximately $75.23 per share. The conversion rate is subject to adjustment upon the occurrence of certain specified events but will not be adjusted for any accrued and unpaid special interest. In addition, following certain corporate events that occur prior to the maturity date, the Company will increase the conversion rate for a holder who elects to convert its 2026 Notes in connection with such a corporate event. The 2026 Notes are not redeemable prior to the maturity date of the 2026 Notes and no sinking fund is provided for the 2026 Notes. If the Company undergoes a fundamental change (as defined in the indenture governing the 2026 Notes) prior to the maturity date, holders may require the Company to repurchase for cash all or any portion of their 2026 Notes in principal amounts of $1,000 or a multiple thereof at a fundamental change repurchase price equal to 100% of the principal amount of the 2026 Notes to be repurchased, plus accrued and unpaid special interest to, but excluding, the fundamental change repurchase date.</w:t>
      </w:r>
    </w:p>
    <w:p>
      <w:pPr>
        <w:spacing w:after="0" w:line="187" w:lineRule="exact"/>
        <w:rPr>
          <w:sz w:val="20"/>
          <w:szCs w:val="20"/>
          <w:color w:val="auto"/>
        </w:rPr>
      </w:pPr>
    </w:p>
    <w:p>
      <w:pPr>
        <w:jc w:val="both"/>
        <w:ind w:firstLine="420"/>
        <w:spacing w:after="0" w:line="245" w:lineRule="auto"/>
        <w:rPr>
          <w:sz w:val="20"/>
          <w:szCs w:val="20"/>
          <w:color w:val="auto"/>
        </w:rPr>
      </w:pPr>
      <w:r>
        <w:rPr>
          <w:rFonts w:ascii="Times New Roman" w:cs="Times New Roman" w:eastAsia="Times New Roman" w:hAnsi="Times New Roman"/>
          <w:sz w:val="18"/>
          <w:szCs w:val="18"/>
          <w:color w:val="auto"/>
        </w:rPr>
        <w:t>Holders of the 2026 Notes may convert their 2026 Notes at their option at any time prior to the close of business on the business day immediately preceding August 15, 2026, in multiples of $1,000 principal amount, only under the following circumstances: (1) during any calendar quarter commencing after the calendar quarter ending on March 31,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2026 Notes on each applicable trading day as determined by the Company; (2) during the five business day period after any five consecutive trading day period (the “measurement period”) in which the “trading price” (as defined in the indenture governing the 2026 Notes) per $1,000 principal amount of 2026 Notes for each trading day of the measurement period was less than 98% of the product of the last reported sale price of the Company’s common stock and the conversion rate for the 2026 Notes on each such trading day; (3) with respect to any 2026 Notes that the Company calls for redemption, at any time prior to the close of business on the scheduled trading day immediately preceding the redemption date; or (4) upon the occurrence of specified corporate events. On or after August 15, 2026, holders may convert all or any portion of their 2026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three and six months ended June 30, 2022, the conditions allowing holders of the 2026 Notes to convert were not met.</w:t>
      </w:r>
    </w:p>
    <w:p>
      <w:pPr>
        <w:spacing w:after="0" w:line="239"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The 2026 Notes are senior unsecured obligations and will rank senior in right of payment to any of the Company’s indebtedness that is expressly subordinated in right of payment to the 2026 Notes; equal in right of payment with the Company’s existing and future liabilities that are not so subordinated; effectively subordinated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211" w:lineRule="exact"/>
        <w:rPr>
          <w:sz w:val="20"/>
          <w:szCs w:val="20"/>
          <w:color w:val="auto"/>
        </w:rPr>
      </w:pPr>
    </w:p>
    <w:p>
      <w:pPr>
        <w:jc w:val="both"/>
        <w:ind w:firstLine="420"/>
        <w:spacing w:after="0" w:line="285" w:lineRule="auto"/>
        <w:rPr>
          <w:sz w:val="20"/>
          <w:szCs w:val="20"/>
          <w:color w:val="auto"/>
        </w:rPr>
      </w:pPr>
      <w:r>
        <w:rPr>
          <w:rFonts w:ascii="Times New Roman" w:cs="Times New Roman" w:eastAsia="Times New Roman" w:hAnsi="Times New Roman"/>
          <w:sz w:val="16"/>
          <w:szCs w:val="16"/>
          <w:color w:val="auto"/>
        </w:rPr>
        <w:t>Prior to the adoption of ASU 2020-06 on January 1, 2022, the Company separated the 2026 Notes into liability and equity components. The carrying amount of the liability component was calculated by measuring the fair value of a similar debt instrument that did not have an associated convertible feature. The carrying amount of the equity component representing the conversion option was $162.5 million and was determined by deducting the fair value of the liability component from the par value of the 2026 Notes. The equity component was not remeasured as long as it continued to meet the conditions for equity classification. The excess of the principal amount of the liability component over its carrying amount, or the debt discount, was amortized to interest expense at an effective interest rate over the contractual term of the 2026 Notes. This accounting treatment no longer applies under ASU 2020-06.</w:t>
      </w:r>
    </w:p>
    <w:p>
      <w:pPr>
        <w:spacing w:after="0" w:line="186" w:lineRule="exact"/>
        <w:rPr>
          <w:sz w:val="20"/>
          <w:szCs w:val="20"/>
          <w:color w:val="auto"/>
        </w:rPr>
      </w:pPr>
    </w:p>
    <w:p>
      <w:pPr>
        <w:jc w:val="both"/>
        <w:ind w:firstLine="420"/>
        <w:spacing w:after="0" w:line="288" w:lineRule="auto"/>
        <w:rPr>
          <w:sz w:val="20"/>
          <w:szCs w:val="20"/>
          <w:color w:val="auto"/>
        </w:rPr>
      </w:pPr>
      <w:r>
        <w:rPr>
          <w:rFonts w:ascii="Times New Roman" w:cs="Times New Roman" w:eastAsia="Times New Roman" w:hAnsi="Times New Roman"/>
          <w:sz w:val="16"/>
          <w:szCs w:val="16"/>
          <w:color w:val="auto"/>
        </w:rPr>
        <w:t>Prior to the adoption of ASU 2020-06 on January 1, 2022, the Company allocated the total amount incurred of approximately $12.2 million to the liability and equity components of the 2026 Notes based on the proportion of the proceeds allocated to the debt and equity components. Issuance costs attributable to the liability component were approximately $8.5 million, were recorded as an additional debt discount and are amortized to interest expense using the effective interest method over the contractual term of the 2026 Notes. Issuance costs attributable to the equity component were approximately $3.7 million and recorded as a reduction of additional paid in capital in stockholders’ equity. This accounting treatment no longer applies under ASU 2020-06.</w:t>
      </w:r>
    </w:p>
    <w:p>
      <w:pPr>
        <w:spacing w:after="0" w:line="200" w:lineRule="exact"/>
        <w:rPr>
          <w:sz w:val="20"/>
          <w:szCs w:val="20"/>
          <w:color w:val="auto"/>
        </w:rPr>
      </w:pPr>
    </w:p>
    <w:p>
      <w:pPr>
        <w:spacing w:after="0" w:line="32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24" w:name="page25"/>
    <w:bookmarkEnd w:id="24"/>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In accounting for the 2026 Notes after the adoption of ASU 2020-06, the 2026 Notes are accounted for as a single liability, and the carrying amount of the 2026 Notes is $508.5 million as of June 30, 2022, consisting of principal of $517.5 million, net of issuance costs of $9.0 million. The 2026 Notes were classified as long term liabilities as of June 30, 2022.The remaining term over which the 2026 Notes’ debt issuance costs will be amortized is 4.4 years. The effective interest rate on the debt was 0.40% for the three and six months ended June 30, 2022.</w:t>
      </w:r>
    </w:p>
    <w:p>
      <w:pPr>
        <w:spacing w:after="0" w:line="211" w:lineRule="exact"/>
        <w:rPr>
          <w:sz w:val="20"/>
          <w:szCs w:val="20"/>
          <w:color w:val="auto"/>
        </w:rPr>
      </w:pPr>
    </w:p>
    <w:p>
      <w:pPr>
        <w:jc w:val="both"/>
        <w:ind w:firstLine="420"/>
        <w:spacing w:after="0" w:line="280" w:lineRule="auto"/>
        <w:rPr>
          <w:sz w:val="20"/>
          <w:szCs w:val="20"/>
          <w:color w:val="auto"/>
        </w:rPr>
      </w:pPr>
      <w:r>
        <w:rPr>
          <w:rFonts w:ascii="Times New Roman" w:cs="Times New Roman" w:eastAsia="Times New Roman" w:hAnsi="Times New Roman"/>
          <w:sz w:val="16"/>
          <w:szCs w:val="16"/>
          <w:color w:val="auto"/>
        </w:rPr>
        <w:t>In connection with the offering of the 2026 Notes, the Company entered into privately-negotiated capped call option transactions with certain counterparties (the “2026 capped calls”). The 2026 capped calls each have an initial strike price of approximately $75.23 per share, subject to certain adjustments, which corresponds to the initial conversion price of the 2026 Notes. The 2026 capped calls have initial cap prices of $105.58 per share, subject to certain adjustment events. The 2026 capped calls cover, subject to anti-dilution adjustments, approximately 6.88 million shares of common stock. The 2026 capped calls are generally intended to reduce or offset the potential dilution to the common stock upon any conversion of the 2026 Notes with such reduction or offset, as the case may be, subject to a cap based on the cap price. The 2026 capped calls expire on December 15, 2026, subject to earlier exercise. The 2026 capped calls are subject to either adjustment or termination upon the occurrence of specified extraordinary events affecting the Company, including a merger event, a tender offer, and a nationalization, insolvency or delisting involving the Company. In addition, the 2026 capped calls are subject to certain specified additional disruption events that may give rise to a termination of the 2026 capped calls, including changes in law, failure to deliver, and hedging disruptions. The 2026 capped calls are recorded in stockholders’ equity and are not accounted for as derivatives. The net cost of $46.1 million incurred to purchase the 2026 capped calls was recorded as a reduction to additional paid-in capital in the accompanying condensed consolidated balance sheet.</w:t>
      </w:r>
    </w:p>
    <w:p>
      <w:pPr>
        <w:spacing w:after="0" w:line="4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net carrying amount of the liability component of the Notes as of June 30, 2022 (post-ASU 2020-06 adoption) and as of December 31, 2021 (pre-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ASU 2020-06 adoption) was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2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8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4"/>
          </w:tcPr>
          <w:p>
            <w:pPr>
              <w:jc w:val="right"/>
              <w:ind w:right="96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747,500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747,500</w:t>
            </w:r>
          </w:p>
        </w:tc>
      </w:tr>
      <w:tr>
        <w:trPr>
          <w:trHeight w:val="208"/>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Unamortized discount</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(162,960)</w:t>
            </w: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Unamortized issuance costs</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(10,302)</w:t>
            </w:r>
          </w:p>
        </w:tc>
      </w:tr>
      <w:tr>
        <w:trPr>
          <w:trHeight w:val="205"/>
        </w:trPr>
        <w:tc>
          <w:tcPr>
            <w:tcW w:w="82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carrying amount</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735,530</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574,238</w:t>
            </w:r>
          </w:p>
        </w:tc>
      </w:tr>
      <w:tr>
        <w:trPr>
          <w:trHeight w:val="20"/>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420"/>
        <w:spacing w:after="0" w:line="267" w:lineRule="auto"/>
        <w:rPr>
          <w:sz w:val="20"/>
          <w:szCs w:val="20"/>
          <w:color w:val="auto"/>
        </w:rPr>
      </w:pPr>
      <w:r>
        <w:rPr>
          <w:rFonts w:ascii="Times New Roman" w:cs="Times New Roman" w:eastAsia="Times New Roman" w:hAnsi="Times New Roman"/>
          <w:sz w:val="18"/>
          <w:szCs w:val="18"/>
          <w:color w:val="auto"/>
        </w:rPr>
        <w:t>The net carrying amount of the equity component of the Notes as of June 30, 2022 (post-ASU 2020-06 adoption) and as of December 31, 2021 (pre-ASU 2020-06 adoption) was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80" w:type="dxa"/>
            <w:vAlign w:val="bottom"/>
          </w:tcPr>
          <w:p>
            <w:pPr>
              <w:spacing w:after="0"/>
              <w:rPr>
                <w:sz w:val="16"/>
                <w:szCs w:val="16"/>
                <w:color w:val="auto"/>
              </w:rPr>
            </w:pPr>
          </w:p>
        </w:tc>
        <w:tc>
          <w:tcPr>
            <w:tcW w:w="100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8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60" w:type="dxa"/>
            <w:vAlign w:val="bottom"/>
            <w:gridSpan w:val="4"/>
          </w:tcPr>
          <w:p>
            <w:pPr>
              <w:jc w:val="right"/>
              <w:ind w:right="96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allocated to the conversion options (debt discount)</w:t>
            </w:r>
          </w:p>
        </w:tc>
        <w:tc>
          <w:tcPr>
            <w:tcW w:w="1000" w:type="dxa"/>
            <w:vAlign w:val="bottom"/>
            <w:shd w:val="clear" w:color="auto" w:fill="CCEEFF"/>
          </w:tcPr>
          <w:p>
            <w:pPr>
              <w:jc w:val="right"/>
              <w:ind w:right="826"/>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215,434</w:t>
            </w:r>
          </w:p>
        </w:tc>
      </w:tr>
      <w:tr>
        <w:trPr>
          <w:trHeight w:val="208"/>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costs</w:t>
            </w:r>
          </w:p>
        </w:tc>
        <w:tc>
          <w:tcPr>
            <w:tcW w:w="1000" w:type="dxa"/>
            <w:vAlign w:val="bottom"/>
          </w:tcPr>
          <w:p>
            <w:pPr>
              <w:spacing w:after="0"/>
              <w:rPr>
                <w:sz w:val="18"/>
                <w:szCs w:val="18"/>
                <w:color w:val="auto"/>
              </w:rPr>
            </w:pPr>
          </w:p>
        </w:tc>
        <w:tc>
          <w:tcPr>
            <w:tcW w:w="5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(5,783)</w:t>
            </w:r>
          </w:p>
        </w:tc>
      </w:tr>
      <w:tr>
        <w:trPr>
          <w:trHeight w:val="230"/>
        </w:trPr>
        <w:tc>
          <w:tcPr>
            <w:tcW w:w="82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Net carrying amount</w:t>
            </w:r>
          </w:p>
        </w:tc>
        <w:tc>
          <w:tcPr>
            <w:tcW w:w="1000" w:type="dxa"/>
            <w:vAlign w:val="bottom"/>
            <w:tcBorders>
              <w:top w:val="single" w:sz="8" w:color="auto"/>
              <w:bottom w:val="single" w:sz="8" w:color="auto"/>
            </w:tcBorders>
            <w:shd w:val="clear" w:color="auto" w:fill="CCEEFF"/>
          </w:tcPr>
          <w:p>
            <w:pPr>
              <w:jc w:val="right"/>
              <w:ind w:right="826"/>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209,651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the Notes: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400" w:type="dxa"/>
            <w:vAlign w:val="bottom"/>
            <w:gridSpan w:val="4"/>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6"/>
                <w:szCs w:val="16"/>
                <w:color w:val="auto"/>
              </w:rPr>
            </w:pPr>
          </w:p>
        </w:tc>
      </w:tr>
      <w:tr>
        <w:trPr>
          <w:trHeight w:val="197"/>
        </w:trPr>
        <w:tc>
          <w:tcPr>
            <w:tcW w:w="5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gridSpan w:val="3"/>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7"/>
                <w:szCs w:val="17"/>
                <w:color w:val="auto"/>
              </w:rPr>
            </w:pPr>
          </w:p>
        </w:tc>
      </w:tr>
      <w:tr>
        <w:trPr>
          <w:trHeight w:val="24"/>
        </w:trPr>
        <w:tc>
          <w:tcPr>
            <w:tcW w:w="5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5340" w:type="dxa"/>
            <w:vAlign w:val="bottom"/>
          </w:tcPr>
          <w:p>
            <w:pPr>
              <w:spacing w:after="0"/>
              <w:rPr>
                <w:sz w:val="15"/>
                <w:szCs w:val="15"/>
                <w:color w:val="auto"/>
              </w:rPr>
            </w:pPr>
          </w:p>
        </w:tc>
        <w:tc>
          <w:tcPr>
            <w:tcW w:w="9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0"/>
        </w:trPr>
        <w:tc>
          <w:tcPr>
            <w:tcW w:w="5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92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863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r>
      <w:tr>
        <w:trPr>
          <w:trHeight w:val="208"/>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issuance costs</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1,885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w:t>
            </w:r>
          </w:p>
        </w:tc>
      </w:tr>
      <w:tr>
        <w:trPr>
          <w:trHeight w:val="21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9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16,374</w:t>
            </w:r>
          </w:p>
        </w:tc>
      </w:tr>
      <w:tr>
        <w:trPr>
          <w:trHeight w:val="205"/>
        </w:trPr>
        <w:tc>
          <w:tcPr>
            <w:tcW w:w="53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interest expense</w:t>
            </w:r>
          </w:p>
        </w:tc>
        <w:tc>
          <w:tcPr>
            <w:tcW w:w="920" w:type="dxa"/>
            <w:vAlign w:val="bottom"/>
            <w:tcBorders>
              <w:top w:val="single" w:sz="8" w:color="auto"/>
              <w:bottom w:val="single" w:sz="8" w:color="auto"/>
            </w:tcBorders>
          </w:tcPr>
          <w:p>
            <w:pPr>
              <w:jc w:val="right"/>
              <w:ind w:right="746"/>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9,307</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2,748</w:t>
            </w:r>
          </w:p>
        </w:tc>
        <w:tc>
          <w:tcPr>
            <w:tcW w:w="1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18,465</w:t>
            </w:r>
          </w:p>
        </w:tc>
      </w:tr>
      <w:tr>
        <w:trPr>
          <w:trHeight w:val="20"/>
        </w:trPr>
        <w:tc>
          <w:tcPr>
            <w:tcW w:w="5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315"/>
        <w:spacing w:after="0" w:line="267" w:lineRule="auto"/>
        <w:rPr>
          <w:sz w:val="20"/>
          <w:szCs w:val="20"/>
          <w:color w:val="auto"/>
        </w:rPr>
      </w:pPr>
      <w:r>
        <w:rPr>
          <w:rFonts w:ascii="Times New Roman" w:cs="Times New Roman" w:eastAsia="Times New Roman" w:hAnsi="Times New Roman"/>
          <w:sz w:val="18"/>
          <w:szCs w:val="18"/>
          <w:color w:val="auto"/>
        </w:rPr>
        <w:t>Interest expense of $1.4 million and $2.7 million are reflected as a component of interest expense, net in the accompanying condensed consolidated statement of operations for the three and six months ended June 30, 2022, respectively.</w:t>
      </w:r>
    </w:p>
    <w:p>
      <w:pPr>
        <w:sectPr>
          <w:pgSz w:w="11900" w:h="16838" w:orient="portrait"/>
          <w:cols w:equalWidth="0" w:num="1">
            <w:col w:w="11240"/>
          </w:cols>
          <w:pgMar w:left="320" w:top="1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type w:val="continuous"/>
        </w:sectPr>
      </w:pPr>
    </w:p>
    <w:bookmarkStart w:id="25" w:name="page26"/>
    <w:bookmarkEnd w:id="25"/>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Acquisitions</w:t>
      </w:r>
    </w:p>
    <w:p>
      <w:pPr>
        <w:spacing w:after="0" w:line="241" w:lineRule="exact"/>
        <w:rPr>
          <w:sz w:val="20"/>
          <w:szCs w:val="20"/>
          <w:color w:val="auto"/>
        </w:rPr>
      </w:pPr>
    </w:p>
    <w:p>
      <w:pPr>
        <w:jc w:val="both"/>
        <w:ind w:firstLine="420"/>
        <w:spacing w:after="0" w:line="246" w:lineRule="auto"/>
        <w:rPr>
          <w:sz w:val="20"/>
          <w:szCs w:val="20"/>
          <w:color w:val="auto"/>
        </w:rPr>
      </w:pPr>
      <w:r>
        <w:rPr>
          <w:rFonts w:ascii="Times New Roman" w:cs="Times New Roman" w:eastAsia="Times New Roman" w:hAnsi="Times New Roman"/>
          <w:sz w:val="18"/>
          <w:szCs w:val="18"/>
          <w:color w:val="auto"/>
        </w:rPr>
        <w:t>In February 2022, the Company completed the acquisition of 100% of the equity of WildHealth, Inc. (“WildHealth”), a precision medicine company operating in the United States, for a total purchase price of $22.3 million. The purchase price consisted of approximately $4.6 million in cash and $17.7 million in shares of common stock of the Company. As part of the purchase price, the Company issued 776,825 common shares that had a total fair value of $20.8 million based on the closing market price of $26.81 on the acquisition date of February 7, 2022. This acquisition is part of the Company’s strategy to accelerate its technology-driven healthcare offerings by combining a rich healthcare data platform with Conversational AI to enable B2B healthcare brands to scale and personalize patient engagement. The transaction was accounted for as a business combination. In connection with the acquisition, the Company entered into stock forfeiture agreements with certain employees of WildHealth, under which a portion of the purchase price will be subject to vesting conditions based on continuing employment post acquisition. The Company has allocated the purchase consideration subject to the stock forfeiture agreements between pre and post combination periods.</w:t>
      </w:r>
    </w:p>
    <w:p>
      <w:pPr>
        <w:spacing w:after="0" w:line="217" w:lineRule="exact"/>
        <w:rPr>
          <w:sz w:val="20"/>
          <w:szCs w:val="20"/>
          <w:color w:val="auto"/>
        </w:rPr>
      </w:pPr>
    </w:p>
    <w:p>
      <w:pPr>
        <w:jc w:val="both"/>
        <w:ind w:firstLine="420"/>
        <w:spacing w:after="0" w:line="247" w:lineRule="auto"/>
        <w:rPr>
          <w:sz w:val="20"/>
          <w:szCs w:val="20"/>
          <w:color w:val="auto"/>
        </w:rPr>
      </w:pPr>
      <w:r>
        <w:rPr>
          <w:rFonts w:ascii="Times New Roman" w:cs="Times New Roman" w:eastAsia="Times New Roman" w:hAnsi="Times New Roman"/>
          <w:sz w:val="18"/>
          <w:szCs w:val="18"/>
          <w:color w:val="auto"/>
        </w:rPr>
        <w:t>Former stockholders of WildHealth have the right to receive in the aggregate up to an additional $120.0 million earn-out (to be settled in the Company’s equity or cash at the Company’s election, but with the cash election restricted to 18.0 percent of the total earn-out) based upon satisfaction of certain financial milestones over the period from October 31, 2022 through December 31, 2025. The Company has accounted for the earn-out as a compensation arrangement in accordance with ASC 718, “Compensation - Stock Compensation,” pursuant to which such earn-out payments are liability classified to be recognized over the requisite service periods. For the earn-outs, the Company accrued $14.6 million and $23.3 million for the three and six months ended June 30, 2022, respectively, which is reflected as a component of other liabilities in the accompanying condensed consolidated balance sheets and as a component of stock-based compensation expense in the accompanying condensed consolidated statement of operations.</w:t>
      </w:r>
    </w:p>
    <w:p>
      <w:pPr>
        <w:spacing w:after="0" w:line="216" w:lineRule="exact"/>
        <w:rPr>
          <w:sz w:val="20"/>
          <w:szCs w:val="20"/>
          <w:color w:val="auto"/>
        </w:rPr>
      </w:pPr>
    </w:p>
    <w:p>
      <w:pPr>
        <w:jc w:val="both"/>
        <w:ind w:firstLine="420"/>
        <w:spacing w:after="0" w:line="249" w:lineRule="auto"/>
        <w:rPr>
          <w:sz w:val="20"/>
          <w:szCs w:val="20"/>
          <w:color w:val="auto"/>
        </w:rPr>
      </w:pPr>
      <w:r>
        <w:rPr>
          <w:rFonts w:ascii="Times New Roman" w:cs="Times New Roman" w:eastAsia="Times New Roman" w:hAnsi="Times New Roman"/>
          <w:sz w:val="18"/>
          <w:szCs w:val="18"/>
          <w:color w:val="auto"/>
        </w:rPr>
        <w:t>The purchase price allocation resulted in approximately $15.5 million of goodwill and $8.3 million of intangible assets. WildHealth is part of the Business Segment and is a separate reporting unit. Goodwill is primarily attributed to synergies from future expected economic benefits, including enhanced revenue growth from expanded capabilities. The goodwill will not be deductible for tax purposes. The intangible assets are being amortized over their expected period of benefit. A deferred tax liability for the identified intangibles has been recorded for $1.6 million. The Company recorded an indemnification asset of $1.2 million relating to a pre-acquisition liability assumed.</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fair value amounts of identifiable assets acquired and liabilities assumed at the acquisition date:</w:t>
      </w:r>
    </w:p>
    <w:p>
      <w:pPr>
        <w:spacing w:after="0" w:line="200" w:lineRule="exact"/>
        <w:rPr>
          <w:sz w:val="20"/>
          <w:szCs w:val="20"/>
          <w:color w:val="auto"/>
        </w:rPr>
      </w:pPr>
    </w:p>
    <w:p>
      <w:pPr>
        <w:spacing w:after="0" w:line="38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26" w:name="page27"/>
    <w:bookmarkEnd w:id="26"/>
    <w:p>
      <w:pPr>
        <w:jc w:val="center"/>
        <w:ind w:left="40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1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240"/>
          </w:cols>
          <w:pgMar w:left="320" w:top="1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130" cy="141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Cash</w:t>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130" cy="141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Fixed assets</w:t>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130" cy="141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136130" cy="1498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Assets acquired</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Liabilities assumed</w:t>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Current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130" cy="141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Deferred tax liabilities</w:t>
      </w:r>
    </w:p>
    <w:p>
      <w:pPr>
        <w:spacing w:after="0" w:line="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Other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130" cy="141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Total liabilities assumed</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130" cy="141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Total acquisition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136130" cy="167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16700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Goodwill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1"/>
        <w:spacing w:after="0"/>
        <w:rPr>
          <w:sz w:val="20"/>
          <w:szCs w:val="20"/>
          <w:color w:val="auto"/>
        </w:rPr>
      </w:pPr>
      <w:r>
        <w:rPr>
          <w:rFonts w:ascii="Times New Roman" w:cs="Times New Roman" w:eastAsia="Times New Roman" w:hAnsi="Times New Roman"/>
          <w:sz w:val="14"/>
          <w:szCs w:val="14"/>
          <w:b w:val="1"/>
          <w:bCs w:val="1"/>
          <w:color w:val="auto"/>
        </w:rPr>
        <w:t>WildHealth</w:t>
      </w:r>
    </w:p>
    <w:p>
      <w:pPr>
        <w:spacing w:after="0" w:line="15" w:lineRule="exact"/>
        <w:rPr>
          <w:sz w:val="20"/>
          <w:szCs w:val="20"/>
          <w:color w:val="auto"/>
        </w:rPr>
      </w:pPr>
    </w:p>
    <w:p>
      <w:pPr>
        <w:ind w:left="331"/>
        <w:spacing w:after="0"/>
        <w:rPr>
          <w:sz w:val="20"/>
          <w:szCs w:val="20"/>
          <w:color w:val="auto"/>
        </w:rPr>
      </w:pPr>
      <w:r>
        <w:rPr>
          <w:rFonts w:ascii="Times New Roman" w:cs="Times New Roman" w:eastAsia="Times New Roman" w:hAnsi="Times New Roman"/>
          <w:sz w:val="14"/>
          <w:szCs w:val="14"/>
          <w:b w:val="1"/>
          <w:bCs w:val="1"/>
          <w:color w:val="auto"/>
        </w:rPr>
        <w:t>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18415</wp:posOffset>
            </wp:positionV>
            <wp:extent cx="8839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3920" cy="8255"/>
                    </a:xfrm>
                    <a:prstGeom prst="rect">
                      <a:avLst/>
                    </a:prstGeom>
                    <a:noFill/>
                  </pic:spPr>
                </pic:pic>
              </a:graphicData>
            </a:graphic>
          </wp:anchor>
        </w:drawing>
      </w:r>
    </w:p>
    <w:p>
      <w:pPr>
        <w:spacing w:after="0" w:line="26" w:lineRule="exact"/>
        <w:rPr>
          <w:sz w:val="20"/>
          <w:szCs w:val="20"/>
          <w:color w:val="auto"/>
        </w:rPr>
      </w:pPr>
    </w:p>
    <w:p>
      <w:pPr>
        <w:ind w:left="271"/>
        <w:spacing w:after="0"/>
        <w:rPr>
          <w:sz w:val="20"/>
          <w:szCs w:val="20"/>
          <w:color w:val="auto"/>
        </w:rPr>
      </w:pPr>
      <w:r>
        <w:rPr>
          <w:rFonts w:ascii="Times New Roman" w:cs="Times New Roman" w:eastAsia="Times New Roman" w:hAnsi="Times New Roman"/>
          <w:sz w:val="14"/>
          <w:szCs w:val="14"/>
          <w:color w:val="auto"/>
        </w:rPr>
        <w:t>(In thousands)</w:t>
      </w:r>
    </w:p>
    <w:p>
      <w:pPr>
        <w:spacing w:after="0" w:line="281" w:lineRule="exact"/>
        <w:rPr>
          <w:sz w:val="20"/>
          <w:szCs w:val="20"/>
          <w:color w:val="auto"/>
        </w:rPr>
      </w:pPr>
    </w:p>
    <w:p>
      <w:pPr>
        <w:ind w:left="951" w:hanging="951"/>
        <w:spacing w:after="0"/>
        <w:tabs>
          <w:tab w:leader="none" w:pos="95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1,353</w:t>
      </w:r>
    </w:p>
    <w:p>
      <w:pPr>
        <w:spacing w:after="0" w:line="39" w:lineRule="exact"/>
        <w:rPr>
          <w:rFonts w:ascii="Times New Roman" w:cs="Times New Roman" w:eastAsia="Times New Roman" w:hAnsi="Times New Roman"/>
          <w:sz w:val="16"/>
          <w:szCs w:val="16"/>
          <w:color w:val="auto"/>
        </w:rPr>
      </w:pPr>
    </w:p>
    <w:p>
      <w:pPr>
        <w:ind w:left="107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382</w:t>
      </w:r>
    </w:p>
    <w:p>
      <w:pPr>
        <w:spacing w:after="0" w:line="39" w:lineRule="exact"/>
        <w:rPr>
          <w:rFonts w:ascii="Times New Roman" w:cs="Times New Roman" w:eastAsia="Times New Roman" w:hAnsi="Times New Roman"/>
          <w:sz w:val="16"/>
          <w:szCs w:val="16"/>
          <w:color w:val="auto"/>
        </w:rPr>
      </w:pPr>
    </w:p>
    <w:p>
      <w:pPr>
        <w:ind w:left="1071"/>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248</w:t>
      </w:r>
    </w:p>
    <w:p>
      <w:pPr>
        <w:spacing w:after="0" w:line="39" w:lineRule="exact"/>
        <w:rPr>
          <w:sz w:val="20"/>
          <w:szCs w:val="20"/>
          <w:color w:val="auto"/>
        </w:rPr>
      </w:pPr>
    </w:p>
    <w:p>
      <w:pPr>
        <w:ind w:left="951"/>
        <w:spacing w:after="0"/>
        <w:rPr>
          <w:sz w:val="20"/>
          <w:szCs w:val="20"/>
          <w:color w:val="auto"/>
        </w:rPr>
      </w:pPr>
      <w:r>
        <w:rPr>
          <w:rFonts w:ascii="Times New Roman" w:cs="Times New Roman" w:eastAsia="Times New Roman" w:hAnsi="Times New Roman"/>
          <w:sz w:val="16"/>
          <w:szCs w:val="16"/>
          <w:color w:val="auto"/>
        </w:rPr>
        <w:t>8,300</w:t>
      </w:r>
    </w:p>
    <w:p>
      <w:pPr>
        <w:spacing w:after="0" w:line="39" w:lineRule="exact"/>
        <w:rPr>
          <w:sz w:val="20"/>
          <w:szCs w:val="20"/>
          <w:color w:val="auto"/>
        </w:rPr>
      </w:pPr>
    </w:p>
    <w:p>
      <w:pPr>
        <w:ind w:left="951"/>
        <w:spacing w:after="0"/>
        <w:rPr>
          <w:sz w:val="20"/>
          <w:szCs w:val="20"/>
          <w:color w:val="auto"/>
        </w:rPr>
      </w:pPr>
      <w:r>
        <w:rPr>
          <w:rFonts w:ascii="Times New Roman" w:cs="Times New Roman" w:eastAsia="Times New Roman" w:hAnsi="Times New Roman"/>
          <w:sz w:val="16"/>
          <w:szCs w:val="16"/>
          <w:color w:val="auto"/>
        </w:rPr>
        <w:t>1,037</w:t>
      </w:r>
    </w:p>
    <w:p>
      <w:pPr>
        <w:spacing w:after="0" w:line="39" w:lineRule="exact"/>
        <w:rPr>
          <w:sz w:val="20"/>
          <w:szCs w:val="20"/>
          <w:color w:val="auto"/>
        </w:rPr>
      </w:pPr>
    </w:p>
    <w:p>
      <w:pPr>
        <w:ind w:left="891" w:hanging="891"/>
        <w:spacing w:after="0"/>
        <w:tabs>
          <w:tab w:leader="none" w:pos="89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11,320</w:t>
      </w:r>
    </w:p>
    <w:p>
      <w:pPr>
        <w:spacing w:after="0" w:line="276" w:lineRule="exact"/>
        <w:rPr>
          <w:sz w:val="20"/>
          <w:szCs w:val="20"/>
          <w:color w:val="auto"/>
        </w:rPr>
      </w:pPr>
    </w:p>
    <w:p>
      <w:pPr>
        <w:ind w:left="891" w:hanging="891"/>
        <w:spacing w:after="0"/>
        <w:tabs>
          <w:tab w:leader="none" w:pos="891"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(1,463)</w:t>
      </w:r>
    </w:p>
    <w:p>
      <w:pPr>
        <w:spacing w:after="0" w:line="50" w:lineRule="exact"/>
        <w:rPr>
          <w:rFonts w:ascii="Times New Roman" w:cs="Times New Roman" w:eastAsia="Times New Roman" w:hAnsi="Times New Roman"/>
          <w:sz w:val="15"/>
          <w:szCs w:val="15"/>
          <w:color w:val="auto"/>
        </w:rPr>
      </w:pPr>
    </w:p>
    <w:p>
      <w:pPr>
        <w:ind w:left="891"/>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(1,603)</w:t>
      </w:r>
    </w:p>
    <w:p>
      <w:pPr>
        <w:spacing w:after="0" w:line="50" w:lineRule="exact"/>
        <w:rPr>
          <w:rFonts w:ascii="Times New Roman" w:cs="Times New Roman" w:eastAsia="Times New Roman" w:hAnsi="Times New Roman"/>
          <w:sz w:val="15"/>
          <w:szCs w:val="15"/>
          <w:color w:val="auto"/>
        </w:rPr>
      </w:pPr>
    </w:p>
    <w:p>
      <w:pPr>
        <w:ind w:left="891"/>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(1,500)</w:t>
      </w:r>
    </w:p>
    <w:p>
      <w:pPr>
        <w:spacing w:after="0" w:line="50" w:lineRule="exact"/>
        <w:rPr>
          <w:rFonts w:ascii="Times New Roman" w:cs="Times New Roman" w:eastAsia="Times New Roman" w:hAnsi="Times New Roman"/>
          <w:sz w:val="15"/>
          <w:szCs w:val="15"/>
          <w:color w:val="auto"/>
        </w:rPr>
      </w:pPr>
    </w:p>
    <w:p>
      <w:pPr>
        <w:ind w:left="891"/>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(4,566)</w:t>
      </w:r>
    </w:p>
    <w:p>
      <w:pPr>
        <w:spacing w:after="0" w:line="50" w:lineRule="exact"/>
        <w:rPr>
          <w:rFonts w:ascii="Times New Roman" w:cs="Times New Roman" w:eastAsia="Times New Roman" w:hAnsi="Times New Roman"/>
          <w:sz w:val="15"/>
          <w:szCs w:val="15"/>
          <w:color w:val="auto"/>
        </w:rPr>
      </w:pPr>
    </w:p>
    <w:p>
      <w:pPr>
        <w:ind w:left="951"/>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6,754</w:t>
      </w:r>
    </w:p>
    <w:p>
      <w:pPr>
        <w:spacing w:after="0" w:line="39" w:lineRule="exact"/>
        <w:rPr>
          <w:rFonts w:ascii="Times New Roman" w:cs="Times New Roman" w:eastAsia="Times New Roman" w:hAnsi="Times New Roman"/>
          <w:sz w:val="15"/>
          <w:szCs w:val="15"/>
          <w:color w:val="auto"/>
        </w:rPr>
      </w:pPr>
    </w:p>
    <w:p>
      <w:pPr>
        <w:ind w:left="871"/>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22,265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-407670</wp:posOffset>
            </wp:positionV>
            <wp:extent cx="8839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3920" cy="8255"/>
                    </a:xfrm>
                    <a:prstGeom prst="rect">
                      <a:avLst/>
                    </a:prstGeom>
                    <a:noFill/>
                  </pic:spPr>
                </pic:pic>
              </a:graphicData>
            </a:graphic>
          </wp:anchor>
        </w:drawing>
      </w:r>
    </w:p>
    <w:p>
      <w:pPr>
        <w:spacing w:after="0" w:line="19" w:lineRule="exact"/>
        <w:rPr>
          <w:sz w:val="20"/>
          <w:szCs w:val="20"/>
          <w:color w:val="auto"/>
        </w:rPr>
      </w:pPr>
    </w:p>
    <w:p>
      <w:pPr>
        <w:ind w:left="891" w:hanging="891"/>
        <w:spacing w:after="0"/>
        <w:tabs>
          <w:tab w:leader="none" w:pos="89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50165</wp:posOffset>
            </wp:positionV>
            <wp:extent cx="8839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392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149" w:space="720"/>
            <w:col w:w="1371"/>
          </w:cols>
          <w:pgMar w:left="320" w:top="172" w:right="339" w:bottom="1440" w:gutter="0" w:footer="0" w:header="0"/>
          <w:type w:val="continuous"/>
        </w:sectPr>
      </w:pPr>
    </w:p>
    <w:p>
      <w:pPr>
        <w:spacing w:after="0" w:line="45"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Other current assets acquired in connection with the acquisition consisted primarily of accounts receivable and other short term assets. Current liabilities assumed in connection with the acquisition consisted primarily of accounts payable, deferred revenue and other short term liabilities. The following is the breakout of the intangible assets acquired: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Amortizing intangible assets: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8"/>
                <w:szCs w:val="18"/>
                <w:color w:val="auto"/>
              </w:rPr>
            </w:pPr>
          </w:p>
        </w:tc>
        <w:tc>
          <w:tcPr>
            <w:tcW w:w="14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185"/>
        </w:trPr>
        <w:tc>
          <w:tcPr>
            <w:tcW w:w="8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244"/>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7"/>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Developed technology</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96"/>
              </w:rPr>
              <w:t>5.0 years</w:t>
            </w:r>
          </w:p>
        </w:tc>
      </w:tr>
      <w:tr>
        <w:trPr>
          <w:trHeight w:val="208"/>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name</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tcPr>
          <w:p>
            <w:pPr>
              <w:spacing w:after="0"/>
              <w:rPr>
                <w:sz w:val="18"/>
                <w:szCs w:val="18"/>
                <w:color w:val="auto"/>
              </w:rPr>
            </w:pPr>
          </w:p>
        </w:tc>
        <w:tc>
          <w:tcPr>
            <w:tcW w:w="1420" w:type="dxa"/>
            <w:vAlign w:val="bottom"/>
          </w:tcPr>
          <w:p>
            <w:pPr>
              <w:ind w:left="840"/>
              <w:spacing w:after="0"/>
              <w:rPr>
                <w:sz w:val="20"/>
                <w:szCs w:val="20"/>
                <w:color w:val="auto"/>
              </w:rPr>
            </w:pPr>
            <w:r>
              <w:rPr>
                <w:rFonts w:ascii="Times New Roman" w:cs="Times New Roman" w:eastAsia="Times New Roman" w:hAnsi="Times New Roman"/>
                <w:sz w:val="16"/>
                <w:szCs w:val="16"/>
                <w:color w:val="auto"/>
                <w:w w:val="96"/>
              </w:rPr>
              <w:t>5.0 years</w:t>
            </w:r>
          </w:p>
        </w:tc>
      </w:tr>
      <w:tr>
        <w:trPr>
          <w:trHeight w:val="21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Fellowship content</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96"/>
              </w:rPr>
              <w:t>5.0 years</w:t>
            </w:r>
          </w:p>
        </w:tc>
      </w:tr>
      <w:tr>
        <w:trPr>
          <w:trHeight w:val="205"/>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8,300</w:t>
            </w: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8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420"/>
        <w:spacing w:after="0" w:line="247" w:lineRule="auto"/>
        <w:rPr>
          <w:sz w:val="20"/>
          <w:szCs w:val="20"/>
          <w:color w:val="auto"/>
        </w:rPr>
      </w:pPr>
      <w:r>
        <w:rPr>
          <w:rFonts w:ascii="Times New Roman" w:cs="Times New Roman" w:eastAsia="Times New Roman" w:hAnsi="Times New Roman"/>
          <w:sz w:val="18"/>
          <w:szCs w:val="18"/>
          <w:color w:val="222222"/>
        </w:rPr>
        <w:t>The Company applied a multi-period excess earnings method of the income approach to estimate the fair values of the intangible assets acquired. The intangible assets acquired in the business acquisition were developed technology, trade name, and fellowship content for the fair value of $8.3 million, determined based on the estimated fair value of expected after-tax cash flows attributable to annual recurring revenue from customers. The Company applied various estimates and assumptions with respect to forecasted revenue growth rates, the revenue attributable to the existing customers over time and the discount rate. The fair values assigned to the other tangible and identifiable intangible assets acquired and liabilities assumed as part of the business combination were based on management’s estimates and assumptions. The Company began amortizing the intangible assets on the date of acquisition over a period of five years based on expected future cash flow. The amortization expense is recorded to amortization of purchased intangibles in the condensed consolidated statements of operations.</w:t>
      </w:r>
    </w:p>
    <w:p>
      <w:pPr>
        <w:spacing w:after="0" w:line="252"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222222"/>
        </w:rPr>
        <w:t xml:space="preserve">The Company incurred $2.0 million in acquisition costs related to WildHealth transaction that was expensed in the period incurred, of which the amount expensed for the </w:t>
      </w:r>
      <w:r>
        <w:rPr>
          <w:rFonts w:ascii="Times New Roman" w:cs="Times New Roman" w:eastAsia="Times New Roman" w:hAnsi="Times New Roman"/>
          <w:sz w:val="18"/>
          <w:szCs w:val="18"/>
          <w:color w:val="000000"/>
        </w:rPr>
        <w:t>three months ended June 30, 2022</w:t>
      </w:r>
      <w:r>
        <w:rPr>
          <w:rFonts w:ascii="Times New Roman" w:cs="Times New Roman" w:eastAsia="Times New Roman" w:hAnsi="Times New Roman"/>
          <w:sz w:val="18"/>
          <w:szCs w:val="18"/>
          <w:color w:val="222222"/>
        </w:rPr>
        <w:t xml:space="preserve"> was immaterial, and is included in general and administrative expense in the accompanying condensed consolidated statement of operations.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Leases</w:t>
      </w:r>
    </w:p>
    <w:p>
      <w:pPr>
        <w:spacing w:after="0" w:line="241"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The Company has operating and finance leases for its corporate offices and other service agreements. Its leases have remaining lease terms of less than one to four years, some of which include options to extend.</w:t>
      </w:r>
    </w:p>
    <w:p>
      <w:pPr>
        <w:spacing w:after="0" w:line="196"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In connection with the leases, the Company recognized operating lease right of use assets of $3.1 million and $2.0 million and an aggregate lease liability of $5.3 million and $6.1 million in its condensed consolidated balance sheet as of June 30, 2022 and December 31, 2021, respectively.</w:t>
      </w:r>
    </w:p>
    <w:p>
      <w:pPr>
        <w:sectPr>
          <w:pgSz w:w="11900" w:h="16838" w:orient="portrait"/>
          <w:cols w:equalWidth="0" w:num="1">
            <w:col w:w="11240"/>
          </w:cols>
          <w:pgMar w:left="320" w:top="17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type w:val="continuous"/>
        </w:sectPr>
      </w:pPr>
    </w:p>
    <w:bookmarkStart w:id="27" w:name="page28"/>
    <w:bookmarkEnd w:id="27"/>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420"/>
        <w:spacing w:after="0" w:line="248" w:lineRule="auto"/>
        <w:rPr>
          <w:sz w:val="20"/>
          <w:szCs w:val="20"/>
          <w:color w:val="auto"/>
        </w:rPr>
      </w:pPr>
      <w:r>
        <w:rPr>
          <w:rFonts w:ascii="Times New Roman" w:cs="Times New Roman" w:eastAsia="Times New Roman" w:hAnsi="Times New Roman"/>
          <w:sz w:val="18"/>
          <w:szCs w:val="18"/>
          <w:color w:val="auto"/>
        </w:rPr>
        <w:t>On July 13, 2020, the Company announced its decision to transition to an employee-centric model under which employees work remotely rather than in traditional offices. In connection with this decision, the Company abandoned 14 leases in its global portfolio of office leases during 2020. As a result, the Company recognized accelerated amortization to fully reduce the carrying value of the associated right of use assets between the decision date and the cease use date. During the second quarter of 2021, the Company decided to reoccupy some of its leased space to provide its employees with the option of working in an office space environment if they choose to do so. There were no changes to the accounting for the lease liabilities associated with the leased office spaces. During the three months ended June 30, 2021, the Company had a $3.3 million gain resulting from the settlement of leases.</w:t>
      </w:r>
    </w:p>
    <w:p>
      <w:pPr>
        <w:spacing w:after="0" w:line="213" w:lineRule="exact"/>
        <w:rPr>
          <w:sz w:val="20"/>
          <w:szCs w:val="20"/>
          <w:color w:val="auto"/>
        </w:rPr>
      </w:pPr>
    </w:p>
    <w:p>
      <w:pPr>
        <w:jc w:val="both"/>
        <w:ind w:firstLine="420"/>
        <w:spacing w:after="0" w:line="248" w:lineRule="auto"/>
        <w:rPr>
          <w:sz w:val="20"/>
          <w:szCs w:val="20"/>
          <w:color w:val="auto"/>
        </w:rPr>
      </w:pPr>
      <w:r>
        <w:rPr>
          <w:rFonts w:ascii="Times New Roman" w:cs="Times New Roman" w:eastAsia="Times New Roman" w:hAnsi="Times New Roman"/>
          <w:sz w:val="18"/>
          <w:szCs w:val="18"/>
          <w:color w:val="auto"/>
        </w:rPr>
        <w:t>As of June 30, 2022, due to a dispute with respect to one of the leases in Israel, the Company was required to pledge cash as collateral security to be maintained at an Israeli bank. The collateral security would remain in control of the bank, to be available in order to satisfy outstanding obligations under the lease contracts. Accordingly, the Company had cash at an Israeli bank of approximately $0.2 million at June 30, 2022, which is recorded as restricted cash in Prepaid expenses and other current assets in the condensed consolidated balance sheets. In the third quarter of 2021, the Company entered into a new lease in Australia and was required to pledge $0.2 million in cash as collateral security, which is also recorded as restricted cash in Prepaid expenses and other current assets in the condensed consolidated balance sheets.</w:t>
      </w:r>
    </w:p>
    <w:p>
      <w:pPr>
        <w:spacing w:after="0" w:line="213"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The Company continues to actively assess its global lease portfolio. However, any additional de-recognition of right of use assets and incurrence of various one-time expenses in connection with early termination of additional leases are not expected to be material to its financial condition or results of operations.</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periods listed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480" w:type="dxa"/>
            <w:vAlign w:val="bottom"/>
            <w:gridSpan w:val="3"/>
          </w:tcPr>
          <w:p>
            <w:pPr>
              <w:jc w:val="center"/>
              <w:ind w:left="40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6"/>
                <w:szCs w:val="16"/>
                <w:color w:val="auto"/>
              </w:rPr>
            </w:pPr>
          </w:p>
        </w:tc>
      </w:tr>
      <w:tr>
        <w:trPr>
          <w:trHeight w:val="197"/>
        </w:trPr>
        <w:tc>
          <w:tcPr>
            <w:tcW w:w="5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60" w:type="dxa"/>
            <w:vAlign w:val="bottom"/>
            <w:gridSpan w:val="2"/>
          </w:tcPr>
          <w:p>
            <w:pPr>
              <w:jc w:val="center"/>
              <w:ind w:right="38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900" w:type="dxa"/>
            <w:vAlign w:val="bottom"/>
          </w:tcPr>
          <w:p>
            <w:pPr>
              <w:spacing w:after="0"/>
              <w:rPr>
                <w:sz w:val="17"/>
                <w:szCs w:val="17"/>
                <w:color w:val="auto"/>
              </w:rPr>
            </w:pPr>
          </w:p>
        </w:tc>
      </w:tr>
      <w:tr>
        <w:trPr>
          <w:trHeight w:val="24"/>
        </w:trPr>
        <w:tc>
          <w:tcPr>
            <w:tcW w:w="5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5220" w:type="dxa"/>
            <w:vAlign w:val="bottom"/>
          </w:tcPr>
          <w:p>
            <w:pPr>
              <w:spacing w:after="0"/>
              <w:rPr>
                <w:sz w:val="15"/>
                <w:szCs w:val="15"/>
                <w:color w:val="auto"/>
              </w:rPr>
            </w:pPr>
          </w:p>
        </w:tc>
        <w:tc>
          <w:tcPr>
            <w:tcW w:w="9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0"/>
        </w:trPr>
        <w:tc>
          <w:tcPr>
            <w:tcW w:w="5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gridSpan w:val="3"/>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8"/>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cash flows for operating leases</w:t>
            </w:r>
          </w:p>
        </w:tc>
        <w:tc>
          <w:tcPr>
            <w:tcW w:w="920" w:type="dxa"/>
            <w:vAlign w:val="bottom"/>
          </w:tcPr>
          <w:p>
            <w:pPr>
              <w:jc w:val="right"/>
              <w:ind w:right="747"/>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1,264</w:t>
            </w:r>
          </w:p>
        </w:tc>
        <w:tc>
          <w:tcPr>
            <w:tcW w:w="1040" w:type="dxa"/>
            <w:vAlign w:val="bottom"/>
          </w:tcPr>
          <w:p>
            <w:pPr>
              <w:jc w:val="right"/>
              <w:ind w:right="786"/>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856</w:t>
            </w:r>
          </w:p>
        </w:tc>
        <w:tc>
          <w:tcPr>
            <w:tcW w:w="100" w:type="dxa"/>
            <w:vAlign w:val="bottom"/>
          </w:tcPr>
          <w:p>
            <w:pPr>
              <w:spacing w:after="0"/>
              <w:rPr>
                <w:sz w:val="18"/>
                <w:szCs w:val="18"/>
                <w:color w:val="auto"/>
              </w:rPr>
            </w:pPr>
          </w:p>
        </w:tc>
        <w:tc>
          <w:tcPr>
            <w:tcW w:w="880" w:type="dxa"/>
            <w:vAlign w:val="bottom"/>
          </w:tcPr>
          <w:p>
            <w:pPr>
              <w:jc w:val="right"/>
              <w:ind w:right="706"/>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2,383</w:t>
            </w:r>
          </w:p>
        </w:tc>
        <w:tc>
          <w:tcPr>
            <w:tcW w:w="60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r>
      <w:tr>
        <w:trPr>
          <w:trHeight w:val="212"/>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for finance leases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54</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118</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06"/>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cash flows for finance leases</w:t>
            </w:r>
          </w:p>
        </w:tc>
        <w:tc>
          <w:tcPr>
            <w:tcW w:w="920" w:type="dxa"/>
            <w:vAlign w:val="bottom"/>
          </w:tcPr>
          <w:p>
            <w:pPr>
              <w:spacing w:after="0"/>
              <w:rPr>
                <w:sz w:val="17"/>
                <w:szCs w:val="17"/>
                <w:color w:val="auto"/>
              </w:rPr>
            </w:pPr>
          </w:p>
        </w:tc>
        <w:tc>
          <w:tcPr>
            <w:tcW w:w="5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929</w:t>
            </w:r>
          </w:p>
        </w:tc>
        <w:tc>
          <w:tcPr>
            <w:tcW w:w="1040" w:type="dxa"/>
            <w:vAlign w:val="bottom"/>
          </w:tcPr>
          <w:p>
            <w:pPr>
              <w:spacing w:after="0"/>
              <w:rPr>
                <w:sz w:val="17"/>
                <w:szCs w:val="17"/>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869</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1,849</w:t>
            </w: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w:t>
            </w:r>
          </w:p>
        </w:tc>
      </w:tr>
    </w:tbl>
    <w:p>
      <w:pPr>
        <w:spacing w:after="0" w:line="3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lease costs for the periods listed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460" w:type="dxa"/>
            <w:vAlign w:val="bottom"/>
            <w:gridSpan w:val="4"/>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6"/>
                <w:szCs w:val="16"/>
                <w:color w:val="auto"/>
              </w:rPr>
            </w:pPr>
          </w:p>
        </w:tc>
      </w:tr>
      <w:tr>
        <w:trPr>
          <w:trHeight w:val="197"/>
        </w:trPr>
        <w:tc>
          <w:tcPr>
            <w:tcW w:w="5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gridSpan w:val="3"/>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7"/>
                <w:szCs w:val="17"/>
                <w:color w:val="auto"/>
              </w:rPr>
            </w:pPr>
          </w:p>
        </w:tc>
      </w:tr>
      <w:tr>
        <w:trPr>
          <w:trHeight w:val="24"/>
        </w:trPr>
        <w:tc>
          <w:tcPr>
            <w:tcW w:w="5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5220" w:type="dxa"/>
            <w:vAlign w:val="bottom"/>
          </w:tcPr>
          <w:p>
            <w:pPr>
              <w:spacing w:after="0"/>
              <w:rPr>
                <w:sz w:val="15"/>
                <w:szCs w:val="15"/>
                <w:color w:val="auto"/>
              </w:rPr>
            </w:pPr>
          </w:p>
        </w:tc>
        <w:tc>
          <w:tcPr>
            <w:tcW w:w="9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0"/>
        </w:trPr>
        <w:tc>
          <w:tcPr>
            <w:tcW w:w="5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80" w:type="dxa"/>
            <w:vAlign w:val="bottom"/>
            <w:gridSpan w:val="3"/>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8"/>
        </w:trPr>
        <w:tc>
          <w:tcPr>
            <w:tcW w:w="5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right of use assets</w:t>
            </w:r>
          </w:p>
        </w:tc>
        <w:tc>
          <w:tcPr>
            <w:tcW w:w="920" w:type="dxa"/>
            <w:vAlign w:val="bottom"/>
          </w:tcPr>
          <w:p>
            <w:pPr>
              <w:jc w:val="right"/>
              <w:ind w:right="746"/>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921</w:t>
            </w:r>
          </w:p>
        </w:tc>
        <w:tc>
          <w:tcPr>
            <w:tcW w:w="100" w:type="dxa"/>
            <w:vAlign w:val="bottom"/>
          </w:tcPr>
          <w:p>
            <w:pPr>
              <w:spacing w:after="0"/>
              <w:rPr>
                <w:sz w:val="18"/>
                <w:szCs w:val="18"/>
                <w:color w:val="auto"/>
              </w:rPr>
            </w:pPr>
          </w:p>
        </w:tc>
        <w:tc>
          <w:tcPr>
            <w:tcW w:w="940" w:type="dxa"/>
            <w:vAlign w:val="bottom"/>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tcPr>
          <w:p>
            <w:pPr>
              <w:spacing w:after="0"/>
              <w:rPr>
                <w:sz w:val="18"/>
                <w:szCs w:val="18"/>
                <w:color w:val="auto"/>
              </w:rPr>
            </w:pPr>
          </w:p>
        </w:tc>
        <w:tc>
          <w:tcPr>
            <w:tcW w:w="880" w:type="dxa"/>
            <w:vAlign w:val="bottom"/>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20" w:type="dxa"/>
            <w:vAlign w:val="bottom"/>
          </w:tcPr>
          <w:p>
            <w:pPr>
              <w:spacing w:after="0"/>
              <w:rPr>
                <w:sz w:val="18"/>
                <w:szCs w:val="18"/>
                <w:color w:val="auto"/>
              </w:rPr>
            </w:pPr>
          </w:p>
        </w:tc>
        <w:tc>
          <w:tcPr>
            <w:tcW w:w="52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w:t>
            </w:r>
          </w:p>
        </w:tc>
      </w:tr>
      <w:tr>
        <w:trPr>
          <w:trHeight w:val="212"/>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08"/>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1,408</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1,624</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4,410</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3,481</w:t>
            </w:r>
          </w:p>
        </w:tc>
      </w:tr>
      <w:tr>
        <w:trPr>
          <w:trHeight w:val="230"/>
        </w:trPr>
        <w:tc>
          <w:tcPr>
            <w:tcW w:w="5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cost</w:t>
            </w:r>
          </w:p>
        </w:tc>
        <w:tc>
          <w:tcPr>
            <w:tcW w:w="920" w:type="dxa"/>
            <w:vAlign w:val="bottom"/>
            <w:tcBorders>
              <w:bottom w:val="single" w:sz="8" w:color="auto"/>
            </w:tcBorders>
            <w:shd w:val="clear" w:color="auto" w:fill="CCEEFF"/>
          </w:tcPr>
          <w:p>
            <w:pPr>
              <w:jc w:val="right"/>
              <w:ind w:right="746"/>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2,383</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2,609</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6,361</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5,448</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28" w:name="page29"/>
    <w:bookmarkEnd w:id="28"/>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164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40" w:type="dxa"/>
            <w:vAlign w:val="bottom"/>
          </w:tcPr>
          <w:p>
            <w:pPr>
              <w:jc w:val="right"/>
              <w:ind w:right="444"/>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806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Remaining Lease Term:</w:t>
            </w: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08"/>
        </w:trPr>
        <w:tc>
          <w:tcPr>
            <w:tcW w:w="8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 years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 years</w:t>
            </w:r>
          </w:p>
        </w:tc>
      </w:tr>
      <w:tr>
        <w:trPr>
          <w:trHeight w:val="212"/>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Finance leases</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 years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years</w:t>
            </w:r>
          </w:p>
        </w:tc>
      </w:tr>
      <w:tr>
        <w:trPr>
          <w:trHeight w:val="263"/>
        </w:trPr>
        <w:tc>
          <w:tcPr>
            <w:tcW w:w="80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08"/>
        </w:trPr>
        <w:tc>
          <w:tcPr>
            <w:tcW w:w="8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2"/>
        </w:trPr>
        <w:tc>
          <w:tcPr>
            <w:tcW w:w="8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Finance leases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r>
    </w:tbl>
    <w:p>
      <w:pPr>
        <w:spacing w:after="0" w:line="3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4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Classification on the Condensed Consolidated Balance Sheet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4500" w:type="dxa"/>
            <w:vAlign w:val="bottom"/>
            <w:gridSpan w:val="2"/>
            <w:vMerge w:val="continue"/>
          </w:tcPr>
          <w:p>
            <w:pPr>
              <w:spacing w:after="0"/>
              <w:rPr>
                <w:sz w:val="16"/>
                <w:szCs w:val="16"/>
                <w:color w:val="auto"/>
              </w:rPr>
            </w:pPr>
          </w:p>
        </w:tc>
        <w:tc>
          <w:tcPr>
            <w:tcW w:w="980" w:type="dxa"/>
            <w:vAlign w:val="bottom"/>
          </w:tcPr>
          <w:p>
            <w:pPr>
              <w:jc w:val="right"/>
              <w:ind w:right="4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3800" w:type="dxa"/>
            <w:vAlign w:val="bottom"/>
          </w:tcPr>
          <w:p>
            <w:pPr>
              <w:spacing w:after="0"/>
              <w:rPr>
                <w:sz w:val="16"/>
                <w:szCs w:val="16"/>
                <w:color w:val="auto"/>
              </w:rPr>
            </w:pPr>
          </w:p>
        </w:tc>
        <w:tc>
          <w:tcPr>
            <w:tcW w:w="44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gridSpan w:val="3"/>
          </w:tcPr>
          <w:p>
            <w:pPr>
              <w:jc w:val="right"/>
              <w:ind w:right="96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right of use assets</w:t>
            </w:r>
          </w:p>
        </w:tc>
        <w:tc>
          <w:tcPr>
            <w:tcW w:w="4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Operating lease right of use assets</w:t>
            </w:r>
          </w:p>
        </w:tc>
        <w:tc>
          <w:tcPr>
            <w:tcW w:w="980" w:type="dxa"/>
            <w:vAlign w:val="bottom"/>
          </w:tcPr>
          <w:p>
            <w:pPr>
              <w:jc w:val="right"/>
              <w:ind w:right="806"/>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3,064</w:t>
            </w:r>
          </w:p>
        </w:tc>
        <w:tc>
          <w:tcPr>
            <w:tcW w:w="2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Finance right of use assets</w:t>
            </w:r>
          </w:p>
        </w:tc>
        <w:tc>
          <w:tcPr>
            <w:tcW w:w="4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8"/>
              </w:rPr>
              <w:t>Property and equipment, net</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4,948</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6,797</w:t>
            </w:r>
          </w:p>
        </w:tc>
        <w:tc>
          <w:tcPr>
            <w:tcW w:w="0" w:type="dxa"/>
            <w:vAlign w:val="bottom"/>
          </w:tcPr>
          <w:p>
            <w:pPr>
              <w:spacing w:after="0"/>
              <w:rPr>
                <w:sz w:val="1"/>
                <w:szCs w:val="1"/>
                <w:color w:val="auto"/>
              </w:rPr>
            </w:pPr>
          </w:p>
        </w:tc>
      </w:tr>
      <w:tr>
        <w:trPr>
          <w:trHeight w:val="249"/>
        </w:trPr>
        <w:tc>
          <w:tcPr>
            <w:tcW w:w="380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Current liabilities:</w:t>
            </w:r>
          </w:p>
        </w:tc>
        <w:tc>
          <w:tcPr>
            <w:tcW w:w="4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4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Operating lease liability</w:t>
            </w:r>
          </w:p>
        </w:tc>
        <w:tc>
          <w:tcPr>
            <w:tcW w:w="980" w:type="dxa"/>
            <w:vAlign w:val="bottom"/>
            <w:shd w:val="clear" w:color="auto" w:fill="CCEEFF"/>
          </w:tcPr>
          <w:p>
            <w:pPr>
              <w:jc w:val="right"/>
              <w:ind w:right="806"/>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4,100</w:t>
            </w:r>
          </w:p>
        </w:tc>
        <w:tc>
          <w:tcPr>
            <w:tcW w:w="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w:t>
            </w:r>
          </w:p>
        </w:tc>
        <w:tc>
          <w:tcPr>
            <w:tcW w:w="0" w:type="dxa"/>
            <w:vAlign w:val="bottom"/>
          </w:tcPr>
          <w:p>
            <w:pPr>
              <w:spacing w:after="0"/>
              <w:rPr>
                <w:sz w:val="1"/>
                <w:szCs w:val="1"/>
                <w:color w:val="auto"/>
              </w:rPr>
            </w:pPr>
          </w:p>
        </w:tc>
      </w:tr>
      <w:tr>
        <w:trPr>
          <w:trHeight w:val="208"/>
        </w:trPr>
        <w:tc>
          <w:tcPr>
            <w:tcW w:w="3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Finance lease liability</w:t>
            </w:r>
          </w:p>
        </w:tc>
        <w:tc>
          <w:tcPr>
            <w:tcW w:w="4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Accrued expenses and other current liabilities</w:t>
            </w:r>
          </w:p>
        </w:tc>
        <w:tc>
          <w:tcPr>
            <w:tcW w:w="980" w:type="dxa"/>
            <w:vAlign w:val="bottom"/>
          </w:tcPr>
          <w:p>
            <w:pPr>
              <w:spacing w:after="0"/>
              <w:rPr>
                <w:sz w:val="18"/>
                <w:szCs w:val="18"/>
                <w:color w:val="auto"/>
              </w:rPr>
            </w:pP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3,813</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3,738</w:t>
            </w: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Non-current liabilities:</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4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Operating lease liability, net of current portion</w:t>
            </w:r>
          </w:p>
        </w:tc>
        <w:tc>
          <w:tcPr>
            <w:tcW w:w="980" w:type="dxa"/>
            <w:vAlign w:val="bottom"/>
          </w:tcPr>
          <w:p>
            <w:pPr>
              <w:spacing w:after="0"/>
              <w:rPr>
                <w:sz w:val="18"/>
                <w:szCs w:val="18"/>
                <w:color w:val="auto"/>
              </w:rPr>
            </w:pP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1,167</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w:t>
            </w:r>
          </w:p>
        </w:tc>
        <w:tc>
          <w:tcPr>
            <w:tcW w:w="0" w:type="dxa"/>
            <w:vAlign w:val="bottom"/>
          </w:tcPr>
          <w:p>
            <w:pPr>
              <w:spacing w:after="0"/>
              <w:rPr>
                <w:sz w:val="1"/>
                <w:szCs w:val="1"/>
                <w:color w:val="auto"/>
              </w:rPr>
            </w:pPr>
          </w:p>
        </w:tc>
      </w:tr>
      <w:tr>
        <w:trPr>
          <w:trHeight w:val="212"/>
        </w:trPr>
        <w:tc>
          <w:tcPr>
            <w:tcW w:w="3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Finance lease liability</w:t>
            </w:r>
          </w:p>
        </w:tc>
        <w:tc>
          <w:tcPr>
            <w:tcW w:w="4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7"/>
              </w:rPr>
              <w:t>Other liabilities</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837</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Future minimum lease payments under non-cancellable operating and finance leases (with an initial or remaining lease term in excess of one year)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0" w:type="dxa"/>
            <w:vAlign w:val="bottom"/>
          </w:tcPr>
          <w:p>
            <w:pPr>
              <w:spacing w:after="0"/>
              <w:rPr>
                <w:sz w:val="16"/>
                <w:szCs w:val="16"/>
                <w:color w:val="auto"/>
              </w:rPr>
            </w:pPr>
          </w:p>
        </w:tc>
      </w:tr>
      <w:tr>
        <w:trPr>
          <w:trHeight w:val="24"/>
        </w:trPr>
        <w:tc>
          <w:tcPr>
            <w:tcW w:w="82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24"/>
        </w:trPr>
        <w:tc>
          <w:tcPr>
            <w:tcW w:w="8280" w:type="dxa"/>
            <w:vAlign w:val="bottom"/>
          </w:tcPr>
          <w:p>
            <w:pPr>
              <w:spacing w:after="0"/>
              <w:rPr>
                <w:sz w:val="10"/>
                <w:szCs w:val="10"/>
                <w:color w:val="auto"/>
              </w:rPr>
            </w:pPr>
          </w:p>
        </w:tc>
        <w:tc>
          <w:tcPr>
            <w:tcW w:w="1000" w:type="dxa"/>
            <w:vAlign w:val="bottom"/>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tcPr>
          <w:p>
            <w:pPr>
              <w:jc w:val="right"/>
              <w:ind w:right="423"/>
              <w:spacing w:after="0" w:line="125" w:lineRule="exact"/>
              <w:rPr>
                <w:sz w:val="20"/>
                <w:szCs w:val="20"/>
                <w:color w:val="auto"/>
              </w:rPr>
            </w:pPr>
            <w:r>
              <w:rPr>
                <w:rFonts w:ascii="Times New Roman" w:cs="Times New Roman" w:eastAsia="Times New Roman" w:hAnsi="Times New Roman"/>
                <w:sz w:val="14"/>
                <w:szCs w:val="14"/>
                <w:b w:val="1"/>
                <w:bCs w:val="1"/>
                <w:color w:val="auto"/>
              </w:rPr>
              <w:t>Finance</w:t>
            </w:r>
          </w:p>
        </w:tc>
      </w:tr>
      <w:tr>
        <w:trPr>
          <w:trHeight w:val="191"/>
        </w:trPr>
        <w:tc>
          <w:tcPr>
            <w:tcW w:w="8280" w:type="dxa"/>
            <w:vAlign w:val="bottom"/>
          </w:tcPr>
          <w:p>
            <w:pPr>
              <w:spacing w:after="0"/>
              <w:rPr>
                <w:sz w:val="16"/>
                <w:szCs w:val="16"/>
                <w:color w:val="auto"/>
              </w:rPr>
            </w:pPr>
          </w:p>
        </w:tc>
        <w:tc>
          <w:tcPr>
            <w:tcW w:w="10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190"/>
        </w:trPr>
        <w:tc>
          <w:tcPr>
            <w:tcW w:w="8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6"/>
                <w:szCs w:val="16"/>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 (remaining six months for June 30, 2022)</w:t>
            </w:r>
          </w:p>
        </w:tc>
        <w:tc>
          <w:tcPr>
            <w:tcW w:w="1000" w:type="dxa"/>
            <w:vAlign w:val="bottom"/>
            <w:shd w:val="clear" w:color="auto" w:fill="CCEEFF"/>
          </w:tcPr>
          <w:p>
            <w:pPr>
              <w:jc w:val="right"/>
              <w:ind w:right="826"/>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2,554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w:t>
            </w:r>
          </w:p>
        </w:tc>
      </w:tr>
      <w:tr>
        <w:trPr>
          <w:trHeight w:val="208"/>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2,320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08"/>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8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minimum lease payments</w:t>
            </w:r>
          </w:p>
        </w:tc>
        <w:tc>
          <w:tcPr>
            <w:tcW w:w="10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5,635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4,787</w:t>
            </w: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present value adjustment</w:t>
            </w:r>
          </w:p>
        </w:tc>
        <w:tc>
          <w:tcPr>
            <w:tcW w:w="10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05"/>
        </w:trPr>
        <w:tc>
          <w:tcPr>
            <w:tcW w:w="8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000" w:type="dxa"/>
            <w:vAlign w:val="bottom"/>
            <w:tcBorders>
              <w:bottom w:val="single" w:sz="8" w:color="auto"/>
            </w:tcBorders>
          </w:tcPr>
          <w:p>
            <w:pPr>
              <w:jc w:val="right"/>
              <w:ind w:right="826"/>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5,257</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4,650</w:t>
            </w:r>
          </w:p>
        </w:tc>
      </w:tr>
      <w:tr>
        <w:trPr>
          <w:trHeight w:val="20"/>
        </w:trPr>
        <w:tc>
          <w:tcPr>
            <w:tcW w:w="8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241" w:lineRule="exact"/>
        <w:rPr>
          <w:sz w:val="20"/>
          <w:szCs w:val="20"/>
          <w:color w:val="auto"/>
        </w:rPr>
      </w:pPr>
    </w:p>
    <w:p>
      <w:pPr>
        <w:jc w:val="both"/>
        <w:ind w:firstLine="420"/>
        <w:spacing w:after="0" w:line="288" w:lineRule="auto"/>
        <w:rPr>
          <w:sz w:val="20"/>
          <w:szCs w:val="20"/>
          <w:color w:val="auto"/>
        </w:rPr>
      </w:pPr>
      <w:r>
        <w:rPr>
          <w:rFonts w:ascii="Times New Roman" w:cs="Times New Roman" w:eastAsia="Times New Roman" w:hAnsi="Times New Roman"/>
          <w:sz w:val="16"/>
          <w:szCs w:val="16"/>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29" w:name="page30"/>
    <w:bookmarkEnd w:id="29"/>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00" w:hanging="307"/>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prices (unadjusted) for identical assets or liabilities in active markets.</w:t>
      </w:r>
    </w:p>
    <w:p>
      <w:pPr>
        <w:spacing w:after="0" w:line="108" w:lineRule="exact"/>
        <w:rPr>
          <w:rFonts w:ascii="Times New Roman" w:cs="Times New Roman" w:eastAsia="Times New Roman" w:hAnsi="Times New Roman"/>
          <w:sz w:val="18"/>
          <w:szCs w:val="18"/>
          <w:color w:val="auto"/>
        </w:rPr>
      </w:pPr>
    </w:p>
    <w:p>
      <w:pPr>
        <w:jc w:val="both"/>
        <w:ind w:left="1100" w:hanging="307"/>
        <w:spacing w:after="0" w:line="255" w:lineRule="auto"/>
        <w:tabs>
          <w:tab w:leader="none" w:pos="10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75" w:lineRule="exact"/>
        <w:rPr>
          <w:rFonts w:ascii="Times New Roman" w:cs="Times New Roman" w:eastAsia="Times New Roman" w:hAnsi="Times New Roman"/>
          <w:sz w:val="18"/>
          <w:szCs w:val="18"/>
          <w:color w:val="auto"/>
        </w:rPr>
      </w:pPr>
    </w:p>
    <w:p>
      <w:pPr>
        <w:ind w:left="1100" w:hanging="307"/>
        <w:spacing w:after="0" w:line="267" w:lineRule="auto"/>
        <w:tabs>
          <w:tab w:leader="none" w:pos="10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Assets and Liabilities</w:t>
      </w:r>
    </w:p>
    <w:p>
      <w:pPr>
        <w:spacing w:after="0" w:line="241"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June 30, 2022 and December 31, 2021, are summarized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52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2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5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8"/>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equivalents: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2"/>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360,318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360,318</w:t>
            </w:r>
          </w:p>
        </w:tc>
      </w:tr>
      <w:tr>
        <w:trPr>
          <w:trHeight w:val="20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top w:val="single" w:sz="8" w:color="auto"/>
              <w:bottom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360,318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top w:val="single" w:sz="8" w:color="auto"/>
              <w:bottom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auto"/>
              <w:bottom w:val="single" w:sz="8" w:color="auto"/>
            </w:tcBorders>
            <w:gridSpan w:val="2"/>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360,318</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9"/>
        </w:trPr>
        <w:tc>
          <w:tcPr>
            <w:tcW w:w="5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08"/>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2"/>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Contingent earn-out</w:t>
            </w:r>
          </w:p>
        </w:tc>
        <w:tc>
          <w:tcPr>
            <w:tcW w:w="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58,687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58,687</w:t>
            </w:r>
          </w:p>
        </w:tc>
      </w:tr>
      <w:tr>
        <w:trPr>
          <w:trHeight w:val="20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top w:val="single" w:sz="8" w:color="auto"/>
              <w:bottom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top w:val="single" w:sz="8" w:color="auto"/>
              <w:bottom w:val="single" w:sz="8" w:color="auto"/>
            </w:tcBorders>
            <w:gridSpan w:val="2"/>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auto"/>
              <w:bottom w:val="single" w:sz="8" w:color="auto"/>
            </w:tcBorders>
            <w:gridSpan w:val="2"/>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58,687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58,687</w:t>
            </w:r>
          </w:p>
        </w:tc>
      </w:tr>
      <w:tr>
        <w:trPr>
          <w:trHeight w:val="20"/>
        </w:trPr>
        <w:tc>
          <w:tcPr>
            <w:tcW w:w="5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89"/>
        </w:trPr>
        <w:tc>
          <w:tcPr>
            <w:tcW w:w="5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4"/>
        </w:trPr>
        <w:tc>
          <w:tcPr>
            <w:tcW w:w="5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5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8"/>
        </w:trPr>
        <w:tc>
          <w:tcPr>
            <w:tcW w:w="5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equivalents: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2"/>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Money market funds</w:t>
            </w:r>
          </w:p>
        </w:tc>
        <w:tc>
          <w:tcPr>
            <w:tcW w:w="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416,178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416,178</w:t>
            </w:r>
          </w:p>
        </w:tc>
      </w:tr>
      <w:tr>
        <w:trPr>
          <w:trHeight w:val="20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416,178</w:t>
            </w:r>
          </w:p>
        </w:tc>
        <w:tc>
          <w:tcPr>
            <w:tcW w:w="4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416,178</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9"/>
        </w:trPr>
        <w:tc>
          <w:tcPr>
            <w:tcW w:w="5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08"/>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2"/>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Contingent earn-out</w:t>
            </w:r>
          </w:p>
        </w:tc>
        <w:tc>
          <w:tcPr>
            <w:tcW w:w="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29,830</w:t>
            </w:r>
          </w:p>
        </w:tc>
      </w:tr>
      <w:tr>
        <w:trPr>
          <w:trHeight w:val="203"/>
        </w:trPr>
        <w:tc>
          <w:tcPr>
            <w:tcW w:w="52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29,830</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29,830</w:t>
            </w:r>
          </w:p>
        </w:tc>
      </w:tr>
      <w:tr>
        <w:trPr>
          <w:trHeight w:val="20"/>
        </w:trPr>
        <w:tc>
          <w:tcPr>
            <w:tcW w:w="5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207" w:lineRule="exact"/>
        <w:rPr>
          <w:sz w:val="20"/>
          <w:szCs w:val="20"/>
          <w:color w:val="auto"/>
        </w:rPr>
      </w:pPr>
    </w:p>
    <w:p>
      <w:pPr>
        <w:jc w:val="both"/>
        <w:ind w:firstLine="420"/>
        <w:spacing w:after="0" w:line="248" w:lineRule="auto"/>
        <w:rPr>
          <w:sz w:val="20"/>
          <w:szCs w:val="20"/>
          <w:color w:val="auto"/>
        </w:rPr>
      </w:pPr>
      <w:r>
        <w:rPr>
          <w:rFonts w:ascii="Times New Roman" w:cs="Times New Roman" w:eastAsia="Times New Roman" w:hAnsi="Times New Roman"/>
          <w:sz w:val="18"/>
          <w:szCs w:val="18"/>
          <w:color w:val="auto"/>
        </w:rPr>
        <w:t>The Company’s money market funds are measured at fair value on a recurring basis based on quoted market prices in active markets and are classified as level 1 within the fair value hierarchy. The Company’s contingent earn-out liability is measured at fair value on a recurring basis and is classified as level 3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w:t>
      </w:r>
    </w:p>
    <w:p>
      <w:pPr>
        <w:spacing w:after="0" w:line="200" w:lineRule="exact"/>
        <w:rPr>
          <w:sz w:val="20"/>
          <w:szCs w:val="20"/>
          <w:color w:val="auto"/>
        </w:rPr>
      </w:pPr>
    </w:p>
    <w:p>
      <w:pPr>
        <w:spacing w:after="0" w:line="35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30" w:name="page31"/>
    <w:bookmarkEnd w:id="30"/>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value. The Company uses an income approach and inputs that constitute level 3. During the third quarter of each year, the Company evaluates goodwill for impairment at the reporting unit level. The Company uses qualitative factors in accordance with ASC 820, “Fair Value Measurement” to determine whether it is “more likely than not” that the fair value of a reporting unit is less than its carrying amount as a basis for determining whether it is necessary to perform a goodwill impairment test. This measurement is classified based on level 3 input.</w:t>
      </w:r>
    </w:p>
    <w:p>
      <w:pPr>
        <w:spacing w:after="0" w:line="211"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As of June 30, 2022, the fair value of the Notes, as further described in Note 8 – Convertible Senior Notes, Net and Capped Call Transactions above, was approximately $506.2 million. Management determines the fair value by utilizing an independent valuation specialist using the antithetic variable technique which is considered a level 2 fair value measurement.</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changes in fair value of the level 3 liabilities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8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4"/>
          </w:tcPr>
          <w:p>
            <w:pPr>
              <w:jc w:val="right"/>
              <w:ind w:right="96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year</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WildHealth</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e-bot7 GmbH</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6,170</w:t>
            </w:r>
          </w:p>
        </w:tc>
      </w:tr>
      <w:tr>
        <w:trPr>
          <w:trHeight w:val="208"/>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Callinize, Inc. (dba Tenfold)</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6,946</w:t>
            </w:r>
          </w:p>
        </w:tc>
      </w:tr>
      <w:tr>
        <w:trPr>
          <w:trHeight w:val="212"/>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VoiceBase, Inc.</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16,714</w:t>
            </w:r>
          </w:p>
        </w:tc>
      </w:tr>
      <w:tr>
        <w:trPr>
          <w:trHeight w:val="208"/>
        </w:trPr>
        <w:tc>
          <w:tcPr>
            <w:tcW w:w="8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AdvantageTec Inc. fair value adjustment</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10"/>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05"/>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58,687</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29,830</w:t>
            </w:r>
          </w:p>
        </w:tc>
      </w:tr>
      <w:tr>
        <w:trPr>
          <w:trHeight w:val="20"/>
        </w:trPr>
        <w:tc>
          <w:tcPr>
            <w:tcW w:w="8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Benefit Plans</w:t>
      </w:r>
    </w:p>
    <w:p>
      <w:pPr>
        <w:spacing w:after="0" w:line="241"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The Company’s 401(k) policy is a Safe Harbor Plan, whereby the Company matches 100% of the first 3% of eligible compensation and 50% of the next 2% of eligible compensation. Furthermore, the match is immediately vested. Salaries and related expenses include $1.4 million and $0.9 million of employer matching contributions for the three months ended June 30, 2022 and 2021, respectively, and $3.0 million and $1.8 million for the six months ended June 30, 2022 and 2021.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241"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As of June 30, 2022, the Company had a letter of credit totaling $0.9 million as a security deposit for the due performance by the Company of the terms and conditions of a supply contract.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Tax Liabilities</w:t>
      </w:r>
    </w:p>
    <w:p>
      <w:pPr>
        <w:spacing w:after="0" w:line="241" w:lineRule="exact"/>
        <w:rPr>
          <w:sz w:val="20"/>
          <w:szCs w:val="20"/>
          <w:color w:val="auto"/>
        </w:rPr>
      </w:pPr>
    </w:p>
    <w:p>
      <w:pPr>
        <w:jc w:val="both"/>
        <w:ind w:firstLine="420"/>
        <w:spacing w:after="0" w:line="248" w:lineRule="auto"/>
        <w:rPr>
          <w:sz w:val="20"/>
          <w:szCs w:val="20"/>
          <w:color w:val="auto"/>
        </w:rPr>
      </w:pPr>
      <w:r>
        <w:rPr>
          <w:rFonts w:ascii="Times New Roman" w:cs="Times New Roman" w:eastAsia="Times New Roman" w:hAnsi="Times New Roman"/>
          <w:sz w:val="18"/>
          <w:szCs w:val="18"/>
          <w:color w:val="auto"/>
        </w:rPr>
        <w:t>The Company is in the process of finalizing its sales tax liability analysis for states in which it has economic nexus. During the first quarter of 2020, the Company determined it was probable it would be subject to sales tax liabilities, plus applicable interest in these states, and the Company has estimated the potential exposure to range between $2.5 million to $6.3 million. The Company determined that its best estimate of what would be reasonably expected for it to settle the potential exposure was $2.5 million and accordingly, the Company accrued this amount with a corresponding charge to earnings as of March 31, 2020. As of June 30, 2022, there is a $1.1 million accrual balance for sales tax liabilities. The decrease in the balance of this accrual is primarily due to payments made for the sales tax liabilities.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Stockholders’ Equity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41"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As of June 30, 2022, there were 200,000,000 shares of common stock authorized, 77,559,927 shares issued, and 74,813,684 shares outstanding. As of December 31, 2021, there were 200,000,000 shares of common stock authorized, 74,980,546 shares issued, and 72,234,303 shares outstanding. The par value for shares of common stock is $0.001 per share.</w:t>
      </w:r>
    </w:p>
    <w:p>
      <w:pPr>
        <w:sectPr>
          <w:pgSz w:w="11900" w:h="16838" w:orient="portrait"/>
          <w:cols w:equalWidth="0" w:num="1">
            <w:col w:w="11240"/>
          </w:cols>
          <w:pgMar w:left="320" w:top="172"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type w:val="continuous"/>
        </w:sectPr>
      </w:pPr>
    </w:p>
    <w:bookmarkStart w:id="31" w:name="page32"/>
    <w:bookmarkEnd w:id="31"/>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241"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As of June 30, 2022 and December 31, 2021, there were 5,000,000 shares of preferred stock authorized, and no shares were issued or outstanding. The par value for shares of preferred stock is $0.001 per share.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Plans</w:t>
      </w:r>
    </w:p>
    <w:p>
      <w:pPr>
        <w:spacing w:after="0" w:line="241" w:lineRule="exact"/>
        <w:rPr>
          <w:sz w:val="20"/>
          <w:szCs w:val="20"/>
          <w:color w:val="auto"/>
        </w:rPr>
      </w:pPr>
    </w:p>
    <w:p>
      <w:pPr>
        <w:jc w:val="both"/>
        <w:ind w:firstLine="420"/>
        <w:spacing w:after="0" w:line="248" w:lineRule="auto"/>
        <w:rPr>
          <w:sz w:val="20"/>
          <w:szCs w:val="20"/>
          <w:color w:val="auto"/>
        </w:rPr>
      </w:pPr>
      <w:r>
        <w:rPr>
          <w:rFonts w:ascii="Times New Roman" w:cs="Times New Roman" w:eastAsia="Times New Roman" w:hAnsi="Times New Roman"/>
          <w:sz w:val="18"/>
          <w:szCs w:val="18"/>
          <w:color w:val="auto"/>
        </w:rPr>
        <w:t>The Company’s 2019 Stock Incentive Plan, as amended and restated (the “2019 Plan”), became effective on April 11, 2019. The 2019 Plan allows the Company to grant incentive stock options and restricted stock units to its employees and directors to participate in the Company’s future performance through stock-based awards at the discretion of the board of directors. On April 19, 2021, the Company’s board of directors amended the plan and authorized 5,000,000 new shares for issuance. The number of shares authorized for issuance is 40,067,744 shares in the aggregate. Options to acquire common stock granted thereunder have ten-year terms. As of June 30, 2022, approximately 3.8 million shares of common stock remained available for issuance (taking into account all option exercises and other equity award settlements through June 30, 2022).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241"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There are 1,000,000 shares authorized and reserved for issuance under the 2019 Employee Stock Purchase Plan. As of June 30, 2022, approximately 0.5 million shares of common stock remained available for issuance under the 2019 Employee Stock Purchase Plan (taking into account all share purchases through June 30,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Inducement Plan</w:t>
      </w:r>
    </w:p>
    <w:p>
      <w:pPr>
        <w:spacing w:after="0" w:line="241"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There are 6,159,009 shares of common stock authorized and reserved for issuance under the Inducement Plan. As of June 30, 2022, approximately 1.5 million shares of common stock remained available for issuance under the Inducement Plan (taking into account all option exercises and other equity award settlements through June 30,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Activity</w:t>
      </w: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the Company’s stock option activity and weighted average exercise prices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308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Stock Option Activity</w:t>
            </w: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2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200" w:type="dxa"/>
            <w:vAlign w:val="bottom"/>
          </w:tcPr>
          <w:p>
            <w:pPr>
              <w:spacing w:after="0"/>
              <w:rPr>
                <w:sz w:val="10"/>
                <w:szCs w:val="10"/>
                <w:color w:val="auto"/>
              </w:rPr>
            </w:pPr>
          </w:p>
        </w:tc>
        <w:tc>
          <w:tcPr>
            <w:tcW w:w="15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Pr>
          <w:p>
            <w:pPr>
              <w:spacing w:after="0"/>
              <w:rPr>
                <w:sz w:val="10"/>
                <w:szCs w:val="10"/>
                <w:color w:val="auto"/>
              </w:rPr>
            </w:pPr>
          </w:p>
        </w:tc>
        <w:tc>
          <w:tcPr>
            <w:tcW w:w="1240" w:type="dxa"/>
            <w:vAlign w:val="bottom"/>
          </w:tcPr>
          <w:p>
            <w:pPr>
              <w:jc w:val="center"/>
              <w:ind w:right="124"/>
              <w:spacing w:after="0" w:line="127"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00" w:type="dxa"/>
            <w:vAlign w:val="bottom"/>
          </w:tcPr>
          <w:p>
            <w:pPr>
              <w:spacing w:after="0"/>
              <w:rPr>
                <w:sz w:val="10"/>
                <w:szCs w:val="10"/>
                <w:color w:val="auto"/>
              </w:rPr>
            </w:pPr>
          </w:p>
        </w:tc>
        <w:tc>
          <w:tcPr>
            <w:tcW w:w="1540" w:type="dxa"/>
            <w:vAlign w:val="bottom"/>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0"/>
                <w:szCs w:val="10"/>
                <w:color w:val="auto"/>
              </w:rPr>
            </w:pPr>
          </w:p>
        </w:tc>
        <w:tc>
          <w:tcPr>
            <w:tcW w:w="1320" w:type="dxa"/>
            <w:vAlign w:val="bottom"/>
          </w:tcPr>
          <w:p>
            <w:pPr>
              <w:jc w:val="center"/>
              <w:ind w:right="45"/>
              <w:spacing w:after="0" w:line="127" w:lineRule="exact"/>
              <w:rPr>
                <w:sz w:val="20"/>
                <w:szCs w:val="20"/>
                <w:color w:val="auto"/>
              </w:rPr>
            </w:pPr>
            <w:r>
              <w:rPr>
                <w:rFonts w:ascii="Times New Roman" w:cs="Times New Roman" w:eastAsia="Times New Roman" w:hAnsi="Times New Roman"/>
                <w:sz w:val="14"/>
                <w:szCs w:val="14"/>
                <w:b w:val="1"/>
                <w:bCs w:val="1"/>
                <w:color w:val="auto"/>
                <w:w w:val="99"/>
              </w:rPr>
              <w:t>Aggregate Intrinsic</w:t>
            </w:r>
          </w:p>
        </w:tc>
        <w:tc>
          <w:tcPr>
            <w:tcW w:w="0" w:type="dxa"/>
            <w:vAlign w:val="bottom"/>
          </w:tcPr>
          <w:p>
            <w:pPr>
              <w:spacing w:after="0"/>
              <w:rPr>
                <w:sz w:val="1"/>
                <w:szCs w:val="1"/>
                <w:color w:val="auto"/>
              </w:rPr>
            </w:pPr>
          </w:p>
        </w:tc>
      </w:tr>
      <w:tr>
        <w:trPr>
          <w:trHeight w:val="143"/>
        </w:trPr>
        <w:tc>
          <w:tcPr>
            <w:tcW w:w="52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540" w:type="dxa"/>
            <w:vAlign w:val="bottom"/>
            <w:gridSpan w:val="2"/>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Contractual Term</w:t>
            </w:r>
          </w:p>
        </w:tc>
        <w:tc>
          <w:tcPr>
            <w:tcW w:w="100" w:type="dxa"/>
            <w:vAlign w:val="bottom"/>
          </w:tcPr>
          <w:p>
            <w:pPr>
              <w:spacing w:after="0"/>
              <w:rPr>
                <w:sz w:val="12"/>
                <w:szCs w:val="12"/>
                <w:color w:val="auto"/>
              </w:rPr>
            </w:pPr>
          </w:p>
        </w:tc>
        <w:tc>
          <w:tcPr>
            <w:tcW w:w="1320" w:type="dxa"/>
            <w:vAlign w:val="bottom"/>
          </w:tcPr>
          <w:p>
            <w:pPr>
              <w:jc w:val="center"/>
              <w:ind w:right="65"/>
              <w:spacing w:after="0" w:line="143"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6"/>
                <w:szCs w:val="16"/>
                <w:color w:val="auto"/>
              </w:rPr>
            </w:pPr>
          </w:p>
        </w:tc>
        <w:tc>
          <w:tcPr>
            <w:tcW w:w="132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0" w:type="dxa"/>
            <w:vAlign w:val="bottom"/>
          </w:tcPr>
          <w:p>
            <w:pPr>
              <w:spacing w:after="0"/>
              <w:rPr>
                <w:sz w:val="1"/>
                <w:szCs w:val="1"/>
                <w:color w:val="auto"/>
              </w:rPr>
            </w:pPr>
          </w:p>
        </w:tc>
      </w:tr>
      <w:tr>
        <w:trPr>
          <w:trHeight w:val="20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outstanding at December 31, 2021</w:t>
            </w: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4,782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27.52</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62,300</w:t>
            </w:r>
          </w:p>
        </w:tc>
        <w:tc>
          <w:tcPr>
            <w:tcW w:w="0" w:type="dxa"/>
            <w:vAlign w:val="bottom"/>
          </w:tcPr>
          <w:p>
            <w:pPr>
              <w:spacing w:after="0"/>
              <w:rPr>
                <w:sz w:val="1"/>
                <w:szCs w:val="1"/>
                <w:color w:val="auto"/>
              </w:rPr>
            </w:pPr>
          </w:p>
        </w:tc>
      </w:tr>
      <w:tr>
        <w:trPr>
          <w:trHeight w:val="208"/>
        </w:trPr>
        <w:tc>
          <w:tcPr>
            <w:tcW w:w="5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24.26</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Cancelled or expired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ind w:right="4"/>
              <w:spacing w:after="0"/>
              <w:rPr>
                <w:sz w:val="20"/>
                <w:szCs w:val="20"/>
                <w:color w:val="auto"/>
              </w:rPr>
            </w:pPr>
            <w:r>
              <w:rPr>
                <w:rFonts w:ascii="Times New Roman" w:cs="Times New Roman" w:eastAsia="Times New Roman" w:hAnsi="Times New Roman"/>
                <w:sz w:val="16"/>
                <w:szCs w:val="16"/>
                <w:color w:val="auto"/>
              </w:rPr>
              <w:t>41.39</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outstanding at June 30, 2022</w:t>
            </w:r>
          </w:p>
        </w:tc>
        <w:tc>
          <w:tcPr>
            <w:tcW w:w="14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4,784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25.22</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Options vested and expected to vest</w:t>
            </w:r>
          </w:p>
        </w:tc>
        <w:tc>
          <w:tcPr>
            <w:tcW w:w="1440" w:type="dxa"/>
            <w:vAlign w:val="bottom"/>
            <w:tcBorders>
              <w:bottom w:val="single" w:sz="8" w:color="auto"/>
            </w:tcBorders>
          </w:tcPr>
          <w:p>
            <w:pPr>
              <w:jc w:val="right"/>
              <w:ind w:right="4"/>
              <w:spacing w:after="0" w:line="183" w:lineRule="exact"/>
              <w:rPr>
                <w:sz w:val="20"/>
                <w:szCs w:val="20"/>
                <w:color w:val="auto"/>
              </w:rPr>
            </w:pPr>
            <w:r>
              <w:rPr>
                <w:rFonts w:ascii="Times New Roman" w:cs="Times New Roman" w:eastAsia="Times New Roman" w:hAnsi="Times New Roman"/>
                <w:sz w:val="16"/>
                <w:szCs w:val="16"/>
                <w:color w:val="auto"/>
              </w:rPr>
              <w:t>1,167</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
              <w:spacing w:after="0" w:line="183" w:lineRule="exact"/>
              <w:rPr>
                <w:sz w:val="20"/>
                <w:szCs w:val="20"/>
                <w:color w:val="auto"/>
              </w:rPr>
            </w:pPr>
            <w:r>
              <w:rPr>
                <w:rFonts w:ascii="Times New Roman" w:cs="Times New Roman" w:eastAsia="Times New Roman" w:hAnsi="Times New Roman"/>
                <w:sz w:val="16"/>
                <w:szCs w:val="16"/>
                <w:color w:val="auto"/>
              </w:rPr>
              <w:t>33.73</w:t>
            </w: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8.61</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1,376</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 exercisable at June 30, 2022</w:t>
            </w:r>
          </w:p>
        </w:tc>
        <w:tc>
          <w:tcPr>
            <w:tcW w:w="14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2,891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19.38</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The total fair value of stock options exercised during the six months ended June 30, 2022 was approximately $1.2 million. As of June 30, 2022, there was approximately $29.6 million of total unrecognized compensation cost related to nonvested share-based compensation arrangements. That cost is expected to be recognized over a weighted average period of approximately 2.7 years.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Activity</w:t>
      </w: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the Company’s RSU activity and weighted average exercise prices follows:</w:t>
      </w:r>
    </w:p>
    <w:p>
      <w:pPr>
        <w:sectPr>
          <w:pgSz w:w="11900" w:h="16838" w:orient="portrait"/>
          <w:cols w:equalWidth="0" w:num="1">
            <w:col w:w="11240"/>
          </w:cols>
          <w:pgMar w:left="320" w:top="1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type w:val="continuous"/>
        </w:sectPr>
      </w:pPr>
    </w:p>
    <w:bookmarkStart w:id="32" w:name="page33"/>
    <w:bookmarkEnd w:id="32"/>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360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Restricted Stock Unit Activity</w:t>
            </w:r>
          </w:p>
        </w:tc>
        <w:tc>
          <w:tcPr>
            <w:tcW w:w="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6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5660" w:type="dxa"/>
            <w:vAlign w:val="bottom"/>
          </w:tcPr>
          <w:p>
            <w:pPr>
              <w:spacing w:after="0"/>
              <w:rPr>
                <w:sz w:val="10"/>
                <w:szCs w:val="10"/>
                <w:color w:val="auto"/>
              </w:rPr>
            </w:pPr>
          </w:p>
        </w:tc>
        <w:tc>
          <w:tcPr>
            <w:tcW w:w="180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12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tcPr>
          <w:p>
            <w:pPr>
              <w:jc w:val="center"/>
              <w:ind w:right="84"/>
              <w:spacing w:after="0" w:line="127"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vMerge w:val="restart"/>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Aggregate Fair Value</w:t>
            </w:r>
          </w:p>
        </w:tc>
        <w:tc>
          <w:tcPr>
            <w:tcW w:w="0" w:type="dxa"/>
            <w:vAlign w:val="bottom"/>
          </w:tcPr>
          <w:p>
            <w:pPr>
              <w:spacing w:after="0"/>
              <w:rPr>
                <w:sz w:val="1"/>
                <w:szCs w:val="1"/>
                <w:color w:val="auto"/>
              </w:rPr>
            </w:pPr>
          </w:p>
        </w:tc>
      </w:tr>
      <w:tr>
        <w:trPr>
          <w:trHeight w:val="144"/>
        </w:trPr>
        <w:tc>
          <w:tcPr>
            <w:tcW w:w="566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Grant Date Fair Value</w:t>
            </w:r>
          </w:p>
        </w:tc>
        <w:tc>
          <w:tcPr>
            <w:tcW w:w="20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(Per share)</w:t>
            </w:r>
          </w:p>
        </w:tc>
        <w:tc>
          <w:tcPr>
            <w:tcW w:w="200" w:type="dxa"/>
            <w:vAlign w:val="bottom"/>
          </w:tcPr>
          <w:p>
            <w:pPr>
              <w:spacing w:after="0"/>
              <w:rPr>
                <w:sz w:val="16"/>
                <w:szCs w:val="16"/>
                <w:color w:val="auto"/>
              </w:rPr>
            </w:pPr>
          </w:p>
        </w:tc>
        <w:tc>
          <w:tcPr>
            <w:tcW w:w="1740" w:type="dxa"/>
            <w:vAlign w:val="bottom"/>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8"/>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Balances outstanding at December 31, 2021</w:t>
            </w:r>
          </w:p>
        </w:tc>
        <w:tc>
          <w:tcPr>
            <w:tcW w:w="17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3,732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133,308</w:t>
            </w:r>
          </w:p>
        </w:tc>
        <w:tc>
          <w:tcPr>
            <w:tcW w:w="0" w:type="dxa"/>
            <w:vAlign w:val="bottom"/>
          </w:tcPr>
          <w:p>
            <w:pPr>
              <w:spacing w:after="0"/>
              <w:rPr>
                <w:sz w:val="1"/>
                <w:szCs w:val="1"/>
                <w:color w:val="auto"/>
              </w:rPr>
            </w:pPr>
          </w:p>
        </w:tc>
      </w:tr>
      <w:tr>
        <w:trPr>
          <w:trHeight w:val="208"/>
        </w:trPr>
        <w:tc>
          <w:tcPr>
            <w:tcW w:w="5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Awarded</w:t>
            </w:r>
          </w:p>
        </w:tc>
        <w:tc>
          <w:tcPr>
            <w:tcW w:w="17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2,596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and outstanding at June 30, 2022</w:t>
            </w:r>
          </w:p>
        </w:tc>
        <w:tc>
          <w:tcPr>
            <w:tcW w:w="1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4,067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57,501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6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Expected to vest</w:t>
            </w:r>
          </w:p>
        </w:tc>
        <w:tc>
          <w:tcPr>
            <w:tcW w:w="1700" w:type="dxa"/>
            <w:vAlign w:val="bottom"/>
            <w:tcBorders>
              <w:bottom w:val="single" w:sz="8" w:color="auto"/>
            </w:tcBorders>
          </w:tcPr>
          <w:p>
            <w:pPr>
              <w:jc w:val="right"/>
              <w:ind w:right="4"/>
              <w:spacing w:after="0" w:line="183" w:lineRule="exact"/>
              <w:rPr>
                <w:sz w:val="20"/>
                <w:szCs w:val="20"/>
                <w:color w:val="auto"/>
              </w:rPr>
            </w:pPr>
            <w:r>
              <w:rPr>
                <w:rFonts w:ascii="Times New Roman" w:cs="Times New Roman" w:eastAsia="Times New Roman" w:hAnsi="Times New Roman"/>
                <w:sz w:val="16"/>
                <w:szCs w:val="16"/>
                <w:color w:val="auto"/>
              </w:rPr>
              <w:t>2,403</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36.55</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2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33,974</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RSUs granted to employees generally vest over a three to four-year period or upon achievement of certain performance conditions. As of June 30, 2022, total unrecognized compensation cost, adjusted for estimated forfeitures, related to nonvested RSUs was approximately $129.5 million and the weighted-average remaining vesting period was 3.0 years.</w:t>
      </w:r>
    </w:p>
    <w:p>
      <w:pPr>
        <w:spacing w:after="0" w:line="207"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For the three months ended June 30, 2022 and 2021, the Company accrued approximately $4.8 million and $5.1 million in cash rewards, respectively, and for the six months ended June 30, 2022 and 2021, the Company accrued approximately $11.9 million and $10.4 million in cash awards, respectively, to be settled in shares of the Company’s stock and recorded a corresponding expense, which is included as a component of stock-based compensation expense in the accompanying condensed consolidated statements of operations for the three and six months ended June 30, 2022 and 2021, respectively.</w:t>
      </w:r>
    </w:p>
    <w:p>
      <w:pPr>
        <w:spacing w:after="0" w:line="211"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Stock-based compensation expense recognized in the Company’s condensed consolidated statements of operations and cash flows was $36.5 million and $15.1 million for the three months ended June 30, 2022 and 2021, respectively, and $68.4 million and $29.7 million for the six months ended June 30, 2022 and 2021, respectively.</w:t>
      </w:r>
    </w:p>
    <w:p>
      <w:pPr>
        <w:spacing w:after="0" w:line="207"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The per share weighted average fair value of stock options granted was $8.19 and $24.76 during the three months ended June 30, 2022 and 2021, respectively. The per share weighted average fair value of stock options granted was $11.89 and $25.71 during the six months ended June 30, 2022 and 2021, respectively. The fair value of each option grant is estimated on the date of grant, adjusted for estimated forfeitures, using the Black-Scholes option-pricing model with the following weighted average assumptions: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20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4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60" w:type="dxa"/>
            <w:vAlign w:val="bottom"/>
          </w:tcPr>
          <w:p>
            <w:pPr>
              <w:spacing w:after="0"/>
              <w:rPr>
                <w:sz w:val="16"/>
                <w:szCs w:val="16"/>
                <w:color w:val="auto"/>
              </w:rPr>
            </w:pPr>
          </w:p>
        </w:tc>
      </w:tr>
      <w:tr>
        <w:trPr>
          <w:trHeight w:val="197"/>
        </w:trPr>
        <w:tc>
          <w:tcPr>
            <w:tcW w:w="5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760" w:type="dxa"/>
            <w:vAlign w:val="bottom"/>
          </w:tcPr>
          <w:p>
            <w:pPr>
              <w:spacing w:after="0"/>
              <w:rPr>
                <w:sz w:val="17"/>
                <w:szCs w:val="17"/>
                <w:color w:val="auto"/>
              </w:rPr>
            </w:pPr>
          </w:p>
        </w:tc>
      </w:tr>
      <w:tr>
        <w:trPr>
          <w:trHeight w:val="24"/>
        </w:trPr>
        <w:tc>
          <w:tcPr>
            <w:tcW w:w="5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4"/>
          </w:tcPr>
          <w:p>
            <w:pPr>
              <w:spacing w:after="0"/>
              <w:rPr>
                <w:sz w:val="2"/>
                <w:szCs w:val="2"/>
                <w:color w:val="auto"/>
              </w:rPr>
            </w:pPr>
          </w:p>
        </w:tc>
      </w:tr>
      <w:tr>
        <w:trPr>
          <w:trHeight w:val="184"/>
        </w:trPr>
        <w:tc>
          <w:tcPr>
            <w:tcW w:w="5200" w:type="dxa"/>
            <w:vAlign w:val="bottom"/>
          </w:tcPr>
          <w:p>
            <w:pPr>
              <w:spacing w:after="0"/>
              <w:rPr>
                <w:sz w:val="15"/>
                <w:szCs w:val="15"/>
                <w:color w:val="auto"/>
              </w:rPr>
            </w:pPr>
          </w:p>
        </w:tc>
        <w:tc>
          <w:tcPr>
            <w:tcW w:w="1220" w:type="dxa"/>
            <w:vAlign w:val="bottom"/>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760" w:type="dxa"/>
            <w:vAlign w:val="bottom"/>
            <w:gridSpan w:val="4"/>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5"/>
                <w:szCs w:val="15"/>
                <w:color w:val="auto"/>
              </w:rPr>
            </w:pPr>
          </w:p>
        </w:tc>
        <w:tc>
          <w:tcPr>
            <w:tcW w:w="1220" w:type="dxa"/>
            <w:vAlign w:val="bottom"/>
            <w:gridSpan w:val="2"/>
          </w:tcPr>
          <w:p>
            <w:pPr>
              <w:jc w:val="center"/>
              <w:ind w:left="15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740" w:type="dxa"/>
            <w:vAlign w:val="bottom"/>
            <w:gridSpan w:val="4"/>
          </w:tcPr>
          <w:p>
            <w:pPr>
              <w:jc w:val="center"/>
              <w:ind w:left="230"/>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6"/>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1220" w:type="dxa"/>
            <w:vAlign w:val="bottom"/>
            <w:tcBorders>
              <w:top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4"/>
                <w:szCs w:val="14"/>
                <w:color w:val="auto"/>
                <w:w w:val="99"/>
              </w:rPr>
              <w:t>0.00%</w:t>
            </w: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0.00%</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4"/>
                <w:szCs w:val="14"/>
                <w:color w:val="auto"/>
                <w:w w:val="99"/>
              </w:rPr>
              <w:t>0.00%</w:t>
            </w: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0.00%</w:t>
            </w:r>
          </w:p>
        </w:tc>
      </w:tr>
      <w:tr>
        <w:trPr>
          <w:trHeight w:val="208"/>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1220" w:type="dxa"/>
            <w:vAlign w:val="bottom"/>
          </w:tcPr>
          <w:p>
            <w:pPr>
              <w:jc w:val="center"/>
              <w:ind w:left="150"/>
              <w:spacing w:after="0"/>
              <w:rPr>
                <w:sz w:val="20"/>
                <w:szCs w:val="20"/>
                <w:color w:val="auto"/>
              </w:rPr>
            </w:pPr>
            <w:r>
              <w:rPr>
                <w:rFonts w:ascii="Times New Roman" w:cs="Times New Roman" w:eastAsia="Times New Roman" w:hAnsi="Times New Roman"/>
                <w:sz w:val="14"/>
                <w:szCs w:val="14"/>
                <w:color w:val="auto"/>
                <w:w w:val="99"/>
              </w:rPr>
              <w:t>2.81% -3.38%</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0.77%</w:t>
            </w:r>
          </w:p>
        </w:tc>
        <w:tc>
          <w:tcPr>
            <w:tcW w:w="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- 0.84%</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- 3.38%</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- 0.84%</w:t>
            </w:r>
          </w:p>
        </w:tc>
      </w:tr>
      <w:tr>
        <w:trPr>
          <w:trHeight w:val="21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life (in years)</w:t>
            </w:r>
          </w:p>
        </w:tc>
        <w:tc>
          <w:tcPr>
            <w:tcW w:w="122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590"/>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right="390"/>
              <w:spacing w:after="0"/>
              <w:rPr>
                <w:sz w:val="20"/>
                <w:szCs w:val="20"/>
                <w:color w:val="auto"/>
              </w:rPr>
            </w:pPr>
            <w:r>
              <w:rPr>
                <w:rFonts w:ascii="Times New Roman" w:cs="Times New Roman" w:eastAsia="Times New Roman" w:hAnsi="Times New Roman"/>
                <w:sz w:val="14"/>
                <w:szCs w:val="14"/>
                <w:color w:val="auto"/>
                <w:w w:val="85"/>
              </w:rPr>
              <w:t>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590"/>
              <w:spacing w:after="0"/>
              <w:rPr>
                <w:sz w:val="20"/>
                <w:szCs w:val="20"/>
                <w:color w:val="auto"/>
              </w:rPr>
            </w:pPr>
            <w:r>
              <w:rPr>
                <w:rFonts w:ascii="Times New Roman" w:cs="Times New Roman" w:eastAsia="Times New Roman" w:hAnsi="Times New Roman"/>
                <w:sz w:val="14"/>
                <w:szCs w:val="14"/>
                <w:color w:val="auto"/>
                <w:w w:val="85"/>
              </w:rPr>
              <w:t>5</w:t>
            </w:r>
          </w:p>
        </w:tc>
      </w:tr>
      <w:tr>
        <w:trPr>
          <w:trHeight w:val="206"/>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Historical volatility</w:t>
            </w:r>
          </w:p>
        </w:tc>
        <w:tc>
          <w:tcPr>
            <w:tcW w:w="1220" w:type="dxa"/>
            <w:vAlign w:val="bottom"/>
          </w:tcPr>
          <w:p>
            <w:pPr>
              <w:jc w:val="center"/>
              <w:ind w:left="130"/>
              <w:spacing w:after="0"/>
              <w:rPr>
                <w:sz w:val="20"/>
                <w:szCs w:val="20"/>
                <w:color w:val="auto"/>
              </w:rPr>
            </w:pPr>
            <w:r>
              <w:rPr>
                <w:rFonts w:ascii="Times New Roman" w:cs="Times New Roman" w:eastAsia="Times New Roman" w:hAnsi="Times New Roman"/>
                <w:sz w:val="14"/>
                <w:szCs w:val="14"/>
                <w:color w:val="auto"/>
                <w:w w:val="99"/>
              </w:rPr>
              <w:t>57.82% - 58.91%</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54.31%</w:t>
            </w:r>
          </w:p>
        </w:tc>
        <w:tc>
          <w:tcPr>
            <w:tcW w:w="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- 54.55%</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53.87%</w:t>
            </w: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- 58.91%</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53.94%</w:t>
            </w:r>
          </w:p>
        </w:tc>
        <w:tc>
          <w:tcPr>
            <w:tcW w:w="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- 54.55%</w:t>
            </w:r>
          </w:p>
        </w:tc>
      </w:tr>
    </w:tbl>
    <w:p>
      <w:pPr>
        <w:spacing w:after="0" w:line="3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description of the methods used in the significant assumptions used to estimate the fair value of stock-based compensation awards follows:</w:t>
      </w:r>
    </w:p>
    <w:p>
      <w:pPr>
        <w:spacing w:after="0" w:line="106" w:lineRule="exact"/>
        <w:rPr>
          <w:sz w:val="20"/>
          <w:szCs w:val="20"/>
          <w:color w:val="auto"/>
        </w:rPr>
      </w:pPr>
    </w:p>
    <w:p>
      <w:pPr>
        <w:ind w:left="1100" w:hanging="307"/>
        <w:spacing w:after="0"/>
        <w:tabs>
          <w:tab w:leader="none" w:pos="1100"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Dividend yield – </w:t>
      </w:r>
      <w:r>
        <w:rPr>
          <w:rFonts w:ascii="Times New Roman" w:cs="Times New Roman" w:eastAsia="Times New Roman" w:hAnsi="Times New Roman"/>
          <w:sz w:val="18"/>
          <w:szCs w:val="18"/>
          <w:color w:val="auto"/>
        </w:rPr>
        <w:t>The Company uses 0% as it has never issued dividends and does not anticipate issuing dividends in the near term.</w:t>
      </w:r>
    </w:p>
    <w:p>
      <w:pPr>
        <w:spacing w:after="0" w:line="108" w:lineRule="exact"/>
        <w:rPr>
          <w:rFonts w:ascii="Times New Roman" w:cs="Times New Roman" w:eastAsia="Times New Roman" w:hAnsi="Times New Roman"/>
          <w:sz w:val="18"/>
          <w:szCs w:val="18"/>
          <w:i w:val="1"/>
          <w:iCs w:val="1"/>
          <w:color w:val="auto"/>
        </w:rPr>
      </w:pPr>
    </w:p>
    <w:p>
      <w:pPr>
        <w:ind w:left="1100" w:hanging="307"/>
        <w:spacing w:after="0" w:line="270" w:lineRule="auto"/>
        <w:tabs>
          <w:tab w:leader="none" w:pos="10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 </w:t>
      </w:r>
      <w:r>
        <w:rPr>
          <w:rFonts w:ascii="Times New Roman" w:cs="Times New Roman" w:eastAsia="Times New Roman" w:hAnsi="Times New Roman"/>
          <w:sz w:val="18"/>
          <w:szCs w:val="18"/>
          <w:color w:val="auto"/>
        </w:rPr>
        <w:t>The Company uses the market yield on U.S. Treasury securities at five years with constant maturity, representing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expected life of stock options in years.</w:t>
      </w:r>
    </w:p>
    <w:p>
      <w:pPr>
        <w:spacing w:after="0" w:line="59" w:lineRule="exact"/>
        <w:rPr>
          <w:rFonts w:ascii="Times New Roman" w:cs="Times New Roman" w:eastAsia="Times New Roman" w:hAnsi="Times New Roman"/>
          <w:sz w:val="18"/>
          <w:szCs w:val="18"/>
          <w:color w:val="auto"/>
        </w:rPr>
      </w:pPr>
    </w:p>
    <w:p>
      <w:pPr>
        <w:ind w:left="1100" w:hanging="307"/>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life – </w:t>
      </w:r>
      <w:r>
        <w:rPr>
          <w:rFonts w:ascii="Times New Roman" w:cs="Times New Roman" w:eastAsia="Times New Roman" w:hAnsi="Times New Roman"/>
          <w:sz w:val="18"/>
          <w:szCs w:val="18"/>
          <w:color w:val="auto"/>
        </w:rPr>
        <w:t>The Company uses historical data to estimate the expected life of a stock option.</w:t>
      </w:r>
    </w:p>
    <w:p>
      <w:pPr>
        <w:spacing w:after="0" w:line="108" w:lineRule="exact"/>
        <w:rPr>
          <w:rFonts w:ascii="Times New Roman" w:cs="Times New Roman" w:eastAsia="Times New Roman" w:hAnsi="Times New Roman"/>
          <w:sz w:val="18"/>
          <w:szCs w:val="18"/>
          <w:color w:val="auto"/>
        </w:rPr>
      </w:pPr>
    </w:p>
    <w:p>
      <w:pPr>
        <w:ind w:left="1100" w:hanging="307"/>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Historical volatility – </w:t>
      </w:r>
      <w:r>
        <w:rPr>
          <w:rFonts w:ascii="Times New Roman" w:cs="Times New Roman" w:eastAsia="Times New Roman" w:hAnsi="Times New Roman"/>
          <w:sz w:val="18"/>
          <w:szCs w:val="18"/>
          <w:color w:val="auto"/>
        </w:rPr>
        <w:t>The Company uses a trailing five year from grant date to determine volatility.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Restructuring</w:t>
      </w:r>
    </w:p>
    <w:p>
      <w:pPr>
        <w:spacing w:after="0" w:line="241" w:lineRule="exact"/>
        <w:rPr>
          <w:sz w:val="20"/>
          <w:szCs w:val="20"/>
          <w:color w:val="auto"/>
        </w:rPr>
      </w:pPr>
    </w:p>
    <w:p>
      <w:pPr>
        <w:ind w:firstLine="420"/>
        <w:spacing w:after="0" w:line="267" w:lineRule="auto"/>
        <w:rPr>
          <w:sz w:val="20"/>
          <w:szCs w:val="20"/>
          <w:color w:val="auto"/>
        </w:rPr>
      </w:pPr>
      <w:r>
        <w:rPr>
          <w:rFonts w:ascii="Times New Roman" w:cs="Times New Roman" w:eastAsia="Times New Roman" w:hAnsi="Times New Roman"/>
          <w:sz w:val="18"/>
          <w:szCs w:val="18"/>
          <w:color w:val="auto"/>
        </w:rPr>
        <w:t>During the second quarter of 2022, LivePerson began a restructuring initiative to realign the Company’s cost structure to better reflect significant product and business model innovation and changes over the past year due to acquisitions and factors</w:t>
      </w:r>
    </w:p>
    <w:p>
      <w:pPr>
        <w:spacing w:after="0" w:line="200" w:lineRule="exact"/>
        <w:rPr>
          <w:sz w:val="20"/>
          <w:szCs w:val="20"/>
          <w:color w:val="auto"/>
        </w:rPr>
      </w:pPr>
    </w:p>
    <w:p>
      <w:pPr>
        <w:spacing w:after="0" w:line="33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33" w:name="page34"/>
    <w:bookmarkEnd w:id="33"/>
    <w:p>
      <w:pPr>
        <w:jc w:val="both"/>
        <w:spacing w:after="0" w:line="249" w:lineRule="auto"/>
        <w:rPr>
          <w:sz w:val="20"/>
          <w:szCs w:val="20"/>
          <w:color w:val="auto"/>
        </w:rPr>
      </w:pPr>
      <w:r>
        <w:rPr>
          <w:rFonts w:ascii="Times New Roman" w:cs="Times New Roman" w:eastAsia="Times New Roman" w:hAnsi="Times New Roman"/>
          <w:sz w:val="18"/>
          <w:szCs w:val="18"/>
          <w:color w:val="auto"/>
        </w:rPr>
        <w:t>outside the control of the Company. As part of the restructuring initiative, the Company reoriented its global product and engineering organization for greater efficiency and focus, and reallocated some spending to increase its investment in customer success and go-to-market initiatives. The Company believes these initiatives will better align resources to provide further operating flexibility and position the business for long-term success. In connection with the restructuring initiatives, the Company recognized restructuring costs of $10.9 million during the second quarter 2022, which is included in restructuring costs in the accompanying condensed consolidated statement of operations. Such costs primarily include severance and compensation costs.</w:t>
      </w:r>
    </w:p>
    <w:p>
      <w:pPr>
        <w:spacing w:after="0" w:line="213" w:lineRule="exact"/>
        <w:rPr>
          <w:sz w:val="20"/>
          <w:szCs w:val="20"/>
          <w:color w:val="auto"/>
        </w:rPr>
      </w:pPr>
    </w:p>
    <w:p>
      <w:pPr>
        <w:jc w:val="both"/>
        <w:ind w:firstLine="420"/>
        <w:spacing w:after="0" w:line="249" w:lineRule="auto"/>
        <w:rPr>
          <w:sz w:val="20"/>
          <w:szCs w:val="20"/>
          <w:color w:val="auto"/>
        </w:rPr>
      </w:pPr>
      <w:r>
        <w:rPr>
          <w:rFonts w:ascii="Times New Roman" w:cs="Times New Roman" w:eastAsia="Times New Roman" w:hAnsi="Times New Roman"/>
          <w:sz w:val="18"/>
          <w:szCs w:val="18"/>
          <w:color w:val="auto"/>
        </w:rPr>
        <w:t>In 2020, in response to the COVID-19 pandemic, the Company went through a re-evaluation of its real estate needs. In connection with this re-evaluation, and the success the Company has had working remotely, it was decided in July 2020 that the Company would significantly reduce the real estate space it leases. This decision resulted in the significant reduction of the real estate space the Company leases and the removal of the associated right of use assets. Furthermore, this resulted in various one-time expenses in connection with the abandonment of the majority of the Company’s leased facilities. The lease restructuring costs noted below are a result of this transition to an employee-centric model.</w:t>
      </w:r>
    </w:p>
    <w:p>
      <w:pPr>
        <w:spacing w:after="0" w:line="2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detail of the liability for the Company’s restructuring charges for the periods presented: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3"/>
                <w:szCs w:val="13"/>
                <w:color w:val="auto"/>
              </w:rPr>
            </w:pPr>
          </w:p>
        </w:tc>
        <w:tc>
          <w:tcPr>
            <w:tcW w:w="122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8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4"/>
          </w:tcPr>
          <w:p>
            <w:pPr>
              <w:jc w:val="right"/>
              <w:ind w:right="96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the year</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4,732</w:t>
            </w:r>
          </w:p>
        </w:tc>
      </w:tr>
      <w:tr>
        <w:trPr>
          <w:trHeight w:val="208"/>
        </w:trPr>
        <w:tc>
          <w:tcPr>
            <w:tcW w:w="82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Lease restructuring costs</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r>
      <w:tr>
        <w:trPr>
          <w:trHeight w:val="212"/>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Severance and other compensation associated costs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w:t>
            </w:r>
          </w:p>
        </w:tc>
      </w:tr>
      <w:tr>
        <w:trPr>
          <w:trHeight w:val="208"/>
        </w:trPr>
        <w:tc>
          <w:tcPr>
            <w:tcW w:w="8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payments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(6,435)</w:t>
            </w:r>
          </w:p>
        </w:tc>
      </w:tr>
      <w:tr>
        <w:trPr>
          <w:trHeight w:val="23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detail of expenses for the Company’s restructuring charges for the periods presented: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480" w:type="dxa"/>
            <w:vAlign w:val="bottom"/>
            <w:gridSpan w:val="4"/>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6"/>
                <w:szCs w:val="16"/>
                <w:color w:val="auto"/>
              </w:rPr>
            </w:pPr>
          </w:p>
        </w:tc>
      </w:tr>
      <w:tr>
        <w:trPr>
          <w:trHeight w:val="197"/>
        </w:trPr>
        <w:tc>
          <w:tcPr>
            <w:tcW w:w="5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80" w:type="dxa"/>
            <w:vAlign w:val="bottom"/>
            <w:gridSpan w:val="3"/>
          </w:tcPr>
          <w:p>
            <w:pPr>
              <w:jc w:val="right"/>
              <w:ind w:right="68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7"/>
                <w:szCs w:val="17"/>
                <w:color w:val="auto"/>
              </w:rPr>
            </w:pPr>
          </w:p>
        </w:tc>
      </w:tr>
      <w:tr>
        <w:trPr>
          <w:trHeight w:val="24"/>
        </w:trPr>
        <w:tc>
          <w:tcPr>
            <w:tcW w:w="5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52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0"/>
        </w:trPr>
        <w:tc>
          <w:tcPr>
            <w:tcW w:w="5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costs: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8"/>
        </w:trPr>
        <w:tc>
          <w:tcPr>
            <w:tcW w:w="52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Lease restructuring costs</w:t>
            </w:r>
          </w:p>
        </w:tc>
        <w:tc>
          <w:tcPr>
            <w:tcW w:w="900" w:type="dxa"/>
            <w:vAlign w:val="bottom"/>
          </w:tcPr>
          <w:p>
            <w:pPr>
              <w:jc w:val="right"/>
              <w:ind w:right="726"/>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20" w:type="dxa"/>
            <w:vAlign w:val="bottom"/>
          </w:tcPr>
          <w:p>
            <w:pPr>
              <w:spacing w:after="0"/>
              <w:rPr>
                <w:sz w:val="18"/>
                <w:szCs w:val="18"/>
                <w:color w:val="auto"/>
              </w:rPr>
            </w:pPr>
          </w:p>
        </w:tc>
        <w:tc>
          <w:tcPr>
            <w:tcW w:w="940" w:type="dxa"/>
            <w:vAlign w:val="bottom"/>
          </w:tcPr>
          <w:p>
            <w:pPr>
              <w:jc w:val="right"/>
              <w:ind w:right="784"/>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20" w:type="dxa"/>
            <w:vAlign w:val="bottom"/>
          </w:tcPr>
          <w:p>
            <w:pPr>
              <w:spacing w:after="0"/>
              <w:rPr>
                <w:sz w:val="18"/>
                <w:szCs w:val="18"/>
                <w:color w:val="auto"/>
              </w:rPr>
            </w:pPr>
          </w:p>
        </w:tc>
        <w:tc>
          <w:tcPr>
            <w:tcW w:w="52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r>
      <w:tr>
        <w:trPr>
          <w:trHeight w:val="210"/>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Severance and other compensation associated costs</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10,499</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10,499</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w:t>
            </w:r>
          </w:p>
        </w:tc>
      </w:tr>
      <w:tr>
        <w:trPr>
          <w:trHeight w:val="205"/>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restructuring costs</w:t>
            </w:r>
          </w:p>
        </w:tc>
        <w:tc>
          <w:tcPr>
            <w:tcW w:w="900" w:type="dxa"/>
            <w:vAlign w:val="bottom"/>
            <w:tcBorders>
              <w:bottom w:val="single" w:sz="8" w:color="auto"/>
            </w:tcBorders>
          </w:tcPr>
          <w:p>
            <w:pPr>
              <w:jc w:val="right"/>
              <w:ind w:right="726"/>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10,861</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ind w:right="784"/>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10,838</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3,225</w:t>
            </w:r>
          </w:p>
        </w:tc>
      </w:tr>
      <w:tr>
        <w:trPr>
          <w:trHeight w:val="20"/>
        </w:trPr>
        <w:tc>
          <w:tcPr>
            <w:tcW w:w="5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Legal Matters</w:t>
      </w:r>
    </w:p>
    <w:p>
      <w:pPr>
        <w:spacing w:after="0" w:line="228" w:lineRule="exact"/>
        <w:rPr>
          <w:sz w:val="20"/>
          <w:szCs w:val="20"/>
          <w:color w:val="auto"/>
        </w:rPr>
      </w:pPr>
    </w:p>
    <w:p>
      <w:pPr>
        <w:ind w:firstLine="630"/>
        <w:spacing w:after="0" w:line="232" w:lineRule="auto"/>
        <w:rPr>
          <w:sz w:val="20"/>
          <w:szCs w:val="20"/>
          <w:color w:val="auto"/>
        </w:rPr>
      </w:pPr>
      <w:r>
        <w:rPr>
          <w:rFonts w:ascii="Times New Roman" w:cs="Times New Roman" w:eastAsia="Times New Roman" w:hAnsi="Times New Roman"/>
          <w:sz w:val="18"/>
          <w:szCs w:val="18"/>
          <w:color w:val="auto"/>
        </w:rPr>
        <w:t>The Company filed an intellectual property suit against [24]7 Customer, Inc. (“[24]7”) in the Southern District of New York on March 6, 2014 seeking damages on the grounds that [24]7 reverse engineered and misappropriated the Company’s technology to develop competing products and misused the Company’s business information. On June 22, 2015, [24]7 filed suit against the Company in the Northern District of California alleging patent infringement. On December 7, 2015, [24]7 filed a second patent infringement suit against the Company, also in the Northern District of California. On March 16, 2017, the New York case was voluntarily transferred and consolidated with the two California cases in the Northern District of California (the</w:t>
      </w:r>
    </w:p>
    <w:p>
      <w:pPr>
        <w:spacing w:after="0" w:line="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“Court”) for all pre-trial purposes. Rulings by both the Court and the United States Patent and Trademark Office in the Company’s favor have invalidated the majority of [24]7 patents that were asserted in the patent cases. The Company believes the remaining claims filed by [24]7 are entirely without merit and intends to defend them vigorously. Trial for the Company’s intellectual property and other claims asserted against [24]7 related to three of the customers at issue occurred on May 24, 2021 and the jury awarded approximately $30.3 million in favor of the Company, including approximately $6.7 million in compensatory damages and approximately $23.6 million in punitive damages. </w:t>
      </w:r>
      <w:r>
        <w:rPr>
          <w:rFonts w:ascii="Times New Roman" w:cs="Times New Roman" w:eastAsia="Times New Roman" w:hAnsi="Times New Roman"/>
          <w:sz w:val="18"/>
          <w:szCs w:val="18"/>
          <w:color w:val="222222"/>
        </w:rPr>
        <w:t>After the jury reached its verdict, additional post-trial motions were filed by [24]7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LivePerson, including [24]7 asking the Court to order a new trial, overturn the jury’s verdict, or reduce the amount of punitive damages the jury awarded, and LivePerson requested interest on the judgment. The Company and [24]7 also reached agreement on the terms of a permanent injunction, and that additional costs are owed to the Company in the amount of $0.4 million, which the Court has entered. On July 28, 2022, the Court denied [24]7’s post-trial motions and granted LivePerson’s motion for interest, awarding approximately an additional $4.3 million. The Company</w:t>
      </w:r>
    </w:p>
    <w:p>
      <w:pPr>
        <w:spacing w:after="0" w:line="200" w:lineRule="exact"/>
        <w:rPr>
          <w:sz w:val="20"/>
          <w:szCs w:val="20"/>
          <w:color w:val="auto"/>
        </w:rPr>
      </w:pPr>
    </w:p>
    <w:p>
      <w:pPr>
        <w:spacing w:after="0" w:line="35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4" w:name="page35"/>
    <w:bookmarkEnd w:id="34"/>
    <w:p>
      <w:pPr>
        <w:jc w:val="both"/>
        <w:spacing w:after="0" w:line="255" w:lineRule="auto"/>
        <w:rPr>
          <w:sz w:val="20"/>
          <w:szCs w:val="20"/>
          <w:color w:val="auto"/>
        </w:rPr>
      </w:pPr>
      <w:r>
        <w:rPr>
          <w:rFonts w:ascii="Times New Roman" w:cs="Times New Roman" w:eastAsia="Times New Roman" w:hAnsi="Times New Roman"/>
          <w:sz w:val="18"/>
          <w:szCs w:val="18"/>
          <w:color w:val="222222"/>
        </w:rPr>
        <w:t>currently anticipates that [24]7 may elect to appeal these matters. Accordingly, no amounts for the judgment have been reflected in the Company’s financial statements. Trial for [24]7’s patent infringement claims as well as the Company’s trade secret claims asserted against [24]7 that relate to additional customers have been stayed, to be reset by the Court</w:t>
      </w:r>
      <w:r>
        <w:rPr>
          <w:rFonts w:ascii="Times New Roman" w:cs="Times New Roman" w:eastAsia="Times New Roman" w:hAnsi="Times New Roman"/>
          <w:sz w:val="18"/>
          <w:szCs w:val="18"/>
          <w:color w:val="000000"/>
        </w:rPr>
        <w:t>.</w:t>
      </w:r>
    </w:p>
    <w:p>
      <w:pPr>
        <w:spacing w:after="0" w:line="207" w:lineRule="exact"/>
        <w:rPr>
          <w:sz w:val="20"/>
          <w:szCs w:val="20"/>
          <w:color w:val="auto"/>
        </w:rPr>
      </w:pPr>
    </w:p>
    <w:p>
      <w:pPr>
        <w:jc w:val="both"/>
        <w:ind w:firstLine="630"/>
        <w:spacing w:after="0" w:line="247" w:lineRule="auto"/>
        <w:rPr>
          <w:sz w:val="20"/>
          <w:szCs w:val="20"/>
          <w:color w:val="auto"/>
        </w:rPr>
      </w:pPr>
      <w:r>
        <w:rPr>
          <w:rFonts w:ascii="Times New Roman" w:cs="Times New Roman" w:eastAsia="Times New Roman" w:hAnsi="Times New Roman"/>
          <w:sz w:val="18"/>
          <w:szCs w:val="18"/>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 450, “Contingencies.”</w:t>
      </w:r>
    </w:p>
    <w:p>
      <w:pPr>
        <w:spacing w:after="0" w:line="213" w:lineRule="exact"/>
        <w:rPr>
          <w:sz w:val="20"/>
          <w:szCs w:val="20"/>
          <w:color w:val="auto"/>
        </w:rPr>
      </w:pPr>
    </w:p>
    <w:p>
      <w:pPr>
        <w:jc w:val="both"/>
        <w:ind w:firstLine="420"/>
        <w:spacing w:after="0" w:line="285" w:lineRule="auto"/>
        <w:rPr>
          <w:sz w:val="20"/>
          <w:szCs w:val="20"/>
          <w:color w:val="auto"/>
        </w:rPr>
      </w:pPr>
      <w:r>
        <w:rPr>
          <w:rFonts w:ascii="Times New Roman" w:cs="Times New Roman" w:eastAsia="Times New Roman" w:hAnsi="Times New Roman"/>
          <w:sz w:val="16"/>
          <w:szCs w:val="16"/>
          <w:color w:val="auto"/>
        </w:rPr>
        <w:t>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 From time to time, third parties assert claims against the Company regarding intellectual property rights, privacy issues, and other matters arising in the ordinary course of 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41" w:lineRule="exact"/>
        <w:rPr>
          <w:sz w:val="20"/>
          <w:szCs w:val="20"/>
          <w:color w:val="auto"/>
        </w:rPr>
      </w:pPr>
    </w:p>
    <w:p>
      <w:pPr>
        <w:jc w:val="both"/>
        <w:ind w:firstLine="420"/>
        <w:spacing w:after="0" w:line="283" w:lineRule="auto"/>
        <w:rPr>
          <w:sz w:val="20"/>
          <w:szCs w:val="20"/>
          <w:color w:val="auto"/>
        </w:rPr>
      </w:pPr>
      <w:r>
        <w:rPr>
          <w:rFonts w:ascii="Times New Roman" w:cs="Times New Roman" w:eastAsia="Times New Roman" w:hAnsi="Times New Roman"/>
          <w:sz w:val="16"/>
          <w:szCs w:val="16"/>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w:t>
      </w:r>
    </w:p>
    <w:p>
      <w:pPr>
        <w:spacing w:after="0" w:line="57" w:lineRule="exact"/>
        <w:rPr>
          <w:sz w:val="20"/>
          <w:szCs w:val="20"/>
          <w:color w:val="auto"/>
        </w:rPr>
      </w:pPr>
    </w:p>
    <w:p>
      <w:pPr>
        <w:jc w:val="both"/>
        <w:ind w:firstLine="420"/>
        <w:spacing w:after="0" w:line="248" w:lineRule="auto"/>
        <w:rPr>
          <w:sz w:val="20"/>
          <w:szCs w:val="20"/>
          <w:color w:val="auto"/>
        </w:rPr>
      </w:pPr>
      <w:r>
        <w:rPr>
          <w:rFonts w:ascii="Times New Roman" w:cs="Times New Roman" w:eastAsia="Times New Roman" w:hAnsi="Times New Roman"/>
          <w:sz w:val="18"/>
          <w:szCs w:val="18"/>
          <w:color w:val="auto"/>
        </w:rPr>
        <w:t>The Company includes interest accrued on the underpayment of income taxes in interest expense and penalties, if any, related to unrecognized tax benefits in general and administrative expenses. The Company recorded a valuation allowance against its U.S. deferred tax asset as it considered its cumulative loss in recent years as a significant piece of negative evidence. Since valuation allowances are evaluated by jurisdiction, the Company believes that the deferred tax assets related to LivePerson Australia Holdings Pty. Ltd., LivePerson (UK) Limited, Kasamba Inc., LivePerson Japan and LivePerson Limited (Israel) are more likely than not to be realized as these jurisdictions have positive cumulative pre-tax book income after adjusting for permanent and one-time items. During the year ended December 31, 2021, there was an increase in the valuation allowance recorded of $51.7 million.</w:t>
      </w:r>
    </w:p>
    <w:p>
      <w:pPr>
        <w:spacing w:after="0" w:line="121" w:lineRule="exact"/>
        <w:rPr>
          <w:sz w:val="20"/>
          <w:szCs w:val="20"/>
          <w:color w:val="auto"/>
        </w:rPr>
      </w:pPr>
    </w:p>
    <w:p>
      <w:pPr>
        <w:jc w:val="both"/>
        <w:ind w:firstLine="420"/>
        <w:spacing w:after="0" w:line="247" w:lineRule="auto"/>
        <w:rPr>
          <w:sz w:val="20"/>
          <w:szCs w:val="20"/>
          <w:color w:val="auto"/>
        </w:rPr>
      </w:pPr>
      <w:r>
        <w:rPr>
          <w:rFonts w:ascii="Times New Roman" w:cs="Times New Roman" w:eastAsia="Times New Roman" w:hAnsi="Times New Roman"/>
          <w:sz w:val="18"/>
          <w:szCs w:val="18"/>
          <w:color w:val="auto"/>
        </w:rPr>
        <w:t>For the three months ended June 30, 2022, the Company recorded a tax provision of $1.2 million. This amount consists of a tax provision of $2.5 million on operating earnings coupled with a stock compensation tax deficiency of $0.3 million related to stock compensation arrangements of LivePerson, LivePerson (UK) Limited and LivePerson Limited (Israel), offset by a tax benefit of $1.6 million related to the release of a valuation allowance in conjunction with the WildHealth transaction. For the six months ended June 30, 2022, the Company recorded a tax provision of $1.0 million. This amount consists of a tax provision of $2.5 million on operating earnings coupled with a stock compensation tax deficiency of $0.1 million related to stock compensation arrangements of LivePerson, LivePerson (UK) Limited and LivePerson Limited (Israel), offset by a tax benefit of $1.6 million related to the release of a valuation allowance in conjunction with the WildHealth transaction.</w:t>
      </w:r>
    </w:p>
    <w:p>
      <w:pPr>
        <w:spacing w:after="0" w:line="124"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The Company had a valuation allowance on certain deferred tax assets for the year ended December 31, 2021 of $107.1 million. Inherent in the Company’s 2022 annual effective tax rate is an estimated increase in the valuation allowance of $38.3 million, all of which will be recorded as an expense. During 2021, an increase in the valuation allowance in the amount of $34.3 million was recorded as an expense and an additional increase to the valuation allowance of $17.4 million was recorded to goodwill against acquired federal and state net operating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Note 17. Equity Method Investment</w:t>
      </w:r>
    </w:p>
    <w:p>
      <w:pPr>
        <w:spacing w:after="0" w:line="241" w:lineRule="exact"/>
        <w:rPr>
          <w:sz w:val="20"/>
          <w:szCs w:val="20"/>
          <w:color w:val="auto"/>
        </w:rPr>
      </w:pPr>
    </w:p>
    <w:p>
      <w:pPr>
        <w:jc w:val="both"/>
        <w:ind w:firstLine="420"/>
        <w:spacing w:after="0" w:line="247" w:lineRule="auto"/>
        <w:rPr>
          <w:sz w:val="20"/>
          <w:szCs w:val="20"/>
          <w:color w:val="auto"/>
        </w:rPr>
      </w:pPr>
      <w:r>
        <w:rPr>
          <w:rFonts w:ascii="Times New Roman" w:cs="Times New Roman" w:eastAsia="Times New Roman" w:hAnsi="Times New Roman"/>
          <w:sz w:val="18"/>
          <w:szCs w:val="18"/>
          <w:color w:val="auto"/>
        </w:rPr>
        <w:t>On February 13, 2022, the Company and Pasaca Capital Inc. (“Pasaca”) entered into a joint venture agreement (the “JV Agreement”) to form Claire, a joint venture to build, create, and administer a marketplace for health and well-being diagnostic testing. Claire is intended to operate an app store-like platform to make medical testing and accessing results easier and more informative. Claire is being developed with the goal of creating a single place to shop for testing services from numerous testing providers, including Claire-branded tests and at-home tests. Pursuant to the terms of the JV Agreement, the Company agreed to contribute a total of $19.0 million over a five-year period in exchange for a 19.2% ownership interest in Claire. Pasaca agreed to contribute $80.0 million to Claire over a five-year period in exchange for an 80.8% ownership interest in Claire. As of June 30, 2022, $13.4 million remained to be contributed to Claire by the Company under the terms of the JV Agreement. The Company accounts for its 19.2% interest in Claire using the equity method of accounting. The Company recorded its ownership percentage of losses of Claire in Other (expense) income, net for $0.1 million.</w:t>
      </w:r>
    </w:p>
    <w:p>
      <w:pPr>
        <w:spacing w:after="0" w:line="121"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As of June 30, 2022, the Company’s equity method investment was $3.7 million and was included in investment in joint venture on the condensed consolidated balance sheet.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Variable Interest Entity</w:t>
      </w:r>
    </w:p>
    <w:p>
      <w:pPr>
        <w:spacing w:after="0" w:line="241"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The Company prepares its condensed consolidated financial statements in accordance with ASC 810, which provides for the consolidation of VIEs of which the Company is the primary beneficiary.</w:t>
      </w:r>
    </w:p>
    <w:p>
      <w:pPr>
        <w:spacing w:after="0" w:line="196" w:lineRule="exact"/>
        <w:rPr>
          <w:sz w:val="20"/>
          <w:szCs w:val="20"/>
          <w:color w:val="auto"/>
        </w:rPr>
      </w:pPr>
    </w:p>
    <w:p>
      <w:pPr>
        <w:jc w:val="both"/>
        <w:ind w:firstLine="420"/>
        <w:spacing w:after="0" w:line="248" w:lineRule="auto"/>
        <w:rPr>
          <w:sz w:val="20"/>
          <w:szCs w:val="20"/>
          <w:color w:val="auto"/>
        </w:rPr>
      </w:pPr>
      <w:r>
        <w:rPr>
          <w:rFonts w:ascii="Times New Roman" w:cs="Times New Roman" w:eastAsia="Times New Roman" w:hAnsi="Times New Roman"/>
          <w:sz w:val="18"/>
          <w:szCs w:val="18"/>
          <w:color w:val="auto"/>
        </w:rPr>
        <w:t>In February 2022, the Company acquired WildHealth as well as certain variable interests that WildHealth has in four Professional Corporations (‘‘PCs’’). The PCs are owned by a medical practitioner in accordance with certain state laws which restrict the corporate practice of medicine and require medical practitioners to own such entities. WildHealth provides management and other services to the PCs in exchange for a management fee and provides financial support to the PCs through a revolving credit arrangement. WildHealth also has separate agreements with the equity holder of the PCs where it may acquire and assign such equity interests for certain PCs. WildHealth consolidates the PCs as VIEs. The Company determined that the PCs are VIEs as WildHealth is the primary beneficiary of the PCs.</w:t>
      </w:r>
    </w:p>
    <w:p>
      <w:pPr>
        <w:spacing w:after="0" w:line="318"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The assets, liabilities, revenues, and operating results of the VIEs after elimination of intercompany transactions were not material as of and for the three and six months ended June 30, 2022.</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Related Parties</w:t>
      </w:r>
    </w:p>
    <w:p>
      <w:pPr>
        <w:spacing w:after="0" w:line="241" w:lineRule="exact"/>
        <w:rPr>
          <w:sz w:val="20"/>
          <w:szCs w:val="20"/>
          <w:color w:val="auto"/>
        </w:rPr>
      </w:pPr>
    </w:p>
    <w:p>
      <w:pPr>
        <w:jc w:val="both"/>
        <w:ind w:firstLine="420"/>
        <w:spacing w:after="0" w:line="247" w:lineRule="auto"/>
        <w:rPr>
          <w:sz w:val="20"/>
          <w:szCs w:val="20"/>
          <w:color w:val="auto"/>
        </w:rPr>
      </w:pPr>
      <w:r>
        <w:rPr>
          <w:rFonts w:ascii="Times New Roman" w:cs="Times New Roman" w:eastAsia="Times New Roman" w:hAnsi="Times New Roman"/>
          <w:sz w:val="18"/>
          <w:szCs w:val="18"/>
          <w:color w:val="auto"/>
        </w:rPr>
        <w:t>Related parties are defined as entities related to the Company’s Directors or main shareholders as well as equity method affiliates. The Company provides services to Claire, an equity method affiliate (refer to Note 17 – Equity Method Investment for additional information on equity method affiliate), through the Master Service Agreement (the “MSA”). These services are identified within the MSA’s scope of work and include marketing, end user features, custom software development, and business/management services. Revenues for the services provided to related parties included in the Company’s consolidated statements of operations were $13.2 million for the six months ended June 30, 2022. Deferred revenues for amounts billed to related parties less recognized revenue included in the Company’s consolidated statements of operations were $9.5 million as of June 30, 2022. Refer to Note 2 – Revenue Recognition for additional information. Total billings were $22.7 million and accounts receivable were $12.7 million as of June 30, 2022 included in the Company’s condensed consolidated balance sheet.</w:t>
      </w:r>
    </w:p>
    <w:p>
      <w:pPr>
        <w:spacing w:after="0" w:line="316"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39" w:lineRule="exact"/>
        <w:rPr>
          <w:sz w:val="20"/>
          <w:szCs w:val="20"/>
          <w:color w:val="auto"/>
        </w:rPr>
      </w:pPr>
    </w:p>
    <w:p>
      <w:pPr>
        <w:jc w:val="both"/>
        <w:ind w:firstLine="420"/>
        <w:spacing w:after="0" w:line="248" w:lineRule="auto"/>
        <w:rPr>
          <w:sz w:val="20"/>
          <w:szCs w:val="20"/>
          <w:color w:val="auto"/>
        </w:rPr>
      </w:pPr>
      <w:r>
        <w:rPr>
          <w:rFonts w:ascii="Times New Roman" w:cs="Times New Roman" w:eastAsia="Times New Roman" w:hAnsi="Times New Roman"/>
          <w:sz w:val="18"/>
          <w:szCs w:val="18"/>
          <w:i w:val="1"/>
          <w:iCs w:val="1"/>
          <w:color w:val="auto"/>
        </w:rPr>
        <w:t>Our discussion and analysis of our financial condition and results of operations is based upon our condensed consolidated financial statements, which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bookmarkStart w:id="36" w:name="page37"/>
    <w:bookmarkEnd w:id="36"/>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consolidated financial statements and the reported amounts of revenue and expenses during the reporting periods. These estimates and assumptions relate to estimates of the carrying amount of goodwill, intangibles, depreciation, stock based-compensation, valuation allowances for deferred income taxes, accounts receivable, the expected term of a customer relationship, accruals and other factors. We evaluate these estimates on an ongoing basis. Actual results could differ from those estimates under different assumptions or conditions, and any differences could be material. </w:t>
      </w:r>
      <w:r>
        <w:rPr>
          <w:rFonts w:ascii="Times New Roman" w:cs="Times New Roman" w:eastAsia="Times New Roman" w:hAnsi="Times New Roman"/>
          <w:sz w:val="18"/>
          <w:szCs w:val="18"/>
          <w:i w:val="1"/>
          <w:iCs w:val="1"/>
          <w:color w:val="212529"/>
        </w:rPr>
        <w:t>In addition, our actual results could differ from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color w:val="212529"/>
        </w:rPr>
        <w:t>estimates and assumptions based upon impacts on our business and general economic conditions.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1" w:lineRule="exact"/>
        <w:rPr>
          <w:sz w:val="20"/>
          <w:szCs w:val="20"/>
          <w:color w:val="auto"/>
        </w:rPr>
      </w:pPr>
    </w:p>
    <w:p>
      <w:pPr>
        <w:jc w:val="both"/>
        <w:ind w:firstLine="420"/>
        <w:spacing w:after="0" w:line="246" w:lineRule="auto"/>
        <w:rPr>
          <w:sz w:val="20"/>
          <w:szCs w:val="20"/>
          <w:color w:val="auto"/>
        </w:rPr>
      </w:pPr>
      <w:r>
        <w:rPr>
          <w:rFonts w:ascii="Times New Roman" w:cs="Times New Roman" w:eastAsia="Times New Roman" w:hAnsi="Times New Roman"/>
          <w:sz w:val="18"/>
          <w:szCs w:val="18"/>
          <w:color w:val="auto"/>
        </w:rPr>
        <w:t>LivePerson is a leading Conversational AI company creating digital experiences that are Curiously Human. Conversational AI allows humans and machines to interact using natural language, including speech or text. During the past decade, consumers have made mobile devices the center of their digital lives, and they have made mobile messaging the center of communication with friends, family and peers. The Company’s technology enables consumers to connect with businesses through these same preferred conversational interfaces, including Facebook Messenger, SMS, WhatsApp, Apple Business Chat, Google Rich Business Messenger and Alexa. These messaging conversations harness human agents, bots and AI to power convenient, personalized and content-rich journeys across the entire consumer lifecycle, from discovery and research, to sales, service and support, and increasingly marketing, social, and brick and mortar engagements. For example, consumers can look up product info like ratings, images and pricing, search for stores, see product inventory, schedule appointments, apply for credit, approve repairs, and make purchases or payments - all without ever leaving the messaging channel. These AI and human-assisted conversational experiences constitute the Conversational Space, within which LivePerson has strategically developed one of the industry’s largest ecosystems of messaging endpoints and use cases.</w:t>
      </w:r>
    </w:p>
    <w:p>
      <w:pPr>
        <w:spacing w:after="0" w:line="215" w:lineRule="exact"/>
        <w:rPr>
          <w:sz w:val="20"/>
          <w:szCs w:val="20"/>
          <w:color w:val="auto"/>
        </w:rPr>
      </w:pPr>
    </w:p>
    <w:p>
      <w:pPr>
        <w:jc w:val="both"/>
        <w:ind w:firstLine="420"/>
        <w:spacing w:after="0" w:line="247" w:lineRule="auto"/>
        <w:rPr>
          <w:sz w:val="20"/>
          <w:szCs w:val="20"/>
          <w:color w:val="auto"/>
        </w:rPr>
      </w:pPr>
      <w:r>
        <w:rPr>
          <w:rFonts w:ascii="Times New Roman" w:cs="Times New Roman" w:eastAsia="Times New Roman" w:hAnsi="Times New Roman"/>
          <w:sz w:val="18"/>
          <w:szCs w:val="18"/>
          <w:color w:val="auto"/>
        </w:rPr>
        <w:t>The Conversational Cloud, the Company’s enterprise-class cloud-based platform, enables businesses to become conversational by securely deploying AI-powered messaging at scale for brands with tens of millions of customers and many thousands of agents. The Conversational Cloud powers conversations across each of a brand’s primary digital channels, including mobile apps, mobile and desktop web browsers, SMS, social media and third-party consumer messaging platforms. Brands can also use the Conversational Cloud to message consumers when they dial a 1-800 number instead of forcing them to navigate IVRs and wait on hold. Similarly, the Conversational Cloud can ingest traditional emails and convert them into messaging conversations, or embed messaging conversations directly into web advertisements, rather than redirect consumers to static website landing pages. Agents can manage all conversations with consumers through a single console interface, regardless of where the conversations originated.</w:t>
      </w:r>
    </w:p>
    <w:p>
      <w:pPr>
        <w:spacing w:after="0" w:line="216" w:lineRule="exact"/>
        <w:rPr>
          <w:sz w:val="20"/>
          <w:szCs w:val="20"/>
          <w:color w:val="auto"/>
        </w:rPr>
      </w:pPr>
    </w:p>
    <w:p>
      <w:pPr>
        <w:jc w:val="both"/>
        <w:ind w:firstLine="420"/>
        <w:spacing w:after="0" w:line="249" w:lineRule="auto"/>
        <w:rPr>
          <w:sz w:val="20"/>
          <w:szCs w:val="20"/>
          <w:color w:val="auto"/>
        </w:rPr>
      </w:pPr>
      <w:r>
        <w:rPr>
          <w:rFonts w:ascii="Times New Roman" w:cs="Times New Roman" w:eastAsia="Times New Roman" w:hAnsi="Times New Roman"/>
          <w:sz w:val="18"/>
          <w:szCs w:val="18"/>
          <w:color w:val="auto"/>
        </w:rPr>
        <w:t>LivePerson’s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PCI compliance, co-browsing and a sophisticated proactive targeting engine. An extensible API stack facilitates a lower cost of ownership by facilitating robust integration into back-end systems, as well as enabling developers to build their own programs and services on top of the platform. More than 40 APIs and software development kits are available on the Conversational Cloud.</w:t>
      </w:r>
    </w:p>
    <w:p>
      <w:pPr>
        <w:spacing w:after="0" w:line="2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your reference:</w:t>
      </w:r>
    </w:p>
    <w:p>
      <w:pPr>
        <w:spacing w:after="0" w:line="108" w:lineRule="exact"/>
        <w:rPr>
          <w:sz w:val="20"/>
          <w:szCs w:val="20"/>
          <w:color w:val="auto"/>
        </w:rPr>
      </w:pPr>
    </w:p>
    <w:p>
      <w:pPr>
        <w:ind w:left="1100" w:hanging="307"/>
        <w:spacing w:after="0"/>
        <w:tabs>
          <w:tab w:leader="none" w:pos="1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Conversational AI: Conversational AI allows humans and machines to interact using natural language, including speech or text.</w:t>
      </w:r>
    </w:p>
    <w:p>
      <w:pPr>
        <w:spacing w:after="0" w:line="108" w:lineRule="exact"/>
        <w:rPr>
          <w:rFonts w:ascii="Times New Roman" w:cs="Times New Roman" w:eastAsia="Times New Roman" w:hAnsi="Times New Roman"/>
          <w:sz w:val="18"/>
          <w:szCs w:val="18"/>
          <w:color w:val="auto"/>
        </w:rPr>
      </w:pPr>
    </w:p>
    <w:p>
      <w:pPr>
        <w:jc w:val="both"/>
        <w:ind w:left="1100" w:hanging="307"/>
        <w:spacing w:after="0" w:line="255" w:lineRule="auto"/>
        <w:tabs>
          <w:tab w:leader="none" w:pos="10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Conversational Space: In the Conversational Space, consumers message with brands on their own schedule, using natural language, to resolve their intents - all on their preferred messaging service. The core capabilities of the Conversational Space are voice and text-based interfaces, powered by AI and humans working together. Conversational Space is the simplest, most intuitive interface of all.</w:t>
      </w:r>
    </w:p>
    <w:p>
      <w:pPr>
        <w:spacing w:after="0" w:line="75" w:lineRule="exact"/>
        <w:rPr>
          <w:rFonts w:ascii="Times New Roman" w:cs="Times New Roman" w:eastAsia="Times New Roman" w:hAnsi="Times New Roman"/>
          <w:sz w:val="18"/>
          <w:szCs w:val="18"/>
          <w:color w:val="auto"/>
        </w:rPr>
      </w:pPr>
    </w:p>
    <w:p>
      <w:pPr>
        <w:ind w:left="1100" w:hanging="307"/>
        <w:spacing w:after="0" w:line="267" w:lineRule="auto"/>
        <w:tabs>
          <w:tab w:leader="none" w:pos="10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Conversational Cloud: LivePerson’s enterprise-class, AI-powered Conversational Cloud platform empowers consumers to message their favorite brands, just as they do with friends and family.</w:t>
      </w:r>
    </w:p>
    <w:p>
      <w:pPr>
        <w:spacing w:after="0" w:line="196" w:lineRule="exact"/>
        <w:rPr>
          <w:sz w:val="20"/>
          <w:szCs w:val="20"/>
          <w:color w:val="auto"/>
        </w:rPr>
      </w:pPr>
    </w:p>
    <w:p>
      <w:pPr>
        <w:jc w:val="both"/>
        <w:ind w:firstLine="420"/>
        <w:spacing w:after="0" w:line="249" w:lineRule="auto"/>
        <w:rPr>
          <w:sz w:val="20"/>
          <w:szCs w:val="20"/>
          <w:color w:val="auto"/>
        </w:rPr>
      </w:pPr>
      <w:r>
        <w:rPr>
          <w:rFonts w:ascii="Times New Roman" w:cs="Times New Roman" w:eastAsia="Times New Roman" w:hAnsi="Times New Roman"/>
          <w:sz w:val="18"/>
          <w:szCs w:val="18"/>
          <w:color w:val="auto"/>
        </w:rPr>
        <w:t>LivePerson’s Conversational AI offerings put the power of bot development, training, management and analysis into the hands of the contact center and its agents, the teams most familiar with how to structure sales and service conversations to drive successful outcomes. The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the</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37" w:name="page38"/>
    <w:bookmarkEnd w:id="37"/>
    <w:p>
      <w:pPr>
        <w:jc w:val="both"/>
        <w:spacing w:after="0" w:line="267" w:lineRule="auto"/>
        <w:rPr>
          <w:sz w:val="20"/>
          <w:szCs w:val="20"/>
          <w:color w:val="auto"/>
        </w:rPr>
      </w:pPr>
      <w:r>
        <w:rPr>
          <w:rFonts w:ascii="Times New Roman" w:cs="Times New Roman" w:eastAsia="Times New Roman" w:hAnsi="Times New Roman"/>
          <w:sz w:val="18"/>
          <w:szCs w:val="18"/>
          <w:color w:val="auto"/>
        </w:rPr>
        <w:t>Company’s proprietary Conversational AI, as well as third-party bots, the Conversational Cloud offers brands a comprehensive approach to scaling automations across their millions of customer conversations.</w:t>
      </w:r>
    </w:p>
    <w:p>
      <w:pPr>
        <w:spacing w:after="0" w:line="196" w:lineRule="exact"/>
        <w:rPr>
          <w:sz w:val="20"/>
          <w:szCs w:val="20"/>
          <w:color w:val="auto"/>
        </w:rPr>
      </w:pPr>
    </w:p>
    <w:p>
      <w:pPr>
        <w:jc w:val="both"/>
        <w:ind w:firstLine="420"/>
        <w:spacing w:after="0" w:line="249" w:lineRule="auto"/>
        <w:rPr>
          <w:sz w:val="20"/>
          <w:szCs w:val="20"/>
          <w:color w:val="auto"/>
        </w:rPr>
      </w:pPr>
      <w:r>
        <w:rPr>
          <w:rFonts w:ascii="Times New Roman" w:cs="Times New Roman" w:eastAsia="Times New Roman" w:hAnsi="Times New Roman"/>
          <w:sz w:val="18"/>
          <w:szCs w:val="18"/>
          <w:color w:val="auto"/>
        </w:rPr>
        <w:t>Complementing the Company’s proprietary messaging and Conversational AI offerings are teams of technical, solutions and consulting professionals that have developed deep domain expertise in the implementation and optimization of conversational services across industries and messaging endpoints. The Company is a leading authority in the Conversational Space. LivePerson’s products, coupled with its domain knowledge, industry expertise and professional services, have been proven to maximize the effectiveness of the Conversational Space and deliver measurable return on investment for LivePerson’s customers. Certain of the Company’s customers have achieved the following advantages from its offerings:</w:t>
      </w:r>
    </w:p>
    <w:p>
      <w:pPr>
        <w:spacing w:after="0" w:line="82" w:lineRule="exact"/>
        <w:rPr>
          <w:sz w:val="20"/>
          <w:szCs w:val="20"/>
          <w:color w:val="auto"/>
        </w:rPr>
      </w:pPr>
    </w:p>
    <w:p>
      <w:pPr>
        <w:ind w:left="1100" w:hanging="307"/>
        <w:spacing w:after="0" w:line="267" w:lineRule="auto"/>
        <w:tabs>
          <w:tab w:leader="none" w:pos="10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for each agent to manage as many as 40 messaging conversations at a time, as compared to one at a time for a voice agent and two to four at a time for a good chat agent. Adding AI and bots provides even greater scale to the number of conversations managed;</w:t>
      </w:r>
    </w:p>
    <w:p>
      <w:pPr>
        <w:spacing w:after="0" w:line="64" w:lineRule="exact"/>
        <w:rPr>
          <w:rFonts w:ascii="Times New Roman" w:cs="Times New Roman" w:eastAsia="Times New Roman" w:hAnsi="Times New Roman"/>
          <w:sz w:val="18"/>
          <w:szCs w:val="18"/>
          <w:color w:val="auto"/>
        </w:rPr>
      </w:pPr>
    </w:p>
    <w:p>
      <w:pPr>
        <w:ind w:left="1100" w:hanging="307"/>
        <w:spacing w:after="0"/>
        <w:tabs>
          <w:tab w:leader="none" w:pos="1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efficiency gains of at least two times that of voice agents, effectively cutting labor costs by at least 50%;</w:t>
      </w:r>
    </w:p>
    <w:p>
      <w:pPr>
        <w:spacing w:after="0" w:line="108" w:lineRule="exact"/>
        <w:rPr>
          <w:rFonts w:ascii="Times New Roman" w:cs="Times New Roman" w:eastAsia="Times New Roman" w:hAnsi="Times New Roman"/>
          <w:sz w:val="18"/>
          <w:szCs w:val="18"/>
          <w:color w:val="auto"/>
        </w:rPr>
      </w:pPr>
    </w:p>
    <w:p>
      <w:pPr>
        <w:ind w:left="1100" w:hanging="307"/>
        <w:spacing w:after="0" w:line="267" w:lineRule="auto"/>
        <w:tabs>
          <w:tab w:leader="none" w:pos="10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the overall customer experience, thereby fueling customer satisfaction score increases of up to 20 percentage points, and enhancing retention and loyalty;</w:t>
      </w:r>
    </w:p>
    <w:p>
      <w:pPr>
        <w:spacing w:after="0" w:line="64" w:lineRule="exact"/>
        <w:rPr>
          <w:rFonts w:ascii="Times New Roman" w:cs="Times New Roman" w:eastAsia="Times New Roman" w:hAnsi="Times New Roman"/>
          <w:sz w:val="18"/>
          <w:szCs w:val="18"/>
          <w:color w:val="auto"/>
        </w:rPr>
      </w:pPr>
    </w:p>
    <w:p>
      <w:pPr>
        <w:ind w:left="1100" w:hanging="307"/>
        <w:spacing w:after="0" w:line="267" w:lineRule="auto"/>
        <w:tabs>
          <w:tab w:leader="none" w:pos="10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convenient, personalized and content-rich conversations that increase sales conversion by up to 20%, increase average order value and reduce abandonment;</w:t>
      </w:r>
    </w:p>
    <w:p>
      <w:pPr>
        <w:spacing w:after="0" w:line="64" w:lineRule="exact"/>
        <w:rPr>
          <w:rFonts w:ascii="Times New Roman" w:cs="Times New Roman" w:eastAsia="Times New Roman" w:hAnsi="Times New Roman"/>
          <w:sz w:val="18"/>
          <w:szCs w:val="18"/>
          <w:color w:val="auto"/>
        </w:rPr>
      </w:pPr>
    </w:p>
    <w:p>
      <w:pPr>
        <w:ind w:left="1100" w:hanging="307"/>
        <w:spacing w:after="0"/>
        <w:tabs>
          <w:tab w:leader="none" w:pos="1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satisfied contact center agents, thereby reducing agent churn by up to 50%;</w:t>
      </w:r>
    </w:p>
    <w:p>
      <w:pPr>
        <w:spacing w:after="0" w:line="108" w:lineRule="exact"/>
        <w:rPr>
          <w:rFonts w:ascii="Times New Roman" w:cs="Times New Roman" w:eastAsia="Times New Roman" w:hAnsi="Times New Roman"/>
          <w:sz w:val="18"/>
          <w:szCs w:val="18"/>
          <w:color w:val="auto"/>
        </w:rPr>
      </w:pPr>
    </w:p>
    <w:p>
      <w:pPr>
        <w:ind w:left="1100" w:hanging="307"/>
        <w:spacing w:after="0" w:line="267" w:lineRule="auto"/>
        <w:tabs>
          <w:tab w:leader="none" w:pos="10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valued connection with consumers via mobile devices, either through native applications, websites, text messages, or third-party messaging platforms;</w:t>
      </w:r>
    </w:p>
    <w:p>
      <w:pPr>
        <w:spacing w:after="0" w:line="64" w:lineRule="exact"/>
        <w:rPr>
          <w:rFonts w:ascii="Times New Roman" w:cs="Times New Roman" w:eastAsia="Times New Roman" w:hAnsi="Times New Roman"/>
          <w:sz w:val="18"/>
          <w:szCs w:val="18"/>
          <w:color w:val="auto"/>
        </w:rPr>
      </w:pPr>
    </w:p>
    <w:p>
      <w:pPr>
        <w:ind w:left="1100" w:hanging="307"/>
        <w:spacing w:after="0"/>
        <w:tabs>
          <w:tab w:leader="none" w:pos="1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leveraged spending that drives visitor traffic by increasing visitor conversions;</w:t>
      </w:r>
    </w:p>
    <w:p>
      <w:pPr>
        <w:spacing w:after="0" w:line="108" w:lineRule="exact"/>
        <w:rPr>
          <w:rFonts w:ascii="Times New Roman" w:cs="Times New Roman" w:eastAsia="Times New Roman" w:hAnsi="Times New Roman"/>
          <w:sz w:val="18"/>
          <w:szCs w:val="18"/>
          <w:color w:val="auto"/>
        </w:rPr>
      </w:pPr>
    </w:p>
    <w:p>
      <w:pPr>
        <w:ind w:left="1100" w:hanging="307"/>
        <w:spacing w:after="0"/>
        <w:tabs>
          <w:tab w:leader="none" w:pos="1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refining and improving performance by understanding which initiatives deliver the highest rate of return; and</w:t>
      </w:r>
    </w:p>
    <w:p>
      <w:pPr>
        <w:spacing w:after="0" w:line="108" w:lineRule="exact"/>
        <w:rPr>
          <w:rFonts w:ascii="Times New Roman" w:cs="Times New Roman" w:eastAsia="Times New Roman" w:hAnsi="Times New Roman"/>
          <w:sz w:val="18"/>
          <w:szCs w:val="18"/>
          <w:color w:val="auto"/>
        </w:rPr>
      </w:pPr>
    </w:p>
    <w:p>
      <w:pPr>
        <w:ind w:left="1100" w:hanging="307"/>
        <w:spacing w:after="0" w:line="267" w:lineRule="auto"/>
        <w:tabs>
          <w:tab w:leader="none" w:pos="109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lead generation by providing a single platform that engages consumers through advertisements and listings on branded and third-party websites.</w:t>
      </w:r>
    </w:p>
    <w:p>
      <w:pPr>
        <w:spacing w:after="0" w:line="170"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As a “cloud computing” or software-as-a service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information technology (“IT”) resources required to implement, maintain, and support traditional on-premise software.</w:t>
      </w:r>
    </w:p>
    <w:p>
      <w:pPr>
        <w:spacing w:after="0" w:line="211"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To further enhance our platform, in September 2020 we signed a partnership with a digital services and consulting company to transform our technology infrastructure on the public cloud, to build integrated solutions and a global practice around our Conversational Cloud to sell into this company’s channels and global enterprise customer base, and to redefine how the world’s top brands communicate.</w:t>
      </w:r>
    </w:p>
    <w:p>
      <w:pPr>
        <w:spacing w:after="0" w:line="207"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More than 18,000 businesses, including HSBC, Orange, and GM Financial use our conversational solutions to orchestrate humans and AI, at scale, and create a convenient, deeply personal relationship with their customers.</w:t>
      </w:r>
    </w:p>
    <w:p>
      <w:pPr>
        <w:spacing w:after="0" w:line="196"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LivePerson’s consumer services offering is an online marketplace that connects Experts who provide information and knowledge for a fee via mobile and online messaging with Users. Users seek assistance and advice in various categories including personal counseling and coaching, computers and programming, education and tutoring, spirituality and religion, and other topics.</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key elements of LivePerson’s business solutions strategy include:</w:t>
      </w:r>
    </w:p>
    <w:p>
      <w:pPr>
        <w:spacing w:after="0" w:line="143" w:lineRule="exact"/>
        <w:rPr>
          <w:sz w:val="20"/>
          <w:szCs w:val="20"/>
          <w:color w:val="auto"/>
        </w:rPr>
      </w:pPr>
    </w:p>
    <w:p>
      <w:pPr>
        <w:jc w:val="both"/>
        <w:ind w:firstLine="420"/>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Build awareness and drive adoption of the Conversational Space. </w:t>
      </w:r>
      <w:r>
        <w:rPr>
          <w:rFonts w:ascii="Times New Roman" w:cs="Times New Roman" w:eastAsia="Times New Roman" w:hAnsi="Times New Roman"/>
          <w:sz w:val="18"/>
          <w:szCs w:val="18"/>
          <w:color w:val="auto"/>
        </w:rPr>
        <w:t>LivePerson brought our first customer live on messaging in June 2016. Since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 we have been focused on building awareness for conversational experiences and driving adoption. We have educated businesses on the financial and operational transformation that occurs when a contact center shifts to an asynchronous messaging environment, where the consumer controls the pace of the conversation, which can last minutes, hours or days, from a synchronous call or chat center, where conversations occur in real-time and have a distinct start and end.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8" w:name="page39"/>
    <w:bookmarkEnd w:id="38"/>
    <w:p>
      <w:pPr>
        <w:jc w:val="both"/>
        <w:ind w:firstLine="420"/>
        <w:spacing w:after="0" w:line="247" w:lineRule="auto"/>
        <w:rPr>
          <w:sz w:val="20"/>
          <w:szCs w:val="20"/>
          <w:color w:val="auto"/>
        </w:rPr>
      </w:pPr>
      <w:r>
        <w:rPr>
          <w:rFonts w:ascii="Times New Roman" w:cs="Times New Roman" w:eastAsia="Times New Roman" w:hAnsi="Times New Roman"/>
          <w:sz w:val="18"/>
          <w:szCs w:val="18"/>
          <w:color w:val="auto"/>
        </w:rPr>
        <w:t>A key component of our industry awareness marketing strategy has been to hold multiple global customer summits each year (events in 2020 and 2021 were held virtually in light of the COVID-19 pandemic) that target executives from enterprise customers and prospects, and feature a key theme within the Conversational Space, such as Apple Business Chat, Google Rich Business Messenger, IVR deflection or AI. LivePerson customers are the center point of these summits, presenting why they chose LivePerson for conversational experiences, how they achieved success, and what type of return on investment they have realized. Each attendee then receives a blueprint for how they can pursue similar outcomes. We have found this strategy to drive strong results for LivePerson, as we have seen a greater than 40% conversion rate on opportunities that were created or advanced as part of the customer summits. By year-end 2021, nearly 75% of messaging conversations had automation attached. We will continue to focus on building awareness for the Conversational Space and driving adoption of messaging and AI across our customer base.</w:t>
      </w:r>
    </w:p>
    <w:p>
      <w:pPr>
        <w:spacing w:after="0" w:line="209" w:lineRule="exact"/>
        <w:rPr>
          <w:sz w:val="20"/>
          <w:szCs w:val="20"/>
          <w:color w:val="auto"/>
        </w:rPr>
      </w:pPr>
    </w:p>
    <w:p>
      <w:pPr>
        <w:jc w:val="both"/>
        <w:ind w:firstLine="420"/>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Increase messaging volumes by developing a broad ecosystem, expanding customer use cases, and focusing on AI and automation. </w:t>
      </w:r>
      <w:r>
        <w:rPr>
          <w:rFonts w:ascii="Times New Roman" w:cs="Times New Roman" w:eastAsia="Times New Roman" w:hAnsi="Times New Roman"/>
          <w:sz w:val="18"/>
          <w:szCs w:val="18"/>
          <w:color w:val="auto"/>
        </w:rPr>
        <w:t>Our strategy is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drive higher messaging volumes by going both wide across messaging endpoints, deep across consumer use cases, and focusing on AI and automation as the means to deliver powerful scale. We will continue to focus on building awareness for the Conversational Space and driving adoption of messaging and AI across our customer base. LivePerson offers a platform usage pricing model, where customers are offered access to our entire suite of messaging technologies across their entire agent pool for a pre-negotiated cost per interaction. We believe that over time this model will drive higher revenue for LivePerson by reducing barriers to adoption of new messaging endpoints and use cases.</w:t>
      </w:r>
    </w:p>
    <w:p>
      <w:pPr>
        <w:spacing w:after="0" w:line="212" w:lineRule="exact"/>
        <w:rPr>
          <w:sz w:val="20"/>
          <w:szCs w:val="20"/>
          <w:color w:val="auto"/>
        </w:rPr>
      </w:pPr>
    </w:p>
    <w:p>
      <w:pPr>
        <w:jc w:val="both"/>
        <w:ind w:firstLine="420"/>
        <w:spacing w:after="0" w:line="245" w:lineRule="auto"/>
        <w:rPr>
          <w:sz w:val="20"/>
          <w:szCs w:val="20"/>
          <w:color w:val="auto"/>
        </w:rPr>
      </w:pPr>
      <w:r>
        <w:rPr>
          <w:rFonts w:ascii="Times New Roman" w:cs="Times New Roman" w:eastAsia="Times New Roman" w:hAnsi="Times New Roman"/>
          <w:sz w:val="18"/>
          <w:szCs w:val="18"/>
          <w:color w:val="auto"/>
        </w:rPr>
        <w:t>In order to drive broad messaging adoption, it is imperative that the Conversational Cloud integrates to all of the messaging apps that consumers prefer to use for communication and addresses all key use cases. For example, if a consumer is an avid WhatsApp user, and a brand only offers SMS as a messaging option, that consumer may be reluctant to try messaging the brand. Therefore, a key strategy of ours has been to build one of the industry’s broadest ecosystems of messaging endpoints and use cases. In June 2016, we launched with In-App messaging. In 2017, we introduced Facebook Messenger, SMS, Web messaging and IVR deflection integrations. In 2018, we added Apple Business Chat, Google Rich Business Messenger, Line, WhatsApp, Alexa, Google Home, Google Ad Lingo and Twitter. In 2019, we added email, allowing brands to manage emails through the same console they use for messaging, and to convert legacy emails into messaging conversations. We also added social monitoring and conversational tools for Twitter and Facebook, and introduced proactive messaging, allowing brands to transform traditional one-way notifications such as flight cancellations or phone plan overage alerts into two-way conversations. Finally, we connected to Facebook and WhatsApp digital advertisements, enabling consumers to initiate messaging conversations for marketing and customer care directly within the advertisement. In 2020, we added Instagram and Google’s Business Messages, allowing brands to bring customer-initiated conversations into the Conversational Cloud directly from Instagram, Google Search, and Google Maps. In 2021, we acquired Callinize, Inc. (bda Tenfold) ("Tenfold"), which allows our brands to bring the LivePerson Conversational Cloud into other applications, starting with Salesforce and expanding into other leading CRM and Helpdesk platforms. The ability to power conversational experiences beyond our own workspace opens up further messaging volumes and workflows for LivePerson to participate in.</w:t>
      </w:r>
    </w:p>
    <w:p>
      <w:pPr>
        <w:spacing w:after="0" w:line="219"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6"/>
          <w:szCs w:val="16"/>
          <w:color w:val="auto"/>
        </w:rPr>
        <w:t>Each channel and use case added opens the door to new consumers, providing brands a greater opportunity to shift share away from their legacy contact center channels into messaging. For example, in 2019, leading airlines launched on WhatsApp and Apple Business Chat with the ability to make secure payments; a baseball stadium launched an automated conversational concierge providing answers to a wide range of questions from restroom locations to player stats; and a multinational telecommunications company used proactive two-way messaging for outbound campaigns. In 2020, one of the largest Telcos in Australia fully virtualized their contact centers, a leading U.S. quick-serve restaurant launched on Facebook Messenger to help customers order meals, one of the biggest banks in the world launched an Apple Business Chat channel to provide a secure way to perform day-to-day banking, and one of the world’s largest jewelry retailers used the Conversational Cloud and QR codes to sell millions of dollars of product. In 2021, one of the ten largest healthcare companies in the world launched web messaging to enable their customers to check the status of their orders and request prescription refills with ease, and a multi-billion-dollar entertainment and media company enabled their consumers to plan trips, buy tickets or change reservations with in-app messaging.</w:t>
      </w:r>
    </w:p>
    <w:p>
      <w:pPr>
        <w:spacing w:after="0" w:line="188"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LivePerson makes the management of all these disparate channels seamless to the brand. AI-based intelligent routing, queuing and prioritization software orchestrates these conversations at scale, regardless of which messaging endpoint they originated from, so that human and bot agents can engage with all customers through just one console.</w:t>
      </w:r>
    </w:p>
    <w:p>
      <w:pPr>
        <w:spacing w:after="0" w:line="207"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We believe LivePerson is leading the structural shift to Conversational AI. LivePerson is powering Conversational AI, automation and messaging strategies across a growing number of use cases from care and sales, to marketing, social, conversational advertising and brick and mortar. Our Conversational AI leadership and the increase in adoption have influenced</w:t>
      </w:r>
    </w:p>
    <w:p>
      <w:pPr>
        <w:spacing w:after="0" w:line="200" w:lineRule="exact"/>
        <w:rPr>
          <w:sz w:val="20"/>
          <w:szCs w:val="20"/>
          <w:color w:val="auto"/>
        </w:rPr>
      </w:pPr>
    </w:p>
    <w:p>
      <w:pPr>
        <w:spacing w:after="0" w:line="34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9" w:name="page40"/>
    <w:bookmarkEnd w:id="39"/>
    <w:p>
      <w:pPr>
        <w:jc w:val="both"/>
        <w:spacing w:after="0" w:line="288" w:lineRule="auto"/>
        <w:rPr>
          <w:sz w:val="20"/>
          <w:szCs w:val="20"/>
          <w:color w:val="auto"/>
        </w:rPr>
      </w:pPr>
      <w:r>
        <w:rPr>
          <w:rFonts w:ascii="Times New Roman" w:cs="Times New Roman" w:eastAsia="Times New Roman" w:hAnsi="Times New Roman"/>
          <w:sz w:val="16"/>
          <w:szCs w:val="16"/>
          <w:color w:val="auto"/>
        </w:rPr>
        <w:t>LivePerson’s enterprise and mid-market revenue retention rate, (the trailing-twelve-month change in total revenue from existing customers after upsells, downsells and attrition) which was above 100% but just below our target range of 105% to 115%. The benefit can also be seen in LivePerson’s average revenue per user (“ARPU”) for our enterprise and mid-market customers, which increased approximately 23% for the trailing twelve months ended June 30, 2022 to $660,000 from approximately $535,000 for the trailing twelve months ended June 30, 2021. We believe these ARPU trends are a clear indication of how LivePerson’s strategy to drive messaging adoption has successfully influenced our revenue growth by taking share from legacy communication channels.</w:t>
      </w:r>
    </w:p>
    <w:p>
      <w:pPr>
        <w:spacing w:after="0" w:line="179" w:lineRule="exact"/>
        <w:rPr>
          <w:sz w:val="20"/>
          <w:szCs w:val="20"/>
          <w:color w:val="auto"/>
        </w:rPr>
      </w:pPr>
    </w:p>
    <w:p>
      <w:pPr>
        <w:jc w:val="both"/>
        <w:ind w:firstLine="420"/>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Attract the industry’s best AI, machine learning and conversational talent. </w:t>
      </w:r>
      <w:r>
        <w:rPr>
          <w:rFonts w:ascii="Times New Roman" w:cs="Times New Roman" w:eastAsia="Times New Roman" w:hAnsi="Times New Roman"/>
          <w:sz w:val="18"/>
          <w:szCs w:val="18"/>
          <w:color w:val="auto"/>
        </w:rPr>
        <w:t>We believe that AI and machine learning are critical to successfully scaling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Conversational Space, and that in order to develop the industry’s leading technology, we need to attract the industry’s best talent. We have hired some of the industry’s brightest data scientists, machine learning engineers and automation engineers, many from firms such as Nike, Amazon.com, Microsoft and Target, who are working exclusively on applying AI to the Conversational Space. LivePerson also expanded its development talent base in Germany, and added key development talent through the acquisitions of BotCentral in Mountain View, California; e-bot7 GmbH (“e-bot7”) in Munich, Germany; and VoiceBase, Inc. (“VoiceBase”) in San Francisco, California.</w:t>
      </w:r>
    </w:p>
    <w:p>
      <w:pPr>
        <w:spacing w:after="0" w:line="208" w:lineRule="exact"/>
        <w:rPr>
          <w:sz w:val="20"/>
          <w:szCs w:val="20"/>
          <w:color w:val="auto"/>
        </w:rPr>
      </w:pPr>
    </w:p>
    <w:p>
      <w:pPr>
        <w:jc w:val="both"/>
        <w:ind w:firstLine="420"/>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Bring to market best-in-class AI and machine learning technologies designed for the Conversational Space. </w:t>
      </w:r>
      <w:r>
        <w:rPr>
          <w:rFonts w:ascii="Times New Roman" w:cs="Times New Roman" w:eastAsia="Times New Roman" w:hAnsi="Times New Roman"/>
          <w:sz w:val="18"/>
          <w:szCs w:val="18"/>
          <w:color w:val="auto"/>
        </w:rPr>
        <w:t>We believe that in the last decade many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vendors introduced AI and bot offerings that created frustrating experiences for consumers and businesses alike, which in turn has eroded trust in automation. Many of these solutions have proven difficult to build and scale, and have been limited by stand-alone implementations that lacked the measurement, reporting and human oversight of conversational platforms such as the Conversational Cloud. In December 2018, LivePerson announced its patent-protected AI engine that is designed to overcome these shortcomings and help brands rapidly bring to market conversational AI that can scale to millions of interactions, while increasing customer satisfaction and conversion rates.</w:t>
      </w:r>
    </w:p>
    <w:p>
      <w:pPr>
        <w:spacing w:after="0" w:line="212"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Unlike alternative solutions designed solely for IT departments, LivePerson’s Conversational AI was built to be used by developers and contact center agents. By putting the power of conversational design and bot management in the hands of contact center agents, LivePerson’s Conversational AI gives brands the ability to leverage the employees closest to the customer, those who are most versed in the voice of the brand, and with the most expertise in how to craft successful outcomes for customer service and sales journeys.</w:t>
      </w:r>
    </w:p>
    <w:p>
      <w:pPr>
        <w:spacing w:after="0" w:line="2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Some of the key innovations behind LivePerson’s Conversational AI include:</w:t>
      </w:r>
    </w:p>
    <w:p>
      <w:pPr>
        <w:spacing w:after="0" w:line="108" w:lineRule="exact"/>
        <w:rPr>
          <w:sz w:val="20"/>
          <w:szCs w:val="20"/>
          <w:color w:val="auto"/>
        </w:rPr>
      </w:pPr>
    </w:p>
    <w:p>
      <w:pPr>
        <w:ind w:left="1100" w:hanging="307"/>
        <w:spacing w:after="0" w:line="331" w:lineRule="auto"/>
        <w:tabs>
          <w:tab w:leader="none" w:pos="1096"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holistic approach to scaling AI by combining consumer facing bots, agent facing bots, intelligent routing and real-time intent understanding, with an analytics dashboard that helps users focus on the intents that are impacting their business and prioritize which intents to automate next;</w:t>
      </w:r>
    </w:p>
    <w:p>
      <w:pPr>
        <w:spacing w:after="0" w:line="17" w:lineRule="exact"/>
        <w:rPr>
          <w:rFonts w:ascii="Times New Roman" w:cs="Times New Roman" w:eastAsia="Times New Roman" w:hAnsi="Times New Roman"/>
          <w:sz w:val="16"/>
          <w:szCs w:val="16"/>
          <w:color w:val="auto"/>
        </w:rPr>
      </w:pPr>
    </w:p>
    <w:p>
      <w:pPr>
        <w:ind w:left="1100" w:hanging="307"/>
        <w:spacing w:after="0" w:line="267" w:lineRule="auto"/>
        <w:tabs>
          <w:tab w:leader="none" w:pos="10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 building software that is based on dialogue instead of workflow or code, so non-technical employees like contact center agents can design automations;</w:t>
      </w:r>
    </w:p>
    <w:p>
      <w:pPr>
        <w:spacing w:after="0" w:line="64" w:lineRule="exact"/>
        <w:rPr>
          <w:rFonts w:ascii="Times New Roman" w:cs="Times New Roman" w:eastAsia="Times New Roman" w:hAnsi="Times New Roman"/>
          <w:sz w:val="18"/>
          <w:szCs w:val="18"/>
          <w:color w:val="auto"/>
        </w:rPr>
      </w:pPr>
    </w:p>
    <w:p>
      <w:pPr>
        <w:jc w:val="both"/>
        <w:ind w:left="1100" w:hanging="307"/>
        <w:spacing w:after="0" w:line="255" w:lineRule="auto"/>
        <w:tabs>
          <w:tab w:leader="none" w:pos="10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a data moat from hundreds of millions of conversations to feed the machine learning that rapidly and accurately detects consumer sentiment and intents in real-time. Customers of LivePerson can use intent understanding for advanced routing, next-best actions, and to fully contain conversations with automation;</w:t>
      </w:r>
    </w:p>
    <w:p>
      <w:pPr>
        <w:spacing w:after="0" w:line="75" w:lineRule="exact"/>
        <w:rPr>
          <w:rFonts w:ascii="Times New Roman" w:cs="Times New Roman" w:eastAsia="Times New Roman" w:hAnsi="Times New Roman"/>
          <w:sz w:val="18"/>
          <w:szCs w:val="18"/>
          <w:color w:val="auto"/>
        </w:rPr>
      </w:pPr>
    </w:p>
    <w:p>
      <w:pPr>
        <w:ind w:left="1100" w:hanging="307"/>
        <w:spacing w:after="0" w:line="267" w:lineRule="auto"/>
        <w:tabs>
          <w:tab w:leader="none" w:pos="10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establishing of contact center agents as bot managers, ensuring that every conversation is safeguarded by a human and that agents are continuously training the AI to be smarter and drive more successful outcomes;</w:t>
      </w:r>
    </w:p>
    <w:p>
      <w:pPr>
        <w:spacing w:after="0" w:line="64" w:lineRule="exact"/>
        <w:rPr>
          <w:rFonts w:ascii="Times New Roman" w:cs="Times New Roman" w:eastAsia="Times New Roman" w:hAnsi="Times New Roman"/>
          <w:sz w:val="18"/>
          <w:szCs w:val="18"/>
          <w:color w:val="auto"/>
        </w:rPr>
      </w:pPr>
    </w:p>
    <w:p>
      <w:pPr>
        <w:ind w:left="1100" w:hanging="307"/>
        <w:spacing w:after="0" w:line="267" w:lineRule="auto"/>
        <w:tabs>
          <w:tab w:leader="none" w:pos="10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powerful Assist technology that multiplies the efficiency of agents by analyzing intents in real time and then suggesting next best actions, predefined content, and bots that can take over transactional work;</w:t>
      </w:r>
    </w:p>
    <w:p>
      <w:pPr>
        <w:spacing w:after="0" w:line="64" w:lineRule="exact"/>
        <w:rPr>
          <w:rFonts w:ascii="Times New Roman" w:cs="Times New Roman" w:eastAsia="Times New Roman" w:hAnsi="Times New Roman"/>
          <w:sz w:val="18"/>
          <w:szCs w:val="18"/>
          <w:color w:val="auto"/>
        </w:rPr>
      </w:pPr>
    </w:p>
    <w:p>
      <w:pPr>
        <w:ind w:left="1100" w:hanging="307"/>
        <w:spacing w:after="0"/>
        <w:tabs>
          <w:tab w:leader="none" w:pos="1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pre-built templates for target verticals that provide out of the box support for the top intents and back-end integrations;</w:t>
      </w:r>
    </w:p>
    <w:p>
      <w:pPr>
        <w:spacing w:after="0" w:line="108" w:lineRule="exact"/>
        <w:rPr>
          <w:rFonts w:ascii="Times New Roman" w:cs="Times New Roman" w:eastAsia="Times New Roman" w:hAnsi="Times New Roman"/>
          <w:sz w:val="18"/>
          <w:szCs w:val="18"/>
          <w:color w:val="auto"/>
        </w:rPr>
      </w:pPr>
    </w:p>
    <w:p>
      <w:pPr>
        <w:ind w:left="1100" w:hanging="307"/>
        <w:spacing w:after="0"/>
        <w:tabs>
          <w:tab w:leader="none" w:pos="1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bootstrap conversations with existing transcripts, reducing design effort and speeding time to market;</w:t>
      </w:r>
    </w:p>
    <w:p>
      <w:pPr>
        <w:spacing w:after="0" w:line="108" w:lineRule="exact"/>
        <w:rPr>
          <w:rFonts w:ascii="Times New Roman" w:cs="Times New Roman" w:eastAsia="Times New Roman" w:hAnsi="Times New Roman"/>
          <w:sz w:val="18"/>
          <w:szCs w:val="18"/>
          <w:color w:val="auto"/>
        </w:rPr>
      </w:pPr>
    </w:p>
    <w:p>
      <w:pPr>
        <w:ind w:left="1100" w:hanging="307"/>
        <w:spacing w:after="0"/>
        <w:tabs>
          <w:tab w:leader="none" w:pos="11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AI natural language understanding (“NLU”) integration, so customers are not boxed into one vendor; and</w:t>
      </w:r>
    </w:p>
    <w:p>
      <w:pPr>
        <w:spacing w:after="0" w:line="108" w:lineRule="exact"/>
        <w:rPr>
          <w:rFonts w:ascii="Times New Roman" w:cs="Times New Roman" w:eastAsia="Times New Roman" w:hAnsi="Times New Roman"/>
          <w:sz w:val="18"/>
          <w:szCs w:val="18"/>
          <w:color w:val="auto"/>
        </w:rPr>
      </w:pPr>
    </w:p>
    <w:p>
      <w:pPr>
        <w:ind w:left="1100" w:hanging="307"/>
        <w:spacing w:after="0" w:line="267" w:lineRule="auto"/>
        <w:tabs>
          <w:tab w:leader="none" w:pos="109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analytics and reporting tailored to the Conversational Space, providing brands with immediate, actionable insights about their businesses and contact center operations.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0" w:name="page41"/>
    <w:bookmarkEnd w:id="40"/>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Our strategy is to continue to enhance the Conversational AI engine and related products, by leveraging our global research and development (“R&amp;D”) footprint and substantial library of mobile and online conversational data, with the aim of increasing agent efficiency, decreasing customer care costs, improving the customer experience and increasing customer lifetime value.</w:t>
      </w:r>
    </w:p>
    <w:p>
      <w:pPr>
        <w:spacing w:after="0" w:line="203" w:lineRule="exact"/>
        <w:rPr>
          <w:sz w:val="20"/>
          <w:szCs w:val="20"/>
          <w:color w:val="auto"/>
        </w:rPr>
      </w:pPr>
    </w:p>
    <w:p>
      <w:pPr>
        <w:jc w:val="both"/>
        <w:ind w:firstLine="420"/>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Sustain our leadership position by aligning brands to a vision that transforms how they communicate with consumers and delivers a superior return on brands’ investment. </w:t>
      </w:r>
      <w:r>
        <w:rPr>
          <w:rFonts w:ascii="Times New Roman" w:cs="Times New Roman" w:eastAsia="Times New Roman" w:hAnsi="Times New Roman"/>
          <w:sz w:val="18"/>
          <w:szCs w:val="18"/>
          <w:color w:val="auto"/>
        </w:rPr>
        <w:t>Over the past four years we have made good progress in developing our conversational AI platform and within the next 12 months,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expect to have a solution in place for our automations to self-heal, which is the ultimate goal of any AI platform. Our acquisitions of VoiceBase and Tenfold provide us with a mechanism for data capture in the voice channel. This additional data and the associated analytics and system integration give us an even greater ability to scale the usage of our platforms, by building on our strength in messaging. Brands must adapt their contact centers to an asynchronous messaging environment and leverage a combination of human agents, bots, and AI to achieve scale and efficiencies. When done correctly, the entire consumer lifecycle with a brand will be maintained within the Conversational Space, and traffic will steadily shift away from lower returning traditional voice calls, websites, emails, and apps to higher returning messaging endpoints.</w:t>
      </w: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believe that LivePerson is uniquely positioned to deliver this transformation due to our technology and expertise:</w:t>
      </w:r>
    </w:p>
    <w:p>
      <w:pPr>
        <w:spacing w:after="0" w:line="108" w:lineRule="exact"/>
        <w:rPr>
          <w:sz w:val="20"/>
          <w:szCs w:val="20"/>
          <w:color w:val="auto"/>
        </w:rPr>
      </w:pPr>
    </w:p>
    <w:p>
      <w:pPr>
        <w:jc w:val="both"/>
        <w:ind w:left="1100" w:hanging="307"/>
        <w:spacing w:after="0" w:line="248" w:lineRule="auto"/>
        <w:tabs>
          <w:tab w:leader="none" w:pos="10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Conversational Cloud, LivePerson’s enterprise-class, automation-first, cloud-based platform, was designed for AI-assisted and human-powered messaging in mobile and online channels. The platform offers best-in-class security and scalability, offers the broadest ecosystem of messaging endpoints, is designed for ease of use, and features an AI engine custom built for the Conversational Space, intent recognition, robust real-time reporting, role-based real-time analytics, predictive intelligence, and innovations in customer satisfaction and connection measurement. Additionally, the Conversational Cloud is an open platform with pre-built, enterprise-grade integrations into back-end systems as well as the ability to work across NLU providers.</w:t>
      </w:r>
    </w:p>
    <w:p>
      <w:pPr>
        <w:spacing w:after="0" w:line="82" w:lineRule="exact"/>
        <w:rPr>
          <w:rFonts w:ascii="Times New Roman" w:cs="Times New Roman" w:eastAsia="Times New Roman" w:hAnsi="Times New Roman"/>
          <w:sz w:val="18"/>
          <w:szCs w:val="18"/>
          <w:color w:val="auto"/>
        </w:rPr>
      </w:pPr>
    </w:p>
    <w:p>
      <w:pPr>
        <w:ind w:left="1100" w:hanging="307"/>
        <w:spacing w:after="0" w:line="267" w:lineRule="auto"/>
        <w:tabs>
          <w:tab w:leader="none" w:pos="10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it has a data moat built on hundreds of millions of conversations across industries, geographies and use cases that is feeding the machine learning engines that power intent understanding.</w:t>
      </w:r>
    </w:p>
    <w:p>
      <w:pPr>
        <w:spacing w:after="0" w:line="64" w:lineRule="exact"/>
        <w:rPr>
          <w:rFonts w:ascii="Times New Roman" w:cs="Times New Roman" w:eastAsia="Times New Roman" w:hAnsi="Times New Roman"/>
          <w:sz w:val="18"/>
          <w:szCs w:val="18"/>
          <w:color w:val="auto"/>
        </w:rPr>
      </w:pPr>
    </w:p>
    <w:p>
      <w:pPr>
        <w:ind w:left="1100" w:hanging="307"/>
        <w:spacing w:after="0" w:line="267" w:lineRule="auto"/>
        <w:tabs>
          <w:tab w:leader="none" w:pos="10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platform has expanded to power conversations across a broad spectrum of channels and use cases, from traditional sales and customer service, to marketing, social, email, advertising and brick and mortar.</w:t>
      </w:r>
    </w:p>
    <w:p>
      <w:pPr>
        <w:spacing w:after="0" w:line="64" w:lineRule="exact"/>
        <w:rPr>
          <w:rFonts w:ascii="Times New Roman" w:cs="Times New Roman" w:eastAsia="Times New Roman" w:hAnsi="Times New Roman"/>
          <w:sz w:val="18"/>
          <w:szCs w:val="18"/>
          <w:color w:val="auto"/>
        </w:rPr>
      </w:pPr>
    </w:p>
    <w:p>
      <w:pPr>
        <w:jc w:val="both"/>
        <w:ind w:left="1100" w:hanging="307"/>
        <w:spacing w:after="0" w:line="249" w:lineRule="auto"/>
        <w:tabs>
          <w:tab w:leader="none" w:pos="10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LivePerson has deep domain expertise across verticals and messaging endpoints, a global footprint, referenceable enterprise brands and a team of technical, solutions and consulting professionals to assist customers along their transformational journeys. We are positioned as an authority in the Conversational Space. We have developed a Transformation Model that is introduced to existing and prospective customers to help guide them on their journeys from legacy and oftentimes inefficient legacy voice, email and chat solutions to modern conversational ones powered by messaging and AI.</w:t>
      </w:r>
    </w:p>
    <w:p>
      <w:pPr>
        <w:spacing w:after="0" w:line="81" w:lineRule="exact"/>
        <w:rPr>
          <w:rFonts w:ascii="Times New Roman" w:cs="Times New Roman" w:eastAsia="Times New Roman" w:hAnsi="Times New Roman"/>
          <w:sz w:val="18"/>
          <w:szCs w:val="18"/>
          <w:color w:val="auto"/>
        </w:rPr>
      </w:pPr>
    </w:p>
    <w:p>
      <w:pPr>
        <w:jc w:val="both"/>
        <w:ind w:left="1100" w:hanging="307"/>
        <w:spacing w:after="0" w:line="247" w:lineRule="auto"/>
        <w:tabs>
          <w:tab w:leader="none" w:pos="10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developed Gainshare - a Transformation Model that is introduced to existing and prospective customers to help guide them on their journeys from legacy and oftentimes inefficient legacy voice, email, and chat solutions to modern conversational ones powered by messaging and AI. Gainshare is a fully managed solution where LivePerson not only provides the messaging and AI automation technology, but also the labor, automation, and end-to-end program management, leveraging the Company’s expertise with Conversational AI and messaging operations. Gainshare is an option for brands that want to accelerate a transformation to Conversational AI, or that want a worry-free solution where LivePerson manages the entire operation, from staffing to automation building and optimization, to conversation design and consumer experience. Gainshare pricing is bespoke, and is typically structured around a brand’s desired goals, whether driving incremental revenue or reducing operational costs.</w:t>
      </w:r>
    </w:p>
    <w:p>
      <w:pPr>
        <w:spacing w:after="0" w:line="213" w:lineRule="exact"/>
        <w:rPr>
          <w:sz w:val="20"/>
          <w:szCs w:val="20"/>
          <w:color w:val="auto"/>
        </w:rPr>
      </w:pPr>
    </w:p>
    <w:p>
      <w:pPr>
        <w:jc w:val="both"/>
        <w:ind w:firstLine="420"/>
        <w:spacing w:after="0" w:line="285" w:lineRule="auto"/>
        <w:rPr>
          <w:sz w:val="20"/>
          <w:szCs w:val="20"/>
          <w:color w:val="auto"/>
        </w:rPr>
      </w:pPr>
      <w:r>
        <w:rPr>
          <w:rFonts w:ascii="Times New Roman" w:cs="Times New Roman" w:eastAsia="Times New Roman" w:hAnsi="Times New Roman"/>
          <w:sz w:val="16"/>
          <w:szCs w:val="16"/>
          <w:color w:val="auto"/>
        </w:rPr>
        <w:t>We believe that LivePerson’s differentiated approach to the Conversational Space, combined with our unique technology and expertise, has established us as a market leader with an ability to deliver superior returns on investment. LivePerson customers manage as many as 40 messaging conversations at a time, as compared to one at a time for a voice agent and two to four at a time for a good chat agent. Adding AI and bots provides even greater scale to the number of conversations managed. Our customers often see labor efficiency gains of at least two times that of voice agents, effectively cutting labor costs by at least 50%. Furthermore, our ability to deliver more convenient, personalized and content-rich conversations often drives increases in customer satisfaction of up to 20 percentage points and increases in sales conversions of up to 20%, while enhancing average order value, customer retention and loyalty.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1" w:name="page42"/>
    <w:bookmarkEnd w:id="41"/>
    <w:p>
      <w:pPr>
        <w:jc w:val="both"/>
        <w:ind w:firstLine="420"/>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Strengthen our position in both existing and new industries. </w:t>
      </w:r>
      <w:r>
        <w:rPr>
          <w:rFonts w:ascii="Times New Roman" w:cs="Times New Roman" w:eastAsia="Times New Roman" w:hAnsi="Times New Roman"/>
          <w:sz w:val="18"/>
          <w:szCs w:val="18"/>
          <w:color w:val="auto"/>
        </w:rPr>
        <w:t>We plan to continue to develop our market position by increasing our customer base,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expanding within our installed base. We plan to continue to focus primarily on key target markets: consumer/retail, telecommunications, financial services, travel/hospitality, technology and automotive within both our enterprise and mid-market sectors, as well as the small business sector (“SMB”). In 2021, we continued to grow in verticals such as healthcare and financial services. We plan to continue experimenting with new conversational businesses, including some that are in regulated industries, like online banking and healthcare. We are increasingly structuring our field organization to emphasize our domain expertise and strengthen customer relationships across target industries.</w:t>
      </w:r>
    </w:p>
    <w:p>
      <w:pPr>
        <w:spacing w:after="0" w:line="116" w:lineRule="exact"/>
        <w:rPr>
          <w:sz w:val="20"/>
          <w:szCs w:val="20"/>
          <w:color w:val="auto"/>
        </w:rPr>
      </w:pPr>
    </w:p>
    <w:p>
      <w:pPr>
        <w:jc w:val="both"/>
        <w:ind w:firstLine="4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 to build our international presence. </w:t>
      </w:r>
      <w:r>
        <w:rPr>
          <w:rFonts w:ascii="Times New Roman" w:cs="Times New Roman" w:eastAsia="Times New Roman" w:hAnsi="Times New Roman"/>
          <w:sz w:val="18"/>
          <w:szCs w:val="18"/>
          <w:color w:val="auto"/>
        </w:rPr>
        <w:t>We are focused on continuing to build our international presence through expansion of our international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contribution, which accounted for 35% of total revenue in 2021. We are generating positive results from our recent investments in the Asia-Pacific, Europe, and Latin America regions. Expanding go-to-market capacity in international theaters is one of our key strategic focuses and also part of our motivation for our recent acquisition of e-bot7.</w:t>
      </w:r>
    </w:p>
    <w:p>
      <w:pPr>
        <w:spacing w:after="0" w:line="99" w:lineRule="exact"/>
        <w:rPr>
          <w:sz w:val="20"/>
          <w:szCs w:val="20"/>
          <w:color w:val="auto"/>
        </w:rPr>
      </w:pPr>
    </w:p>
    <w:p>
      <w:pPr>
        <w:jc w:val="both"/>
        <w:ind w:firstLine="420"/>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Leverage our open architecture to support partners and developers. </w:t>
      </w:r>
      <w:r>
        <w:rPr>
          <w:rFonts w:ascii="Times New Roman" w:cs="Times New Roman" w:eastAsia="Times New Roman" w:hAnsi="Times New Roman"/>
          <w:sz w:val="18"/>
          <w:szCs w:val="18"/>
          <w:color w:val="auto"/>
        </w:rPr>
        <w:t>In addition to developing our own applications, we continue to cultivate a partner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eco-system capable of offering additional applications and services to our customers. We integrate into third-party messaging endpoints including SMS, Facebook Messenger, Apple Business Chat, Google Rich Business Messenger, Line, WhatsApp, Alexa, Google Home, WeChat, Google Ad Lingo, Google Search, Google Maps, Instagram and Twitter, multiple IVR vendors, and dozens of branded apps. The Conversational Cloud integrates our proprietary messaging and Conversational AI with third-party bot offerings, empowering our customers to manage a mix of different bots, human agents and technologies from one control panel, thereby optimizing contact center efficiency. LivePerson’s proprietary and third-party AI/bots enable brands to partially or fully automate communications with their customers.</w:t>
      </w:r>
    </w:p>
    <w:p>
      <w:pPr>
        <w:spacing w:after="0" w:line="214" w:lineRule="exact"/>
        <w:rPr>
          <w:sz w:val="20"/>
          <w:szCs w:val="20"/>
          <w:color w:val="auto"/>
        </w:rPr>
      </w:pPr>
    </w:p>
    <w:p>
      <w:pPr>
        <w:jc w:val="both"/>
        <w:ind w:firstLine="420"/>
        <w:spacing w:after="0" w:line="248" w:lineRule="auto"/>
        <w:rPr>
          <w:sz w:val="20"/>
          <w:szCs w:val="20"/>
          <w:color w:val="auto"/>
        </w:rPr>
      </w:pPr>
      <w:r>
        <w:rPr>
          <w:rFonts w:ascii="Times New Roman" w:cs="Times New Roman" w:eastAsia="Times New Roman" w:hAnsi="Times New Roman"/>
          <w:sz w:val="18"/>
          <w:szCs w:val="18"/>
          <w:color w:val="auto"/>
        </w:rPr>
        <w:t>In addition, we have opened up access to our platform and our products with more than 40 APIs and software development kits that allow customers and third parties to develop on top of our platform. Customers and partners can utilize these APIs to build our capabilities into their own applications and to enhance our applications with their services. In 2019, we launched LivePerson Functions, a serverless function as a service (“FaaS”) integration which enables brands to develop custom behaviors within LivePerson’s conversational platform to easily and rapidly tailor conversation flows to their specific needs. In 2022, we launched our partnership with Celonis to embed Voicebase analytics and Celonis conversation mining into an application capable of analyzing omni-channel conversational data to enable operational improvements and automate the customer journey.</w:t>
      </w:r>
    </w:p>
    <w:p>
      <w:pPr>
        <w:spacing w:after="0" w:line="209" w:lineRule="exact"/>
        <w:rPr>
          <w:sz w:val="20"/>
          <w:szCs w:val="20"/>
          <w:color w:val="auto"/>
        </w:rPr>
      </w:pPr>
    </w:p>
    <w:p>
      <w:pPr>
        <w:jc w:val="both"/>
        <w:ind w:firstLine="42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 sales partnerships to broaden our presence and accelerate sales cycles. </w:t>
      </w:r>
      <w:r>
        <w:rPr>
          <w:rFonts w:ascii="Times New Roman" w:cs="Times New Roman" w:eastAsia="Times New Roman" w:hAnsi="Times New Roman"/>
          <w:sz w:val="18"/>
          <w:szCs w:val="18"/>
          <w:color w:val="auto"/>
        </w:rPr>
        <w:t>We are focused on broadening our market reach and accelerating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cycles by partnering with systems integrators, technology providers, business process outsourcers, value added resellers and other sales partners. We formalized a relationship with IBM Global Business Services in 2017 and Accenture in 2018. In 2019, we announced strategic partnerships with TTEC, a leading BPO focused on customer experience, and DMI, a digital transformation company, to redefine the customer experience with digital engagement, messaging, and AI-driven automation. In 2020, a digital services and consulting company joined LivePerson’s network with a first-of-its-kind 360 degree partnership focusing not only on capturing the global rising demand for conversational commerce and building a personalized experience for customers, but also driving the transformation for internal corporate messaging and the employee experience through Conversational AI. In 2021, we announced strategic integration partnerships with Google Cloud, Adobe and Medallia to help brands make contact center agents more efficient and effective, and empower and enrich the management of customer and employee experience through the power of AI. Our network also expanded with the Tech Mahindra partnership to help brands deliver personalized conversational experiences to consumers at scale.</w:t>
      </w:r>
    </w:p>
    <w:p>
      <w:pPr>
        <w:spacing w:after="0" w:line="215" w:lineRule="exact"/>
        <w:rPr>
          <w:sz w:val="20"/>
          <w:szCs w:val="20"/>
          <w:color w:val="auto"/>
        </w:rPr>
      </w:pPr>
    </w:p>
    <w:p>
      <w:pPr>
        <w:jc w:val="both"/>
        <w:ind w:firstLine="420"/>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 xml:space="preserve">Maintain market leadership in technology and security expertise. </w:t>
      </w:r>
      <w:r>
        <w:rPr>
          <w:rFonts w:ascii="Times New Roman" w:cs="Times New Roman" w:eastAsia="Times New Roman" w:hAnsi="Times New Roman"/>
          <w:sz w:val="16"/>
          <w:szCs w:val="16"/>
          <w:color w:val="auto"/>
        </w:rPr>
        <w:t>As described above, we are devoting significant resources to creating new products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enabling technologies designed to accelerate innovation.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179" w:lineRule="exact"/>
        <w:rPr>
          <w:sz w:val="20"/>
          <w:szCs w:val="20"/>
          <w:color w:val="auto"/>
        </w:rPr>
      </w:pPr>
    </w:p>
    <w:p>
      <w:pPr>
        <w:jc w:val="both"/>
        <w:ind w:firstLine="420"/>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 xml:space="preserve">Evaluate strategic alliances and acquisitions when appropriate. </w:t>
      </w:r>
      <w:r>
        <w:rPr>
          <w:rFonts w:ascii="Times New Roman" w:cs="Times New Roman" w:eastAsia="Times New Roman" w:hAnsi="Times New Roman"/>
          <w:sz w:val="16"/>
          <w:szCs w:val="16"/>
          <w:color w:val="auto"/>
        </w:rPr>
        <w:t>In July 2021, we acquired German conversational AI company e-bot7, which propels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self-service capabilities and continued growth across Europe. In October 2021, we acquired VoiceBase, a leader in real-time speech recognition and conversational analytics; and Tenfold, an advanced customer engagement platform for integrating communication systems with leading CRM and support services. In February 2022, we acquired WildHealth, a precision medicine company. Once fully integrated, we expect these acquisitions to allow LivePerson to</w:t>
      </w:r>
    </w:p>
    <w:p>
      <w:pPr>
        <w:spacing w:after="0" w:line="200" w:lineRule="exact"/>
        <w:rPr>
          <w:sz w:val="20"/>
          <w:szCs w:val="20"/>
          <w:color w:val="auto"/>
        </w:rPr>
      </w:pPr>
    </w:p>
    <w:p>
      <w:pPr>
        <w:spacing w:after="0" w:line="32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color w:val="auto"/>
        </w:rPr>
        <w:t>deliver our AI and automation capabilities, insights, and integration as a single integrated product offering across all channels including voice and messaging.</w:t>
      </w:r>
    </w:p>
    <w:p>
      <w:pPr>
        <w:spacing w:after="0" w:line="200" w:lineRule="exact"/>
        <w:rPr>
          <w:sz w:val="20"/>
          <w:szCs w:val="20"/>
          <w:color w:val="auto"/>
        </w:rPr>
      </w:pPr>
    </w:p>
    <w:p>
      <w:pPr>
        <w:spacing w:after="0" w:line="29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Financial overview of the three months ended June 30, 2022 compared to the three months ended June 30, 2021:</w:t>
      </w:r>
    </w:p>
    <w:p>
      <w:pPr>
        <w:spacing w:after="0" w:line="108" w:lineRule="exact"/>
        <w:rPr>
          <w:sz w:val="20"/>
          <w:szCs w:val="20"/>
          <w:color w:val="auto"/>
        </w:rPr>
      </w:pPr>
    </w:p>
    <w:p>
      <w:pPr>
        <w:ind w:left="1100" w:hanging="307"/>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increased 11% to $132.6 million from $119.6 million.</w:t>
      </w:r>
    </w:p>
    <w:p>
      <w:pPr>
        <w:spacing w:after="0" w:line="108" w:lineRule="exact"/>
        <w:rPr>
          <w:rFonts w:ascii="Times New Roman" w:cs="Times New Roman" w:eastAsia="Times New Roman" w:hAnsi="Times New Roman"/>
          <w:sz w:val="18"/>
          <w:szCs w:val="18"/>
          <w:color w:val="auto"/>
        </w:rPr>
      </w:pPr>
    </w:p>
    <w:p>
      <w:pPr>
        <w:ind w:left="1100" w:hanging="307"/>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our Business segment increased 12% to $123.4 million from $109.8 million.</w:t>
      </w:r>
    </w:p>
    <w:p>
      <w:pPr>
        <w:spacing w:after="0" w:line="108" w:lineRule="exact"/>
        <w:rPr>
          <w:rFonts w:ascii="Times New Roman" w:cs="Times New Roman" w:eastAsia="Times New Roman" w:hAnsi="Times New Roman"/>
          <w:sz w:val="18"/>
          <w:szCs w:val="18"/>
          <w:color w:val="auto"/>
        </w:rPr>
      </w:pPr>
    </w:p>
    <w:p>
      <w:pPr>
        <w:ind w:left="1100" w:hanging="307"/>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decreased to 66% from 67%.</w:t>
      </w:r>
    </w:p>
    <w:p>
      <w:pPr>
        <w:spacing w:after="0" w:line="108" w:lineRule="exact"/>
        <w:rPr>
          <w:rFonts w:ascii="Times New Roman" w:cs="Times New Roman" w:eastAsia="Times New Roman" w:hAnsi="Times New Roman"/>
          <w:sz w:val="18"/>
          <w:szCs w:val="18"/>
          <w:color w:val="auto"/>
        </w:rPr>
      </w:pPr>
    </w:p>
    <w:p>
      <w:pPr>
        <w:ind w:left="1100" w:hanging="307"/>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and expenses increased 52% to $202.8 million from $133.2 million.</w:t>
      </w:r>
    </w:p>
    <w:p>
      <w:pPr>
        <w:spacing w:after="0" w:line="108" w:lineRule="exact"/>
        <w:rPr>
          <w:rFonts w:ascii="Times New Roman" w:cs="Times New Roman" w:eastAsia="Times New Roman" w:hAnsi="Times New Roman"/>
          <w:sz w:val="18"/>
          <w:szCs w:val="18"/>
          <w:color w:val="auto"/>
        </w:rPr>
      </w:pPr>
    </w:p>
    <w:p>
      <w:pPr>
        <w:ind w:left="1100" w:hanging="307"/>
        <w:spacing w:after="0"/>
        <w:tabs>
          <w:tab w:leader="none" w:pos="11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increased to $75.4 million from $21.1 million.</w:t>
      </w:r>
    </w:p>
    <w:p>
      <w:pPr>
        <w:spacing w:after="0" w:line="108" w:lineRule="exact"/>
        <w:rPr>
          <w:rFonts w:ascii="Times New Roman" w:cs="Times New Roman" w:eastAsia="Times New Roman" w:hAnsi="Times New Roman"/>
          <w:sz w:val="18"/>
          <w:szCs w:val="18"/>
          <w:color w:val="auto"/>
        </w:rPr>
      </w:pPr>
    </w:p>
    <w:p>
      <w:pPr>
        <w:ind w:left="1100" w:hanging="307"/>
        <w:spacing w:after="0" w:line="267" w:lineRule="auto"/>
        <w:tabs>
          <w:tab w:leader="none" w:pos="10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annual revenue per enterprise and mid-market customer increased approximately 23% to $660,000 for the trailing-twelve-months ended June 30, 2022, as compared to $535,000 for the trailing twelve months ended June 30, 2021.</w:t>
      </w:r>
    </w:p>
    <w:p>
      <w:pPr>
        <w:spacing w:after="0" w:line="64" w:lineRule="exact"/>
        <w:rPr>
          <w:rFonts w:ascii="Times New Roman" w:cs="Times New Roman" w:eastAsia="Times New Roman" w:hAnsi="Times New Roman"/>
          <w:sz w:val="18"/>
          <w:szCs w:val="18"/>
          <w:color w:val="auto"/>
        </w:rPr>
      </w:pPr>
    </w:p>
    <w:p>
      <w:pPr>
        <w:jc w:val="both"/>
        <w:ind w:left="1100" w:hanging="307"/>
        <w:spacing w:after="0" w:line="251" w:lineRule="auto"/>
        <w:tabs>
          <w:tab w:leader="none" w:pos="109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 for enterprise and mid-market revenue retention in second quarter 2022 matches 2021, and is a range of 105% to 115%. Revenue retention rate for enterprise and mid-market customers on the Conversational Cloud was just below our target range for the second quarter 2022 and the comparable period in 2021. Revenue retention rate measures the percentage of revenue retained at quarter end, from full service customers that were on the Conversational Cloud at the same period a year ago.</w:t>
      </w:r>
    </w:p>
    <w:p>
      <w:pPr>
        <w:spacing w:after="0" w:line="20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Adjusted EBITDA and Adjusted Operating Income (Loss)</w:t>
      </w:r>
    </w:p>
    <w:p>
      <w:pPr>
        <w:spacing w:after="0" w:line="241"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adjusted earnings before interest, taxes, depreciation, and amortization (“EBITDA”) and adjusted operating income (loss), which are non-GAAP financial measures. The tables below present a reconciliation of adjusted EBITDA and adjusted operating income (loss) to net income (loss), the most directly comparable GAAP financial measures.</w:t>
      </w:r>
    </w:p>
    <w:p>
      <w:pPr>
        <w:spacing w:after="0" w:line="115" w:lineRule="exact"/>
        <w:rPr>
          <w:sz w:val="20"/>
          <w:szCs w:val="20"/>
          <w:color w:val="auto"/>
        </w:rPr>
      </w:pPr>
    </w:p>
    <w:p>
      <w:pPr>
        <w:jc w:val="both"/>
        <w:ind w:firstLine="420"/>
        <w:spacing w:after="0" w:line="247" w:lineRule="auto"/>
        <w:rPr>
          <w:sz w:val="20"/>
          <w:szCs w:val="20"/>
          <w:color w:val="auto"/>
        </w:rPr>
      </w:pPr>
      <w:r>
        <w:rPr>
          <w:rFonts w:ascii="Times New Roman" w:cs="Times New Roman" w:eastAsia="Times New Roman" w:hAnsi="Times New Roman"/>
          <w:sz w:val="18"/>
          <w:szCs w:val="18"/>
          <w:color w:val="auto"/>
        </w:rPr>
        <w:t>We have included adjusted EBITDA and adjusted operating income (loss) in this Quarterly Report on Form 10-Q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operating income (loss)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operating income (loss) provide useful information to investors and others in understanding and evaluating our operating results in the same manner as our management and board of directors.</w:t>
      </w:r>
    </w:p>
    <w:p>
      <w:pPr>
        <w:spacing w:after="0" w:line="216"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Our use of adjusted EBITDA has limitations as an analytical tool, and you should not consider it in isolation or as a substitute for analysis of our results as reported under GAAP. Some of these limitations are:</w:t>
      </w:r>
    </w:p>
    <w:p>
      <w:pPr>
        <w:spacing w:after="0" w:line="65" w:lineRule="exact"/>
        <w:rPr>
          <w:sz w:val="20"/>
          <w:szCs w:val="20"/>
          <w:color w:val="auto"/>
        </w:rPr>
      </w:pPr>
    </w:p>
    <w:p>
      <w:pPr>
        <w:jc w:val="both"/>
        <w:ind w:left="1100" w:hanging="307"/>
        <w:spacing w:after="0" w:line="331" w:lineRule="auto"/>
        <w:tabs>
          <w:tab w:leader="none" w:pos="1054"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17" w:lineRule="exact"/>
        <w:rPr>
          <w:rFonts w:ascii="Times New Roman" w:cs="Times New Roman" w:eastAsia="Times New Roman" w:hAnsi="Times New Roman"/>
          <w:sz w:val="16"/>
          <w:szCs w:val="16"/>
          <w:color w:val="auto"/>
        </w:rPr>
      </w:pPr>
    </w:p>
    <w:p>
      <w:pPr>
        <w:ind w:left="1020" w:hanging="227"/>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08" w:lineRule="exact"/>
        <w:rPr>
          <w:rFonts w:ascii="Times New Roman" w:cs="Times New Roman" w:eastAsia="Times New Roman" w:hAnsi="Times New Roman"/>
          <w:sz w:val="18"/>
          <w:szCs w:val="18"/>
          <w:color w:val="auto"/>
        </w:rPr>
      </w:pPr>
    </w:p>
    <w:p>
      <w:pPr>
        <w:ind w:left="1020" w:hanging="227"/>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impact of acquisition related costs;</w:t>
      </w:r>
    </w:p>
    <w:p>
      <w:pPr>
        <w:spacing w:after="0" w:line="108" w:lineRule="exact"/>
        <w:rPr>
          <w:rFonts w:ascii="Times New Roman" w:cs="Times New Roman" w:eastAsia="Times New Roman" w:hAnsi="Times New Roman"/>
          <w:sz w:val="18"/>
          <w:szCs w:val="18"/>
          <w:color w:val="auto"/>
        </w:rPr>
      </w:pPr>
    </w:p>
    <w:p>
      <w:pPr>
        <w:ind w:left="1020" w:hanging="227"/>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impact of restructuring costs;</w:t>
      </w:r>
    </w:p>
    <w:p>
      <w:pPr>
        <w:spacing w:after="0" w:line="108" w:lineRule="exact"/>
        <w:rPr>
          <w:rFonts w:ascii="Times New Roman" w:cs="Times New Roman" w:eastAsia="Times New Roman" w:hAnsi="Times New Roman"/>
          <w:sz w:val="18"/>
          <w:szCs w:val="18"/>
          <w:color w:val="auto"/>
        </w:rPr>
      </w:pPr>
    </w:p>
    <w:p>
      <w:pPr>
        <w:ind w:left="1020" w:hanging="227"/>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impact of other costs;</w:t>
      </w:r>
    </w:p>
    <w:p>
      <w:pPr>
        <w:spacing w:after="0" w:line="108" w:lineRule="exact"/>
        <w:rPr>
          <w:rFonts w:ascii="Times New Roman" w:cs="Times New Roman" w:eastAsia="Times New Roman" w:hAnsi="Times New Roman"/>
          <w:sz w:val="18"/>
          <w:szCs w:val="18"/>
          <w:color w:val="auto"/>
        </w:rPr>
      </w:pPr>
    </w:p>
    <w:p>
      <w:pPr>
        <w:ind w:left="1020" w:hanging="227"/>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tax payments that may represent a reduction in cash available to us; and</w:t>
      </w:r>
    </w:p>
    <w:p>
      <w:pPr>
        <w:spacing w:after="0" w:line="108" w:lineRule="exact"/>
        <w:rPr>
          <w:rFonts w:ascii="Times New Roman" w:cs="Times New Roman" w:eastAsia="Times New Roman" w:hAnsi="Times New Roman"/>
          <w:sz w:val="18"/>
          <w:szCs w:val="18"/>
          <w:color w:val="auto"/>
        </w:rPr>
      </w:pPr>
    </w:p>
    <w:p>
      <w:pPr>
        <w:ind w:left="1100" w:hanging="307"/>
        <w:spacing w:after="0" w:line="267" w:lineRule="auto"/>
        <w:tabs>
          <w:tab w:leader="none" w:pos="10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EBITDA differently, which reduces its usefulness as a comparative measure.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3" w:name="page44"/>
    <w:bookmarkEnd w:id="43"/>
    <w:p>
      <w:pPr>
        <w:ind w:firstLine="420"/>
        <w:spacing w:after="0" w:line="267" w:lineRule="auto"/>
        <w:rPr>
          <w:sz w:val="20"/>
          <w:szCs w:val="20"/>
          <w:color w:val="auto"/>
        </w:rPr>
      </w:pPr>
      <w:r>
        <w:rPr>
          <w:rFonts w:ascii="Times New Roman" w:cs="Times New Roman" w:eastAsia="Times New Roman" w:hAnsi="Times New Roman"/>
          <w:sz w:val="18"/>
          <w:szCs w:val="18"/>
          <w:color w:val="auto"/>
        </w:rPr>
        <w:t>Because of these limitations, you should consider adjusted EBITDA alongside other financial performance measures, including various pre-tax GAAP loss and our other GAAP results. The following table presents a reconciliation of adjusted EBITDA for each of the periods indicated.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236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6"/>
                <w:szCs w:val="16"/>
                <w:color w:val="auto"/>
              </w:rPr>
            </w:pPr>
          </w:p>
        </w:tc>
      </w:tr>
      <w:tr>
        <w:trPr>
          <w:trHeight w:val="197"/>
        </w:trPr>
        <w:tc>
          <w:tcPr>
            <w:tcW w:w="5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500" w:type="dxa"/>
            <w:vAlign w:val="bottom"/>
            <w:gridSpan w:val="3"/>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7"/>
                <w:szCs w:val="17"/>
                <w:color w:val="auto"/>
              </w:rPr>
            </w:pPr>
          </w:p>
        </w:tc>
      </w:tr>
      <w:tr>
        <w:trPr>
          <w:trHeight w:val="24"/>
        </w:trPr>
        <w:tc>
          <w:tcPr>
            <w:tcW w:w="5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528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0"/>
        </w:trPr>
        <w:tc>
          <w:tcPr>
            <w:tcW w:w="5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9"/>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Adjusted EBITDA</w:t>
            </w:r>
          </w:p>
        </w:tc>
        <w:tc>
          <w:tcPr>
            <w:tcW w:w="8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186"/>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GAAP net loss</w:t>
            </w:r>
          </w:p>
        </w:tc>
        <w:tc>
          <w:tcPr>
            <w:tcW w:w="860" w:type="dxa"/>
            <w:vAlign w:val="bottom"/>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(75,411)</w:t>
            </w:r>
          </w:p>
        </w:tc>
        <w:tc>
          <w:tcPr>
            <w:tcW w:w="100" w:type="dxa"/>
            <w:vAlign w:val="bottom"/>
          </w:tcPr>
          <w:p>
            <w:pPr>
              <w:spacing w:after="0"/>
              <w:rPr>
                <w:sz w:val="16"/>
                <w:szCs w:val="16"/>
                <w:color w:val="auto"/>
              </w:rPr>
            </w:pPr>
          </w:p>
        </w:tc>
        <w:tc>
          <w:tcPr>
            <w:tcW w:w="860" w:type="dxa"/>
            <w:vAlign w:val="bottom"/>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(21,119)</w:t>
            </w:r>
          </w:p>
        </w:tc>
        <w:tc>
          <w:tcPr>
            <w:tcW w:w="100" w:type="dxa"/>
            <w:vAlign w:val="bottom"/>
          </w:tcPr>
          <w:p>
            <w:pPr>
              <w:spacing w:after="0"/>
              <w:rPr>
                <w:sz w:val="16"/>
                <w:szCs w:val="16"/>
                <w:color w:val="auto"/>
              </w:rPr>
            </w:pPr>
          </w:p>
        </w:tc>
        <w:tc>
          <w:tcPr>
            <w:tcW w:w="500" w:type="dxa"/>
            <w:vAlign w:val="bottom"/>
          </w:tcPr>
          <w:p>
            <w:pPr>
              <w:jc w:val="right"/>
              <w:ind w:right="3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(140,775)</w:t>
            </w:r>
          </w:p>
        </w:tc>
        <w:tc>
          <w:tcPr>
            <w:tcW w:w="120" w:type="dxa"/>
            <w:vAlign w:val="bottom"/>
          </w:tcPr>
          <w:p>
            <w:pPr>
              <w:spacing w:after="0"/>
              <w:rPr>
                <w:sz w:val="16"/>
                <w:szCs w:val="16"/>
                <w:color w:val="auto"/>
              </w:rPr>
            </w:pPr>
          </w:p>
        </w:tc>
        <w:tc>
          <w:tcPr>
            <w:tcW w:w="52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(42,314)</w:t>
            </w:r>
          </w:p>
        </w:tc>
      </w:tr>
      <w:tr>
        <w:trPr>
          <w:trHeight w:val="37"/>
        </w:trPr>
        <w:tc>
          <w:tcPr>
            <w:tcW w:w="5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3"/>
        </w:trPr>
        <w:tc>
          <w:tcPr>
            <w:tcW w:w="5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purchased intangibles and finance leases</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5,483</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1,558</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10,799</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3,108</w:t>
            </w:r>
          </w:p>
        </w:tc>
      </w:tr>
      <w:tr>
        <w:trPr>
          <w:trHeight w:val="186"/>
        </w:trPr>
        <w:tc>
          <w:tcPr>
            <w:tcW w:w="5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36,517</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15,087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68,383</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29,698</w:t>
            </w:r>
          </w:p>
        </w:tc>
      </w:tr>
      <w:tr>
        <w:trPr>
          <w:trHeight w:val="37"/>
        </w:trPr>
        <w:tc>
          <w:tcPr>
            <w:tcW w:w="5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03"/>
        </w:trPr>
        <w:tc>
          <w:tcPr>
            <w:tcW w:w="5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Contingent earn-out adjustments</w:t>
            </w:r>
          </w:p>
        </w:tc>
        <w:tc>
          <w:tcPr>
            <w:tcW w:w="8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r>
      <w:tr>
        <w:trPr>
          <w:trHeight w:val="223"/>
        </w:trPr>
        <w:tc>
          <w:tcPr>
            <w:tcW w:w="5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xml:space="preserve">Restructuring costs </w:t>
            </w:r>
            <w:r>
              <w:rPr>
                <w:rFonts w:ascii="Times New Roman" w:cs="Times New Roman" w:eastAsia="Times New Roman" w:hAnsi="Times New Roman"/>
                <w:sz w:val="18"/>
                <w:szCs w:val="18"/>
                <w:color w:val="auto"/>
                <w:vertAlign w:val="superscript"/>
              </w:rPr>
              <w:t>(1)</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w:t>
            </w:r>
          </w:p>
        </w:tc>
      </w:tr>
      <w:tr>
        <w:trPr>
          <w:trHeight w:val="203"/>
        </w:trPr>
        <w:tc>
          <w:tcPr>
            <w:tcW w:w="5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7,127</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6,973</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14,351</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13,578</w:t>
            </w:r>
          </w:p>
        </w:tc>
      </w:tr>
      <w:tr>
        <w:trPr>
          <w:trHeight w:val="223"/>
        </w:trPr>
        <w:tc>
          <w:tcPr>
            <w:tcW w:w="5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xml:space="preserve">Other litigation and consulting costs </w:t>
            </w:r>
            <w:r>
              <w:rPr>
                <w:rFonts w:ascii="Times New Roman" w:cs="Times New Roman" w:eastAsia="Times New Roman" w:hAnsi="Times New Roman"/>
                <w:sz w:val="18"/>
                <w:szCs w:val="18"/>
                <w:color w:val="auto"/>
                <w:vertAlign w:val="superscript"/>
              </w:rPr>
              <w:t>(2)</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2,835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4,182</w:t>
            </w:r>
          </w:p>
        </w:tc>
      </w:tr>
      <w:tr>
        <w:trPr>
          <w:trHeight w:val="203"/>
        </w:trPr>
        <w:tc>
          <w:tcPr>
            <w:tcW w:w="5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r>
      <w:tr>
        <w:trPr>
          <w:trHeight w:val="200"/>
        </w:trPr>
        <w:tc>
          <w:tcPr>
            <w:tcW w:w="5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costs</w:t>
            </w:r>
          </w:p>
        </w:tc>
        <w:tc>
          <w:tcPr>
            <w:tcW w:w="8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2,122</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5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3"/>
        </w:trPr>
        <w:tc>
          <w:tcPr>
            <w:tcW w:w="5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 net</w:t>
            </w: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9,281</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18,410</w:t>
            </w:r>
          </w:p>
        </w:tc>
      </w:tr>
      <w:tr>
        <w:trPr>
          <w:trHeight w:val="223"/>
        </w:trPr>
        <w:tc>
          <w:tcPr>
            <w:tcW w:w="5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 xml:space="preserve">Other (expense) income, net </w:t>
            </w:r>
            <w:r>
              <w:rPr>
                <w:rFonts w:ascii="Times New Roman" w:cs="Times New Roman" w:eastAsia="Times New Roman" w:hAnsi="Times New Roman"/>
                <w:sz w:val="18"/>
                <w:szCs w:val="18"/>
                <w:color w:val="auto"/>
                <w:vertAlign w:val="superscript"/>
              </w:rPr>
              <w:t>(3)</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3,266</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(3,050)</w:t>
            </w:r>
          </w:p>
        </w:tc>
      </w:tr>
      <w:tr>
        <w:trPr>
          <w:trHeight w:val="236"/>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 (loss)</w:t>
            </w:r>
          </w:p>
        </w:tc>
        <w:tc>
          <w:tcPr>
            <w:tcW w:w="86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13,368</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(23,137)</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26,716</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 w:lineRule="exact"/>
        <w:rPr>
          <w:sz w:val="20"/>
          <w:szCs w:val="20"/>
          <w:color w:val="auto"/>
        </w:rPr>
      </w:pPr>
    </w:p>
    <w:p>
      <w:pPr>
        <w:jc w:val="both"/>
        <w:ind w:left="480" w:hanging="475"/>
        <w:spacing w:after="0" w:line="257" w:lineRule="auto"/>
        <w:tabs>
          <w:tab w:leader="none" w:pos="47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severance costs and other compensation related costs of $10.5 million and lease restructuring costs of $0.4 million for the three months ended June 30, 2022. Includes lease restructuring costs of $0.3 million and severance costs and other compensation related costs of $0.2 million for the three months ended June 30, 2021. Includes severance costs and other compensation related costs of $10.5 million and lease restructuring costs of $0.3 million for the six months ended June 30, 2022. Includes lease restructuring costs of $0.5 million and severance costs and other compensation related costs of $2.7 million for the six months ended June 30, 2021.</w:t>
      </w:r>
    </w:p>
    <w:p>
      <w:pPr>
        <w:spacing w:after="0" w:line="29" w:lineRule="exact"/>
        <w:rPr>
          <w:rFonts w:ascii="Times New Roman" w:cs="Times New Roman" w:eastAsia="Times New Roman" w:hAnsi="Times New Roman"/>
          <w:sz w:val="14"/>
          <w:szCs w:val="14"/>
          <w:color w:val="auto"/>
        </w:rPr>
      </w:pPr>
    </w:p>
    <w:p>
      <w:pPr>
        <w:jc w:val="both"/>
        <w:ind w:left="480" w:hanging="475"/>
        <w:spacing w:after="0" w:line="257" w:lineRule="auto"/>
        <w:tabs>
          <w:tab w:leader="none" w:pos="47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consulting costs of $0.2 million, litigation costs of $2.3 million and accrued expenses and fees of $0.5 million for the three months ended June 30, 2022. Includes litigation costs of $1.6 million, employee benefit costs of $0.6 million, consulting costs of $0.4 million and an increase to the reserve for sales and use tax liability of $0.2 million for the three months ended June 30, 2021. Includes litigation costs of $3.0 million, employee benefit costs of $0.7 million, consulting costs of $0.8 million, and an increase to the reserve for sales and use tax liability of $0.3 million for the six months ended June 30, 2022. Includes litigation costs of $2.8 million, employee benefit cost of $0.6 million, consulting costs of $0.6 million and an increase to the reserve for sales and use tax liability of $0.2 million for the six months ended June 30, 2021.</w:t>
      </w:r>
    </w:p>
    <w:p>
      <w:pPr>
        <w:spacing w:after="0" w:line="17" w:lineRule="exact"/>
        <w:rPr>
          <w:rFonts w:ascii="Times New Roman" w:cs="Times New Roman" w:eastAsia="Times New Roman" w:hAnsi="Times New Roman"/>
          <w:sz w:val="14"/>
          <w:szCs w:val="14"/>
          <w:color w:val="auto"/>
        </w:rPr>
      </w:pPr>
    </w:p>
    <w:p>
      <w:pPr>
        <w:jc w:val="both"/>
        <w:ind w:left="480" w:hanging="475"/>
        <w:spacing w:after="0" w:line="265" w:lineRule="auto"/>
        <w:tabs>
          <w:tab w:leader="none" w:pos="47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$0.2 million of other income related to the settlement of leases, offset by $1.8 million of costs related to elimination entries for our Equity Method Investment, for the three and six months ended June 30, 2022. The remaining amount of other (income) expense for the three and six months ended June 30, 2022 is attributable to currency rate fluctuations. Includes $3.3 million of other income related to the settlement of leases for the three and six months ended June 30, 2021. The remaining amount of other (income) expense for the three and six months ended June 30, 2021 is attributable to currency rate fluctuations.</w:t>
      </w:r>
    </w:p>
    <w:p>
      <w:pPr>
        <w:spacing w:after="0" w:line="107" w:lineRule="exact"/>
        <w:rPr>
          <w:sz w:val="20"/>
          <w:szCs w:val="20"/>
          <w:color w:val="auto"/>
        </w:rPr>
      </w:pPr>
    </w:p>
    <w:p>
      <w:pPr>
        <w:ind w:firstLine="420"/>
        <w:spacing w:after="0" w:line="267" w:lineRule="auto"/>
        <w:rPr>
          <w:sz w:val="20"/>
          <w:szCs w:val="20"/>
          <w:color w:val="auto"/>
        </w:rPr>
      </w:pPr>
      <w:r>
        <w:rPr>
          <w:rFonts w:ascii="Times New Roman" w:cs="Times New Roman" w:eastAsia="Times New Roman" w:hAnsi="Times New Roman"/>
          <w:sz w:val="18"/>
          <w:szCs w:val="18"/>
          <w:color w:val="auto"/>
        </w:rPr>
        <w:t>Our use of adjusted operating income (loss) has limitations as an analytical tool, and you should not consider it in isolation or as a substitute for analysis of our results as reported under GAAP. Some of these limitations are:</w:t>
      </w:r>
    </w:p>
    <w:p>
      <w:pPr>
        <w:spacing w:after="0" w:line="65" w:lineRule="exact"/>
        <w:rPr>
          <w:sz w:val="20"/>
          <w:szCs w:val="20"/>
          <w:color w:val="auto"/>
        </w:rPr>
      </w:pPr>
    </w:p>
    <w:p>
      <w:pPr>
        <w:ind w:left="1100" w:hanging="307"/>
        <w:spacing w:after="0" w:line="267" w:lineRule="auto"/>
        <w:tabs>
          <w:tab w:leader="none" w:pos="108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amortization is a non-cash charge, the assets being amortized may have to be replaced in the future, and adjusted operating income (loss) does not reflect cash capital expenditure requirements for such replacements or for new capital expenditure requirements;</w:t>
      </w:r>
    </w:p>
    <w:p>
      <w:pPr>
        <w:spacing w:after="0" w:line="64" w:lineRule="exact"/>
        <w:rPr>
          <w:rFonts w:ascii="Times New Roman" w:cs="Times New Roman" w:eastAsia="Times New Roman" w:hAnsi="Times New Roman"/>
          <w:sz w:val="18"/>
          <w:szCs w:val="18"/>
          <w:color w:val="auto"/>
        </w:rPr>
      </w:pPr>
    </w:p>
    <w:p>
      <w:pPr>
        <w:ind w:left="1020" w:hanging="227"/>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(loss) does not consider the impact of acquisition related costs;</w:t>
      </w:r>
    </w:p>
    <w:p>
      <w:pPr>
        <w:spacing w:after="0" w:line="108" w:lineRule="exact"/>
        <w:rPr>
          <w:rFonts w:ascii="Times New Roman" w:cs="Times New Roman" w:eastAsia="Times New Roman" w:hAnsi="Times New Roman"/>
          <w:sz w:val="18"/>
          <w:szCs w:val="18"/>
          <w:color w:val="auto"/>
        </w:rPr>
      </w:pPr>
    </w:p>
    <w:p>
      <w:pPr>
        <w:ind w:left="1020" w:hanging="227"/>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(loss) does not consider the impact of restructuring costs;</w:t>
      </w:r>
    </w:p>
    <w:p>
      <w:pPr>
        <w:spacing w:after="0" w:line="108" w:lineRule="exact"/>
        <w:rPr>
          <w:rFonts w:ascii="Times New Roman" w:cs="Times New Roman" w:eastAsia="Times New Roman" w:hAnsi="Times New Roman"/>
          <w:sz w:val="18"/>
          <w:szCs w:val="18"/>
          <w:color w:val="auto"/>
        </w:rPr>
      </w:pPr>
    </w:p>
    <w:p>
      <w:pPr>
        <w:ind w:left="1020" w:hanging="227"/>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(loss) does not consider the impact of other costs;</w:t>
      </w:r>
    </w:p>
    <w:p>
      <w:pPr>
        <w:spacing w:after="0" w:line="108" w:lineRule="exact"/>
        <w:rPr>
          <w:rFonts w:ascii="Times New Roman" w:cs="Times New Roman" w:eastAsia="Times New Roman" w:hAnsi="Times New Roman"/>
          <w:sz w:val="18"/>
          <w:szCs w:val="18"/>
          <w:color w:val="auto"/>
        </w:rPr>
      </w:pPr>
    </w:p>
    <w:p>
      <w:pPr>
        <w:ind w:left="1100" w:right="40" w:hanging="307"/>
        <w:spacing w:after="0" w:line="267" w:lineRule="auto"/>
        <w:tabs>
          <w:tab w:leader="none" w:pos="102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may calculate adjusted operating income (loss) differently, which reduces its usefulness as a comparative measure.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4" w:name="page45"/>
    <w:bookmarkEnd w:id="44"/>
    <w:p>
      <w:pPr>
        <w:ind w:firstLine="420"/>
        <w:spacing w:after="0" w:line="331" w:lineRule="auto"/>
        <w:rPr>
          <w:sz w:val="20"/>
          <w:szCs w:val="20"/>
          <w:color w:val="auto"/>
        </w:rPr>
      </w:pPr>
      <w:r>
        <w:rPr>
          <w:rFonts w:ascii="Times New Roman" w:cs="Times New Roman" w:eastAsia="Times New Roman" w:hAnsi="Times New Roman"/>
          <w:sz w:val="16"/>
          <w:szCs w:val="16"/>
          <w:color w:val="auto"/>
        </w:rPr>
        <w:t>Because of these limitations, you should consider adjusted operating income (loss) alongside other financial performance measures, including various pre-tax GAAP loss and our other GAAP results. The following table presents a reconciliation of adjusted operating income (loss) for each of the periods indicated: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80" w:type="dxa"/>
            <w:vAlign w:val="bottom"/>
          </w:tcPr>
          <w:p>
            <w:pPr>
              <w:spacing w:after="0"/>
              <w:rPr>
                <w:sz w:val="16"/>
                <w:szCs w:val="16"/>
                <w:color w:val="auto"/>
              </w:rPr>
            </w:pPr>
          </w:p>
        </w:tc>
        <w:tc>
          <w:tcPr>
            <w:tcW w:w="2320" w:type="dxa"/>
            <w:vAlign w:val="bottom"/>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6"/>
                <w:szCs w:val="16"/>
                <w:color w:val="auto"/>
              </w:rPr>
            </w:pPr>
          </w:p>
        </w:tc>
      </w:tr>
      <w:tr>
        <w:trPr>
          <w:trHeight w:val="197"/>
        </w:trPr>
        <w:tc>
          <w:tcPr>
            <w:tcW w:w="5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80" w:type="dxa"/>
            <w:vAlign w:val="bottom"/>
            <w:gridSpan w:val="3"/>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6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7"/>
                <w:szCs w:val="17"/>
                <w:color w:val="auto"/>
              </w:rPr>
            </w:pPr>
          </w:p>
        </w:tc>
      </w:tr>
      <w:tr>
        <w:trPr>
          <w:trHeight w:val="24"/>
        </w:trPr>
        <w:tc>
          <w:tcPr>
            <w:tcW w:w="53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538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0"/>
        </w:trPr>
        <w:tc>
          <w:tcPr>
            <w:tcW w:w="5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9"/>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Adjusted Operating Income (Loss)</w:t>
            </w:r>
          </w:p>
        </w:tc>
        <w:tc>
          <w:tcPr>
            <w:tcW w:w="8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200"/>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provision for (benefit from) income taxes</w:t>
            </w:r>
          </w:p>
        </w:tc>
        <w:tc>
          <w:tcPr>
            <w:tcW w:w="840" w:type="dxa"/>
            <w:vAlign w:val="bottom"/>
          </w:tcPr>
          <w:p>
            <w:pPr>
              <w:jc w:val="right"/>
              <w:ind w:right="69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(74,197)</w:t>
            </w:r>
          </w:p>
        </w:tc>
        <w:tc>
          <w:tcPr>
            <w:tcW w:w="100" w:type="dxa"/>
            <w:vAlign w:val="bottom"/>
          </w:tcPr>
          <w:p>
            <w:pPr>
              <w:spacing w:after="0"/>
              <w:rPr>
                <w:sz w:val="17"/>
                <w:szCs w:val="17"/>
                <w:color w:val="auto"/>
              </w:rPr>
            </w:pPr>
          </w:p>
        </w:tc>
        <w:tc>
          <w:tcPr>
            <w:tcW w:w="840" w:type="dxa"/>
            <w:vAlign w:val="bottom"/>
          </w:tcPr>
          <w:p>
            <w:pPr>
              <w:jc w:val="right"/>
              <w:ind w:right="69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(20,521)</w:t>
            </w:r>
          </w:p>
        </w:tc>
        <w:tc>
          <w:tcPr>
            <w:tcW w:w="100" w:type="dxa"/>
            <w:vAlign w:val="bottom"/>
          </w:tcPr>
          <w:p>
            <w:pPr>
              <w:spacing w:after="0"/>
              <w:rPr>
                <w:sz w:val="17"/>
                <w:szCs w:val="17"/>
                <w:color w:val="auto"/>
              </w:rPr>
            </w:pPr>
          </w:p>
        </w:tc>
        <w:tc>
          <w:tcPr>
            <w:tcW w:w="48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(139,754)</w:t>
            </w:r>
          </w:p>
        </w:tc>
        <w:tc>
          <w:tcPr>
            <w:tcW w:w="100" w:type="dxa"/>
            <w:vAlign w:val="bottom"/>
          </w:tcPr>
          <w:p>
            <w:pPr>
              <w:spacing w:after="0"/>
              <w:rPr>
                <w:sz w:val="17"/>
                <w:szCs w:val="17"/>
                <w:color w:val="auto"/>
              </w:rPr>
            </w:pPr>
          </w:p>
        </w:tc>
        <w:tc>
          <w:tcPr>
            <w:tcW w:w="540" w:type="dxa"/>
            <w:vAlign w:val="bottom"/>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(42,567)</w:t>
            </w:r>
          </w:p>
        </w:tc>
      </w:tr>
      <w:tr>
        <w:trPr>
          <w:trHeight w:val="24"/>
        </w:trPr>
        <w:tc>
          <w:tcPr>
            <w:tcW w:w="5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3"/>
        </w:trPr>
        <w:tc>
          <w:tcPr>
            <w:tcW w:w="5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purchased intangibles and finance leases</w:t>
            </w:r>
          </w:p>
        </w:tc>
        <w:tc>
          <w:tcPr>
            <w:tcW w:w="8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5,483</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1,558</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10,799</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3,108</w:t>
            </w:r>
          </w:p>
        </w:tc>
      </w:tr>
      <w:tr>
        <w:trPr>
          <w:trHeight w:val="186"/>
        </w:trPr>
        <w:tc>
          <w:tcPr>
            <w:tcW w:w="5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36,517</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15,087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68,383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29,698</w:t>
            </w:r>
          </w:p>
        </w:tc>
      </w:tr>
      <w:tr>
        <w:trPr>
          <w:trHeight w:val="37"/>
        </w:trPr>
        <w:tc>
          <w:tcPr>
            <w:tcW w:w="5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3"/>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Restructuring costs </w:t>
            </w:r>
            <w:r>
              <w:rPr>
                <w:rFonts w:ascii="Times New Roman" w:cs="Times New Roman" w:eastAsia="Times New Roman" w:hAnsi="Times New Roman"/>
                <w:sz w:val="18"/>
                <w:szCs w:val="18"/>
                <w:color w:val="auto"/>
                <w:vertAlign w:val="superscript"/>
              </w:rPr>
              <w:t>(1)</w:t>
            </w: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3,225</w:t>
            </w:r>
          </w:p>
        </w:tc>
      </w:tr>
      <w:tr>
        <w:trPr>
          <w:trHeight w:val="223"/>
        </w:trPr>
        <w:tc>
          <w:tcPr>
            <w:tcW w:w="5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 xml:space="preserve">Other litigation and consulting costs </w:t>
            </w:r>
            <w:r>
              <w:rPr>
                <w:rFonts w:ascii="Times New Roman" w:cs="Times New Roman" w:eastAsia="Times New Roman" w:hAnsi="Times New Roman"/>
                <w:sz w:val="18"/>
                <w:szCs w:val="18"/>
                <w:color w:val="auto"/>
                <w:vertAlign w:val="superscript"/>
              </w:rPr>
              <w:t>(2)</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4,182</w:t>
            </w:r>
          </w:p>
        </w:tc>
      </w:tr>
      <w:tr>
        <w:trPr>
          <w:trHeight w:val="203"/>
        </w:trPr>
        <w:tc>
          <w:tcPr>
            <w:tcW w:w="5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Contingent earn-out adjustments</w:t>
            </w:r>
          </w:p>
        </w:tc>
        <w:tc>
          <w:tcPr>
            <w:tcW w:w="8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r>
      <w:tr>
        <w:trPr>
          <w:trHeight w:val="200"/>
        </w:trPr>
        <w:tc>
          <w:tcPr>
            <w:tcW w:w="5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Acquisition costs</w:t>
            </w:r>
          </w:p>
        </w:tc>
        <w:tc>
          <w:tcPr>
            <w:tcW w:w="8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2,122</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5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3"/>
        </w:trPr>
        <w:tc>
          <w:tcPr>
            <w:tcW w:w="5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 net</w:t>
            </w:r>
          </w:p>
        </w:tc>
        <w:tc>
          <w:tcPr>
            <w:tcW w:w="8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9,281</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18,410</w:t>
            </w:r>
          </w:p>
        </w:tc>
      </w:tr>
      <w:tr>
        <w:trPr>
          <w:trHeight w:val="223"/>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 xml:space="preserve">Other (expense) income, net </w:t>
            </w:r>
            <w:r>
              <w:rPr>
                <w:rFonts w:ascii="Times New Roman" w:cs="Times New Roman" w:eastAsia="Times New Roman" w:hAnsi="Times New Roman"/>
                <w:sz w:val="18"/>
                <w:szCs w:val="18"/>
                <w:color w:val="auto"/>
                <w:vertAlign w:val="superscript"/>
              </w:rPr>
              <w:t>(3)</w:t>
            </w: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3,266</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(3,050)</w:t>
            </w:r>
          </w:p>
        </w:tc>
      </w:tr>
      <w:tr>
        <w:trPr>
          <w:trHeight w:val="210"/>
        </w:trPr>
        <w:tc>
          <w:tcPr>
            <w:tcW w:w="5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Adjusted Operating income (loss)</w:t>
            </w:r>
          </w:p>
        </w:tc>
        <w:tc>
          <w:tcPr>
            <w:tcW w:w="84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(12,632)</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6,395</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(37,488)</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13,138</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 w:lineRule="exact"/>
        <w:rPr>
          <w:sz w:val="20"/>
          <w:szCs w:val="20"/>
          <w:color w:val="auto"/>
        </w:rPr>
      </w:pPr>
    </w:p>
    <w:p>
      <w:pPr>
        <w:jc w:val="both"/>
        <w:ind w:left="480" w:hanging="475"/>
        <w:spacing w:after="0" w:line="250" w:lineRule="auto"/>
        <w:tabs>
          <w:tab w:leader="none" w:pos="47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severance costs and other compensation related costs of $10.5 million and lease restructuring costs of $0.4 million for the three months ended June 30, 2022. Includes lease restructuring costs of $0.3 million and severance costs and other compensation related costs of $0.2 million for the three months ended June 30, 2021. Includes severance costs and other compensation related costs of $10.5 million and lease restructuring costs of $0.3 million for the six months ended June 30, 2022. Includes lease restructuring costs of $0.5 million and severance costs and other compensation related costs of $2.7 million for the six months ended June 30, 2021.</w:t>
      </w:r>
    </w:p>
    <w:p>
      <w:pPr>
        <w:spacing w:after="0" w:line="35" w:lineRule="exact"/>
        <w:rPr>
          <w:rFonts w:ascii="Times New Roman" w:cs="Times New Roman" w:eastAsia="Times New Roman" w:hAnsi="Times New Roman"/>
          <w:sz w:val="14"/>
          <w:szCs w:val="14"/>
          <w:color w:val="auto"/>
        </w:rPr>
      </w:pPr>
    </w:p>
    <w:p>
      <w:pPr>
        <w:jc w:val="both"/>
        <w:ind w:left="480" w:hanging="475"/>
        <w:spacing w:after="0" w:line="257" w:lineRule="auto"/>
        <w:tabs>
          <w:tab w:leader="none" w:pos="47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consulting costs of $0.2 million, litigation costs of $2.3 million and accrued expenses and fees of $0.5 million for the three months ended June 30, 2022. Includes litigation costs of $1.6 million, employee benefit costs of $0.6 million, consulting costs of $0.4 million and an increase to the reserve for sales and use tax liability of $0.2 million for the three months ended June 30, 2021. Includes litigation costs of $3.0 million, employee benefit costs of $0.7 million, consulting costs of $0.8 million, and an increase to the reserve for sales and use tax liability of $0.3 million for the six months ended June 30, 2022. Includes litigation costs of $2.8 million, employee benefit costs of $0.6 million, consulting costs of $0.6 million, and an increase to the reserve for sales and use tax liability of $0.2 million for the six months ended June 30, 2021.</w:t>
      </w:r>
    </w:p>
    <w:p>
      <w:pPr>
        <w:spacing w:after="0" w:line="30" w:lineRule="exact"/>
        <w:rPr>
          <w:rFonts w:ascii="Times New Roman" w:cs="Times New Roman" w:eastAsia="Times New Roman" w:hAnsi="Times New Roman"/>
          <w:sz w:val="14"/>
          <w:szCs w:val="14"/>
          <w:color w:val="auto"/>
        </w:rPr>
      </w:pPr>
    </w:p>
    <w:p>
      <w:pPr>
        <w:jc w:val="both"/>
        <w:ind w:left="480" w:hanging="475"/>
        <w:spacing w:after="0" w:line="258" w:lineRule="auto"/>
        <w:tabs>
          <w:tab w:leader="none" w:pos="47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$0.2 million of other income related to the settlement of leases, offset by $1.8 million of costs related to elimination entries for our Equity Method Investment, for the three and six months ended June 30, 2022. The remaining amount of other (income) expense for the three and six months ended June 30, 2022 is attributable to currency rate fluctuations. Includes $3.3 million of other income related to the settlement of leases for the three and six months ended June 30, 2021. The remaining amount of other (income) expense for the three and six months ended June 30, 2021 is attributable to currency rate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1" w:lineRule="exact"/>
        <w:rPr>
          <w:sz w:val="20"/>
          <w:szCs w:val="20"/>
          <w:color w:val="auto"/>
        </w:rPr>
      </w:pPr>
    </w:p>
    <w:p>
      <w:pPr>
        <w:jc w:val="both"/>
        <w:ind w:firstLine="420"/>
        <w:spacing w:after="0" w:line="248"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w:t>
      </w:r>
    </w:p>
    <w:p>
      <w:pPr>
        <w:spacing w:after="0" w:line="213" w:lineRule="exact"/>
        <w:rPr>
          <w:sz w:val="20"/>
          <w:szCs w:val="20"/>
          <w:color w:val="auto"/>
        </w:rPr>
      </w:pPr>
    </w:p>
    <w:p>
      <w:pPr>
        <w:jc w:val="both"/>
        <w:ind w:firstLine="420"/>
        <w:spacing w:after="0" w:line="249"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revenue recognition, depreciation,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The significant accounting policies which we believe are the most critical to aid in fully understanding and evaluating the reported consolidated financial results include the following: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41" w:lineRule="exact"/>
        <w:rPr>
          <w:sz w:val="20"/>
          <w:szCs w:val="20"/>
          <w:color w:val="auto"/>
        </w:rPr>
      </w:pPr>
    </w:p>
    <w:p>
      <w:pPr>
        <w:jc w:val="both"/>
        <w:ind w:firstLine="420"/>
        <w:spacing w:after="0" w:line="248" w:lineRule="auto"/>
        <w:rPr>
          <w:sz w:val="20"/>
          <w:szCs w:val="20"/>
          <w:color w:val="auto"/>
        </w:rPr>
      </w:pPr>
      <w:r>
        <w:rPr>
          <w:rFonts w:ascii="Times New Roman" w:cs="Times New Roman" w:eastAsia="Times New Roman" w:hAnsi="Times New Roman"/>
          <w:sz w:val="18"/>
          <w:szCs w:val="18"/>
          <w:color w:val="auto"/>
        </w:rPr>
        <w:t>The majority of our revenue is generated from monthly service revenues, which is inclusive of our platform usage pricing model, and related professional services from the sale of our services. Revenues are recognized when control of these services is transferred to our customers, in an amount that reflects the consideration we expect to be entitled to in exchange for those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w:t>
      </w:r>
    </w:p>
    <w:p>
      <w:pPr>
        <w:spacing w:after="0" w:line="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108" w:lineRule="exact"/>
        <w:rPr>
          <w:sz w:val="20"/>
          <w:szCs w:val="20"/>
          <w:color w:val="auto"/>
        </w:rPr>
      </w:pPr>
    </w:p>
    <w:p>
      <w:pPr>
        <w:ind w:left="1100" w:hanging="307"/>
        <w:spacing w:after="0"/>
        <w:tabs>
          <w:tab w:leader="none" w:pos="11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08" w:lineRule="exact"/>
        <w:rPr>
          <w:rFonts w:ascii="Times New Roman" w:cs="Times New Roman" w:eastAsia="Times New Roman" w:hAnsi="Times New Roman"/>
          <w:sz w:val="18"/>
          <w:szCs w:val="18"/>
          <w:color w:val="auto"/>
        </w:rPr>
      </w:pPr>
    </w:p>
    <w:p>
      <w:pPr>
        <w:ind w:left="1100" w:hanging="307"/>
        <w:spacing w:after="0"/>
        <w:tabs>
          <w:tab w:leader="none" w:pos="11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08" w:lineRule="exact"/>
        <w:rPr>
          <w:rFonts w:ascii="Times New Roman" w:cs="Times New Roman" w:eastAsia="Times New Roman" w:hAnsi="Times New Roman"/>
          <w:sz w:val="18"/>
          <w:szCs w:val="18"/>
          <w:color w:val="auto"/>
        </w:rPr>
      </w:pPr>
    </w:p>
    <w:p>
      <w:pPr>
        <w:ind w:left="1100" w:hanging="307"/>
        <w:spacing w:after="0"/>
        <w:tabs>
          <w:tab w:leader="none" w:pos="11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08" w:lineRule="exact"/>
        <w:rPr>
          <w:rFonts w:ascii="Times New Roman" w:cs="Times New Roman" w:eastAsia="Times New Roman" w:hAnsi="Times New Roman"/>
          <w:sz w:val="18"/>
          <w:szCs w:val="18"/>
          <w:color w:val="auto"/>
        </w:rPr>
      </w:pPr>
    </w:p>
    <w:p>
      <w:pPr>
        <w:ind w:left="1100" w:hanging="307"/>
        <w:spacing w:after="0"/>
        <w:tabs>
          <w:tab w:leader="none" w:pos="11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08" w:lineRule="exact"/>
        <w:rPr>
          <w:rFonts w:ascii="Times New Roman" w:cs="Times New Roman" w:eastAsia="Times New Roman" w:hAnsi="Times New Roman"/>
          <w:sz w:val="18"/>
          <w:szCs w:val="18"/>
          <w:color w:val="auto"/>
        </w:rPr>
      </w:pPr>
    </w:p>
    <w:p>
      <w:pPr>
        <w:ind w:left="1100" w:hanging="307"/>
        <w:spacing w:after="0"/>
        <w:tabs>
          <w:tab w:leader="none" w:pos="11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239"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Total revenue of $132.6 million and $119.6 million was recognized for the three months ended June 30, 2022 and 2021, respectively, and $262.8 million and $227.5 million during the six months ended June 30, 2022 and 2021, respectively.</w:t>
      </w:r>
    </w:p>
    <w:p>
      <w:pPr>
        <w:spacing w:after="0" w:line="196" w:lineRule="exact"/>
        <w:rPr>
          <w:sz w:val="20"/>
          <w:szCs w:val="20"/>
          <w:color w:val="auto"/>
        </w:rPr>
      </w:pPr>
    </w:p>
    <w:p>
      <w:pPr>
        <w:jc w:val="both"/>
        <w:ind w:firstLine="420"/>
        <w:spacing w:after="0" w:line="249" w:lineRule="auto"/>
        <w:rPr>
          <w:sz w:val="20"/>
          <w:szCs w:val="20"/>
          <w:color w:val="auto"/>
        </w:rPr>
      </w:pPr>
      <w:r>
        <w:rPr>
          <w:rFonts w:ascii="Times New Roman" w:cs="Times New Roman" w:eastAsia="Times New Roman" w:hAnsi="Times New Roman"/>
          <w:sz w:val="18"/>
          <w:szCs w:val="18"/>
          <w:color w:val="auto"/>
        </w:rPr>
        <w:t>We defer all incremental commission costs to obtain the contract (contract acquisition costs). The contract acquisition costs consist of prepaid sales commissions and have balances as of June 30, 2022 and December 31, 2021 of $43.4 million and $40.7 million, respectively. We amortize these costs over the related period of benefit using the expected life of the customer contract, which we determine to be three to five years, consistent with the transfer to the customer of the services to which the asset relates. We classify contract acquisition costs as long-term unless they have an original amortization period of one year or less.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Hosted Services - Business Revenue</w:t>
      </w:r>
    </w:p>
    <w:p>
      <w:pPr>
        <w:spacing w:after="0" w:line="241" w:lineRule="exact"/>
        <w:rPr>
          <w:sz w:val="20"/>
          <w:szCs w:val="20"/>
          <w:color w:val="auto"/>
        </w:rPr>
      </w:pPr>
    </w:p>
    <w:p>
      <w:pPr>
        <w:jc w:val="both"/>
        <w:ind w:firstLine="420"/>
        <w:spacing w:after="0" w:line="247" w:lineRule="auto"/>
        <w:rPr>
          <w:sz w:val="20"/>
          <w:szCs w:val="20"/>
          <w:color w:val="auto"/>
        </w:rPr>
      </w:pPr>
      <w:r>
        <w:rPr>
          <w:rFonts w:ascii="Times New Roman" w:cs="Times New Roman" w:eastAsia="Times New Roman" w:hAnsi="Times New Roman"/>
          <w:sz w:val="18"/>
          <w:szCs w:val="18"/>
          <w:color w:val="auto"/>
        </w:rPr>
        <w:t>Hosted services - Business revenue is reported at the amount that reflects the ultimate consideration expected to be received and primarily consist of fees that provide customers access to the Conversational Cloud. We have determined such access represents a stand-ready service provided continually throughout the contract term. As such, control and satisfaction of this stand-ready performance obligation is deemed to occur over time. We recognize this revenue over time on a ratable basis over the contract term, beginning on the date that access to the Conversational Cloud platform is made available to the customer. The passage of time is deemed to be the most faithful depiction of the transfer of control of the services as the customer simultaneously receives and consumes the benefit provided by our performance. Subscription contracts are generally one year or longer in length, billed monthly, quarterly or annually in advance. Additionally, for certain of our larger</w:t>
      </w:r>
    </w:p>
    <w:p>
      <w:pPr>
        <w:spacing w:after="0" w:line="200" w:lineRule="exact"/>
        <w:rPr>
          <w:sz w:val="20"/>
          <w:szCs w:val="20"/>
          <w:color w:val="auto"/>
        </w:rPr>
      </w:pPr>
    </w:p>
    <w:p>
      <w:pPr>
        <w:spacing w:after="0" w:line="35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46" w:name="page47"/>
    <w:bookmarkEnd w:id="46"/>
    <w:p>
      <w:pPr>
        <w:jc w:val="both"/>
        <w:spacing w:after="0" w:line="251" w:lineRule="auto"/>
        <w:rPr>
          <w:sz w:val="20"/>
          <w:szCs w:val="20"/>
          <w:color w:val="auto"/>
        </w:rPr>
      </w:pPr>
      <w:r>
        <w:rPr>
          <w:rFonts w:ascii="Times New Roman" w:cs="Times New Roman" w:eastAsia="Times New Roman" w:hAnsi="Times New Roman"/>
          <w:sz w:val="18"/>
          <w:szCs w:val="18"/>
          <w:color w:val="auto"/>
        </w:rPr>
        <w:t>customers, we may provide call center labor through an arrangement with one or more of several qualified vendors. For most of these customers, we pass the fee we incur with the labor provider and its fee for the hosted services through to our customers in the form of a fixed fee for each order placed via our online engagement solutions. For these Gainshare arrangements, we act as a principal in a transaction if we control the specified goods or services before they are transferred to the customer.</w:t>
      </w:r>
    </w:p>
    <w:p>
      <w:pPr>
        <w:spacing w:after="0" w:line="211"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Revenue attributable to our monthly hosted Business services accounted for 72% and 80% of total revenue for the three months ended June 30, 2022 and 2021, respectively, and 77% and 79% for the six months ended June 30, 2022 and 2021,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 Revenue</w:t>
      </w:r>
    </w:p>
    <w:p>
      <w:pPr>
        <w:spacing w:after="0" w:line="241" w:lineRule="exact"/>
        <w:rPr>
          <w:sz w:val="20"/>
          <w:szCs w:val="20"/>
          <w:color w:val="auto"/>
        </w:rPr>
      </w:pPr>
    </w:p>
    <w:p>
      <w:pPr>
        <w:jc w:val="both"/>
        <w:ind w:firstLine="420"/>
        <w:spacing w:after="0" w:line="281" w:lineRule="auto"/>
        <w:rPr>
          <w:sz w:val="20"/>
          <w:szCs w:val="20"/>
          <w:color w:val="auto"/>
        </w:rPr>
      </w:pPr>
      <w:r>
        <w:rPr>
          <w:rFonts w:ascii="Times New Roman" w:cs="Times New Roman" w:eastAsia="Times New Roman" w:hAnsi="Times New Roman"/>
          <w:sz w:val="16"/>
          <w:szCs w:val="16"/>
          <w:color w:val="auto"/>
        </w:rPr>
        <w:t>Professional Services revenue primarily consists of fees for deployment and optimization services, as well as training delivered on an on-demand basis which is deemed to represent a distinct stand-ready performance obligation and is recognized at a point in time. Professional Services revenue is reported at the amount that reflects the ultimate consideration we expect to receive in exchange for such services. Control for the majority of our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Conversational Cloud platform, and as such will be recognized on a straight-line basis over the contract term. For services billed on a fixed price basis, revenue is recognized over time based on the proportion performed using time and materials as the measure of progress toward complete satisfaction of the performance obligation. Our Professional Services contracts are generally one year or longer in length, billed monthly, quarterly or annually in advance. There is no significant variable consideration related to these arrangements.</w:t>
      </w:r>
    </w:p>
    <w:p>
      <w:pPr>
        <w:spacing w:after="0" w:line="200" w:lineRule="exact"/>
        <w:rPr>
          <w:sz w:val="20"/>
          <w:szCs w:val="20"/>
          <w:color w:val="auto"/>
        </w:rPr>
      </w:pPr>
    </w:p>
    <w:p>
      <w:pPr>
        <w:spacing w:after="0" w:line="203"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Revenue attributable to Professional Services accounted for 22% and 12% of total revenue for the three months ended June 30, 2022 and 2021, respectively, and 16% and 13% for the six months ended June 30, 2022 and 2021,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Hosted Services - Consumer Revenue</w:t>
      </w:r>
    </w:p>
    <w:p>
      <w:pPr>
        <w:spacing w:after="0" w:line="241" w:lineRule="exact"/>
        <w:rPr>
          <w:sz w:val="20"/>
          <w:szCs w:val="20"/>
          <w:color w:val="auto"/>
        </w:rPr>
      </w:pPr>
    </w:p>
    <w:p>
      <w:pPr>
        <w:jc w:val="both"/>
        <w:ind w:firstLine="420"/>
        <w:spacing w:after="0" w:line="288" w:lineRule="auto"/>
        <w:rPr>
          <w:sz w:val="20"/>
          <w:szCs w:val="20"/>
          <w:color w:val="auto"/>
        </w:rPr>
      </w:pPr>
      <w:r>
        <w:rPr>
          <w:rFonts w:ascii="Times New Roman" w:cs="Times New Roman" w:eastAsia="Times New Roman" w:hAnsi="Times New Roman"/>
          <w:sz w:val="16"/>
          <w:szCs w:val="16"/>
          <w:color w:val="auto"/>
        </w:rPr>
        <w:t>For revenue from our Consumer segment generated from online transactions between Experts and Users, revenue is recognized at an amount net of Expert fees primarily because the Expert is the primary obligor. We do not act as a principal in a transaction since we do not control the specified goods or services before they are transferred to the customer. Additionally, we perform as an agent without any risk of loss for collection, and we are not involved in selecting the Expert or establishing the Expert’s fee. We collect a fee from the consumer and retain a portion of the fee, and then remit the balance to the Expert. Revenue from these transactions is recognized at the point in time when the transaction is complete and no significant performance obligations remain.</w:t>
      </w:r>
    </w:p>
    <w:p>
      <w:pPr>
        <w:spacing w:after="0" w:line="183"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Revenue from our Consumer segment accounted for 7% and 8% of total revenue for the three months ended June 30, 2022 and 2021, respectively, and 7% and 8% for the six months ended June 30, 2022 and 2021,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w:t>
      </w:r>
    </w:p>
    <w:p>
      <w:pPr>
        <w:spacing w:after="0" w:line="241" w:lineRule="exact"/>
        <w:rPr>
          <w:sz w:val="20"/>
          <w:szCs w:val="20"/>
          <w:color w:val="auto"/>
        </w:rPr>
      </w:pPr>
    </w:p>
    <w:p>
      <w:pPr>
        <w:jc w:val="both"/>
        <w:ind w:firstLine="420"/>
        <w:spacing w:after="0" w:line="247" w:lineRule="auto"/>
        <w:rPr>
          <w:sz w:val="20"/>
          <w:szCs w:val="20"/>
          <w:color w:val="auto"/>
        </w:rPr>
      </w:pPr>
      <w:r>
        <w:rPr>
          <w:rFonts w:ascii="Times New Roman" w:cs="Times New Roman" w:eastAsia="Times New Roman" w:hAnsi="Times New Roman"/>
          <w:sz w:val="18"/>
          <w:szCs w:val="18"/>
          <w:color w:val="auto"/>
        </w:rPr>
        <w:t>As of June 30, 2022, the aggregate amount of the total transaction price allocated in contracts with original duration of one year or greater to the remaining performance obligations was $408.8 million. Approximately 92% of our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cancellable by the customer, amounts associated with optional renewal periods, and any amounts related to performance obligations, which are billed and recognized as they are delivered. We have elected the optional exemption, which allows for the exclusion of the amounts for remaining performance obligations that are part of contracts with an original expected duration of less than one year. Such remaining performance obligations represent unsatisfied or partially unsatisfied performance obligations pursuant to ASC 606, “Revenue from Contracts with Customers.”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241"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w:t>
      </w:r>
    </w:p>
    <w:p>
      <w:pPr>
        <w:spacing w:after="0" w:line="200" w:lineRule="exact"/>
        <w:rPr>
          <w:sz w:val="20"/>
          <w:szCs w:val="20"/>
          <w:color w:val="auto"/>
        </w:rPr>
      </w:pPr>
    </w:p>
    <w:p>
      <w:pPr>
        <w:spacing w:after="0" w:line="34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7" w:name="page48"/>
    <w:bookmarkEnd w:id="47"/>
    <w:p>
      <w:pPr>
        <w:jc w:val="both"/>
        <w:spacing w:after="0" w:line="267" w:lineRule="auto"/>
        <w:rPr>
          <w:sz w:val="20"/>
          <w:szCs w:val="20"/>
          <w:color w:val="auto"/>
        </w:rPr>
      </w:pPr>
      <w:r>
        <w:rPr>
          <w:rFonts w:ascii="Times New Roman" w:cs="Times New Roman" w:eastAsia="Times New Roman" w:hAnsi="Times New Roman"/>
          <w:sz w:val="18"/>
          <w:szCs w:val="18"/>
          <w:color w:val="auto"/>
        </w:rPr>
        <w:t>objectives, taking into consideration market conditions and other factors, including the value of our contracts, the cloud applications sold, and the number and types of users within our contracts.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Revenues</w:t>
      </w:r>
    </w:p>
    <w:p>
      <w:pPr>
        <w:spacing w:after="0" w:line="241"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We record deferred revenues when cash payments are received or due in advance of our performance. The increase of $11.7 million in deferred revenue balance as of June 30, 2022 from the deferred revenue balance of $98.9 million as of December 31, 2021 is primarily driven by cash payments received or due in advance of our performance obligations, partially offset by $95.8 million in revenues recognized that were included in the deferred revenue balance as of December 31, 2021.</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41"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211"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Our forfeiture rate assumptions, which estimate the share-based awards that will ultimately vest, requires judgment, and to the extent actual results or updated estimates differ from our current estimates, such amounts will be recorded as a cumulative adjustment in the period of change and could be materially different from share-based compensation expense recorded in prior periods.</w:t>
      </w:r>
    </w:p>
    <w:p>
      <w:pPr>
        <w:spacing w:after="0" w:line="207"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For the three months ended June 30, 2022 and 2021, we accrued approximately $4.8 million and $5.1 million in cash awards, respectively, and for the six months ended June 30, 2022 and 2021, we accrued approximately $11.9 million and $10.4 million in cash awards, respectively, to be settled in shares of our stock and recorded a corresponding expense, which is included as a component of stock-based compensation expense in the accompanying condensed consolidated financial statements for the three and six months ended June 30, 2022 and 2021, respectively.</w:t>
      </w:r>
    </w:p>
    <w:p>
      <w:pPr>
        <w:spacing w:after="0" w:line="211"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As of June 30, 2022, there was approximately $29.6 million of total unrecognized compensation cost related to nonvested share-based compensation arrangements. That cost is expected to be recognized over a weighted average period of approximately 2.7 years.</w:t>
      </w:r>
    </w:p>
    <w:p>
      <w:pPr>
        <w:spacing w:after="0" w:line="196"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As of June 30, 2022, there was approximately $129.5 million of total unrecognized compensation cost related to nonvested restricted stock units. That cost is expected to be recognized over the remaining weighted average period of approximately 3.0 years.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41" w:lineRule="exact"/>
        <w:rPr>
          <w:sz w:val="20"/>
          <w:szCs w:val="20"/>
          <w:color w:val="auto"/>
        </w:rPr>
      </w:pPr>
    </w:p>
    <w:p>
      <w:pPr>
        <w:jc w:val="both"/>
        <w:ind w:firstLine="420"/>
        <w:spacing w:after="0" w:line="245" w:lineRule="auto"/>
        <w:rPr>
          <w:sz w:val="20"/>
          <w:szCs w:val="20"/>
          <w:color w:val="auto"/>
        </w:rPr>
      </w:pPr>
      <w:r>
        <w:rPr>
          <w:rFonts w:ascii="Times New Roman" w:cs="Times New Roman" w:eastAsia="Times New Roman" w:hAnsi="Times New Roman"/>
          <w:sz w:val="18"/>
          <w:szCs w:val="18"/>
          <w:color w:val="auto"/>
        </w:rPr>
        <w:t>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if we experience a significant write-off from one of our large customers, it could have a material adverse impact on our consolidated financial statements. No single customer accounted for 10% or more of our total revenue for the three and six months ended June 30, 2022 and 2021. Two customers exceeded 10% of our total accounts receivable as of June 30, 2022. No single customer accounted for 10% or more of our total accounts receivable as of December 31, 2021. During the six months ended June 30, 2022, we increased our allowance for doubtful accounts from $6.3 million as of December 31, 2021 to approximately $8.2 million. A large proportion of receivables are due from larger corporate customers that typically have longer payment cycles. Accounts receivable is presented net of an allowance for doubtful accounts and sales reserve of $8.2 million and $2.9 million as of June 30, 2022, respectively, and $6.3 million and $4.1 million as of December 31, 2021, respectively.</w:t>
      </w:r>
    </w:p>
    <w:p>
      <w:pPr>
        <w:spacing w:after="0" w:line="223"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An allowance for doubtful accounts is established for losses expected to be incurred on accounts receivable balances. Judgment is required in the estimation of the allowance and we evaluate the collectability of our accounts receivable based on a</w:t>
      </w:r>
    </w:p>
    <w:p>
      <w:pPr>
        <w:spacing w:after="0" w:line="200" w:lineRule="exact"/>
        <w:rPr>
          <w:sz w:val="20"/>
          <w:szCs w:val="20"/>
          <w:color w:val="auto"/>
        </w:rPr>
      </w:pPr>
    </w:p>
    <w:p>
      <w:pPr>
        <w:spacing w:after="0" w:line="33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8" w:name="page49"/>
    <w:bookmarkEnd w:id="48"/>
    <w:p>
      <w:pPr>
        <w:jc w:val="both"/>
        <w:spacing w:after="0" w:line="249" w:lineRule="auto"/>
        <w:rPr>
          <w:sz w:val="20"/>
          <w:szCs w:val="20"/>
          <w:color w:val="auto"/>
        </w:rPr>
      </w:pPr>
      <w:r>
        <w:rPr>
          <w:rFonts w:ascii="Times New Roman" w:cs="Times New Roman" w:eastAsia="Times New Roman" w:hAnsi="Times New Roman"/>
          <w:sz w:val="18"/>
          <w:szCs w:val="18"/>
          <w:color w:val="auto"/>
        </w:rPr>
        <w:t>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doubtful accounts based on the creditworthiness of the debtor, the age and status of outstanding receivables, the current business environment and our historical collection experience adjusted for current expectations for the customer or industry. Accounts receivable are written off against the allowance for uncollectible accounts when we determine amounts are no longer collectible.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41" w:lineRule="exact"/>
        <w:rPr>
          <w:sz w:val="20"/>
          <w:szCs w:val="20"/>
          <w:color w:val="auto"/>
        </w:rPr>
      </w:pPr>
    </w:p>
    <w:p>
      <w:pPr>
        <w:jc w:val="both"/>
        <w:ind w:firstLine="420"/>
        <w:spacing w:after="0" w:line="249" w:lineRule="auto"/>
        <w:rPr>
          <w:sz w:val="20"/>
          <w:szCs w:val="20"/>
          <w:color w:val="auto"/>
        </w:rPr>
      </w:pPr>
      <w:r>
        <w:rPr>
          <w:rFonts w:ascii="Times New Roman" w:cs="Times New Roman" w:eastAsia="Times New Roman" w:hAnsi="Times New Roman"/>
          <w:sz w:val="18"/>
          <w:szCs w:val="18"/>
          <w:color w:val="auto"/>
        </w:rPr>
        <w:t>Goodwill represents the excess of the aggregate purchase price over the fair value of net identifiable assets acquired in a business combination. Goodwill is not amortized and is tested for impairment at least annually or whenever events or changes in circumstances indicate that the carrying value may not be recoverable. We have determined that we operate as three reporting units and have selected September 30 as the date to perform our annual impairment test. In the valuation of goodwill, management must make assumptions regarding estimated future cash flows to be derived from our business. If these estimates or their related assumptions change in the future, we may be required to record impairment for these assets.</w:t>
      </w:r>
    </w:p>
    <w:p>
      <w:pPr>
        <w:spacing w:after="0" w:line="213"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We have the option to first perform a qualitative assessment to determine if it is more likely than not that the fair value of a reporting unit is less than its carrying amount. However, we may elect to bypass the qualitative assessment and proceed directly to the quantitative impairment tests. The impairment test involves comparing the fair value of the reporting unit to its carrying value, including goodwill. A goodwill impairment will be the amount by which a reporting unit’s carrying value exceeds its fair value. The impairment is limited to the carrying amount of goodwill.</w:t>
      </w:r>
    </w:p>
    <w:p>
      <w:pPr>
        <w:spacing w:after="0" w:line="2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 goodwill impairment charges have been recorded for any period presented.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41" w:lineRule="exact"/>
        <w:rPr>
          <w:sz w:val="20"/>
          <w:szCs w:val="20"/>
          <w:color w:val="auto"/>
        </w:rPr>
      </w:pPr>
    </w:p>
    <w:p>
      <w:pPr>
        <w:jc w:val="both"/>
        <w:ind w:firstLine="420"/>
        <w:spacing w:after="0" w:line="248" w:lineRule="auto"/>
        <w:rPr>
          <w:sz w:val="20"/>
          <w:szCs w:val="20"/>
          <w:color w:val="auto"/>
        </w:rPr>
      </w:pPr>
      <w:r>
        <w:rPr>
          <w:rFonts w:ascii="Times New Roman" w:cs="Times New Roman" w:eastAsia="Times New Roman" w:hAnsi="Times New Roman"/>
          <w:sz w:val="18"/>
          <w:szCs w:val="18"/>
          <w:color w:val="auto"/>
        </w:rPr>
        <w:t>The carrying amounts of our long-lived assets, including property and equipment, lease right of use assets, capitalized internal-use software, costs to obtain customer contracts, and acquired intangible assets, are reviewed for impairment whenever events or changes in circumstances indicate that the carrying value of these assets may not be recoverable or that the useful lives are shorter than originally estimated. Recoverability of assets to be held and used is measured by comparing the carrying amount of an asset to future undiscounted net cash flows the asset is expected to generate over its remaining life. If the asset is considered to be impaired, the amount of any impairment is measured as the difference between the carrying value and the fair value of the impaired asset. If the useful life is shorter than originally estimated, we amortize the remaining carrying value over the new shorter useful life.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41" w:lineRule="exact"/>
        <w:rPr>
          <w:sz w:val="20"/>
          <w:szCs w:val="20"/>
          <w:color w:val="auto"/>
        </w:rPr>
      </w:pPr>
    </w:p>
    <w:p>
      <w:pPr>
        <w:jc w:val="both"/>
        <w:ind w:firstLine="420"/>
        <w:spacing w:after="0" w:line="283" w:lineRule="auto"/>
        <w:rPr>
          <w:sz w:val="20"/>
          <w:szCs w:val="20"/>
          <w:color w:val="auto"/>
        </w:rPr>
      </w:pPr>
      <w:r>
        <w:rPr>
          <w:rFonts w:ascii="Times New Roman" w:cs="Times New Roman" w:eastAsia="Times New Roman" w:hAnsi="Times New Roman"/>
          <w:sz w:val="16"/>
          <w:szCs w:val="16"/>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w:t>
      </w:r>
    </w:p>
    <w:p>
      <w:pPr>
        <w:spacing w:after="0" w:line="96" w:lineRule="exact"/>
        <w:rPr>
          <w:sz w:val="20"/>
          <w:szCs w:val="20"/>
          <w:color w:val="auto"/>
        </w:rPr>
      </w:pPr>
    </w:p>
    <w:p>
      <w:pPr>
        <w:jc w:val="both"/>
        <w:ind w:firstLine="420"/>
        <w:spacing w:after="0" w:line="285" w:lineRule="auto"/>
        <w:rPr>
          <w:sz w:val="20"/>
          <w:szCs w:val="20"/>
          <w:color w:val="auto"/>
        </w:rPr>
      </w:pPr>
      <w:r>
        <w:rPr>
          <w:rFonts w:ascii="Times New Roman" w:cs="Times New Roman" w:eastAsia="Times New Roman" w:hAnsi="Times New Roman"/>
          <w:sz w:val="16"/>
          <w:szCs w:val="16"/>
          <w:color w:val="auto"/>
        </w:rPr>
        <w:t>The Company includes interest accrued on the underpayment of income taxes in interest expense and penalties, if any, related to unrecognized tax benefits in general and administrative expenses. The Company recorded a valuation allowance against its U.S. and Germany deferred tax assets as it considered its cumulative loss in recent years as a significant piece of negative evidence. Since valuation allowances are evaluated on a jurisdiction by jurisdiction basis, we believe that the deferred tax assets related to LivePerson Australia Holdings Pty. Ltd., LivePerson (UK) Limited, Kasamba Inc., LivePerson Japan and LivePerson Limited (Israel) are more likely than not to be realized as these jurisdictions have positive cumulative pre-tax book income after adjusting for permanent and one-time items. During the year ended December 31, 2021, there was an increase in the valuation recorded of $51.7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color w:val="auto"/>
        </w:rPr>
        <w:t>Legal Contingencies</w:t>
      </w:r>
    </w:p>
    <w:p>
      <w:pPr>
        <w:spacing w:after="0" w:line="241" w:lineRule="exact"/>
        <w:rPr>
          <w:sz w:val="20"/>
          <w:szCs w:val="20"/>
          <w:color w:val="auto"/>
        </w:rPr>
      </w:pPr>
    </w:p>
    <w:p>
      <w:pPr>
        <w:jc w:val="both"/>
        <w:ind w:firstLine="420"/>
        <w:spacing w:after="0" w:line="247" w:lineRule="auto"/>
        <w:rPr>
          <w:sz w:val="20"/>
          <w:szCs w:val="20"/>
          <w:color w:val="auto"/>
        </w:rPr>
      </w:pPr>
      <w:r>
        <w:rPr>
          <w:rFonts w:ascii="Times New Roman" w:cs="Times New Roman" w:eastAsia="Times New Roman" w:hAnsi="Times New Roman"/>
          <w:sz w:val="18"/>
          <w:szCs w:val="18"/>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15 – Legal Matters for additional information on our legal proceedings and litigation.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41"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See Note 1 – Description of Business and Basis of Presentation in the Notes to the Condensed Consolidated Financial Statements for a full description of recently issued accounting standards.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41"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See Note 1 – Description of Business and Basis of Presentation in the Notes to the Condensed Consolidated Financial Statements for a full description of recently adopted accounting pronouncements.</w:t>
      </w:r>
    </w:p>
    <w:p>
      <w:pPr>
        <w:spacing w:after="0" w:line="19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1"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We are organized into two operating segments for purposes of making operating decisions and assessing performance. The Business segment enables brands to leverage the Conversational Cloud’s sophisticated intelligence engine to connect with consumers through an integrated suite of mobile and online business messaging technologies. The Consumer segment facilitates online transactions between Experts and Users seeking information and knowledge for a fee via mobile and online messaging.</w:t>
      </w:r>
    </w:p>
    <w:p>
      <w:pPr>
        <w:spacing w:after="0" w:line="20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Comparison of the Three and Six Months Ended June 30, 2022 and June 30, 2021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41"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our revenues for those periods. The period-to-period comparison of financial results is not necessarily indicative of future results.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1300" w:type="dxa"/>
            <w:vAlign w:val="bottom"/>
          </w:tcPr>
          <w:p>
            <w:pPr>
              <w:spacing w:after="0"/>
              <w:rPr>
                <w:sz w:val="16"/>
                <w:szCs w:val="16"/>
                <w:color w:val="auto"/>
              </w:rPr>
            </w:pPr>
          </w:p>
        </w:tc>
      </w:tr>
      <w:tr>
        <w:trPr>
          <w:trHeight w:val="197"/>
        </w:trPr>
        <w:tc>
          <w:tcPr>
            <w:tcW w:w="2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00" w:type="dxa"/>
            <w:vAlign w:val="bottom"/>
          </w:tcPr>
          <w:p>
            <w:pPr>
              <w:spacing w:after="0"/>
              <w:rPr>
                <w:sz w:val="17"/>
                <w:szCs w:val="17"/>
                <w:color w:val="auto"/>
              </w:rPr>
            </w:pPr>
          </w:p>
        </w:tc>
      </w:tr>
      <w:tr>
        <w:trPr>
          <w:trHeight w:val="24"/>
        </w:trPr>
        <w:tc>
          <w:tcPr>
            <w:tcW w:w="2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4"/>
        </w:trPr>
        <w:tc>
          <w:tcPr>
            <w:tcW w:w="270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0"/>
        </w:trPr>
        <w:tc>
          <w:tcPr>
            <w:tcW w:w="2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Segment: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8"/>
        </w:trPr>
        <w:tc>
          <w:tcPr>
            <w:tcW w:w="2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Business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123,436</w:t>
            </w:r>
          </w:p>
        </w:tc>
        <w:tc>
          <w:tcPr>
            <w:tcW w:w="1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109,795</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244,511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208,675</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0"/>
        </w:trPr>
        <w:tc>
          <w:tcPr>
            <w:tcW w:w="2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Consumer</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9,810</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18,821</w:t>
            </w: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5"/>
        </w:trPr>
        <w:tc>
          <w:tcPr>
            <w:tcW w:w="2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132,565</w:t>
            </w:r>
          </w:p>
        </w:tc>
        <w:tc>
          <w:tcPr>
            <w:tcW w:w="100" w:type="dxa"/>
            <w:vAlign w:val="bottom"/>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119,605</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262,762</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227,496</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0"/>
        </w:trPr>
        <w:tc>
          <w:tcPr>
            <w:tcW w:w="2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420"/>
        <w:spacing w:after="0" w:line="248" w:lineRule="auto"/>
        <w:rPr>
          <w:sz w:val="20"/>
          <w:szCs w:val="20"/>
          <w:color w:val="auto"/>
        </w:rPr>
      </w:pPr>
      <w:r>
        <w:rPr>
          <w:rFonts w:ascii="Times New Roman" w:cs="Times New Roman" w:eastAsia="Times New Roman" w:hAnsi="Times New Roman"/>
          <w:sz w:val="18"/>
          <w:szCs w:val="18"/>
          <w:color w:val="222222"/>
        </w:rPr>
        <w:t xml:space="preserve">Business revenue increased by 12% to $123.4 million and by 17% to $244.5 million for the </w:t>
      </w:r>
      <w:r>
        <w:rPr>
          <w:rFonts w:ascii="Times New Roman" w:cs="Times New Roman" w:eastAsia="Times New Roman" w:hAnsi="Times New Roman"/>
          <w:sz w:val="18"/>
          <w:szCs w:val="18"/>
          <w:color w:val="000000"/>
        </w:rPr>
        <w:t>three and six months ended June 30, 2022, respectively,</w:t>
      </w:r>
      <w:r>
        <w:rPr>
          <w:rFonts w:ascii="Times New Roman" w:cs="Times New Roman" w:eastAsia="Times New Roman" w:hAnsi="Times New Roman"/>
          <w:sz w:val="18"/>
          <w:szCs w:val="18"/>
          <w:color w:val="222222"/>
        </w:rPr>
        <w:t xml:space="preserve"> from $109.8 million and $208.7 million, respectively, for the comparable periods in 2021. The increase in Business revenue is driven primarily by increases in hosted services of $22.4 million during the </w:t>
      </w:r>
      <w:r>
        <w:rPr>
          <w:rFonts w:ascii="Times New Roman" w:cs="Times New Roman" w:eastAsia="Times New Roman" w:hAnsi="Times New Roman"/>
          <w:sz w:val="18"/>
          <w:szCs w:val="18"/>
          <w:color w:val="000000"/>
        </w:rPr>
        <w:t>six months ended June 30, 2022, partially offset by decreases in hosted services of $0.2 million during the three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months ended June 30, 2022 </w:t>
      </w:r>
      <w:r>
        <w:rPr>
          <w:rFonts w:ascii="Times New Roman" w:cs="Times New Roman" w:eastAsia="Times New Roman" w:hAnsi="Times New Roman"/>
          <w:sz w:val="18"/>
          <w:szCs w:val="18"/>
          <w:color w:val="222222"/>
        </w:rPr>
        <w:t>and increases in professional services of $13.9 million and $13.4 million during the</w:t>
      </w:r>
      <w:r>
        <w:rPr>
          <w:rFonts w:ascii="Times New Roman" w:cs="Times New Roman" w:eastAsia="Times New Roman" w:hAnsi="Times New Roman"/>
          <w:sz w:val="18"/>
          <w:szCs w:val="18"/>
          <w:color w:val="000000"/>
        </w:rPr>
        <w:t xml:space="preserve"> three and six </w:t>
      </w:r>
      <w:r>
        <w:rPr>
          <w:rFonts w:ascii="Times New Roman" w:cs="Times New Roman" w:eastAsia="Times New Roman" w:hAnsi="Times New Roman"/>
          <w:sz w:val="18"/>
          <w:szCs w:val="18"/>
          <w:color w:val="222222"/>
        </w:rPr>
        <w:t>months ended</w:t>
      </w:r>
      <w:r>
        <w:rPr>
          <w:rFonts w:ascii="Times New Roman" w:cs="Times New Roman" w:eastAsia="Times New Roman" w:hAnsi="Times New Roman"/>
          <w:sz w:val="18"/>
          <w:szCs w:val="18"/>
          <w:color w:val="000000"/>
        </w:rPr>
        <w:t xml:space="preserve"> June 30, 2022</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 xml:space="preserve">respectively. Included in hosted services is a decrease in revenue that is variable based on interaction and usage of approximately $9.8 million and $1.0 million during the </w:t>
      </w:r>
      <w:r>
        <w:rPr>
          <w:rFonts w:ascii="Times New Roman" w:cs="Times New Roman" w:eastAsia="Times New Roman" w:hAnsi="Times New Roman"/>
          <w:sz w:val="18"/>
          <w:szCs w:val="18"/>
          <w:color w:val="000000"/>
        </w:rPr>
        <w:t>three and six months ended June 30, 2022, respectively</w:t>
      </w:r>
      <w:r>
        <w:rPr>
          <w:rFonts w:ascii="Times New Roman" w:cs="Times New Roman" w:eastAsia="Times New Roman" w:hAnsi="Times New Roman"/>
          <w:sz w:val="18"/>
          <w:szCs w:val="18"/>
          <w:color w:val="222222"/>
        </w:rPr>
        <w:t>.</w:t>
      </w:r>
    </w:p>
    <w:p>
      <w:pPr>
        <w:spacing w:after="0" w:line="213"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222222"/>
        </w:rPr>
        <w:t>The increase in Business revenue was driven by both existing and new customers as LivePerson generated greater demand for its Conversational Commerce software. LivePerson is powering Conversational AI, automation and messaging strategies across a growing number of use cases from care and sales, to marketing, social, conversational advertising and brick</w:t>
      </w:r>
    </w:p>
    <w:p>
      <w:pPr>
        <w:spacing w:after="0" w:line="200" w:lineRule="exact"/>
        <w:rPr>
          <w:sz w:val="20"/>
          <w:szCs w:val="20"/>
          <w:color w:val="auto"/>
        </w:rPr>
      </w:pPr>
    </w:p>
    <w:p>
      <w:pPr>
        <w:spacing w:after="0" w:line="34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50" w:name="page51"/>
    <w:bookmarkEnd w:id="50"/>
    <w:p>
      <w:pPr>
        <w:jc w:val="both"/>
        <w:spacing w:after="0" w:line="249" w:lineRule="auto"/>
        <w:rPr>
          <w:sz w:val="20"/>
          <w:szCs w:val="20"/>
          <w:color w:val="auto"/>
        </w:rPr>
      </w:pPr>
      <w:r>
        <w:rPr>
          <w:rFonts w:ascii="Times New Roman" w:cs="Times New Roman" w:eastAsia="Times New Roman" w:hAnsi="Times New Roman"/>
          <w:sz w:val="18"/>
          <w:szCs w:val="18"/>
          <w:color w:val="222222"/>
        </w:rPr>
        <w:t xml:space="preserve">and mortar. As adoption increases, we are seeing higher revenue per customer. Our average annual revenue per enterprise and mid-market customer increased approximately 23% year-over-year to $660,000 for the trailing twelve months ended June 30, 2022, as compared to $535,000 for the trailing twelve months ended June 30, 2021. Revenue retention for our enterprise and mid-market customers on the Conversational Cloud was just below our target range of 105% to 115% for </w:t>
      </w:r>
      <w:r>
        <w:rPr>
          <w:rFonts w:ascii="Times New Roman" w:cs="Times New Roman" w:eastAsia="Times New Roman" w:hAnsi="Times New Roman"/>
          <w:sz w:val="18"/>
          <w:szCs w:val="18"/>
          <w:color w:val="000000"/>
        </w:rPr>
        <w:t>the second quarter 2022 and comparable period in 2021. However, we are seeing some potential elongation of sales cycles driven by current macro-environmental factors.</w:t>
      </w:r>
    </w:p>
    <w:p>
      <w:pPr>
        <w:spacing w:after="0" w:line="213"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Consumer revenue decreased by 7% to $9.1 million and by 3% to $18.3 million for the three and six months ended June 30, 2022, respectively, from $9.8 million and $18.8 million for the comparable periods in 2021. This decrease was driven by slightly lower demand by consumers to engage with experts and advisors through conversational messaging channels.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 Business</w:t>
      </w:r>
    </w:p>
    <w:p>
      <w:pPr>
        <w:spacing w:after="0" w:line="241"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Cost of revenue - business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80" w:type="dxa"/>
            <w:vAlign w:val="bottom"/>
            <w:gridSpan w:val="2"/>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2"/>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60" w:type="dxa"/>
            <w:vAlign w:val="bottom"/>
          </w:tcPr>
          <w:p>
            <w:pPr>
              <w:spacing w:after="0"/>
              <w:rPr>
                <w:sz w:val="16"/>
                <w:szCs w:val="16"/>
                <w:color w:val="auto"/>
              </w:rPr>
            </w:pPr>
          </w:p>
        </w:tc>
      </w:tr>
      <w:tr>
        <w:trPr>
          <w:trHeight w:val="197"/>
        </w:trPr>
        <w:tc>
          <w:tcPr>
            <w:tcW w:w="2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66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66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7"/>
                <w:szCs w:val="17"/>
                <w:color w:val="auto"/>
              </w:rPr>
            </w:pPr>
          </w:p>
        </w:tc>
      </w:tr>
      <w:tr>
        <w:trPr>
          <w:trHeight w:val="24"/>
        </w:trPr>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4"/>
        </w:trPr>
        <w:tc>
          <w:tcPr>
            <w:tcW w:w="254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68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70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0"/>
        </w:trPr>
        <w:tc>
          <w:tcPr>
            <w:tcW w:w="2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720" w:type="dxa"/>
            <w:vAlign w:val="bottom"/>
            <w:gridSpan w:val="4"/>
          </w:tcPr>
          <w:p>
            <w:pPr>
              <w:jc w:val="right"/>
              <w:ind w:right="76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 business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43,616</w:t>
            </w:r>
          </w:p>
        </w:tc>
        <w:tc>
          <w:tcPr>
            <w:tcW w:w="3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38,265</w:t>
            </w:r>
          </w:p>
        </w:tc>
        <w:tc>
          <w:tcPr>
            <w:tcW w:w="15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14 %  $</w:t>
            </w:r>
          </w:p>
        </w:tc>
        <w:tc>
          <w:tcPr>
            <w:tcW w:w="11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91,837</w:t>
            </w:r>
          </w:p>
        </w:tc>
        <w:tc>
          <w:tcPr>
            <w:tcW w:w="3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69,875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08"/>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300" w:type="dxa"/>
            <w:vAlign w:val="bottom"/>
          </w:tcPr>
          <w:p>
            <w:pPr>
              <w:spacing w:after="0"/>
              <w:rPr>
                <w:sz w:val="18"/>
                <w:szCs w:val="18"/>
                <w:color w:val="auto"/>
              </w:rPr>
            </w:pPr>
          </w:p>
        </w:tc>
        <w:tc>
          <w:tcPr>
            <w:tcW w:w="138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32 %</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300" w:type="dxa"/>
            <w:vAlign w:val="bottom"/>
          </w:tcPr>
          <w:p>
            <w:pPr>
              <w:spacing w:after="0"/>
              <w:rPr>
                <w:sz w:val="18"/>
                <w:szCs w:val="18"/>
                <w:color w:val="auto"/>
              </w:rPr>
            </w:pPr>
          </w:p>
        </w:tc>
        <w:tc>
          <w:tcPr>
            <w:tcW w:w="138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31 %</w:t>
            </w:r>
          </w:p>
        </w:tc>
        <w:tc>
          <w:tcPr>
            <w:tcW w:w="1160" w:type="dxa"/>
            <w:vAlign w:val="bottom"/>
          </w:tcPr>
          <w:p>
            <w:pPr>
              <w:spacing w:after="0"/>
              <w:rPr>
                <w:sz w:val="18"/>
                <w:szCs w:val="18"/>
                <w:color w:val="auto"/>
              </w:rPr>
            </w:pPr>
          </w:p>
        </w:tc>
      </w:tr>
      <w:tr>
        <w:trPr>
          <w:trHeight w:val="212"/>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Headcount (at period end)</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219</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236</w:t>
            </w:r>
          </w:p>
        </w:tc>
        <w:tc>
          <w:tcPr>
            <w:tcW w:w="11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99"/>
              </w:rPr>
              <w:t>(7)%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219</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236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bl>
    <w:p>
      <w:pPr>
        <w:spacing w:after="0" w:line="310" w:lineRule="exact"/>
        <w:rPr>
          <w:sz w:val="20"/>
          <w:szCs w:val="20"/>
          <w:color w:val="auto"/>
        </w:rPr>
      </w:pPr>
    </w:p>
    <w:p>
      <w:pPr>
        <w:ind w:firstLine="420"/>
        <w:spacing w:after="0" w:line="267" w:lineRule="auto"/>
        <w:rPr>
          <w:sz w:val="20"/>
          <w:szCs w:val="20"/>
          <w:color w:val="auto"/>
        </w:rPr>
      </w:pPr>
      <w:r>
        <w:rPr>
          <w:rFonts w:ascii="Times New Roman" w:cs="Times New Roman" w:eastAsia="Times New Roman" w:hAnsi="Times New Roman"/>
          <w:sz w:val="18"/>
          <w:szCs w:val="18"/>
          <w:color w:val="auto"/>
        </w:rPr>
        <w:t>Cost of revenue - business increased by 14% to $43.6 million for the three months ended June 30, 2022 from $38.3 million for the comparable period in 2021. This increase in expense is primarily attributable to salary and related employee expenses of approximately $6.1 million.</w:t>
      </w:r>
    </w:p>
    <w:p>
      <w:pPr>
        <w:spacing w:after="0" w:line="196"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Cost of revenue - business increased by 31% to $91.8 million for the six months ended June 30, 2022 from $69.9 million for the comparable period in 2021. This increase in expense is primarily attributable to an increase in salary and related employee expenses of approximately $8.0 million, an increase in expenses for backup server facilities of approximately $4.1 million, an increase in business services and outsourced contracting of $2.5 million, and an increase in amortization expense of approximately $6.6 million.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 Consumer</w:t>
      </w:r>
    </w:p>
    <w:p>
      <w:pPr>
        <w:spacing w:after="0" w:line="241"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Cost of revenue - consumer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80" w:type="dxa"/>
            <w:vAlign w:val="bottom"/>
            <w:gridSpan w:val="2"/>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2"/>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60" w:type="dxa"/>
            <w:vAlign w:val="bottom"/>
          </w:tcPr>
          <w:p>
            <w:pPr>
              <w:spacing w:after="0"/>
              <w:rPr>
                <w:sz w:val="16"/>
                <w:szCs w:val="16"/>
                <w:color w:val="auto"/>
              </w:rPr>
            </w:pPr>
          </w:p>
        </w:tc>
      </w:tr>
      <w:tr>
        <w:trPr>
          <w:trHeight w:val="197"/>
        </w:trPr>
        <w:tc>
          <w:tcPr>
            <w:tcW w:w="2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66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66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7"/>
                <w:szCs w:val="17"/>
                <w:color w:val="auto"/>
              </w:rPr>
            </w:pPr>
          </w:p>
        </w:tc>
      </w:tr>
      <w:tr>
        <w:trPr>
          <w:trHeight w:val="24"/>
        </w:trPr>
        <w:tc>
          <w:tcPr>
            <w:tcW w:w="2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4"/>
        </w:trPr>
        <w:tc>
          <w:tcPr>
            <w:tcW w:w="256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68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70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0"/>
        </w:trPr>
        <w:tc>
          <w:tcPr>
            <w:tcW w:w="2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720" w:type="dxa"/>
            <w:vAlign w:val="bottom"/>
            <w:gridSpan w:val="4"/>
          </w:tcPr>
          <w:p>
            <w:pPr>
              <w:jc w:val="right"/>
              <w:ind w:right="76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 consumer</w:t>
            </w:r>
          </w:p>
        </w:tc>
        <w:tc>
          <w:tcPr>
            <w:tcW w:w="84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4"/>
              </w:rPr>
              <w:t>1,433</w:t>
            </w:r>
          </w:p>
        </w:tc>
        <w:tc>
          <w:tcPr>
            <w:tcW w:w="3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1,798</w:t>
            </w:r>
          </w:p>
        </w:tc>
        <w:tc>
          <w:tcPr>
            <w:tcW w:w="158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(20)%  $</w:t>
            </w:r>
          </w:p>
        </w:tc>
        <w:tc>
          <w:tcPr>
            <w:tcW w:w="11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2,779</w:t>
            </w:r>
          </w:p>
        </w:tc>
        <w:tc>
          <w:tcPr>
            <w:tcW w:w="3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3,707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8"/>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8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300" w:type="dxa"/>
            <w:vAlign w:val="bottom"/>
          </w:tcPr>
          <w:p>
            <w:pPr>
              <w:spacing w:after="0"/>
              <w:rPr>
                <w:sz w:val="18"/>
                <w:szCs w:val="18"/>
                <w:color w:val="auto"/>
              </w:rPr>
            </w:pPr>
          </w:p>
        </w:tc>
        <w:tc>
          <w:tcPr>
            <w:tcW w:w="138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2 %</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300" w:type="dxa"/>
            <w:vAlign w:val="bottom"/>
          </w:tcPr>
          <w:p>
            <w:pPr>
              <w:spacing w:after="0"/>
              <w:rPr>
                <w:sz w:val="18"/>
                <w:szCs w:val="18"/>
                <w:color w:val="auto"/>
              </w:rPr>
            </w:pPr>
          </w:p>
        </w:tc>
        <w:tc>
          <w:tcPr>
            <w:tcW w:w="138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2 %</w:t>
            </w:r>
          </w:p>
        </w:tc>
        <w:tc>
          <w:tcPr>
            <w:tcW w:w="1160" w:type="dxa"/>
            <w:vAlign w:val="bottom"/>
          </w:tcPr>
          <w:p>
            <w:pPr>
              <w:spacing w:after="0"/>
              <w:rPr>
                <w:sz w:val="18"/>
                <w:szCs w:val="18"/>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Headcount (at period end)</w:t>
            </w: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15</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20</w:t>
            </w:r>
          </w:p>
        </w:tc>
        <w:tc>
          <w:tcPr>
            <w:tcW w:w="11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99"/>
              </w:rPr>
              <w:t>(25)%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15</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20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bl>
    <w:p>
      <w:pPr>
        <w:spacing w:after="0" w:line="297"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Cost of revenue - consumer decreased by 20% to $1.4 million for the three months ended June 30, 2022 from $1.8 million for the comparable period in 2021. This decrease in expense is primarily related to decreases in salary and employee related expenses, backup server facilities expenses, and credit card processing fees, partially offset by increases in business services and outsourced contracting.</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1" w:name="page52"/>
    <w:bookmarkEnd w:id="51"/>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Cost of revenue - consumer decreased by 25% to $2.8 million for the six months ended June 30, 2022 from $3.7 million for the comparable period in 2021. This decrease in expense is primarily related to decreases in salary and employee related expenses, business services and outsourced contracting, and in credit card processing fees.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 Business</w:t>
      </w:r>
    </w:p>
    <w:p>
      <w:pPr>
        <w:spacing w:after="0" w:line="241"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Sales and marketing - business expenses consist of compensation and related expenses for sales and marketing personnel, as well as advertising, marketing events, public relations, trade show exhibit expenses and allocated occupancy costs and related overhead.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80" w:type="dxa"/>
            <w:vAlign w:val="bottom"/>
            <w:gridSpan w:val="2"/>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2"/>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60" w:type="dxa"/>
            <w:vAlign w:val="bottom"/>
          </w:tcPr>
          <w:p>
            <w:pPr>
              <w:spacing w:after="0"/>
              <w:rPr>
                <w:sz w:val="16"/>
                <w:szCs w:val="16"/>
                <w:color w:val="auto"/>
              </w:rPr>
            </w:pPr>
          </w:p>
        </w:tc>
      </w:tr>
      <w:tr>
        <w:trPr>
          <w:trHeight w:val="197"/>
        </w:trPr>
        <w:tc>
          <w:tcPr>
            <w:tcW w:w="2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66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66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7"/>
                <w:szCs w:val="17"/>
                <w:color w:val="auto"/>
              </w:rPr>
            </w:pPr>
          </w:p>
        </w:tc>
      </w:tr>
      <w:tr>
        <w:trPr>
          <w:trHeight w:val="24"/>
        </w:trPr>
        <w:tc>
          <w:tcPr>
            <w:tcW w:w="2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4"/>
        </w:trPr>
        <w:tc>
          <w:tcPr>
            <w:tcW w:w="252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68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70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0"/>
        </w:trPr>
        <w:tc>
          <w:tcPr>
            <w:tcW w:w="2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740" w:type="dxa"/>
            <w:vAlign w:val="bottom"/>
            <w:gridSpan w:val="4"/>
          </w:tcPr>
          <w:p>
            <w:pPr>
              <w:jc w:val="right"/>
              <w:ind w:right="78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 - business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53,260</w:t>
            </w:r>
          </w:p>
        </w:tc>
        <w:tc>
          <w:tcPr>
            <w:tcW w:w="3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31,915</w:t>
            </w:r>
          </w:p>
        </w:tc>
        <w:tc>
          <w:tcPr>
            <w:tcW w:w="16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67 %  $</w:t>
            </w:r>
          </w:p>
        </w:tc>
        <w:tc>
          <w:tcPr>
            <w:tcW w:w="11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105,543</w:t>
            </w:r>
          </w:p>
        </w:tc>
        <w:tc>
          <w:tcPr>
            <w:tcW w:w="3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62,118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r>
      <w:tr>
        <w:trPr>
          <w:trHeight w:val="208"/>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300" w:type="dxa"/>
            <w:vAlign w:val="bottom"/>
          </w:tcPr>
          <w:p>
            <w:pPr>
              <w:spacing w:after="0"/>
              <w:rPr>
                <w:sz w:val="18"/>
                <w:szCs w:val="18"/>
                <w:color w:val="auto"/>
              </w:rPr>
            </w:pPr>
          </w:p>
        </w:tc>
        <w:tc>
          <w:tcPr>
            <w:tcW w:w="138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27 %</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300" w:type="dxa"/>
            <w:vAlign w:val="bottom"/>
          </w:tcPr>
          <w:p>
            <w:pPr>
              <w:spacing w:after="0"/>
              <w:rPr>
                <w:sz w:val="18"/>
                <w:szCs w:val="18"/>
                <w:color w:val="auto"/>
              </w:rPr>
            </w:pPr>
          </w:p>
        </w:tc>
        <w:tc>
          <w:tcPr>
            <w:tcW w:w="138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27 %</w:t>
            </w:r>
          </w:p>
        </w:tc>
        <w:tc>
          <w:tcPr>
            <w:tcW w:w="1160" w:type="dxa"/>
            <w:vAlign w:val="bottom"/>
          </w:tcPr>
          <w:p>
            <w:pPr>
              <w:spacing w:after="0"/>
              <w:rPr>
                <w:sz w:val="18"/>
                <w:szCs w:val="18"/>
                <w:color w:val="auto"/>
              </w:rPr>
            </w:pPr>
          </w:p>
        </w:tc>
      </w:tr>
      <w:tr>
        <w:trPr>
          <w:trHeight w:val="212"/>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Headcount (at period end)</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724</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327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724</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327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121 %</w:t>
            </w:r>
          </w:p>
        </w:tc>
      </w:tr>
    </w:tbl>
    <w:p>
      <w:pPr>
        <w:spacing w:after="0" w:line="310"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Sales and marketing - business expenses increased by 67% to $53.3 million for the three months ended June 30, 2022 from $31.9 million for the comparable period in 2021. This increase was primarily attributable to an increase in salary and related employee expenses of approximately $17.0 million, an increase in marketing expenses of approximately $2.1 million, and an increase in backup server facilities of approximately $2.4 million.</w:t>
      </w:r>
    </w:p>
    <w:p>
      <w:pPr>
        <w:spacing w:after="0" w:line="207"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Sales and marketing - business expenses increased by 70% to $105.5 million for the six months ended June 30, 2022 from $62.1 million for the comparable period in 2021. This increase was primarily attributable to an increase in salary and related employee expenses of approximately $32.1 million, an increase in marketing expenses of approximately $6.4 million, an increase in backup server facilities of $3.3 million, and an increase in business services and outsourced contracting of $1.7 million.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 Consumer</w:t>
      </w:r>
    </w:p>
    <w:p>
      <w:pPr>
        <w:spacing w:after="0" w:line="241"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Sales and marketing - consumer expenses consist of compensation and related expenses for marketing personnel, as well as online promotion, public relations and allocated occupancy costs and related overhead.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60" w:type="dxa"/>
            <w:vAlign w:val="bottom"/>
            <w:gridSpan w:val="2"/>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2"/>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60" w:type="dxa"/>
            <w:vAlign w:val="bottom"/>
          </w:tcPr>
          <w:p>
            <w:pPr>
              <w:spacing w:after="0"/>
              <w:rPr>
                <w:sz w:val="16"/>
                <w:szCs w:val="16"/>
                <w:color w:val="auto"/>
              </w:rPr>
            </w:pPr>
          </w:p>
        </w:tc>
      </w:tr>
      <w:tr>
        <w:trPr>
          <w:trHeight w:val="197"/>
        </w:trPr>
        <w:tc>
          <w:tcPr>
            <w:tcW w:w="2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right"/>
              <w:ind w:right="64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jc w:val="right"/>
              <w:ind w:right="66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7"/>
                <w:szCs w:val="17"/>
                <w:color w:val="auto"/>
              </w:rPr>
            </w:pPr>
          </w:p>
        </w:tc>
      </w:tr>
      <w:tr>
        <w:trPr>
          <w:trHeight w:val="24"/>
        </w:trPr>
        <w:tc>
          <w:tcPr>
            <w:tcW w:w="2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4"/>
        </w:trPr>
        <w:tc>
          <w:tcPr>
            <w:tcW w:w="256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68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70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0"/>
        </w:trPr>
        <w:tc>
          <w:tcPr>
            <w:tcW w:w="2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740" w:type="dxa"/>
            <w:vAlign w:val="bottom"/>
            <w:gridSpan w:val="4"/>
          </w:tcPr>
          <w:p>
            <w:pPr>
              <w:jc w:val="right"/>
              <w:ind w:right="76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 - consumer</w:t>
            </w:r>
          </w:p>
        </w:tc>
        <w:tc>
          <w:tcPr>
            <w:tcW w:w="84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4"/>
              </w:rPr>
              <w:t>6,723</w:t>
            </w:r>
          </w:p>
        </w:tc>
        <w:tc>
          <w:tcPr>
            <w:tcW w:w="3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6,707</w:t>
            </w:r>
          </w:p>
        </w:tc>
        <w:tc>
          <w:tcPr>
            <w:tcW w:w="160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 %  $</w:t>
            </w:r>
          </w:p>
        </w:tc>
        <w:tc>
          <w:tcPr>
            <w:tcW w:w="11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6"/>
                <w:szCs w:val="16"/>
                <w:color w:val="auto"/>
              </w:rPr>
              <w:t>12,572</w:t>
            </w:r>
          </w:p>
        </w:tc>
        <w:tc>
          <w:tcPr>
            <w:tcW w:w="2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13,457</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8"/>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8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300" w:type="dxa"/>
            <w:vAlign w:val="bottom"/>
          </w:tcPr>
          <w:p>
            <w:pPr>
              <w:spacing w:after="0"/>
              <w:rPr>
                <w:sz w:val="18"/>
                <w:szCs w:val="18"/>
                <w:color w:val="auto"/>
              </w:rPr>
            </w:pPr>
          </w:p>
        </w:tc>
        <w:tc>
          <w:tcPr>
            <w:tcW w:w="136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6 %</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5 %</w:t>
            </w:r>
          </w:p>
        </w:tc>
        <w:tc>
          <w:tcPr>
            <w:tcW w:w="280" w:type="dxa"/>
            <w:vAlign w:val="bottom"/>
          </w:tcPr>
          <w:p>
            <w:pPr>
              <w:spacing w:after="0"/>
              <w:rPr>
                <w:sz w:val="18"/>
                <w:szCs w:val="18"/>
                <w:color w:val="auto"/>
              </w:rPr>
            </w:pPr>
          </w:p>
        </w:tc>
        <w:tc>
          <w:tcPr>
            <w:tcW w:w="140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6 %</w:t>
            </w:r>
          </w:p>
        </w:tc>
        <w:tc>
          <w:tcPr>
            <w:tcW w:w="1160" w:type="dxa"/>
            <w:vAlign w:val="bottom"/>
          </w:tcPr>
          <w:p>
            <w:pPr>
              <w:spacing w:after="0"/>
              <w:rPr>
                <w:sz w:val="18"/>
                <w:szCs w:val="18"/>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Headcount (at period end)</w:t>
            </w: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15</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16</w:t>
            </w:r>
          </w:p>
        </w:tc>
        <w:tc>
          <w:tcPr>
            <w:tcW w:w="11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16</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bl>
    <w:p>
      <w:pPr>
        <w:spacing w:after="0" w:line="297"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Sales and marketing - consumer expenses remained relatively flat at $6.7 million for the three months ended June 30, 2022 and for the comparable period in 2021.</w:t>
      </w:r>
    </w:p>
    <w:p>
      <w:pPr>
        <w:spacing w:after="0" w:line="196"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Sales and marketing - consumer expenses decreased by 7% to $12.6 million for the six months ended June 30, 2022 from $13.5 million for the comparable period in 2021. This decrease is primarily attributable to decreases in marketing expenses of approximately $0.4 million and a decrease in outsourced subcontracting of $0.4 million.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1"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Our general and administrative expenses consist of compensation and related expenses for executive, accounting, legal, human resources and administrative personnel, professional fees and other general corporate expenses.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80" w:type="dxa"/>
            <w:vAlign w:val="bottom"/>
            <w:gridSpan w:val="2"/>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2"/>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60" w:type="dxa"/>
            <w:vAlign w:val="bottom"/>
          </w:tcPr>
          <w:p>
            <w:pPr>
              <w:spacing w:after="0"/>
              <w:rPr>
                <w:sz w:val="16"/>
                <w:szCs w:val="16"/>
                <w:color w:val="auto"/>
              </w:rPr>
            </w:pPr>
          </w:p>
        </w:tc>
      </w:tr>
      <w:tr>
        <w:trPr>
          <w:trHeight w:val="197"/>
        </w:trPr>
        <w:tc>
          <w:tcPr>
            <w:tcW w:w="2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66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66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7"/>
                <w:szCs w:val="17"/>
                <w:color w:val="auto"/>
              </w:rPr>
            </w:pPr>
          </w:p>
        </w:tc>
      </w:tr>
      <w:tr>
        <w:trPr>
          <w:trHeight w:val="24"/>
        </w:trPr>
        <w:tc>
          <w:tcPr>
            <w:tcW w:w="2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4"/>
        </w:trPr>
        <w:tc>
          <w:tcPr>
            <w:tcW w:w="256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68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70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0"/>
        </w:trPr>
        <w:tc>
          <w:tcPr>
            <w:tcW w:w="2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720" w:type="dxa"/>
            <w:vAlign w:val="bottom"/>
            <w:gridSpan w:val="4"/>
          </w:tcPr>
          <w:p>
            <w:pPr>
              <w:jc w:val="right"/>
              <w:ind w:right="76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30,246</w:t>
            </w:r>
          </w:p>
        </w:tc>
        <w:tc>
          <w:tcPr>
            <w:tcW w:w="3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16,105</w:t>
            </w:r>
          </w:p>
        </w:tc>
        <w:tc>
          <w:tcPr>
            <w:tcW w:w="15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88 %  $</w:t>
            </w:r>
          </w:p>
        </w:tc>
        <w:tc>
          <w:tcPr>
            <w:tcW w:w="11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59,981</w:t>
            </w:r>
          </w:p>
        </w:tc>
        <w:tc>
          <w:tcPr>
            <w:tcW w:w="3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30,591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96 %</w:t>
            </w:r>
          </w:p>
        </w:tc>
      </w:tr>
      <w:tr>
        <w:trPr>
          <w:trHeight w:val="208"/>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300" w:type="dxa"/>
            <w:vAlign w:val="bottom"/>
          </w:tcPr>
          <w:p>
            <w:pPr>
              <w:spacing w:after="0"/>
              <w:rPr>
                <w:sz w:val="18"/>
                <w:szCs w:val="18"/>
                <w:color w:val="auto"/>
              </w:rPr>
            </w:pPr>
          </w:p>
        </w:tc>
        <w:tc>
          <w:tcPr>
            <w:tcW w:w="138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13 %</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300" w:type="dxa"/>
            <w:vAlign w:val="bottom"/>
          </w:tcPr>
          <w:p>
            <w:pPr>
              <w:spacing w:after="0"/>
              <w:rPr>
                <w:sz w:val="18"/>
                <w:szCs w:val="18"/>
                <w:color w:val="auto"/>
              </w:rPr>
            </w:pPr>
          </w:p>
        </w:tc>
        <w:tc>
          <w:tcPr>
            <w:tcW w:w="138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13 %</w:t>
            </w:r>
          </w:p>
        </w:tc>
        <w:tc>
          <w:tcPr>
            <w:tcW w:w="1160" w:type="dxa"/>
            <w:vAlign w:val="bottom"/>
          </w:tcPr>
          <w:p>
            <w:pPr>
              <w:spacing w:after="0"/>
              <w:rPr>
                <w:sz w:val="18"/>
                <w:szCs w:val="18"/>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Headcount (at period end)</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162</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112</w:t>
            </w:r>
          </w:p>
        </w:tc>
        <w:tc>
          <w:tcPr>
            <w:tcW w:w="11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162</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112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r>
    </w:tbl>
    <w:p>
      <w:pPr>
        <w:spacing w:after="0" w:line="310"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General and administrative expenses increased by 88% to $30.2 million for the three months ended June 30, 2022 from $16.1 million for the comparable period in 2021. This increase is primarily attributable to an increase in salary and related employee expenses of approximately $2.8 million, an increase in contingent compensation of $9.2 million in conjunction with acquisitions, an increase in facilities expense of $1.2 million, and an increase in business services of approximately $0.8 million.</w:t>
      </w:r>
    </w:p>
    <w:p>
      <w:pPr>
        <w:spacing w:after="0" w:line="211"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General and administrative expenses increased by 96% to $60.0 million for the six month ended June 30, 2022 from $30.6 million for the comparable period in 2021. This increase is primarily attributable to an increase in salary and related employee expenses of approximately $8.4 million, an increase in contingent compensation of $14.7 million in conjunction with acquisitions, an increase in business services expenses of $3.8 million and an increase in facilities expense of $2.4 million.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w:t>
      </w:r>
    </w:p>
    <w:p>
      <w:pPr>
        <w:spacing w:after="0" w:line="241"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2"/>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2"/>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60" w:type="dxa"/>
            <w:vAlign w:val="bottom"/>
          </w:tcPr>
          <w:p>
            <w:pPr>
              <w:spacing w:after="0"/>
              <w:rPr>
                <w:sz w:val="16"/>
                <w:szCs w:val="16"/>
                <w:color w:val="auto"/>
              </w:rPr>
            </w:pPr>
          </w:p>
        </w:tc>
      </w:tr>
      <w:tr>
        <w:trPr>
          <w:trHeight w:val="197"/>
        </w:trPr>
        <w:tc>
          <w:tcPr>
            <w:tcW w:w="2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right"/>
              <w:ind w:right="64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66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7"/>
                <w:szCs w:val="17"/>
                <w:color w:val="auto"/>
              </w:rPr>
            </w:pPr>
          </w:p>
        </w:tc>
      </w:tr>
      <w:tr>
        <w:trPr>
          <w:trHeight w:val="24"/>
        </w:trPr>
        <w:tc>
          <w:tcPr>
            <w:tcW w:w="2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4"/>
        </w:trPr>
        <w:tc>
          <w:tcPr>
            <w:tcW w:w="256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68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70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tcBorders>
              <w:top w:val="single" w:sz="8" w:color="auto"/>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0"/>
        </w:trPr>
        <w:tc>
          <w:tcPr>
            <w:tcW w:w="2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740" w:type="dxa"/>
            <w:vAlign w:val="bottom"/>
            <w:gridSpan w:val="4"/>
          </w:tcPr>
          <w:p>
            <w:pPr>
              <w:jc w:val="right"/>
              <w:ind w:right="76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development</w:t>
            </w: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55,752</w:t>
            </w:r>
          </w:p>
        </w:tc>
        <w:tc>
          <w:tcPr>
            <w:tcW w:w="3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37,526</w:t>
            </w:r>
          </w:p>
        </w:tc>
        <w:tc>
          <w:tcPr>
            <w:tcW w:w="160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49 %  $</w:t>
            </w:r>
          </w:p>
        </w:tc>
        <w:tc>
          <w:tcPr>
            <w:tcW w:w="11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111,824</w:t>
            </w:r>
          </w:p>
        </w:tc>
        <w:tc>
          <w:tcPr>
            <w:tcW w:w="3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70,981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r>
      <w:tr>
        <w:trPr>
          <w:trHeight w:val="208"/>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300" w:type="dxa"/>
            <w:vAlign w:val="bottom"/>
          </w:tcPr>
          <w:p>
            <w:pPr>
              <w:spacing w:after="0"/>
              <w:rPr>
                <w:sz w:val="18"/>
                <w:szCs w:val="18"/>
                <w:color w:val="auto"/>
              </w:rPr>
            </w:pPr>
          </w:p>
        </w:tc>
        <w:tc>
          <w:tcPr>
            <w:tcW w:w="136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31 %</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300" w:type="dxa"/>
            <w:vAlign w:val="bottom"/>
          </w:tcPr>
          <w:p>
            <w:pPr>
              <w:spacing w:after="0"/>
              <w:rPr>
                <w:sz w:val="18"/>
                <w:szCs w:val="18"/>
                <w:color w:val="auto"/>
              </w:rPr>
            </w:pPr>
          </w:p>
        </w:tc>
        <w:tc>
          <w:tcPr>
            <w:tcW w:w="138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31 %</w:t>
            </w:r>
          </w:p>
        </w:tc>
        <w:tc>
          <w:tcPr>
            <w:tcW w:w="1160" w:type="dxa"/>
            <w:vAlign w:val="bottom"/>
          </w:tcPr>
          <w:p>
            <w:pPr>
              <w:spacing w:after="0"/>
              <w:rPr>
                <w:sz w:val="18"/>
                <w:szCs w:val="18"/>
                <w:color w:val="auto"/>
              </w:rPr>
            </w:pPr>
          </w:p>
        </w:tc>
      </w:tr>
      <w:tr>
        <w:trPr>
          <w:trHeight w:val="212"/>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Headcount (at period end)</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604</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524</w:t>
            </w:r>
          </w:p>
        </w:tc>
        <w:tc>
          <w:tcPr>
            <w:tcW w:w="11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604</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5"/>
              <w:spacing w:after="0"/>
              <w:rPr>
                <w:sz w:val="20"/>
                <w:szCs w:val="20"/>
                <w:color w:val="auto"/>
              </w:rPr>
            </w:pPr>
            <w:r>
              <w:rPr>
                <w:rFonts w:ascii="Times New Roman" w:cs="Times New Roman" w:eastAsia="Times New Roman" w:hAnsi="Times New Roman"/>
                <w:sz w:val="16"/>
                <w:szCs w:val="16"/>
                <w:color w:val="auto"/>
              </w:rPr>
              <w:t>524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r>
    </w:tbl>
    <w:p>
      <w:pPr>
        <w:spacing w:after="0" w:line="297" w:lineRule="exact"/>
        <w:rPr>
          <w:sz w:val="20"/>
          <w:szCs w:val="20"/>
          <w:color w:val="auto"/>
        </w:rPr>
      </w:pPr>
    </w:p>
    <w:p>
      <w:pPr>
        <w:jc w:val="both"/>
        <w:ind w:firstLine="420"/>
        <w:spacing w:after="0" w:line="248" w:lineRule="auto"/>
        <w:rPr>
          <w:sz w:val="20"/>
          <w:szCs w:val="20"/>
          <w:color w:val="auto"/>
        </w:rPr>
      </w:pPr>
      <w:r>
        <w:rPr>
          <w:rFonts w:ascii="Times New Roman" w:cs="Times New Roman" w:eastAsia="Times New Roman" w:hAnsi="Times New Roman"/>
          <w:sz w:val="18"/>
          <w:szCs w:val="18"/>
          <w:color w:val="auto"/>
        </w:rPr>
        <w:t>Product development costs increased by 49% to $55.8 million for the three months ended June 30, 2022 from $37.5 million for the comparable period in 2021. This increase is primarily related to increases in salary and employee related expenses of approximately $8.3 million, an increase in contingent compensation of $3.9 million in conjunction with acquisitions, an increase in business services and outsourcing subcontracted labor of approximately $3.4 million, an increase in software expenses of approximately $2.4 million, and an increase in depreciation expenses of approximately $0.3 million. We also made investments in public cloud migration, and in enhancing and expanding new features of the Conversational Cloud. Further, we invested in hiring more data scientists and machine learning engineers to focus on Conversational AI.</w:t>
      </w:r>
    </w:p>
    <w:p>
      <w:pPr>
        <w:spacing w:after="0" w:line="213"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Product development costs increased by 58% to $111.8 million for the six months ended June 30, 2022 from $71.0 million for the comparable period in 2021. This increase is primarily related to an increase in salary and employee related expenses of approximately $23.3 million, an increase in contingent compensation of $5.0 million in conjunction with acquisitions, an increase in business services and outsourcing subcontracted labor of approximately $8.0 million, an increase in software expenses of approximately $3.7 million, and an increase in depreciation expenses of approximately $0.9 million.</w:t>
      </w:r>
    </w:p>
    <w:p>
      <w:pPr>
        <w:spacing w:after="0" w:line="211"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We continue to invest in new product development efforts to expand the capability of the Conversational Cloud. Upon completion, the project costs will be depreciated over five years. For the three and six months ended June 30, 2022, $9.3 million and $19.1 million was capitalized, respectively, compared to $9.2 million and $17.4 million, respectively, for the comparable periods in 2021.</w:t>
      </w:r>
    </w:p>
    <w:p>
      <w:pPr>
        <w:spacing w:after="0" w:line="200" w:lineRule="exact"/>
        <w:rPr>
          <w:sz w:val="20"/>
          <w:szCs w:val="20"/>
          <w:color w:val="auto"/>
        </w:rPr>
      </w:pPr>
    </w:p>
    <w:p>
      <w:pPr>
        <w:spacing w:after="0" w:line="34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Restructuring costs consist of re-prioritizing and reallocating resources to focus on areas believed to show high growth potential.</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2"/>
          </w:tcPr>
          <w:p>
            <w:pPr>
              <w:jc w:val="center"/>
              <w:ind w:right="246"/>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2"/>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60" w:type="dxa"/>
            <w:vAlign w:val="bottom"/>
          </w:tcPr>
          <w:p>
            <w:pPr>
              <w:spacing w:after="0"/>
              <w:rPr>
                <w:sz w:val="16"/>
                <w:szCs w:val="16"/>
                <w:color w:val="auto"/>
              </w:rPr>
            </w:pPr>
          </w:p>
        </w:tc>
      </w:tr>
      <w:tr>
        <w:trPr>
          <w:trHeight w:val="197"/>
        </w:trPr>
        <w:tc>
          <w:tcPr>
            <w:tcW w:w="2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center"/>
              <w:ind w:right="54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66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7"/>
                <w:szCs w:val="17"/>
                <w:color w:val="auto"/>
              </w:rPr>
            </w:pPr>
          </w:p>
        </w:tc>
      </w:tr>
      <w:tr>
        <w:trPr>
          <w:trHeight w:val="24"/>
        </w:trPr>
        <w:tc>
          <w:tcPr>
            <w:tcW w:w="2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4"/>
        </w:trPr>
        <w:tc>
          <w:tcPr>
            <w:tcW w:w="256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68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70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tcBorders>
              <w:top w:val="single" w:sz="8" w:color="auto"/>
              <w:bottom w:val="single" w:sz="8" w:color="auto"/>
            </w:tcBorders>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0"/>
        </w:trPr>
        <w:tc>
          <w:tcPr>
            <w:tcW w:w="2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720" w:type="dxa"/>
            <w:vAlign w:val="bottom"/>
            <w:gridSpan w:val="4"/>
          </w:tcPr>
          <w:p>
            <w:pPr>
              <w:jc w:val="right"/>
              <w:ind w:right="76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costs</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10,861</w:t>
            </w:r>
          </w:p>
        </w:tc>
        <w:tc>
          <w:tcPr>
            <w:tcW w:w="3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6"/>
                <w:szCs w:val="16"/>
                <w:color w:val="auto"/>
              </w:rPr>
              <w:t>493</w:t>
            </w:r>
          </w:p>
        </w:tc>
        <w:tc>
          <w:tcPr>
            <w:tcW w:w="1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2,103 %  $</w:t>
            </w:r>
          </w:p>
        </w:tc>
        <w:tc>
          <w:tcPr>
            <w:tcW w:w="11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10,838</w:t>
            </w:r>
          </w:p>
        </w:tc>
        <w:tc>
          <w:tcPr>
            <w:tcW w:w="3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6"/>
                <w:szCs w:val="16"/>
                <w:color w:val="auto"/>
              </w:rPr>
              <w:t>3,225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236 %</w:t>
            </w:r>
          </w:p>
        </w:tc>
      </w:tr>
      <w:tr>
        <w:trPr>
          <w:trHeight w:val="206"/>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total revenue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300" w:type="dxa"/>
            <w:vAlign w:val="bottom"/>
          </w:tcPr>
          <w:p>
            <w:pPr>
              <w:spacing w:after="0"/>
              <w:rPr>
                <w:sz w:val="17"/>
                <w:szCs w:val="17"/>
                <w:color w:val="auto"/>
              </w:rPr>
            </w:pPr>
          </w:p>
        </w:tc>
        <w:tc>
          <w:tcPr>
            <w:tcW w:w="1360" w:type="dxa"/>
            <w:vAlign w:val="bottom"/>
          </w:tcPr>
          <w:p>
            <w:pPr>
              <w:jc w:val="right"/>
              <w:ind w:right="146"/>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300" w:type="dxa"/>
            <w:vAlign w:val="bottom"/>
          </w:tcPr>
          <w:p>
            <w:pPr>
              <w:spacing w:after="0"/>
              <w:rPr>
                <w:sz w:val="17"/>
                <w:szCs w:val="17"/>
                <w:color w:val="auto"/>
              </w:rPr>
            </w:pPr>
          </w:p>
        </w:tc>
        <w:tc>
          <w:tcPr>
            <w:tcW w:w="1380" w:type="dxa"/>
            <w:vAlign w:val="bottom"/>
          </w:tcPr>
          <w:p>
            <w:pPr>
              <w:jc w:val="right"/>
              <w:ind w:right="146"/>
              <w:spacing w:after="0"/>
              <w:rPr>
                <w:sz w:val="20"/>
                <w:szCs w:val="20"/>
                <w:color w:val="auto"/>
              </w:rPr>
            </w:pPr>
            <w:r>
              <w:rPr>
                <w:rFonts w:ascii="Times New Roman" w:cs="Times New Roman" w:eastAsia="Times New Roman" w:hAnsi="Times New Roman"/>
                <w:sz w:val="16"/>
                <w:szCs w:val="16"/>
                <w:color w:val="auto"/>
              </w:rPr>
              <w:t>1 %</w:t>
            </w:r>
          </w:p>
        </w:tc>
        <w:tc>
          <w:tcPr>
            <w:tcW w:w="1160" w:type="dxa"/>
            <w:vAlign w:val="bottom"/>
          </w:tcPr>
          <w:p>
            <w:pPr>
              <w:spacing w:after="0"/>
              <w:rPr>
                <w:sz w:val="17"/>
                <w:szCs w:val="17"/>
                <w:color w:val="auto"/>
              </w:rPr>
            </w:pPr>
          </w:p>
        </w:tc>
      </w:tr>
    </w:tbl>
    <w:p>
      <w:pPr>
        <w:spacing w:after="0" w:line="314" w:lineRule="exact"/>
        <w:rPr>
          <w:sz w:val="20"/>
          <w:szCs w:val="20"/>
          <w:color w:val="auto"/>
        </w:rPr>
      </w:pPr>
    </w:p>
    <w:p>
      <w:pPr>
        <w:jc w:val="both"/>
        <w:ind w:firstLine="420"/>
        <w:spacing w:after="0" w:line="248" w:lineRule="auto"/>
        <w:rPr>
          <w:sz w:val="20"/>
          <w:szCs w:val="20"/>
          <w:color w:val="auto"/>
        </w:rPr>
      </w:pPr>
      <w:r>
        <w:rPr>
          <w:rFonts w:ascii="Times New Roman" w:cs="Times New Roman" w:eastAsia="Times New Roman" w:hAnsi="Times New Roman"/>
          <w:sz w:val="18"/>
          <w:szCs w:val="18"/>
          <w:color w:val="auto"/>
        </w:rPr>
        <w:t>Restructuring costs increased to $10.9 million during the three months ended June 30, 2022 from $0.5 million for the comparable period in 2021. The restructuring cost for the three months ended June 30, 2022 is driven by a restructuring initiative commenced during the second quarter of 2022. The purpose of this restructuring plan was to realign our cost structure to better reflect significant product and business model innovation and changes over the past year due to acquisitions and factors outside of our control. As part of the restructuring initiative, we reoriented our global product and engineering organization for greater efficiency and focus, and reallocated some spending to increase our investment in customer success and go-to-market initiatives. We believe these initiatives will better align resources to provide further operating flexibility and position the business for long-term success.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Purchased Intangibles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60" w:type="dxa"/>
            <w:vAlign w:val="bottom"/>
            <w:gridSpan w:val="2"/>
          </w:tcPr>
          <w:p>
            <w:pPr>
              <w:jc w:val="center"/>
              <w:ind w:right="22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60" w:type="dxa"/>
            <w:vAlign w:val="bottom"/>
            <w:gridSpan w:val="2"/>
          </w:tcPr>
          <w:p>
            <w:pPr>
              <w:jc w:val="center"/>
              <w:ind w:right="206"/>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1180" w:type="dxa"/>
            <w:vAlign w:val="bottom"/>
          </w:tcPr>
          <w:p>
            <w:pPr>
              <w:spacing w:after="0"/>
              <w:rPr>
                <w:sz w:val="16"/>
                <w:szCs w:val="16"/>
                <w:color w:val="auto"/>
              </w:rPr>
            </w:pPr>
          </w:p>
        </w:tc>
      </w:tr>
      <w:tr>
        <w:trPr>
          <w:trHeight w:val="197"/>
        </w:trPr>
        <w:tc>
          <w:tcPr>
            <w:tcW w:w="2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center"/>
              <w:ind w:right="50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jc w:val="center"/>
              <w:ind w:right="50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80" w:type="dxa"/>
            <w:vAlign w:val="bottom"/>
          </w:tcPr>
          <w:p>
            <w:pPr>
              <w:spacing w:after="0"/>
              <w:rPr>
                <w:sz w:val="17"/>
                <w:szCs w:val="17"/>
                <w:color w:val="auto"/>
              </w:rPr>
            </w:pPr>
          </w:p>
        </w:tc>
      </w:tr>
      <w:tr>
        <w:trPr>
          <w:trHeight w:val="24"/>
        </w:trPr>
        <w:tc>
          <w:tcPr>
            <w:tcW w:w="34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4"/>
        </w:trPr>
        <w:tc>
          <w:tcPr>
            <w:tcW w:w="258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68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68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80" w:type="dxa"/>
            <w:vAlign w:val="bottom"/>
            <w:tcBorders>
              <w:top w:val="single" w:sz="8" w:color="auto"/>
              <w:bottom w:val="single" w:sz="8" w:color="auto"/>
            </w:tcBorders>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0"/>
        </w:trPr>
        <w:tc>
          <w:tcPr>
            <w:tcW w:w="2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720" w:type="dxa"/>
            <w:vAlign w:val="bottom"/>
            <w:gridSpan w:val="4"/>
          </w:tcPr>
          <w:p>
            <w:pPr>
              <w:jc w:val="right"/>
              <w:ind w:right="74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purchased intangibles  $</w:t>
            </w:r>
          </w:p>
        </w:tc>
        <w:tc>
          <w:tcPr>
            <w:tcW w:w="5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923</w:t>
            </w:r>
          </w:p>
        </w:tc>
        <w:tc>
          <w:tcPr>
            <w:tcW w:w="3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6"/>
                <w:szCs w:val="16"/>
                <w:color w:val="auto"/>
              </w:rPr>
              <w:t>374</w:t>
            </w:r>
          </w:p>
        </w:tc>
        <w:tc>
          <w:tcPr>
            <w:tcW w:w="15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147 %  $</w:t>
            </w:r>
          </w:p>
        </w:tc>
        <w:tc>
          <w:tcPr>
            <w:tcW w:w="11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1,822</w:t>
            </w:r>
          </w:p>
        </w:tc>
        <w:tc>
          <w:tcPr>
            <w:tcW w:w="3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6"/>
                <w:szCs w:val="16"/>
                <w:color w:val="auto"/>
              </w:rPr>
              <w:t>749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r>
      <w:tr>
        <w:trPr>
          <w:trHeight w:val="206"/>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Percentage of total revenues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300" w:type="dxa"/>
            <w:vAlign w:val="bottom"/>
          </w:tcPr>
          <w:p>
            <w:pPr>
              <w:spacing w:after="0"/>
              <w:rPr>
                <w:sz w:val="17"/>
                <w:szCs w:val="17"/>
                <w:color w:val="auto"/>
              </w:rPr>
            </w:pPr>
          </w:p>
        </w:tc>
        <w:tc>
          <w:tcPr>
            <w:tcW w:w="1360" w:type="dxa"/>
            <w:vAlign w:val="bottom"/>
          </w:tcPr>
          <w:p>
            <w:pPr>
              <w:jc w:val="right"/>
              <w:ind w:right="146"/>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300" w:type="dxa"/>
            <w:vAlign w:val="bottom"/>
          </w:tcPr>
          <w:p>
            <w:pPr>
              <w:spacing w:after="0"/>
              <w:rPr>
                <w:sz w:val="17"/>
                <w:szCs w:val="17"/>
                <w:color w:val="auto"/>
              </w:rPr>
            </w:pPr>
          </w:p>
        </w:tc>
        <w:tc>
          <w:tcPr>
            <w:tcW w:w="1360" w:type="dxa"/>
            <w:vAlign w:val="bottom"/>
          </w:tcPr>
          <w:p>
            <w:pPr>
              <w:jc w:val="right"/>
              <w:ind w:right="146"/>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tcPr>
          <w:p>
            <w:pPr>
              <w:spacing w:after="0"/>
              <w:rPr>
                <w:sz w:val="17"/>
                <w:szCs w:val="17"/>
                <w:color w:val="auto"/>
              </w:rPr>
            </w:pPr>
          </w:p>
        </w:tc>
      </w:tr>
    </w:tbl>
    <w:p>
      <w:pPr>
        <w:spacing w:after="0" w:line="300"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Amortization expenses for purchased intangibles increased by 147% to $0.9 million and by 143% to $1.8 million for the three and six months ended June 30, 2022, respectively, from $0.4 million and $0.7 million for the comparable periods in 2021, respectively, primarily driven by additional amortization of intangibles obtained during acquisitions of e-bot7 in July 2021, Tenfold and VoiceBase in October 2021 and WildHealth in February 2022.</w:t>
      </w:r>
    </w:p>
    <w:p>
      <w:pPr>
        <w:spacing w:after="0" w:line="207"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Additional amortization expenses in the amount of $4.6 million and $9.0 million for the three and six months ended June 30, 2022, respectively, and $1.2 million and $2.4 million for the three and six months ended June 30, 2021, respectively, is included in cost of revenue.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41"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Other expense, net consists of interest income on cash and cash equivalents, investment income and financial (expense) income which is a result of currency rate fluctuations associated with exchange rate movement of the U.S. dollar against the New Israeli Shekel (“NIS”), British Pound, Euro, Australian Dollar, and Japanese Yen.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1420" w:type="dxa"/>
            <w:vAlign w:val="bottom"/>
          </w:tcPr>
          <w:p>
            <w:pPr>
              <w:spacing w:after="0"/>
              <w:rPr>
                <w:sz w:val="16"/>
                <w:szCs w:val="16"/>
                <w:color w:val="auto"/>
              </w:rPr>
            </w:pPr>
          </w:p>
        </w:tc>
      </w:tr>
      <w:tr>
        <w:trPr>
          <w:trHeight w:val="197"/>
        </w:trPr>
        <w:tc>
          <w:tcPr>
            <w:tcW w:w="2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20" w:type="dxa"/>
            <w:vAlign w:val="bottom"/>
          </w:tcPr>
          <w:p>
            <w:pPr>
              <w:spacing w:after="0"/>
              <w:rPr>
                <w:sz w:val="17"/>
                <w:szCs w:val="17"/>
                <w:color w:val="auto"/>
              </w:rPr>
            </w:pPr>
          </w:p>
        </w:tc>
      </w:tr>
      <w:tr>
        <w:trPr>
          <w:trHeight w:val="24"/>
        </w:trPr>
        <w:tc>
          <w:tcPr>
            <w:tcW w:w="27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27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0"/>
        </w:trPr>
        <w:tc>
          <w:tcPr>
            <w:tcW w:w="2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6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8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center"/>
              <w:ind w:left="525"/>
              <w:spacing w:after="0"/>
              <w:rPr>
                <w:sz w:val="20"/>
                <w:szCs w:val="20"/>
                <w:color w:val="auto"/>
              </w:rPr>
            </w:pPr>
            <w:r>
              <w:rPr>
                <w:rFonts w:ascii="Times New Roman" w:cs="Times New Roman" w:eastAsia="Times New Roman" w:hAnsi="Times New Roman"/>
                <w:sz w:val="16"/>
                <w:szCs w:val="16"/>
                <w:color w:val="auto"/>
                <w:w w:val="98"/>
              </w:rPr>
              <w:t>(9,281)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r>
      <w:tr>
        <w:trPr>
          <w:trHeight w:val="208"/>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(3,266)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left="545"/>
              <w:spacing w:after="0"/>
              <w:rPr>
                <w:sz w:val="20"/>
                <w:szCs w:val="20"/>
                <w:color w:val="auto"/>
              </w:rPr>
            </w:pPr>
            <w:r>
              <w:rPr>
                <w:rFonts w:ascii="Times New Roman" w:cs="Times New Roman" w:eastAsia="Times New Roman" w:hAnsi="Times New Roman"/>
                <w:sz w:val="16"/>
                <w:szCs w:val="16"/>
                <w:color w:val="auto"/>
                <w:w w:val="99"/>
              </w:rPr>
              <w:t>2,338</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05"/>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8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(3,948)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center"/>
              <w:ind w:left="525"/>
              <w:spacing w:after="0"/>
              <w:rPr>
                <w:sz w:val="20"/>
                <w:szCs w:val="20"/>
                <w:color w:val="auto"/>
              </w:rPr>
            </w:pPr>
            <w:r>
              <w:rPr>
                <w:rFonts w:ascii="Times New Roman" w:cs="Times New Roman" w:eastAsia="Times New Roman" w:hAnsi="Times New Roman"/>
                <w:sz w:val="16"/>
                <w:szCs w:val="16"/>
                <w:color w:val="auto"/>
                <w:w w:val="98"/>
              </w:rPr>
              <w:t>(6,943)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(15,360)</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bookmarkStart w:id="54" w:name="page55"/>
    <w:bookmarkEnd w:id="54"/>
    <w:p>
      <w:pPr>
        <w:jc w:val="both"/>
        <w:ind w:right="140"/>
        <w:spacing w:after="0"/>
        <w:rPr>
          <w:sz w:val="20"/>
          <w:szCs w:val="20"/>
          <w:color w:val="auto"/>
        </w:rPr>
      </w:pPr>
      <w:r>
        <w:rPr>
          <w:rFonts w:ascii="Times New Roman" w:cs="Times New Roman" w:eastAsia="Times New Roman" w:hAnsi="Times New Roman"/>
          <w:sz w:val="18"/>
          <w:szCs w:val="18"/>
          <w:color w:val="auto"/>
        </w:rPr>
        <w:t>Other expense, net decreased by 43% to $3.9 million for the three months ended June 30, 2022 from $6.9 million for the comparable period in 2021 primarily due to the adoption of ASU 2020-06 and the elimination of the debt discount that was previously being amortized to interest expense over the contractual term of the Notes, offset by other expense associated with the Company’s equity method investment.</w:t>
      </w:r>
    </w:p>
    <w:p>
      <w:pPr>
        <w:spacing w:after="0" w:line="114"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Other expense, net decreased by 65% to $5.3 million for the six months ended June 30, 2022 from $15.4 million for the comparable period in 2021 primarily due to the adoption of ASU 2020-06 and the elimination of the debt discount that was previously being amortized to interest expense over the contractual term of the Notes, offset by other expense associated with the Company’s equity method investment.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(Benefit from) Income Taxes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gridSpan w:val="2"/>
          </w:tcPr>
          <w:p>
            <w:pPr>
              <w:jc w:val="right"/>
              <w:ind w:right="18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w w:val="99"/>
              </w:rPr>
              <w:t>Six Months Ended</w:t>
            </w:r>
          </w:p>
        </w:tc>
        <w:tc>
          <w:tcPr>
            <w:tcW w:w="1200" w:type="dxa"/>
            <w:vAlign w:val="bottom"/>
          </w:tcPr>
          <w:p>
            <w:pPr>
              <w:spacing w:after="0"/>
              <w:rPr>
                <w:sz w:val="16"/>
                <w:szCs w:val="16"/>
                <w:color w:val="auto"/>
              </w:rPr>
            </w:pPr>
          </w:p>
        </w:tc>
      </w:tr>
      <w:tr>
        <w:trPr>
          <w:trHeight w:val="197"/>
        </w:trPr>
        <w:tc>
          <w:tcPr>
            <w:tcW w:w="2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jc w:val="right"/>
              <w:ind w:right="56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0" w:type="dxa"/>
            <w:vAlign w:val="bottom"/>
          </w:tcPr>
          <w:p>
            <w:pPr>
              <w:spacing w:after="0"/>
              <w:rPr>
                <w:sz w:val="17"/>
                <w:szCs w:val="17"/>
                <w:color w:val="auto"/>
              </w:rPr>
            </w:pPr>
          </w:p>
        </w:tc>
      </w:tr>
      <w:tr>
        <w:trPr>
          <w:trHeight w:val="24"/>
        </w:trPr>
        <w:tc>
          <w:tcPr>
            <w:tcW w:w="35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84"/>
        </w:trPr>
        <w:tc>
          <w:tcPr>
            <w:tcW w:w="270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64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8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0"/>
        </w:trPr>
        <w:tc>
          <w:tcPr>
            <w:tcW w:w="2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700" w:type="dxa"/>
            <w:vAlign w:val="bottom"/>
            <w:gridSpan w:val="4"/>
          </w:tcPr>
          <w:p>
            <w:pPr>
              <w:jc w:val="right"/>
              <w:ind w:right="68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6"/>
        </w:trPr>
        <w:tc>
          <w:tcPr>
            <w:tcW w:w="358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6"/>
                <w:szCs w:val="16"/>
                <w:color w:val="auto"/>
                <w:w w:val="99"/>
              </w:rPr>
              <w:t>Provision for (benefit from) income taxes $</w:t>
            </w: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1,214</w:t>
            </w:r>
          </w:p>
        </w:tc>
        <w:tc>
          <w:tcPr>
            <w:tcW w:w="3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87"/>
              <w:spacing w:after="0"/>
              <w:rPr>
                <w:sz w:val="20"/>
                <w:szCs w:val="20"/>
                <w:color w:val="auto"/>
              </w:rPr>
            </w:pPr>
            <w:r>
              <w:rPr>
                <w:rFonts w:ascii="Times New Roman" w:cs="Times New Roman" w:eastAsia="Times New Roman" w:hAnsi="Times New Roman"/>
                <w:sz w:val="16"/>
                <w:szCs w:val="16"/>
                <w:color w:val="auto"/>
              </w:rPr>
              <w:t>598</w:t>
            </w:r>
          </w:p>
        </w:tc>
        <w:tc>
          <w:tcPr>
            <w:tcW w:w="1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103 %  $</w:t>
            </w:r>
          </w:p>
        </w:tc>
        <w:tc>
          <w:tcPr>
            <w:tcW w:w="10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1,021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6"/>
                <w:szCs w:val="16"/>
                <w:color w:val="auto"/>
              </w:rPr>
              <w:t>(253)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r>
    </w:tbl>
    <w:p>
      <w:pPr>
        <w:spacing w:after="0" w:line="310"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We had a tax provision of $1.2 million and $1.0 million for the three and six months ended June 30, 2022, respectively. Provision for income taxes was $0.6 million for the three months ended June 30, 2021 and benefit from income taxes was $0.3 million for the six months ended June 30, 2021. Our consolidated effective tax rate was impacted by the statutory income tax rates applicable to each of the jurisdictions in which we operate.</w:t>
      </w:r>
    </w:p>
    <w:p>
      <w:pPr>
        <w:spacing w:after="0" w:line="207"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For the three months ended June 30, 2022, the Company recorded a tax provision of $1.2 million. This amount consists mainly of a tax provision of $2.5 million on operating earnings for the period coupled with a stock compensation tax deficiency of $0.3 million related to stock compensation arrangements for LivePerson, LivePerson (UK) Limited and LivePerson Limited (Israel), offset by a tax benefit of $1.6 million related to the release of a valuation allowance in conjunction with the WildHealth transaction.</w:t>
      </w:r>
    </w:p>
    <w:p>
      <w:pPr>
        <w:spacing w:after="0" w:line="211"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For the six months ended June 30, 2022, the Company recorded a tax provision of $1.0 million. This amount consists of a tax provision of $2.5 million on operating earnings for the period coupled with a stock compensation tax deficiency of $0.1 million related to stock compensation arrangements for LivePerson, LivePerson (UK) Limited and LivePerson Limited (Israel), offset by a tax benefit of $1.6 million related to the release of a valuation allowance in conjunction with the WildHealth transaction.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41"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We had a net loss of $75.4 million and $140.8 million for the three and six months ended June 30, 2022, respectively, compared to a net loss of $21.1 million and $42.3 million for the three and six months ended June 30, 2021, respectively.</w:t>
      </w:r>
    </w:p>
    <w:p>
      <w:pPr>
        <w:spacing w:after="0" w:line="19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2"/>
          </w:tcPr>
          <w:p>
            <w:pPr>
              <w:jc w:val="center"/>
              <w:ind w:left="46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gridSpan w:val="2"/>
          </w:tcPr>
          <w:p>
            <w:pPr>
              <w:jc w:val="center"/>
              <w:ind w:left="466"/>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860" w:type="dxa"/>
            <w:vAlign w:val="bottom"/>
          </w:tcPr>
          <w:p>
            <w:pPr>
              <w:spacing w:after="0"/>
              <w:rPr>
                <w:sz w:val="17"/>
                <w:szCs w:val="17"/>
                <w:color w:val="auto"/>
              </w:rPr>
            </w:pPr>
          </w:p>
        </w:tc>
      </w:tr>
      <w:tr>
        <w:trPr>
          <w:trHeight w:val="24"/>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90"/>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2"/>
          </w:tcPr>
          <w:p>
            <w:pPr>
              <w:jc w:val="center"/>
              <w:ind w:left="46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080" w:type="dxa"/>
            <w:vAlign w:val="bottom"/>
            <w:tcBorders>
              <w:bottom w:val="single" w:sz="8" w:color="auto"/>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w w:val="98"/>
              </w:rPr>
              <w:t>Consolidated Statements of Cash Flows Data:</w:t>
            </w:r>
          </w:p>
        </w:tc>
        <w:tc>
          <w:tcPr>
            <w:tcW w:w="52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r>
      <w:tr>
        <w:trPr>
          <w:trHeight w:val="208"/>
        </w:trPr>
        <w:tc>
          <w:tcPr>
            <w:tcW w:w="8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(64,367)</w:t>
            </w:r>
          </w:p>
        </w:tc>
        <w:tc>
          <w:tcPr>
            <w:tcW w:w="58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30,614</w:t>
            </w:r>
          </w:p>
        </w:tc>
      </w:tr>
      <w:tr>
        <w:trPr>
          <w:trHeight w:val="212"/>
        </w:trPr>
        <w:tc>
          <w:tcPr>
            <w:tcW w:w="8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(33,435)</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(24,547)</w:t>
            </w:r>
          </w:p>
        </w:tc>
      </w:tr>
      <w:tr>
        <w:trPr>
          <w:trHeight w:val="206"/>
        </w:trPr>
        <w:tc>
          <w:tcPr>
            <w:tcW w:w="83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20" w:type="dxa"/>
            <w:vAlign w:val="bottom"/>
          </w:tcPr>
          <w:p>
            <w:pPr>
              <w:spacing w:after="0"/>
              <w:rPr>
                <w:sz w:val="17"/>
                <w:szCs w:val="17"/>
                <w:color w:val="auto"/>
              </w:rPr>
            </w:pPr>
          </w:p>
        </w:tc>
        <w:tc>
          <w:tcPr>
            <w:tcW w:w="112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(954)</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7,271</w:t>
            </w:r>
          </w:p>
        </w:tc>
      </w:tr>
    </w:tbl>
    <w:p>
      <w:pPr>
        <w:spacing w:after="0" w:line="314"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As of June 30, 2022, we had approximately $426.4 million in cash, cash equivalents, and restricted cash, a decrease of approximately $97.2 million from December 31, 2021. The decrease is primarily attributable to the acquisition costs of WildHealth and cash paid for the purchase of property and equipment, including capitalized software.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5" w:name="page56"/>
    <w:bookmarkEnd w:id="55"/>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Net cash used in operating activities was $64.4 million for the six months ended June 30, 2022. Our net loss of $140.8 million includes the effect of non-cash expenses related to stock-based compensation of $68.4 million; depreciation of $14.4 million; an increase in deferred revenue of $13.0 million; and an increase in accrued expenses of $3.9 million. This was partially offset by increases in accounts receivable of $32.7 million and prepaid expenses of $8.0 million. Net cash provided by operating activities was $30.6 million for the six months ended June 30, 2021.</w:t>
      </w:r>
    </w:p>
    <w:p>
      <w:pPr>
        <w:spacing w:after="0" w:line="119"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Our net loss of $42.3 million for the six months ended June 30, 2021 includes the effect of non-cash expenses related to stock-based compensation of $29.7 million; depreciation of $13.6 million; an increase in deferred revenue of $20.1 million and accrued expenses of $20.5 million. This was partially offset by increases in accounts receivable of $11.7 million and prepaid expenses of $3.9 million.</w:t>
      </w:r>
    </w:p>
    <w:p>
      <w:pPr>
        <w:spacing w:after="0" w:line="207"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Net cash used in investing activities was $33.4 million for the six months ended June 30, 2022 and was driven primarily by the acquisition costs for the purchase of WildHealth, the purchase of fixed assets for our co-location facilities, and capitalization of internally developed software. Net cash used in investing activities was $24.5 million for the six months ended June 30, 2021 and consisted primarily of the purchase of fixed assets for our co-location facilities and capitalization of internally developed software.</w:t>
      </w:r>
    </w:p>
    <w:p>
      <w:pPr>
        <w:spacing w:after="0" w:line="211"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Net cash used in financing activities was $1.0 million for the six months ended June 30, 2022, consisting primarily of proceeds from issuance of common stock in connection with the exercise of stock options by employees, offset by principal payments related to finance leases. Net cash provided by financing activities was $7.3 million for the six months ended June 30, 2021 and consisted primarily of proceeds from issuance of common stock in connection with the exercise of stock options by employees.</w:t>
      </w:r>
    </w:p>
    <w:p>
      <w:pPr>
        <w:spacing w:after="0" w:line="211"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We have incurred significant expenses to develop our technology and services, to hire employees in our customer service, sales, marketing and administration departments, and for the amortization of purchased intangible assets, as well as non-cash compensation costs. Historically, we have incurred net losses and negative cash flows for various quarterly and annual periods since our inception, including during numerous quarters and annual periods in the past several years. As of June 30, 2022, we had an accumulated deficit of approximately $607.4 million.</w:t>
      </w:r>
    </w:p>
    <w:p>
      <w:pPr>
        <w:spacing w:after="0" w:line="211" w:lineRule="exact"/>
        <w:rPr>
          <w:sz w:val="20"/>
          <w:szCs w:val="20"/>
          <w:color w:val="auto"/>
        </w:rPr>
      </w:pPr>
    </w:p>
    <w:p>
      <w:pPr>
        <w:jc w:val="both"/>
        <w:ind w:firstLine="420"/>
        <w:spacing w:after="0" w:line="246" w:lineRule="auto"/>
        <w:rPr>
          <w:sz w:val="20"/>
          <w:szCs w:val="20"/>
          <w:color w:val="auto"/>
        </w:rPr>
      </w:pPr>
      <w:r>
        <w:rPr>
          <w:rFonts w:ascii="Times New Roman" w:cs="Times New Roman" w:eastAsia="Times New Roman" w:hAnsi="Times New Roman"/>
          <w:sz w:val="18"/>
          <w:szCs w:val="18"/>
          <w:color w:val="auto"/>
        </w:rPr>
        <w:t>Our principal sources of liquidity are the net proceeds from the issuance of our convertible senior notes, after deducting purchaser discounts and debt issuance costs paid by us, issuance of common stock in connection with the exercise of options, and payments received from customers using our products. We anticipate that our current cash and cash equivalents will be sufficient to satisfy our working capital and capital requirements for at least the next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do not engage in off-balance sheet financing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Risks</w:t>
      </w:r>
    </w:p>
    <w:p>
      <w:pPr>
        <w:spacing w:after="0" w:line="241" w:lineRule="exact"/>
        <w:rPr>
          <w:sz w:val="20"/>
          <w:szCs w:val="20"/>
          <w:color w:val="auto"/>
        </w:rPr>
      </w:pPr>
    </w:p>
    <w:p>
      <w:pPr>
        <w:jc w:val="both"/>
        <w:ind w:firstLine="315"/>
        <w:spacing w:after="0" w:line="246" w:lineRule="auto"/>
        <w:rPr>
          <w:sz w:val="20"/>
          <w:szCs w:val="20"/>
          <w:color w:val="auto"/>
        </w:rPr>
      </w:pPr>
      <w:r>
        <w:rPr>
          <w:rFonts w:ascii="Times New Roman" w:cs="Times New Roman" w:eastAsia="Times New Roman" w:hAnsi="Times New Roman"/>
          <w:sz w:val="18"/>
          <w:szCs w:val="18"/>
          <w:color w:val="auto"/>
        </w:rPr>
        <w:t>Our Israeli operations have currency rate fluctuation risk associated with the exchange rate movement of the U.S. dollar against the NIS. During the three months ended June 30, 2022, the U.S. dollar appreciated by approximately 4% and during the six months ended June 30, 2022, the U.S. dollar appreciated by approximately 0.3%, as compared to the NIS. During the three and six months ended June 30, 2022, expenses generated by our Israeli operations totaled approximately $16.4 million and $32.4 million, respectively. We actively monitor the movement of the U.S. dollar against the NIS, Pound Sterling, Euro, Australian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arrangements. The functional currency of our wholly-owned Israeli subsidiaries, LivePerson Limited (Israel) and Kasamba Inc., is the U.S. dollar; the functional currency of our operations in the United Kingdom is the Pound Sterling; the functional currency of our operations in the Netherlands, Germany, France, and Italy is the Euro; the functional currency of our operations in Australia is the Australian Dollar; and the functional currency of our operations in Japan is the Japanese Yen.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Forward Contracts</w:t>
      </w:r>
    </w:p>
    <w:p>
      <w:pPr>
        <w:spacing w:after="0" w:line="228" w:lineRule="exact"/>
        <w:rPr>
          <w:sz w:val="20"/>
          <w:szCs w:val="20"/>
          <w:color w:val="auto"/>
        </w:rPr>
      </w:pPr>
    </w:p>
    <w:p>
      <w:pPr>
        <w:jc w:val="both"/>
        <w:ind w:firstLine="420"/>
        <w:spacing w:after="0" w:line="235" w:lineRule="auto"/>
        <w:rPr>
          <w:sz w:val="20"/>
          <w:szCs w:val="20"/>
          <w:color w:val="auto"/>
        </w:rPr>
      </w:pPr>
      <w:r>
        <w:rPr>
          <w:rFonts w:ascii="Times New Roman" w:cs="Times New Roman" w:eastAsia="Times New Roman" w:hAnsi="Times New Roman"/>
          <w:sz w:val="18"/>
          <w:szCs w:val="18"/>
          <w:color w:val="auto"/>
        </w:rPr>
        <w:t>During negotiations with one of our foreign customers, the customer requested to make payments to us for the services rendered in local foreign currency. On June 29, 2022, we executed three foreign exchange forward contracts to mitigate the potentially unfavorable impact of foreign exchange rate changes on our results of operations. The customer contract, signed between the Company and the foreign customer on June 30, 2022, called for payments in U.S. dollars. The same day, LivePerson unwound the foreign exchange forward contracts resulting in no net outstanding foreign currency derivative contracts as of June 30, 2022.</w:t>
      </w:r>
    </w:p>
    <w:p>
      <w:pPr>
        <w:spacing w:after="0" w:line="208" w:lineRule="exact"/>
        <w:rPr>
          <w:sz w:val="20"/>
          <w:szCs w:val="20"/>
          <w:color w:val="auto"/>
        </w:rPr>
      </w:pPr>
    </w:p>
    <w:p>
      <w:pPr>
        <w:jc w:val="both"/>
        <w:ind w:firstLine="420"/>
        <w:spacing w:after="0" w:line="235" w:lineRule="auto"/>
        <w:rPr>
          <w:sz w:val="20"/>
          <w:szCs w:val="20"/>
          <w:color w:val="auto"/>
        </w:rPr>
      </w:pPr>
      <w:r>
        <w:rPr>
          <w:rFonts w:ascii="Times New Roman" w:cs="Times New Roman" w:eastAsia="Times New Roman" w:hAnsi="Times New Roman"/>
          <w:sz w:val="18"/>
          <w:szCs w:val="18"/>
          <w:color w:val="auto"/>
        </w:rPr>
        <w:t>The Company accounted for the transaction as an economic hedge not designated as an effective hedge for hedge accounting purposes. We recorded the immaterial changes in the fair value of the foreign exchange forward contracts immediately to earnings in other expense, net in the accompanying condensed consolidated statements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Collection Risks</w:t>
      </w:r>
    </w:p>
    <w:p>
      <w:pPr>
        <w:spacing w:after="0" w:line="241" w:lineRule="exact"/>
        <w:rPr>
          <w:sz w:val="20"/>
          <w:szCs w:val="20"/>
          <w:color w:val="auto"/>
        </w:rPr>
      </w:pPr>
    </w:p>
    <w:p>
      <w:pPr>
        <w:jc w:val="both"/>
        <w:ind w:firstLine="420"/>
        <w:spacing w:after="0" w:line="247" w:lineRule="auto"/>
        <w:rPr>
          <w:sz w:val="20"/>
          <w:szCs w:val="20"/>
          <w:color w:val="auto"/>
        </w:rPr>
      </w:pPr>
      <w:r>
        <w:rPr>
          <w:rFonts w:ascii="Times New Roman" w:cs="Times New Roman" w:eastAsia="Times New Roman" w:hAnsi="Times New Roman"/>
          <w:sz w:val="18"/>
          <w:szCs w:val="18"/>
          <w:color w:val="auto"/>
        </w:rPr>
        <w:t>Our accounts receivable are subject, in the normal course of business, to collection risks. We regularly assess these risks and have established policies and business practices to protect against the adverse effects of collection risks. During the six months ended June 30, 2022, our allowance for doubtful accounts increased by $1.9 million to approximately $8.2 million. During the six months ended June 30, 2021, we increased our allowance for doubtful accounts by $0.5 million to approximately $5.8 million. A large proportion of our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the applicable recorded allowance when we have exhausted collection efforts without success. We adjust our allowance for doubtful accounts when accounts previously reserved have been collected.</w:t>
      </w:r>
    </w:p>
    <w:p>
      <w:pPr>
        <w:spacing w:after="0" w:line="216" w:lineRule="exact"/>
        <w:rPr>
          <w:sz w:val="20"/>
          <w:szCs w:val="20"/>
          <w:color w:val="auto"/>
        </w:rPr>
      </w:pPr>
    </w:p>
    <w:p>
      <w:pPr>
        <w:jc w:val="both"/>
        <w:ind w:firstLine="420"/>
        <w:spacing w:after="0" w:line="247" w:lineRule="auto"/>
        <w:rPr>
          <w:sz w:val="20"/>
          <w:szCs w:val="20"/>
          <w:color w:val="auto"/>
        </w:rPr>
      </w:pPr>
      <w:r>
        <w:rPr>
          <w:rFonts w:ascii="Times New Roman" w:cs="Times New Roman" w:eastAsia="Times New Roman" w:hAnsi="Times New Roman"/>
          <w:sz w:val="18"/>
          <w:szCs w:val="18"/>
          <w:color w:val="auto"/>
        </w:rPr>
        <w:t>An allowance for doubtful accounts is established for losses expected to be incurred on accounts receivable balances. Judgment is required in the estimation of the allowance and we evaluate the collectability of our accounts receivable and contract assets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doubtful accounts based on the creditworthiness of the debtor, the age and status of outstanding receivables, the current business environment and our historical collection experience adjusted for current expectations for the customer or industry. Accounts receivable are written off against the allowance for uncollectible accounts when we determine amounts are no longer collectible.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41" w:lineRule="exact"/>
        <w:rPr>
          <w:sz w:val="20"/>
          <w:szCs w:val="20"/>
          <w:color w:val="auto"/>
        </w:rPr>
      </w:pPr>
    </w:p>
    <w:p>
      <w:pPr>
        <w:jc w:val="both"/>
        <w:ind w:firstLine="420"/>
        <w:spacing w:after="0" w:line="267" w:lineRule="auto"/>
        <w:rPr>
          <w:sz w:val="20"/>
          <w:szCs w:val="20"/>
          <w:color w:val="auto"/>
        </w:rPr>
      </w:pPr>
      <w:r>
        <w:rPr>
          <w:rFonts w:ascii="Times New Roman" w:cs="Times New Roman" w:eastAsia="Times New Roman" w:hAnsi="Times New Roman"/>
          <w:sz w:val="18"/>
          <w:szCs w:val="18"/>
          <w:color w:val="auto"/>
        </w:rPr>
        <w:t>Our investments consist of cash and cash equivalents. Therefore, changes in market interest rates do not affect in any material respect the value of the investments as recorded by us.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00" w:lineRule="exact"/>
        <w:rPr>
          <w:sz w:val="20"/>
          <w:szCs w:val="20"/>
          <w:color w:val="auto"/>
        </w:rPr>
      </w:pPr>
    </w:p>
    <w:p>
      <w:pPr>
        <w:spacing w:after="0" w:line="38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57" w:name="page58"/>
    <w:bookmarkEnd w:id="57"/>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4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41" w:lineRule="exact"/>
        <w:rPr>
          <w:sz w:val="20"/>
          <w:szCs w:val="20"/>
          <w:color w:val="auto"/>
        </w:rPr>
      </w:pPr>
    </w:p>
    <w:p>
      <w:pPr>
        <w:jc w:val="both"/>
        <w:ind w:firstLine="420"/>
        <w:spacing w:after="0" w:line="247" w:lineRule="auto"/>
        <w:rPr>
          <w:sz w:val="20"/>
          <w:szCs w:val="20"/>
          <w:color w:val="auto"/>
        </w:rPr>
      </w:pPr>
      <w:r>
        <w:rPr>
          <w:rFonts w:ascii="Times New Roman" w:cs="Times New Roman" w:eastAsia="Times New Roman" w:hAnsi="Times New Roman"/>
          <w:sz w:val="18"/>
          <w:szCs w:val="18"/>
          <w:color w:val="auto"/>
        </w:rPr>
        <w:t>Our management, including the Chief Executive Officer and Chief Financial Officer, evaluated the effectiveness of our “disclosure controls and procedures,” as that term is defined in Rule 13a-15(e) promulgated under the Securities Exchange Act of 1934, as amended (the “Exchange Act”), as of June 30, 2022. Based on that evaluation, the Chief Executive Officer and Chief Financial Officer concluded that our disclosure controls and procedures were effective as of June 30, 2022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41"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June 30, 2022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of the Effectiveness of Internal Control</w:t>
      </w:r>
    </w:p>
    <w:p>
      <w:pPr>
        <w:spacing w:after="0" w:line="241"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41" w:lineRule="exact"/>
        <w:rPr>
          <w:sz w:val="20"/>
          <w:szCs w:val="20"/>
          <w:color w:val="auto"/>
        </w:rPr>
      </w:pPr>
    </w:p>
    <w:p>
      <w:pPr>
        <w:jc w:val="both"/>
        <w:ind w:firstLine="630"/>
        <w:spacing w:after="0" w:line="277" w:lineRule="auto"/>
        <w:rPr>
          <w:sz w:val="20"/>
          <w:szCs w:val="20"/>
          <w:color w:val="auto"/>
        </w:rPr>
      </w:pPr>
      <w:r>
        <w:rPr>
          <w:rFonts w:ascii="Times New Roman" w:cs="Times New Roman" w:eastAsia="Times New Roman" w:hAnsi="Times New Roman"/>
          <w:sz w:val="16"/>
          <w:szCs w:val="16"/>
          <w:color w:val="auto"/>
        </w:rPr>
        <w:t xml:space="preserve">The Company filed an intellectual property suit against [24]7 Customer, Inc. (“[24]7”) in the Southern District of New York on March 6, 2014 seeking damages on the grounds that [24]7 reverse engineered and misappropriated the Company’s technology to develop competing products and misused the Company’s business information. On June 22, 2015, [24]7 filed suit against the Company in the Northern District of California alleging patent infringement. On December 7, 2015, [24]7 filed a second patent infringement suit against the Company, also in the Northern District of California. On March 16, 2017, the New York case was voluntarily transferred and consolidated with the two California cases in the Northern District of California (the “Court”) for all pre-trial purposes. Rulings by both the Court and the United States Patent and Trademark Office in the Company’s favor have invalidated the majority of [24]7 patents that were asserted in the patent cases. The Company believes the remaining claims filed by [24]7 are entirely without merit and intends to defend them vigorously. Trial for the Company’s intellectual property and other claims asserted against [24]7 related to three of the customers at issue occurred on May 24, 2021 and the jury awarded approximately $30.3 million in favor of the Company, including approximately $6.7 million in compensatory damages and approximately $23.6 million in punitive damages. </w:t>
      </w:r>
      <w:r>
        <w:rPr>
          <w:rFonts w:ascii="Times New Roman" w:cs="Times New Roman" w:eastAsia="Times New Roman" w:hAnsi="Times New Roman"/>
          <w:sz w:val="16"/>
          <w:szCs w:val="16"/>
          <w:color w:val="222222"/>
        </w:rPr>
        <w:t>After the jury reached its verdict, additional post-trial motions were filed by [24]7 and LivePerson, including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22222"/>
        </w:rPr>
        <w:t>[24]7 asking the Court to order a new trial, overturn the jury’s verdict, or reduce the amount of punitive damages the jury awarded, and LivePerson requested interest on the judgment. The Company and [24]7 also reached agreement on the terms of a permanent injunction, and that additional costs are owed to the Company in the amount of $0.4 million, which the Court has entered. On July 28, 2022, the Court denied [24]7’s post-trial motions and granted LivePerson’s motion for interest, awarding approximately an additional $4.3 million. The Company currently anticipates that [24]7 may elect to appeal these matters. Accordingly, no amounts for the judgment have been reflected in the Company’s financial statements. Trial for [24]7’s patent infringement claims as well as the Company’s trade secret claims asserted against [24]7 that relate to additional customers have been stayed, to be reset by the Court.</w:t>
      </w:r>
    </w:p>
    <w:p>
      <w:pPr>
        <w:spacing w:after="0" w:line="200" w:lineRule="exact"/>
        <w:rPr>
          <w:sz w:val="20"/>
          <w:szCs w:val="20"/>
          <w:color w:val="auto"/>
        </w:rPr>
      </w:pPr>
    </w:p>
    <w:p>
      <w:pPr>
        <w:spacing w:after="0" w:line="212" w:lineRule="exact"/>
        <w:rPr>
          <w:sz w:val="20"/>
          <w:szCs w:val="20"/>
          <w:color w:val="auto"/>
        </w:rPr>
      </w:pPr>
    </w:p>
    <w:p>
      <w:pPr>
        <w:jc w:val="both"/>
        <w:ind w:firstLine="630"/>
        <w:spacing w:after="0" w:line="248" w:lineRule="auto"/>
        <w:rPr>
          <w:sz w:val="20"/>
          <w:szCs w:val="20"/>
          <w:color w:val="auto"/>
        </w:rPr>
      </w:pPr>
      <w:r>
        <w:rPr>
          <w:rFonts w:ascii="Times New Roman" w:cs="Times New Roman" w:eastAsia="Times New Roman" w:hAnsi="Times New Roman"/>
          <w:sz w:val="18"/>
          <w:szCs w:val="18"/>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w:t>
      </w:r>
    </w:p>
    <w:p>
      <w:pPr>
        <w:spacing w:after="0" w:line="200" w:lineRule="exact"/>
        <w:rPr>
          <w:sz w:val="20"/>
          <w:szCs w:val="20"/>
          <w:color w:val="auto"/>
        </w:rPr>
      </w:pPr>
    </w:p>
    <w:p>
      <w:pPr>
        <w:spacing w:after="0" w:line="35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59" w:name="page60"/>
    <w:bookmarkEnd w:id="59"/>
    <w:p>
      <w:pPr>
        <w:jc w:val="both"/>
        <w:spacing w:after="0" w:line="247" w:lineRule="auto"/>
        <w:rPr>
          <w:sz w:val="20"/>
          <w:szCs w:val="20"/>
          <w:color w:val="auto"/>
        </w:rPr>
      </w:pPr>
      <w:r>
        <w:rPr>
          <w:rFonts w:ascii="Times New Roman" w:cs="Times New Roman" w:eastAsia="Times New Roman" w:hAnsi="Times New Roman"/>
          <w:sz w:val="18"/>
          <w:szCs w:val="18"/>
          <w:color w:val="auto"/>
        </w:rPr>
        <w:t>and it becomes possible to develop what the Company believes to be a reasonable range of possible loss, then the Company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 From time to time, third parties assert claims against the Company regarding intellectual property rights, privacy issues, and other matters arising in the ordinary course of business.</w:t>
      </w:r>
    </w:p>
    <w:p>
      <w:pPr>
        <w:spacing w:after="0" w:line="213" w:lineRule="exact"/>
        <w:rPr>
          <w:sz w:val="20"/>
          <w:szCs w:val="20"/>
          <w:color w:val="auto"/>
        </w:rPr>
      </w:pPr>
    </w:p>
    <w:p>
      <w:pPr>
        <w:jc w:val="both"/>
        <w:ind w:firstLine="420"/>
        <w:spacing w:after="0" w:line="255" w:lineRule="auto"/>
        <w:rPr>
          <w:sz w:val="20"/>
          <w:szCs w:val="20"/>
          <w:color w:val="auto"/>
        </w:rPr>
      </w:pPr>
      <w:r>
        <w:rPr>
          <w:rFonts w:ascii="Times New Roman" w:cs="Times New Roman" w:eastAsia="Times New Roman" w:hAnsi="Times New Roman"/>
          <w:sz w:val="18"/>
          <w:szCs w:val="18"/>
          <w:color w:val="auto"/>
        </w:rPr>
        <w:t>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results of operations, financial condition, or cash flows.</w:t>
      </w:r>
    </w:p>
    <w:p>
      <w:pPr>
        <w:spacing w:after="0" w:line="207" w:lineRule="exact"/>
        <w:rPr>
          <w:sz w:val="20"/>
          <w:szCs w:val="20"/>
          <w:color w:val="auto"/>
        </w:rPr>
      </w:pPr>
    </w:p>
    <w:p>
      <w:pPr>
        <w:jc w:val="both"/>
        <w:ind w:firstLine="420"/>
        <w:spacing w:after="0" w:line="331" w:lineRule="auto"/>
        <w:rPr>
          <w:sz w:val="20"/>
          <w:szCs w:val="20"/>
          <w:color w:val="auto"/>
        </w:rPr>
      </w:pPr>
      <w:r>
        <w:rPr>
          <w:rFonts w:ascii="Times New Roman" w:cs="Times New Roman" w:eastAsia="Times New Roman" w:hAnsi="Times New Roman"/>
          <w:sz w:val="16"/>
          <w:szCs w:val="16"/>
          <w:color w:val="auto"/>
        </w:rPr>
        <w:t>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1" w:lineRule="exact"/>
        <w:rPr>
          <w:sz w:val="20"/>
          <w:szCs w:val="20"/>
          <w:color w:val="auto"/>
        </w:rPr>
      </w:pPr>
    </w:p>
    <w:p>
      <w:pPr>
        <w:jc w:val="both"/>
        <w:ind w:firstLine="420"/>
        <w:spacing w:after="0" w:line="251"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including those described in Part I, Item 1A. “Risk Factors” in our Annual Report on Form 10-K for the year ended December 31, 2021, filed on February 28, 2022, which could adversely affect our business, financial condition, results of operations, cash flows, and the trading price of our common stock. There have been no material changes to the risk factors described in our most recent Annual Report on Form 10-K.</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unregistered sales of equity securities by the issuer during three months ended June 30, 2022.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Equity Securities by the Issuer</w:t>
      </w: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repurchases of equity securities by the issuer during the three and six months ended June 30, 2022.</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67310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120" w:type="dxa"/>
            <w:vAlign w:val="bottom"/>
            <w:gridSpan w:val="4"/>
          </w:tcPr>
          <w:p>
            <w:pPr>
              <w:ind w:left="2900"/>
              <w:spacing w:after="0"/>
              <w:rPr>
                <w:sz w:val="20"/>
                <w:szCs w:val="20"/>
                <w:color w:val="auto"/>
              </w:rPr>
            </w:pPr>
            <w:r>
              <w:rPr>
                <w:rFonts w:ascii="Times New Roman" w:cs="Times New Roman" w:eastAsia="Times New Roman" w:hAnsi="Times New Roman"/>
                <w:sz w:val="18"/>
                <w:szCs w:val="18"/>
                <w:color w:val="auto"/>
              </w:rPr>
              <w:t>ITEM 6. EXHIBITS</w:t>
            </w:r>
          </w:p>
        </w:tc>
        <w:tc>
          <w:tcPr>
            <w:tcW w:w="0" w:type="dxa"/>
            <w:vAlign w:val="bottom"/>
          </w:tcPr>
          <w:p>
            <w:pPr>
              <w:spacing w:after="0"/>
              <w:rPr>
                <w:sz w:val="1"/>
                <w:szCs w:val="1"/>
                <w:color w:val="auto"/>
              </w:rPr>
            </w:pPr>
          </w:p>
        </w:tc>
      </w:tr>
      <w:tr>
        <w:trPr>
          <w:trHeight w:val="473"/>
        </w:trPr>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20" w:type="dxa"/>
            <w:vAlign w:val="bottom"/>
            <w:vMerge w:val="restart"/>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31.1</w:t>
            </w:r>
          </w:p>
        </w:tc>
        <w:tc>
          <w:tcPr>
            <w:tcW w:w="580" w:type="dxa"/>
            <w:vAlign w:val="bottom"/>
            <w:shd w:val="clear" w:color="auto" w:fill="CCEEFF"/>
          </w:tcPr>
          <w:p>
            <w:pPr>
              <w:spacing w:after="0"/>
              <w:rPr>
                <w:sz w:val="14"/>
                <w:szCs w:val="14"/>
                <w:color w:val="auto"/>
              </w:rPr>
            </w:pPr>
          </w:p>
        </w:tc>
        <w:tc>
          <w:tcPr>
            <w:tcW w:w="9420" w:type="dxa"/>
            <w:vAlign w:val="bottom"/>
            <w:gridSpan w:val="5"/>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FF"/>
                <w:w w:val="98"/>
              </w:rPr>
              <w:t>Certification by Chief Executive Officer pursuant to Exchange Act Rule 13a-14(a), as adopted pursuant to Section 302 of the Sarbanes-Oxley Act of</w:t>
            </w:r>
          </w:p>
        </w:tc>
        <w:tc>
          <w:tcPr>
            <w:tcW w:w="0" w:type="dxa"/>
            <w:vAlign w:val="bottom"/>
          </w:tcPr>
          <w:p>
            <w:pPr>
              <w:spacing w:after="0"/>
              <w:rPr>
                <w:sz w:val="1"/>
                <w:szCs w:val="1"/>
                <w:color w:val="auto"/>
              </w:rPr>
            </w:pPr>
          </w:p>
        </w:tc>
      </w:tr>
      <w:tr>
        <w:trPr>
          <w:trHeight w:val="94"/>
        </w:trPr>
        <w:tc>
          <w:tcPr>
            <w:tcW w:w="920" w:type="dxa"/>
            <w:vAlign w:val="bottom"/>
            <w:tcBorders>
              <w:top w:val="single" w:sz="8" w:color="CCEEFF"/>
            </w:tcBorders>
            <w:vMerge w:val="continue"/>
            <w:shd w:val="clear" w:color="auto" w:fill="CCEEFF"/>
          </w:tcPr>
          <w:p>
            <w:pPr>
              <w:spacing w:after="0"/>
              <w:rPr>
                <w:sz w:val="8"/>
                <w:szCs w:val="8"/>
                <w:color w:val="auto"/>
              </w:rPr>
            </w:pPr>
          </w:p>
        </w:tc>
        <w:tc>
          <w:tcPr>
            <w:tcW w:w="580" w:type="dxa"/>
            <w:vAlign w:val="bottom"/>
            <w:tcBorders>
              <w:top w:val="single" w:sz="8" w:color="CCEEFF"/>
            </w:tcBorders>
            <w:vMerge w:val="restart"/>
            <w:shd w:val="clear" w:color="auto" w:fill="CCEEFF"/>
          </w:tcPr>
          <w:p>
            <w:pPr>
              <w:ind w:left="120"/>
              <w:spacing w:after="0" w:line="138" w:lineRule="exact"/>
              <w:rPr>
                <w:sz w:val="20"/>
                <w:szCs w:val="20"/>
                <w:color w:val="auto"/>
              </w:rPr>
            </w:pPr>
            <w:r>
              <w:rPr>
                <w:rFonts w:ascii="Times New Roman" w:cs="Times New Roman" w:eastAsia="Times New Roman" w:hAnsi="Times New Roman"/>
                <w:sz w:val="15"/>
                <w:szCs w:val="15"/>
                <w:color w:val="auto"/>
              </w:rPr>
              <w:t>*</w:t>
            </w:r>
          </w:p>
        </w:tc>
        <w:tc>
          <w:tcPr>
            <w:tcW w:w="300" w:type="dxa"/>
            <w:vAlign w:val="bottom"/>
            <w:tcBorders>
              <w:top w:val="single" w:sz="8" w:color="0000FF"/>
            </w:tcBorders>
            <w:vMerge w:val="restart"/>
            <w:shd w:val="clear" w:color="auto" w:fill="CCEEFF"/>
          </w:tcPr>
          <w:p>
            <w:pPr>
              <w:spacing w:after="0" w:line="138" w:lineRule="exact"/>
              <w:rPr>
                <w:sz w:val="20"/>
                <w:szCs w:val="20"/>
                <w:color w:val="auto"/>
              </w:rPr>
            </w:pPr>
            <w:r>
              <w:rPr>
                <w:rFonts w:ascii="Times New Roman" w:cs="Times New Roman" w:eastAsia="Times New Roman" w:hAnsi="Times New Roman"/>
                <w:sz w:val="15"/>
                <w:szCs w:val="15"/>
                <w:color w:val="0000FF"/>
                <w:w w:val="93"/>
              </w:rPr>
              <w:t>2002</w:t>
            </w:r>
          </w:p>
        </w:tc>
        <w:tc>
          <w:tcPr>
            <w:tcW w:w="898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40" w:type="dxa"/>
            <w:vAlign w:val="bottom"/>
            <w:tcBorders>
              <w:top w:val="single" w:sz="8" w:color="0000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92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CCEEFF"/>
            </w:tcBorders>
            <w:vMerge w:val="continue"/>
            <w:shd w:val="clear" w:color="auto" w:fill="CCEEFF"/>
          </w:tcPr>
          <w:p>
            <w:pPr>
              <w:spacing w:after="0"/>
              <w:rPr>
                <w:sz w:val="5"/>
                <w:szCs w:val="5"/>
                <w:color w:val="auto"/>
              </w:rPr>
            </w:pPr>
          </w:p>
        </w:tc>
        <w:tc>
          <w:tcPr>
            <w:tcW w:w="300" w:type="dxa"/>
            <w:vAlign w:val="bottom"/>
            <w:tcBorders>
              <w:bottom w:val="single" w:sz="8" w:color="0000FF"/>
            </w:tcBorders>
            <w:vMerge w:val="continue"/>
            <w:shd w:val="clear" w:color="auto" w:fill="CCEEFF"/>
          </w:tcPr>
          <w:p>
            <w:pPr>
              <w:spacing w:after="0"/>
              <w:rPr>
                <w:sz w:val="5"/>
                <w:szCs w:val="5"/>
                <w:color w:val="auto"/>
              </w:rPr>
            </w:pPr>
          </w:p>
        </w:tc>
        <w:tc>
          <w:tcPr>
            <w:tcW w:w="898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40" w:type="dxa"/>
            <w:vAlign w:val="bottom"/>
            <w:tcBorders>
              <w:bottom w:val="single" w:sz="8" w:color="CCEEFF"/>
            </w:tcBorders>
            <w:shd w:val="clear" w:color="auto" w:fill="CCEEFF"/>
          </w:tcPr>
          <w:p>
            <w:pPr>
              <w:spacing w:after="0"/>
              <w:rPr>
                <w:sz w:val="5"/>
                <w:szCs w:val="5"/>
                <w:color w:val="auto"/>
              </w:rPr>
            </w:pPr>
          </w:p>
        </w:tc>
        <w:tc>
          <w:tcPr>
            <w:tcW w:w="6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920" w:type="dxa"/>
            <w:vAlign w:val="bottom"/>
            <w:tcBorders>
              <w:bottom w:val="single" w:sz="8" w:color="CCEEFF"/>
            </w:tcBorders>
            <w:shd w:val="clear" w:color="auto" w:fill="CCEEFF"/>
          </w:tcPr>
          <w:p>
            <w:pPr>
              <w:jc w:val="center"/>
              <w:ind w:left="41"/>
              <w:spacing w:after="0" w:line="171" w:lineRule="exact"/>
              <w:rPr>
                <w:sz w:val="20"/>
                <w:szCs w:val="20"/>
                <w:color w:val="auto"/>
              </w:rPr>
            </w:pPr>
            <w:r>
              <w:rPr>
                <w:rFonts w:ascii="Times New Roman" w:cs="Times New Roman" w:eastAsia="Times New Roman" w:hAnsi="Times New Roman"/>
                <w:sz w:val="16"/>
                <w:szCs w:val="16"/>
                <w:color w:val="auto"/>
                <w:w w:val="99"/>
              </w:rPr>
              <w:t>31.2</w:t>
            </w:r>
          </w:p>
        </w:tc>
        <w:tc>
          <w:tcPr>
            <w:tcW w:w="580" w:type="dxa"/>
            <w:vAlign w:val="bottom"/>
            <w:tcBorders>
              <w:bottom w:val="single" w:sz="8" w:color="CCEEFF"/>
            </w:tcBorders>
            <w:shd w:val="clear" w:color="auto" w:fill="CCEEFF"/>
          </w:tcPr>
          <w:p>
            <w:pPr>
              <w:ind w:left="120"/>
              <w:spacing w:after="0" w:line="171" w:lineRule="exact"/>
              <w:rPr>
                <w:sz w:val="20"/>
                <w:szCs w:val="20"/>
                <w:color w:val="auto"/>
              </w:rPr>
            </w:pPr>
            <w:r>
              <w:rPr>
                <w:rFonts w:ascii="Times New Roman" w:cs="Times New Roman" w:eastAsia="Times New Roman" w:hAnsi="Times New Roman"/>
                <w:sz w:val="16"/>
                <w:szCs w:val="16"/>
                <w:color w:val="auto"/>
              </w:rPr>
              <w:t>*</w:t>
            </w:r>
          </w:p>
        </w:tc>
        <w:tc>
          <w:tcPr>
            <w:tcW w:w="9420" w:type="dxa"/>
            <w:vAlign w:val="bottom"/>
            <w:tcBorders>
              <w:bottom w:val="single" w:sz="8" w:color="0000FF"/>
            </w:tcBorders>
            <w:gridSpan w:val="5"/>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FF"/>
                <w:w w:val="97"/>
              </w:rPr>
              <w:t>Certification by Chief Financial Officer pursuant to Exchange Act Rule 13a-14(a), as adopted pursuant to Section 302 of the Sarbanes-Oxley Act of 2</w:t>
            </w:r>
          </w:p>
        </w:tc>
        <w:tc>
          <w:tcPr>
            <w:tcW w:w="0" w:type="dxa"/>
            <w:vAlign w:val="bottom"/>
          </w:tcPr>
          <w:p>
            <w:pPr>
              <w:spacing w:after="0"/>
              <w:rPr>
                <w:sz w:val="1"/>
                <w:szCs w:val="1"/>
                <w:color w:val="auto"/>
              </w:rPr>
            </w:pPr>
          </w:p>
        </w:tc>
      </w:tr>
      <w:tr>
        <w:trPr>
          <w:trHeight w:val="263"/>
        </w:trPr>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920" w:type="dxa"/>
            <w:vAlign w:val="bottom"/>
            <w:shd w:val="clear" w:color="auto" w:fill="CCEEFF"/>
          </w:tcPr>
          <w:p>
            <w:pPr>
              <w:jc w:val="center"/>
              <w:ind w:left="41"/>
              <w:spacing w:after="0" w:line="171" w:lineRule="exact"/>
              <w:rPr>
                <w:sz w:val="20"/>
                <w:szCs w:val="20"/>
                <w:color w:val="auto"/>
              </w:rPr>
            </w:pPr>
            <w:r>
              <w:rPr>
                <w:rFonts w:ascii="Times New Roman" w:cs="Times New Roman" w:eastAsia="Times New Roman" w:hAnsi="Times New Roman"/>
                <w:sz w:val="16"/>
                <w:szCs w:val="16"/>
                <w:color w:val="auto"/>
                <w:w w:val="99"/>
              </w:rPr>
              <w:t>32.1</w:t>
            </w:r>
          </w:p>
        </w:tc>
        <w:tc>
          <w:tcPr>
            <w:tcW w:w="580" w:type="dxa"/>
            <w:vAlign w:val="bottom"/>
            <w:shd w:val="clear" w:color="auto" w:fill="CCEEFF"/>
          </w:tcPr>
          <w:p>
            <w:pPr>
              <w:ind w:left="120"/>
              <w:spacing w:after="0" w:line="171" w:lineRule="exact"/>
              <w:rPr>
                <w:sz w:val="20"/>
                <w:szCs w:val="20"/>
                <w:color w:val="auto"/>
              </w:rPr>
            </w:pPr>
            <w:r>
              <w:rPr>
                <w:rFonts w:ascii="Times New Roman" w:cs="Times New Roman" w:eastAsia="Times New Roman" w:hAnsi="Times New Roman"/>
                <w:sz w:val="16"/>
                <w:szCs w:val="16"/>
                <w:color w:val="auto"/>
              </w:rPr>
              <w:t>**</w:t>
            </w:r>
          </w:p>
        </w:tc>
        <w:tc>
          <w:tcPr>
            <w:tcW w:w="9420" w:type="dxa"/>
            <w:vAlign w:val="bottom"/>
            <w:gridSpan w:val="5"/>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FF"/>
                <w:w w:val="99"/>
              </w:rPr>
              <w:t>Certification by Chief Executive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63"/>
        </w:trPr>
        <w:tc>
          <w:tcPr>
            <w:tcW w:w="92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89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920" w:type="dxa"/>
            <w:vAlign w:val="bottom"/>
            <w:shd w:val="clear" w:color="auto" w:fill="CCEEFF"/>
          </w:tcPr>
          <w:p>
            <w:pPr>
              <w:jc w:val="center"/>
              <w:ind w:left="41"/>
              <w:spacing w:after="0" w:line="171" w:lineRule="exact"/>
              <w:rPr>
                <w:sz w:val="20"/>
                <w:szCs w:val="20"/>
                <w:color w:val="auto"/>
              </w:rPr>
            </w:pPr>
            <w:r>
              <w:rPr>
                <w:rFonts w:ascii="Times New Roman" w:cs="Times New Roman" w:eastAsia="Times New Roman" w:hAnsi="Times New Roman"/>
                <w:sz w:val="16"/>
                <w:szCs w:val="16"/>
                <w:color w:val="auto"/>
                <w:w w:val="99"/>
              </w:rPr>
              <w:t>32.2</w:t>
            </w:r>
          </w:p>
        </w:tc>
        <w:tc>
          <w:tcPr>
            <w:tcW w:w="580" w:type="dxa"/>
            <w:vAlign w:val="bottom"/>
            <w:shd w:val="clear" w:color="auto" w:fill="CCEEFF"/>
          </w:tcPr>
          <w:p>
            <w:pPr>
              <w:ind w:left="120"/>
              <w:spacing w:after="0" w:line="171" w:lineRule="exact"/>
              <w:rPr>
                <w:sz w:val="20"/>
                <w:szCs w:val="20"/>
                <w:color w:val="auto"/>
              </w:rPr>
            </w:pPr>
            <w:r>
              <w:rPr>
                <w:rFonts w:ascii="Times New Roman" w:cs="Times New Roman" w:eastAsia="Times New Roman" w:hAnsi="Times New Roman"/>
                <w:sz w:val="16"/>
                <w:szCs w:val="16"/>
                <w:color w:val="auto"/>
              </w:rPr>
              <w:t>**</w:t>
            </w:r>
          </w:p>
        </w:tc>
        <w:tc>
          <w:tcPr>
            <w:tcW w:w="9420" w:type="dxa"/>
            <w:vAlign w:val="bottom"/>
            <w:gridSpan w:val="5"/>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0000FF"/>
                <w:w w:val="99"/>
              </w:rPr>
              <w:t>Certification by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63"/>
        </w:trPr>
        <w:tc>
          <w:tcPr>
            <w:tcW w:w="920" w:type="dxa"/>
            <w:vAlign w:val="bottom"/>
            <w:tcBorders>
              <w:top w:val="single" w:sz="8" w:color="CCEEFF"/>
            </w:tcBorders>
          </w:tcPr>
          <w:p>
            <w:pPr>
              <w:spacing w:after="0"/>
              <w:rPr>
                <w:sz w:val="22"/>
                <w:szCs w:val="22"/>
                <w:color w:val="auto"/>
              </w:rPr>
            </w:pPr>
          </w:p>
        </w:tc>
        <w:tc>
          <w:tcPr>
            <w:tcW w:w="580" w:type="dxa"/>
            <w:vAlign w:val="bottom"/>
            <w:tcBorders>
              <w:top w:val="single" w:sz="8" w:color="CCEE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8980" w:type="dxa"/>
            <w:vAlign w:val="bottom"/>
            <w:tcBorders>
              <w:top w:val="single" w:sz="8" w:color="0000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920" w:type="dxa"/>
            <w:vAlign w:val="bottom"/>
            <w:vMerge w:val="restart"/>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6"/>
              </w:rPr>
              <w:t>101.INS</w:t>
            </w:r>
          </w:p>
        </w:tc>
        <w:tc>
          <w:tcPr>
            <w:tcW w:w="580" w:type="dxa"/>
            <w:vAlign w:val="bottom"/>
            <w:shd w:val="clear" w:color="auto" w:fill="CCEEFF"/>
          </w:tcPr>
          <w:p>
            <w:pPr>
              <w:spacing w:after="0"/>
              <w:rPr>
                <w:sz w:val="13"/>
                <w:szCs w:val="13"/>
                <w:color w:val="auto"/>
              </w:rPr>
            </w:pPr>
          </w:p>
        </w:tc>
        <w:tc>
          <w:tcPr>
            <w:tcW w:w="9420" w:type="dxa"/>
            <w:vAlign w:val="bottom"/>
            <w:gridSpan w:val="5"/>
            <w:shd w:val="clear" w:color="auto" w:fill="CCEEFF"/>
          </w:tcPr>
          <w:p>
            <w:pPr>
              <w:spacing w:after="0" w:line="158" w:lineRule="exact"/>
              <w:rPr>
                <w:sz w:val="20"/>
                <w:szCs w:val="20"/>
                <w:color w:val="auto"/>
              </w:rPr>
            </w:pPr>
            <w:r>
              <w:rPr>
                <w:rFonts w:ascii="Times New Roman" w:cs="Times New Roman" w:eastAsia="Times New Roman" w:hAnsi="Times New Roman"/>
                <w:sz w:val="16"/>
                <w:szCs w:val="16"/>
                <w:color w:val="auto"/>
                <w:w w:val="98"/>
              </w:rPr>
              <w:t>Inline XBRL Instance Document -- The instance document does not appear in the Interactive Data File because its XBRL tags are embedded within t</w:t>
            </w:r>
          </w:p>
        </w:tc>
        <w:tc>
          <w:tcPr>
            <w:tcW w:w="0" w:type="dxa"/>
            <w:vAlign w:val="bottom"/>
          </w:tcPr>
          <w:p>
            <w:pPr>
              <w:spacing w:after="0"/>
              <w:rPr>
                <w:sz w:val="1"/>
                <w:szCs w:val="1"/>
                <w:color w:val="auto"/>
              </w:rPr>
            </w:pPr>
          </w:p>
        </w:tc>
      </w:tr>
      <w:tr>
        <w:trPr>
          <w:trHeight w:val="127"/>
        </w:trPr>
        <w:tc>
          <w:tcPr>
            <w:tcW w:w="920" w:type="dxa"/>
            <w:vAlign w:val="bottom"/>
            <w:vMerge w:val="continue"/>
            <w:shd w:val="clear" w:color="auto" w:fill="CCEEFF"/>
          </w:tcPr>
          <w:p>
            <w:pPr>
              <w:spacing w:after="0"/>
              <w:rPr>
                <w:sz w:val="11"/>
                <w:szCs w:val="11"/>
                <w:color w:val="auto"/>
              </w:rPr>
            </w:pPr>
          </w:p>
        </w:tc>
        <w:tc>
          <w:tcPr>
            <w:tcW w:w="5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420" w:type="dxa"/>
            <w:vAlign w:val="bottom"/>
            <w:gridSpan w:val="5"/>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document</w:t>
            </w:r>
          </w:p>
        </w:tc>
        <w:tc>
          <w:tcPr>
            <w:tcW w:w="0" w:type="dxa"/>
            <w:vAlign w:val="bottom"/>
          </w:tcPr>
          <w:p>
            <w:pPr>
              <w:spacing w:after="0"/>
              <w:rPr>
                <w:sz w:val="1"/>
                <w:szCs w:val="1"/>
                <w:color w:val="auto"/>
              </w:rPr>
            </w:pPr>
          </w:p>
        </w:tc>
      </w:tr>
      <w:tr>
        <w:trPr>
          <w:trHeight w:val="83"/>
        </w:trPr>
        <w:tc>
          <w:tcPr>
            <w:tcW w:w="920" w:type="dxa"/>
            <w:vAlign w:val="bottom"/>
            <w:shd w:val="clear" w:color="auto" w:fill="CCEEFF"/>
          </w:tcPr>
          <w:p>
            <w:pPr>
              <w:spacing w:after="0"/>
              <w:rPr>
                <w:sz w:val="7"/>
                <w:szCs w:val="7"/>
                <w:color w:val="auto"/>
              </w:rPr>
            </w:pPr>
          </w:p>
        </w:tc>
        <w:tc>
          <w:tcPr>
            <w:tcW w:w="580" w:type="dxa"/>
            <w:vAlign w:val="bottom"/>
            <w:vMerge w:val="continue"/>
            <w:shd w:val="clear" w:color="auto" w:fill="CCEEFF"/>
          </w:tcPr>
          <w:p>
            <w:pPr>
              <w:spacing w:after="0"/>
              <w:rPr>
                <w:sz w:val="7"/>
                <w:szCs w:val="7"/>
                <w:color w:val="auto"/>
              </w:rPr>
            </w:pPr>
          </w:p>
        </w:tc>
        <w:tc>
          <w:tcPr>
            <w:tcW w:w="9420" w:type="dxa"/>
            <w:vAlign w:val="bottom"/>
            <w:gridSpan w:val="5"/>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8"/>
              </w:rPr>
              <w:t>101.SCH</w:t>
            </w:r>
          </w:p>
        </w:tc>
        <w:tc>
          <w:tcPr>
            <w:tcW w:w="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263"/>
        </w:trPr>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101.CAL</w:t>
            </w:r>
          </w:p>
        </w:tc>
        <w:tc>
          <w:tcPr>
            <w:tcW w:w="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63"/>
        </w:trPr>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6"/>
              </w:rPr>
              <w:t>101.DEF</w:t>
            </w:r>
          </w:p>
        </w:tc>
        <w:tc>
          <w:tcPr>
            <w:tcW w:w="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63"/>
        </w:trPr>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101.LAB</w:t>
            </w:r>
          </w:p>
        </w:tc>
        <w:tc>
          <w:tcPr>
            <w:tcW w:w="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63"/>
        </w:trPr>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7"/>
              </w:rPr>
              <w:t>101.PRE</w:t>
            </w:r>
          </w:p>
        </w:tc>
        <w:tc>
          <w:tcPr>
            <w:tcW w:w="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4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40" w:hanging="641"/>
        <w:spacing w:after="0"/>
        <w:tabs>
          <w:tab w:leader="none" w:pos="1040"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Cover Page Interactive Data File (formatted as Inline XBRL)</w:t>
      </w:r>
    </w:p>
    <w:p>
      <w:pPr>
        <w:spacing w:after="0" w:line="205"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Filed herewith</w:t>
      </w:r>
    </w:p>
    <w:p>
      <w:pPr>
        <w:spacing w:after="0" w:line="108" w:lineRule="exact"/>
        <w:rPr>
          <w:rFonts w:ascii="Times New Roman" w:cs="Times New Roman" w:eastAsia="Times New Roman" w:hAnsi="Times New Roman"/>
          <w:sz w:val="16"/>
          <w:szCs w:val="16"/>
          <w:color w:val="auto"/>
        </w:rPr>
      </w:pPr>
    </w:p>
    <w:p>
      <w:pPr>
        <w:ind w:left="360" w:hanging="355"/>
        <w:spacing w:after="0"/>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-577850</wp:posOffset>
            </wp:positionV>
            <wp:extent cx="6931025" cy="133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31025" cy="13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67310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0"/>
          </w:cols>
          <w:pgMar w:left="740" w:top="1066" w:right="239" w:bottom="1440" w:gutter="0" w:footer="0" w:header="0"/>
        </w:sectPr>
      </w:pPr>
    </w:p>
    <w:bookmarkStart w:id="61" w:name="page62"/>
    <w:bookmarkEnd w:id="61"/>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0" w:lineRule="exact"/>
        <w:rPr>
          <w:sz w:val="20"/>
          <w:szCs w:val="20"/>
          <w:color w:val="auto"/>
        </w:rPr>
      </w:pPr>
    </w:p>
    <w:p>
      <w:pPr>
        <w:ind w:firstLine="630"/>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5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660" w:type="dxa"/>
            <w:vAlign w:val="bottom"/>
            <w:gridSpan w:val="2"/>
          </w:tcPr>
          <w:p>
            <w:pPr>
              <w:ind w:left="1640"/>
              <w:spacing w:after="0"/>
              <w:rPr>
                <w:sz w:val="20"/>
                <w:szCs w:val="20"/>
                <w:color w:val="auto"/>
              </w:rPr>
            </w:pPr>
            <w:r>
              <w:rPr>
                <w:rFonts w:ascii="Times New Roman" w:cs="Times New Roman" w:eastAsia="Times New Roman" w:hAnsi="Times New Roman"/>
                <w:sz w:val="16"/>
                <w:szCs w:val="16"/>
                <w:b w:val="1"/>
                <w:bCs w:val="1"/>
                <w:color w:val="auto"/>
              </w:rPr>
              <w:t>LIVEPERSON, INC.</w:t>
            </w:r>
          </w:p>
        </w:tc>
      </w:tr>
      <w:tr>
        <w:trPr>
          <w:trHeight w:val="210"/>
        </w:trPr>
        <w:tc>
          <w:tcPr>
            <w:tcW w:w="5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6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(Registrant)</w:t>
            </w:r>
          </w:p>
        </w:tc>
        <w:tc>
          <w:tcPr>
            <w:tcW w:w="5200" w:type="dxa"/>
            <w:vAlign w:val="bottom"/>
          </w:tcPr>
          <w:p>
            <w:pPr>
              <w:spacing w:after="0"/>
              <w:rPr>
                <w:sz w:val="18"/>
                <w:szCs w:val="18"/>
                <w:color w:val="auto"/>
              </w:rPr>
            </w:pPr>
          </w:p>
        </w:tc>
      </w:tr>
      <w:tr>
        <w:trPr>
          <w:trHeight w:val="459"/>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2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August 9, 2022</w:t>
            </w:r>
          </w:p>
        </w:tc>
        <w:tc>
          <w:tcPr>
            <w:tcW w:w="246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ROBERT P. LOCASCIO</w:t>
            </w:r>
          </w:p>
        </w:tc>
      </w:tr>
      <w:tr>
        <w:trPr>
          <w:trHeight w:val="204"/>
        </w:trPr>
        <w:tc>
          <w:tcPr>
            <w:tcW w:w="5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6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Name:</w:t>
            </w:r>
          </w:p>
        </w:tc>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Robert P. LoCascio</w:t>
            </w:r>
          </w:p>
        </w:tc>
      </w:tr>
      <w:tr>
        <w:trPr>
          <w:trHeight w:val="209"/>
        </w:trPr>
        <w:tc>
          <w:tcPr>
            <w:tcW w:w="5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6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Title:</w:t>
            </w:r>
          </w:p>
        </w:tc>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(principal executive officer)</w:t>
            </w:r>
          </w:p>
        </w:tc>
      </w:tr>
      <w:tr>
        <w:trPr>
          <w:trHeight w:val="459"/>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2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August 9, 2022</w:t>
            </w:r>
          </w:p>
        </w:tc>
        <w:tc>
          <w:tcPr>
            <w:tcW w:w="246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JOHN D. COLLINS</w:t>
            </w:r>
          </w:p>
        </w:tc>
      </w:tr>
      <w:tr>
        <w:trPr>
          <w:trHeight w:val="204"/>
        </w:trPr>
        <w:tc>
          <w:tcPr>
            <w:tcW w:w="5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6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Name:</w:t>
            </w:r>
          </w:p>
        </w:tc>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John D. Collins</w:t>
            </w:r>
          </w:p>
        </w:tc>
      </w:tr>
      <w:tr>
        <w:trPr>
          <w:trHeight w:val="209"/>
        </w:trPr>
        <w:tc>
          <w:tcPr>
            <w:tcW w:w="5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60" w:type="dxa"/>
            <w:vAlign w:val="bottom"/>
          </w:tcPr>
          <w:p>
            <w:pPr>
              <w:ind w:left="1640"/>
              <w:spacing w:after="0"/>
              <w:rPr>
                <w:sz w:val="20"/>
                <w:szCs w:val="20"/>
                <w:color w:val="auto"/>
              </w:rPr>
            </w:pPr>
            <w:r>
              <w:rPr>
                <w:rFonts w:ascii="Times New Roman" w:cs="Times New Roman" w:eastAsia="Times New Roman" w:hAnsi="Times New Roman"/>
                <w:sz w:val="16"/>
                <w:szCs w:val="16"/>
                <w:color w:val="auto"/>
              </w:rPr>
              <w:t>Title:</w:t>
            </w:r>
          </w:p>
        </w:tc>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064"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P. LoCascio, certify that:</w:t>
      </w:r>
    </w:p>
    <w:p>
      <w:pPr>
        <w:spacing w:after="0" w:line="95" w:lineRule="exact"/>
        <w:rPr>
          <w:sz w:val="20"/>
          <w:szCs w:val="20"/>
          <w:color w:val="auto"/>
        </w:rPr>
      </w:pPr>
    </w:p>
    <w:p>
      <w:pPr>
        <w:ind w:left="320" w:hanging="315"/>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LivePerson, Inc.;</w:t>
      </w:r>
    </w:p>
    <w:p>
      <w:pPr>
        <w:spacing w:after="0" w:line="94" w:lineRule="exact"/>
        <w:rPr>
          <w:rFonts w:ascii="Times New Roman" w:cs="Times New Roman" w:eastAsia="Times New Roman" w:hAnsi="Times New Roman"/>
          <w:sz w:val="18"/>
          <w:szCs w:val="18"/>
          <w:color w:val="auto"/>
        </w:rPr>
      </w:pPr>
    </w:p>
    <w:p>
      <w:pPr>
        <w:ind w:left="320" w:right="260" w:hanging="315"/>
        <w:spacing w:after="0" w:line="325" w:lineRule="auto"/>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0" w:right="60" w:hanging="315"/>
        <w:spacing w:after="0" w:line="267"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Times New Roman" w:cs="Times New Roman" w:eastAsia="Times New Roman" w:hAnsi="Times New Roman"/>
          <w:sz w:val="18"/>
          <w:szCs w:val="18"/>
          <w:color w:val="auto"/>
        </w:rPr>
      </w:pPr>
    </w:p>
    <w:p>
      <w:pPr>
        <w:ind w:left="320" w:right="20" w:hanging="315"/>
        <w:spacing w:after="0" w:line="255"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sz w:val="20"/>
          <w:szCs w:val="20"/>
          <w:color w:val="auto"/>
        </w:rPr>
      </w:pPr>
    </w:p>
    <w:p>
      <w:pPr>
        <w:ind w:left="320" w:right="180" w:hanging="315"/>
        <w:spacing w:after="0" w:line="255" w:lineRule="auto"/>
        <w:tabs>
          <w:tab w:leader="none" w:pos="31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8"/>
          <w:szCs w:val="18"/>
          <w:color w:val="auto"/>
        </w:rPr>
      </w:pPr>
    </w:p>
    <w:p>
      <w:pPr>
        <w:ind w:left="320" w:right="100" w:hanging="315"/>
        <w:spacing w:after="0" w:line="255" w:lineRule="auto"/>
        <w:tabs>
          <w:tab w:leader="none" w:pos="3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8"/>
          <w:szCs w:val="18"/>
          <w:color w:val="auto"/>
        </w:rPr>
      </w:pPr>
    </w:p>
    <w:p>
      <w:pPr>
        <w:ind w:left="320" w:right="80" w:hanging="315"/>
        <w:spacing w:after="0" w:line="267" w:lineRule="auto"/>
        <w:tabs>
          <w:tab w:leader="none" w:pos="31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Times New Roman" w:cs="Times New Roman" w:eastAsia="Times New Roman" w:hAnsi="Times New Roman"/>
          <w:sz w:val="18"/>
          <w:szCs w:val="18"/>
          <w:color w:val="auto"/>
        </w:rPr>
      </w:pPr>
    </w:p>
    <w:p>
      <w:pPr>
        <w:ind w:left="320" w:right="40" w:hanging="315"/>
        <w:spacing w:after="0" w:line="255" w:lineRule="auto"/>
        <w:tabs>
          <w:tab w:leader="none" w:pos="3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320" w:right="440" w:hanging="315"/>
        <w:spacing w:after="0" w:line="267"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sz w:val="20"/>
          <w:szCs w:val="20"/>
          <w:color w:val="auto"/>
        </w:rPr>
      </w:pPr>
    </w:p>
    <w:p>
      <w:pPr>
        <w:ind w:left="320" w:right="280" w:hanging="315"/>
        <w:spacing w:after="0" w:line="267" w:lineRule="auto"/>
        <w:tabs>
          <w:tab w:leader="none" w:pos="31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Times New Roman" w:cs="Times New Roman" w:eastAsia="Times New Roman" w:hAnsi="Times New Roman"/>
          <w:sz w:val="18"/>
          <w:szCs w:val="18"/>
          <w:color w:val="auto"/>
        </w:rPr>
      </w:pPr>
    </w:p>
    <w:p>
      <w:pPr>
        <w:ind w:left="320" w:right="500" w:hanging="315"/>
        <w:spacing w:after="0" w:line="267" w:lineRule="auto"/>
        <w:tabs>
          <w:tab w:leader="none" w:pos="31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78"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August 9, 2022</w:t>
            </w:r>
          </w:p>
        </w:tc>
        <w:tc>
          <w:tcPr>
            <w:tcW w:w="24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P. LOCASCIO</w:t>
            </w:r>
          </w:p>
        </w:tc>
      </w:tr>
      <w:tr>
        <w:trPr>
          <w:trHeight w:val="212"/>
        </w:trPr>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4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Name: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P. LoCascio</w:t>
            </w:r>
          </w:p>
        </w:tc>
      </w:tr>
      <w:tr>
        <w:trPr>
          <w:trHeight w:val="228"/>
        </w:trPr>
        <w:tc>
          <w:tcPr>
            <w:tcW w:w="6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4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Title:</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bl>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Collins, certify that:</w:t>
      </w:r>
    </w:p>
    <w:p>
      <w:pPr>
        <w:spacing w:after="0" w:line="95" w:lineRule="exact"/>
        <w:rPr>
          <w:sz w:val="20"/>
          <w:szCs w:val="20"/>
          <w:color w:val="auto"/>
        </w:rPr>
      </w:pPr>
    </w:p>
    <w:p>
      <w:pPr>
        <w:ind w:left="320" w:hanging="315"/>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LivePerson, Inc.;</w:t>
      </w:r>
    </w:p>
    <w:p>
      <w:pPr>
        <w:spacing w:after="0" w:line="94" w:lineRule="exact"/>
        <w:rPr>
          <w:rFonts w:ascii="Times New Roman" w:cs="Times New Roman" w:eastAsia="Times New Roman" w:hAnsi="Times New Roman"/>
          <w:sz w:val="18"/>
          <w:szCs w:val="18"/>
          <w:color w:val="auto"/>
        </w:rPr>
      </w:pPr>
    </w:p>
    <w:p>
      <w:pPr>
        <w:ind w:left="320" w:right="260" w:hanging="315"/>
        <w:spacing w:after="0" w:line="325" w:lineRule="auto"/>
        <w:tabs>
          <w:tab w:leader="none" w:pos="3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0" w:right="60" w:hanging="315"/>
        <w:spacing w:after="0" w:line="267" w:lineRule="auto"/>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Times New Roman" w:cs="Times New Roman" w:eastAsia="Times New Roman" w:hAnsi="Times New Roman"/>
          <w:sz w:val="18"/>
          <w:szCs w:val="18"/>
          <w:color w:val="auto"/>
        </w:rPr>
      </w:pPr>
    </w:p>
    <w:p>
      <w:pPr>
        <w:ind w:left="320" w:right="20" w:hanging="315"/>
        <w:spacing w:after="0" w:line="255" w:lineRule="auto"/>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sz w:val="20"/>
          <w:szCs w:val="20"/>
          <w:color w:val="auto"/>
        </w:rPr>
      </w:pPr>
    </w:p>
    <w:p>
      <w:pPr>
        <w:ind w:left="320" w:right="180" w:hanging="315"/>
        <w:spacing w:after="0" w:line="255" w:lineRule="auto"/>
        <w:tabs>
          <w:tab w:leader="none" w:pos="31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8"/>
          <w:szCs w:val="18"/>
          <w:color w:val="auto"/>
        </w:rPr>
      </w:pPr>
    </w:p>
    <w:p>
      <w:pPr>
        <w:ind w:left="320" w:right="100" w:hanging="315"/>
        <w:spacing w:after="0" w:line="255" w:lineRule="auto"/>
        <w:tabs>
          <w:tab w:leader="none" w:pos="31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8"/>
          <w:szCs w:val="18"/>
          <w:color w:val="auto"/>
        </w:rPr>
      </w:pPr>
    </w:p>
    <w:p>
      <w:pPr>
        <w:ind w:left="320" w:right="80" w:hanging="315"/>
        <w:spacing w:after="0" w:line="267" w:lineRule="auto"/>
        <w:tabs>
          <w:tab w:leader="none" w:pos="31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Times New Roman" w:cs="Times New Roman" w:eastAsia="Times New Roman" w:hAnsi="Times New Roman"/>
          <w:sz w:val="18"/>
          <w:szCs w:val="18"/>
          <w:color w:val="auto"/>
        </w:rPr>
      </w:pPr>
    </w:p>
    <w:p>
      <w:pPr>
        <w:ind w:left="320" w:right="40" w:hanging="315"/>
        <w:spacing w:after="0" w:line="255" w:lineRule="auto"/>
        <w:tabs>
          <w:tab w:leader="none" w:pos="31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320" w:right="440" w:hanging="315"/>
        <w:spacing w:after="0" w:line="267" w:lineRule="auto"/>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sz w:val="20"/>
          <w:szCs w:val="20"/>
          <w:color w:val="auto"/>
        </w:rPr>
      </w:pPr>
    </w:p>
    <w:p>
      <w:pPr>
        <w:ind w:left="320" w:right="280" w:hanging="315"/>
        <w:spacing w:after="0" w:line="267" w:lineRule="auto"/>
        <w:tabs>
          <w:tab w:leader="none" w:pos="31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Times New Roman" w:cs="Times New Roman" w:eastAsia="Times New Roman" w:hAnsi="Times New Roman"/>
          <w:sz w:val="18"/>
          <w:szCs w:val="18"/>
          <w:color w:val="auto"/>
        </w:rPr>
      </w:pPr>
    </w:p>
    <w:p>
      <w:pPr>
        <w:ind w:left="320" w:right="500" w:hanging="315"/>
        <w:spacing w:after="0" w:line="267" w:lineRule="auto"/>
        <w:tabs>
          <w:tab w:leader="none" w:pos="31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78"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August 9, 2022</w:t>
            </w:r>
          </w:p>
        </w:tc>
        <w:tc>
          <w:tcPr>
            <w:tcW w:w="22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Collins</w:t>
            </w:r>
          </w:p>
        </w:tc>
      </w:tr>
      <w:tr>
        <w:trPr>
          <w:trHeight w:val="212"/>
        </w:trPr>
        <w:tc>
          <w:tcPr>
            <w:tcW w:w="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John Collins</w:t>
            </w:r>
          </w:p>
        </w:tc>
      </w:tr>
      <w:tr>
        <w:trPr>
          <w:trHeight w:val="228"/>
        </w:trPr>
        <w:tc>
          <w:tcPr>
            <w:tcW w:w="70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2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bl>
    <w:p>
      <w:pPr>
        <w:sectPr>
          <w:pgSz w:w="11900" w:h="16838" w:orient="portrait"/>
          <w:cols w:equalWidth="0" w:num="1">
            <w:col w:w="11240"/>
          </w:cols>
          <w:pgMar w:left="320" w:top="121"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32.1</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I, Robert P. LoCascio, Chief Executive Officer of LivePerson, Inc. (the “Company”), certify, pursuant to 18 U.S.C. Section 1350, as adopted pursuant to Section 906 of the Sarbanes-Oxley Act of 2002, that:</w:t>
      </w:r>
    </w:p>
    <w:p>
      <w:pPr>
        <w:spacing w:after="0" w:line="51" w:lineRule="exact"/>
        <w:rPr>
          <w:sz w:val="20"/>
          <w:szCs w:val="20"/>
          <w:color w:val="auto"/>
        </w:rPr>
      </w:pPr>
    </w:p>
    <w:p>
      <w:pPr>
        <w:ind w:left="640" w:right="260" w:hanging="320"/>
        <w:spacing w:after="0" w:line="267" w:lineRule="auto"/>
        <w:tabs>
          <w:tab w:leader="none" w:pos="63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period ended June 30, 2022, as filed with the Securities and Exchange Commission (the “Report”), fully complies with the requirements of Section 13(a) or 15(d) of the Securities Exchange Act of 1934; and</w:t>
      </w:r>
    </w:p>
    <w:p>
      <w:pPr>
        <w:spacing w:after="0" w:line="38" w:lineRule="exact"/>
        <w:rPr>
          <w:rFonts w:ascii="Times New Roman" w:cs="Times New Roman" w:eastAsia="Times New Roman" w:hAnsi="Times New Roman"/>
          <w:sz w:val="18"/>
          <w:szCs w:val="18"/>
          <w:color w:val="auto"/>
        </w:rPr>
      </w:pPr>
    </w:p>
    <w:p>
      <w:pPr>
        <w:ind w:left="620" w:hanging="300"/>
        <w:spacing w:after="0"/>
        <w:tabs>
          <w:tab w:leader="none" w:pos="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4" w:lineRule="exact"/>
        <w:rPr>
          <w:sz w:val="20"/>
          <w:szCs w:val="20"/>
          <w:color w:val="auto"/>
        </w:rPr>
      </w:pPr>
    </w:p>
    <w:tbl>
      <w:tblPr>
        <w:tblLayout w:type="fixed"/>
        <w:tblInd w:w="160" w:type="dxa"/>
        <w:tblCellMar>
          <w:top w:w="0" w:type="dxa"/>
          <w:left w:w="0" w:type="dxa"/>
          <w:bottom w:w="0" w:type="dxa"/>
          <w:right w:w="0" w:type="dxa"/>
        </w:tblCellMar>
      </w:tblPr>
      <w:tr>
        <w:trPr>
          <w:trHeight w:val="22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August 9, 2022</w:t>
            </w:r>
          </w:p>
        </w:tc>
        <w:tc>
          <w:tcPr>
            <w:tcW w:w="24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P. LOCASCIO</w:t>
            </w:r>
          </w:p>
        </w:tc>
      </w:tr>
      <w:tr>
        <w:trPr>
          <w:trHeight w:val="212"/>
        </w:trPr>
        <w:tc>
          <w:tcPr>
            <w:tcW w:w="6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4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Name:</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P. LoCascio</w:t>
            </w:r>
          </w:p>
        </w:tc>
      </w:tr>
      <w:tr>
        <w:trPr>
          <w:trHeight w:val="228"/>
        </w:trPr>
        <w:tc>
          <w:tcPr>
            <w:tcW w:w="6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42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bl>
    <w:p>
      <w:pPr>
        <w:spacing w:after="0" w:line="1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240"/>
          </w:cols>
          <w:pgMar w:left="320" w:top="121"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32.2</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I, John Collins, Chief Financial Officer of LivePerson, Inc. (the “Company”), certify, pursuant to 18 U.S.C. Section 1350, as adopted pursuant to Section 906 of the Sarbanes-Oxley Act of 2002, that:</w:t>
      </w:r>
    </w:p>
    <w:p>
      <w:pPr>
        <w:spacing w:after="0" w:line="51" w:lineRule="exact"/>
        <w:rPr>
          <w:sz w:val="20"/>
          <w:szCs w:val="20"/>
          <w:color w:val="auto"/>
        </w:rPr>
      </w:pPr>
    </w:p>
    <w:p>
      <w:pPr>
        <w:ind w:left="640" w:right="260" w:hanging="320"/>
        <w:spacing w:after="0" w:line="267" w:lineRule="auto"/>
        <w:tabs>
          <w:tab w:leader="none" w:pos="63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period ended June 30, 2022, as filed with the Securities and Exchange Commission (the “Report”), fully complies with the requirements of Section 13(a) or 15(d) of the Securities Exchange Act of 1934; and</w:t>
      </w:r>
    </w:p>
    <w:p>
      <w:pPr>
        <w:spacing w:after="0" w:line="38" w:lineRule="exact"/>
        <w:rPr>
          <w:rFonts w:ascii="Times New Roman" w:cs="Times New Roman" w:eastAsia="Times New Roman" w:hAnsi="Times New Roman"/>
          <w:sz w:val="18"/>
          <w:szCs w:val="18"/>
          <w:color w:val="auto"/>
        </w:rPr>
      </w:pPr>
    </w:p>
    <w:p>
      <w:pPr>
        <w:ind w:left="620" w:hanging="300"/>
        <w:spacing w:after="0"/>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4" w:lineRule="exact"/>
        <w:rPr>
          <w:sz w:val="20"/>
          <w:szCs w:val="20"/>
          <w:color w:val="auto"/>
        </w:rPr>
      </w:pPr>
    </w:p>
    <w:tbl>
      <w:tblPr>
        <w:tblLayout w:type="fixed"/>
        <w:tblInd w:w="140" w:type="dxa"/>
        <w:tblCellMar>
          <w:top w:w="0" w:type="dxa"/>
          <w:left w:w="0" w:type="dxa"/>
          <w:bottom w:w="0" w:type="dxa"/>
          <w:right w:w="0" w:type="dxa"/>
        </w:tblCellMar>
      </w:tblPr>
      <w:tr>
        <w:trPr>
          <w:trHeight w:val="22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August 9, 2022</w:t>
            </w:r>
          </w:p>
        </w:tc>
        <w:tc>
          <w:tcPr>
            <w:tcW w:w="24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Collins</w:t>
            </w:r>
          </w:p>
        </w:tc>
      </w:tr>
      <w:tr>
        <w:trPr>
          <w:trHeight w:val="212"/>
        </w:trPr>
        <w:tc>
          <w:tcPr>
            <w:tcW w:w="7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Name:</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John Collins</w:t>
            </w:r>
          </w:p>
        </w:tc>
      </w:tr>
      <w:tr>
        <w:trPr>
          <w:trHeight w:val="228"/>
        </w:trPr>
        <w:tc>
          <w:tcPr>
            <w:tcW w:w="7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Title:</w:t>
            </w: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bl>
    <w:p>
      <w:pPr>
        <w:spacing w:after="0" w:line="1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4"/>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lvl w:ilvl="1">
      <w:lvlJc w:val="left"/>
      <w:lvlText w:val="%2"/>
      <w:numFmt w:val="decimal"/>
      <w:start w:val="104"/>
    </w:lvl>
  </w:abstractNum>
  <w:abstractNum w:abstractNumId="26">
    <w:nsid w:val="6CEAF087"/>
    <w:multiLevelType w:val="hybridMultilevel"/>
    <w:lvl w:ilvl="0">
      <w:lvlJc w:val="left"/>
      <w:lvlText w:val="**"/>
      <w:numFmt w:val="bullet"/>
      <w:start w:val="1"/>
    </w:lvl>
    <w:lvl w:ilvl="1">
      <w:lvlJc w:val="left"/>
      <w:lvlText w:val="%2"/>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decimal"/>
      <w:start w:val="5"/>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5"/>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2022-08-09T19:47:32Z</dcterms:created>
  <dcterms:modified xsi:type="dcterms:W3CDTF">2022-08-09T19:47:32Z</dcterms:modified>
</cp:coreProperties>
</file>