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94" w:lineRule="exact"/>
        <w:rPr>
          <w:sz w:val="24"/>
          <w:szCs w:val="24"/>
          <w:color w:val="auto"/>
        </w:rPr>
      </w:pPr>
    </w:p>
    <w:p>
      <w:pPr>
        <w:jc w:val="both"/>
        <w:ind w:left="4120" w:right="4120" w:hanging="16"/>
        <w:spacing w:after="0" w:line="382" w:lineRule="auto"/>
        <w:tabs>
          <w:tab w:leader="none" w:pos="4477"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QUARTERLY REPORT PURSUANT TO SECTION 13 OR 15(d) OF THE SECURITIES</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98" w:lineRule="exact"/>
        <w:rPr>
          <w:sz w:val="24"/>
          <w:szCs w:val="24"/>
          <w:color w:val="auto"/>
        </w:rPr>
      </w:pPr>
    </w:p>
    <w:p>
      <w:pPr>
        <w:jc w:val="center"/>
        <w:ind w:left="4680" w:right="2520" w:hanging="2171"/>
        <w:spacing w:after="0" w:line="270" w:lineRule="auto"/>
        <w:tabs>
          <w:tab w:leader="none" w:pos="2687"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6" w:lineRule="exact"/>
        <w:rPr>
          <w:sz w:val="24"/>
          <w:szCs w:val="24"/>
          <w:color w:val="auto"/>
        </w:rPr>
      </w:pPr>
    </w:p>
    <w:p>
      <w:pPr>
        <w:ind w:left="2920"/>
        <w:spacing w:after="0"/>
        <w:rPr>
          <w:sz w:val="20"/>
          <w:szCs w:val="20"/>
          <w:color w:val="auto"/>
        </w:rPr>
      </w:pPr>
      <w:r>
        <w:rPr>
          <w:rFonts w:ascii="Arial" w:cs="Arial" w:eastAsia="Arial" w:hAnsi="Arial"/>
          <w:sz w:val="16"/>
          <w:szCs w:val="16"/>
          <w:b w:val="1"/>
          <w:bCs w:val="1"/>
          <w:color w:val="auto"/>
        </w:rPr>
        <w:t>For the transition period from ____________________ to ____________________</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000-30141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27940</wp:posOffset>
            </wp:positionV>
            <wp:extent cx="707517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5240"/>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63" w:lineRule="exact"/>
        <w:rPr>
          <w:sz w:val="24"/>
          <w:szCs w:val="24"/>
          <w:color w:val="auto"/>
        </w:rPr>
      </w:pPr>
    </w:p>
    <w:tbl>
      <w:tblPr>
        <w:tblLayout w:type="fixed"/>
        <w:tblInd w:w="80" w:type="dxa"/>
        <w:tblCellMar>
          <w:top w:w="0" w:type="dxa"/>
          <w:left w:w="0" w:type="dxa"/>
          <w:bottom w:w="0" w:type="dxa"/>
          <w:right w:w="0" w:type="dxa"/>
        </w:tblCellMar>
      </w:tblPr>
      <w:tr>
        <w:trPr>
          <w:trHeight w:val="200"/>
        </w:trPr>
        <w:tc>
          <w:tcPr>
            <w:tcW w:w="1500" w:type="dxa"/>
            <w:vAlign w:val="bottom"/>
          </w:tcPr>
          <w:p>
            <w:pPr>
              <w:spacing w:after="0"/>
              <w:rPr>
                <w:sz w:val="17"/>
                <w:szCs w:val="17"/>
                <w:color w:val="auto"/>
              </w:rPr>
            </w:pPr>
          </w:p>
        </w:tc>
        <w:tc>
          <w:tcPr>
            <w:tcW w:w="3220" w:type="dxa"/>
            <w:vAlign w:val="bottom"/>
          </w:tcPr>
          <w:p>
            <w:pPr>
              <w:jc w:val="center"/>
              <w:ind w:left="384"/>
              <w:spacing w:after="0"/>
              <w:rPr>
                <w:sz w:val="20"/>
                <w:szCs w:val="20"/>
                <w:color w:val="auto"/>
              </w:rPr>
            </w:pPr>
            <w:r>
              <w:rPr>
                <w:rFonts w:ascii="Arial" w:cs="Arial" w:eastAsia="Arial" w:hAnsi="Arial"/>
                <w:sz w:val="16"/>
                <w:szCs w:val="16"/>
                <w:color w:val="auto"/>
                <w:w w:val="88"/>
              </w:rPr>
              <w:t>Delaware</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20" w:type="dxa"/>
            <w:vAlign w:val="bottom"/>
          </w:tcPr>
          <w:p>
            <w:pPr>
              <w:jc w:val="right"/>
              <w:ind w:right="1446"/>
              <w:spacing w:after="0"/>
              <w:rPr>
                <w:sz w:val="20"/>
                <w:szCs w:val="20"/>
                <w:color w:val="auto"/>
              </w:rPr>
            </w:pPr>
            <w:r>
              <w:rPr>
                <w:rFonts w:ascii="Arial" w:cs="Arial" w:eastAsia="Arial" w:hAnsi="Arial"/>
                <w:sz w:val="16"/>
                <w:szCs w:val="16"/>
                <w:color w:val="auto"/>
              </w:rPr>
              <w:t>13-3861628</w:t>
            </w:r>
          </w:p>
        </w:tc>
        <w:tc>
          <w:tcPr>
            <w:tcW w:w="1500" w:type="dxa"/>
            <w:vAlign w:val="bottom"/>
          </w:tcPr>
          <w:p>
            <w:pPr>
              <w:spacing w:after="0"/>
              <w:rPr>
                <w:sz w:val="17"/>
                <w:szCs w:val="17"/>
                <w:color w:val="auto"/>
              </w:rPr>
            </w:pPr>
          </w:p>
        </w:tc>
      </w:tr>
      <w:tr>
        <w:trPr>
          <w:trHeight w:val="28"/>
        </w:trPr>
        <w:tc>
          <w:tcPr>
            <w:tcW w:w="1500" w:type="dxa"/>
            <w:vAlign w:val="bottom"/>
          </w:tcPr>
          <w:p>
            <w:pPr>
              <w:spacing w:after="0"/>
              <w:rPr>
                <w:sz w:val="2"/>
                <w:szCs w:val="2"/>
                <w:color w:val="auto"/>
              </w:rPr>
            </w:pPr>
          </w:p>
        </w:tc>
        <w:tc>
          <w:tcPr>
            <w:tcW w:w="3700" w:type="dxa"/>
            <w:vAlign w:val="bottom"/>
            <w:tcBorders>
              <w:bottom w:val="single" w:sz="8" w:color="auto"/>
            </w:tcBorders>
            <w:gridSpan w:val="2"/>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195"/>
        </w:trPr>
        <w:tc>
          <w:tcPr>
            <w:tcW w:w="1500" w:type="dxa"/>
            <w:vAlign w:val="bottom"/>
          </w:tcPr>
          <w:p>
            <w:pPr>
              <w:spacing w:after="0"/>
              <w:rPr>
                <w:sz w:val="16"/>
                <w:szCs w:val="16"/>
                <w:color w:val="auto"/>
              </w:rPr>
            </w:pPr>
          </w:p>
        </w:tc>
        <w:tc>
          <w:tcPr>
            <w:tcW w:w="4880" w:type="dxa"/>
            <w:vAlign w:val="bottom"/>
            <w:gridSpan w:val="4"/>
          </w:tcPr>
          <w:p>
            <w:pPr>
              <w:jc w:val="center"/>
              <w:ind w:right="1200"/>
              <w:spacing w:after="0"/>
              <w:rPr>
                <w:sz w:val="20"/>
                <w:szCs w:val="20"/>
                <w:color w:val="auto"/>
              </w:rPr>
            </w:pPr>
            <w:r>
              <w:rPr>
                <w:rFonts w:ascii="Arial" w:cs="Arial" w:eastAsia="Arial" w:hAnsi="Arial"/>
                <w:sz w:val="14"/>
                <w:szCs w:val="14"/>
                <w:color w:val="auto"/>
                <w:w w:val="92"/>
              </w:rPr>
              <w:t>(State or Other Jurisdiction of Incorporation or Organization)</w:t>
            </w:r>
          </w:p>
        </w:tc>
        <w:tc>
          <w:tcPr>
            <w:tcW w:w="4720" w:type="dxa"/>
            <w:vAlign w:val="bottom"/>
            <w:gridSpan w:val="2"/>
          </w:tcPr>
          <w:p>
            <w:pPr>
              <w:jc w:val="center"/>
              <w:ind w:right="2100"/>
              <w:spacing w:after="0"/>
              <w:rPr>
                <w:sz w:val="20"/>
                <w:szCs w:val="20"/>
                <w:color w:val="auto"/>
              </w:rPr>
            </w:pPr>
            <w:r>
              <w:rPr>
                <w:rFonts w:ascii="Arial" w:cs="Arial" w:eastAsia="Arial" w:hAnsi="Arial"/>
                <w:sz w:val="14"/>
                <w:szCs w:val="14"/>
                <w:color w:val="auto"/>
                <w:w w:val="95"/>
              </w:rPr>
              <w:t>(IRS Employer Identification No.)</w:t>
            </w:r>
          </w:p>
        </w:tc>
      </w:tr>
      <w:tr>
        <w:trPr>
          <w:trHeight w:val="380"/>
        </w:trPr>
        <w:tc>
          <w:tcPr>
            <w:tcW w:w="1500" w:type="dxa"/>
            <w:vAlign w:val="bottom"/>
          </w:tcPr>
          <w:p>
            <w:pPr>
              <w:spacing w:after="0"/>
              <w:rPr>
                <w:sz w:val="24"/>
                <w:szCs w:val="24"/>
                <w:color w:val="auto"/>
              </w:rPr>
            </w:pPr>
          </w:p>
        </w:tc>
        <w:tc>
          <w:tcPr>
            <w:tcW w:w="3220" w:type="dxa"/>
            <w:vAlign w:val="bottom"/>
          </w:tcPr>
          <w:p>
            <w:pPr>
              <w:jc w:val="center"/>
              <w:ind w:left="384"/>
              <w:spacing w:after="0"/>
              <w:rPr>
                <w:sz w:val="20"/>
                <w:szCs w:val="20"/>
                <w:color w:val="auto"/>
              </w:rPr>
            </w:pPr>
            <w:r>
              <w:rPr>
                <w:rFonts w:ascii="Arial" w:cs="Arial" w:eastAsia="Arial" w:hAnsi="Arial"/>
                <w:sz w:val="16"/>
                <w:szCs w:val="16"/>
                <w:color w:val="auto"/>
                <w:w w:val="88"/>
              </w:rPr>
              <w:t>475 Tenth Avenue, 5th Floor</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5"/>
        </w:trPr>
        <w:tc>
          <w:tcPr>
            <w:tcW w:w="1500" w:type="dxa"/>
            <w:vAlign w:val="bottom"/>
          </w:tcPr>
          <w:p>
            <w:pPr>
              <w:spacing w:after="0"/>
              <w:rPr>
                <w:sz w:val="20"/>
                <w:szCs w:val="20"/>
                <w:color w:val="auto"/>
              </w:rPr>
            </w:pPr>
          </w:p>
        </w:tc>
        <w:tc>
          <w:tcPr>
            <w:tcW w:w="3220" w:type="dxa"/>
            <w:vAlign w:val="bottom"/>
          </w:tcPr>
          <w:p>
            <w:pPr>
              <w:jc w:val="center"/>
              <w:ind w:left="344"/>
              <w:spacing w:after="0"/>
              <w:rPr>
                <w:sz w:val="20"/>
                <w:szCs w:val="20"/>
                <w:color w:val="auto"/>
              </w:rPr>
            </w:pPr>
            <w:r>
              <w:rPr>
                <w:rFonts w:ascii="Arial" w:cs="Arial" w:eastAsia="Arial" w:hAnsi="Arial"/>
                <w:sz w:val="16"/>
                <w:szCs w:val="16"/>
                <w:color w:val="auto"/>
                <w:w w:val="92"/>
              </w:rPr>
              <w:t>New York, New York</w:t>
            </w: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20" w:type="dxa"/>
            <w:vAlign w:val="bottom"/>
          </w:tcPr>
          <w:p>
            <w:pPr>
              <w:jc w:val="right"/>
              <w:ind w:right="1626"/>
              <w:spacing w:after="0"/>
              <w:rPr>
                <w:sz w:val="20"/>
                <w:szCs w:val="20"/>
                <w:color w:val="auto"/>
              </w:rPr>
            </w:pPr>
            <w:r>
              <w:rPr>
                <w:rFonts w:ascii="Arial" w:cs="Arial" w:eastAsia="Arial" w:hAnsi="Arial"/>
                <w:sz w:val="16"/>
                <w:szCs w:val="16"/>
                <w:color w:val="auto"/>
              </w:rPr>
              <w:t>10018</w:t>
            </w:r>
          </w:p>
        </w:tc>
        <w:tc>
          <w:tcPr>
            <w:tcW w:w="1500" w:type="dxa"/>
            <w:vAlign w:val="bottom"/>
          </w:tcPr>
          <w:p>
            <w:pPr>
              <w:spacing w:after="0"/>
              <w:rPr>
                <w:sz w:val="20"/>
                <w:szCs w:val="20"/>
                <w:color w:val="auto"/>
              </w:rPr>
            </w:pPr>
          </w:p>
        </w:tc>
      </w:tr>
      <w:tr>
        <w:trPr>
          <w:trHeight w:val="28"/>
        </w:trPr>
        <w:tc>
          <w:tcPr>
            <w:tcW w:w="150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195"/>
        </w:trPr>
        <w:tc>
          <w:tcPr>
            <w:tcW w:w="1500" w:type="dxa"/>
            <w:vAlign w:val="bottom"/>
          </w:tcPr>
          <w:p>
            <w:pPr>
              <w:spacing w:after="0"/>
              <w:rPr>
                <w:sz w:val="16"/>
                <w:szCs w:val="16"/>
                <w:color w:val="auto"/>
              </w:rPr>
            </w:pPr>
          </w:p>
        </w:tc>
        <w:tc>
          <w:tcPr>
            <w:tcW w:w="3220" w:type="dxa"/>
            <w:vAlign w:val="bottom"/>
          </w:tcPr>
          <w:p>
            <w:pPr>
              <w:jc w:val="center"/>
              <w:ind w:left="404"/>
              <w:spacing w:after="0"/>
              <w:rPr>
                <w:sz w:val="20"/>
                <w:szCs w:val="20"/>
                <w:color w:val="auto"/>
              </w:rPr>
            </w:pPr>
            <w:r>
              <w:rPr>
                <w:rFonts w:ascii="Arial" w:cs="Arial" w:eastAsia="Arial" w:hAnsi="Arial"/>
                <w:sz w:val="14"/>
                <w:szCs w:val="14"/>
                <w:color w:val="auto"/>
                <w:w w:val="93"/>
              </w:rPr>
              <w:t>(Address of Principal Executive Offices)</w:t>
            </w: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720" w:type="dxa"/>
            <w:vAlign w:val="bottom"/>
            <w:gridSpan w:val="2"/>
          </w:tcPr>
          <w:p>
            <w:pPr>
              <w:jc w:val="center"/>
              <w:ind w:right="2100"/>
              <w:spacing w:after="0"/>
              <w:rPr>
                <w:sz w:val="20"/>
                <w:szCs w:val="20"/>
                <w:color w:val="auto"/>
              </w:rPr>
            </w:pPr>
            <w:r>
              <w:rPr>
                <w:rFonts w:ascii="Arial" w:cs="Arial" w:eastAsia="Arial" w:hAnsi="Arial"/>
                <w:sz w:val="14"/>
                <w:szCs w:val="14"/>
                <w:color w:val="auto"/>
                <w:w w:val="93"/>
              </w:rPr>
              <w:t>(Zip Code)</w:t>
            </w:r>
          </w:p>
        </w:tc>
      </w:tr>
      <w:tr>
        <w:trPr>
          <w:trHeight w:val="298"/>
        </w:trPr>
        <w:tc>
          <w:tcPr>
            <w:tcW w:w="1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60" w:type="dxa"/>
            <w:vAlign w:val="bottom"/>
            <w:gridSpan w:val="3"/>
          </w:tcPr>
          <w:p>
            <w:pPr>
              <w:jc w:val="right"/>
              <w:ind w:right="340"/>
              <w:spacing w:after="0"/>
              <w:rPr>
                <w:sz w:val="20"/>
                <w:szCs w:val="20"/>
                <w:color w:val="auto"/>
              </w:rPr>
            </w:pPr>
            <w:r>
              <w:rPr>
                <w:rFonts w:ascii="Arial" w:cs="Arial" w:eastAsia="Arial" w:hAnsi="Arial"/>
                <w:sz w:val="16"/>
                <w:szCs w:val="16"/>
                <w:color w:val="auto"/>
              </w:rPr>
              <w:t>(212) 609-4200</w:t>
            </w:r>
          </w:p>
        </w:tc>
        <w:tc>
          <w:tcPr>
            <w:tcW w:w="3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0"/>
        </w:trPr>
        <w:tc>
          <w:tcPr>
            <w:tcW w:w="1500" w:type="dxa"/>
            <w:vAlign w:val="bottom"/>
          </w:tcPr>
          <w:p>
            <w:pPr>
              <w:spacing w:after="0"/>
              <w:rPr>
                <w:sz w:val="17"/>
                <w:szCs w:val="17"/>
                <w:color w:val="auto"/>
              </w:rPr>
            </w:pPr>
          </w:p>
        </w:tc>
        <w:tc>
          <w:tcPr>
            <w:tcW w:w="9600" w:type="dxa"/>
            <w:vAlign w:val="bottom"/>
            <w:gridSpan w:val="6"/>
          </w:tcPr>
          <w:p>
            <w:pPr>
              <w:ind w:left="2300"/>
              <w:spacing w:after="0"/>
              <w:rPr>
                <w:sz w:val="20"/>
                <w:szCs w:val="20"/>
                <w:color w:val="auto"/>
              </w:rPr>
            </w:pPr>
            <w:r>
              <w:rPr>
                <w:rFonts w:ascii="Arial" w:cs="Arial" w:eastAsia="Arial" w:hAnsi="Arial"/>
                <w:sz w:val="16"/>
                <w:szCs w:val="16"/>
                <w:color w:val="auto"/>
              </w:rPr>
              <w:t>(Registrant’s Telephone Number, Including Area Code)</w:t>
            </w:r>
          </w:p>
        </w:tc>
      </w:tr>
      <w:tr>
        <w:trPr>
          <w:trHeight w:val="329"/>
        </w:trPr>
        <w:tc>
          <w:tcPr>
            <w:tcW w:w="4720" w:type="dxa"/>
            <w:vAlign w:val="bottom"/>
            <w:gridSpan w:val="2"/>
          </w:tcPr>
          <w:p>
            <w:pPr>
              <w:ind w:left="20"/>
              <w:spacing w:after="0"/>
              <w:rPr>
                <w:sz w:val="20"/>
                <w:szCs w:val="20"/>
                <w:color w:val="auto"/>
              </w:rPr>
            </w:pPr>
            <w:r>
              <w:rPr>
                <w:rFonts w:ascii="Arial" w:cs="Arial" w:eastAsia="Arial" w:hAnsi="Arial"/>
                <w:sz w:val="16"/>
                <w:szCs w:val="16"/>
                <w:color w:val="auto"/>
              </w:rPr>
              <w:t>Securities registered pursuant to Section 12(b) of the Act:</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
        </w:trPr>
        <w:tc>
          <w:tcPr>
            <w:tcW w:w="472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4720" w:type="dxa"/>
            <w:vAlign w:val="bottom"/>
            <w:tcBorders>
              <w:bottom w:val="single" w:sz="8" w:color="auto"/>
            </w:tcBorders>
            <w:gridSpan w:val="2"/>
          </w:tcPr>
          <w:p>
            <w:pPr>
              <w:spacing w:after="0"/>
              <w:rPr>
                <w:sz w:val="2"/>
                <w:szCs w:val="2"/>
                <w:color w:val="auto"/>
              </w:rPr>
            </w:pPr>
          </w:p>
        </w:tc>
      </w:tr>
      <w:tr>
        <w:trPr>
          <w:trHeight w:val="187"/>
        </w:trPr>
        <w:tc>
          <w:tcPr>
            <w:tcW w:w="4720" w:type="dxa"/>
            <w:vAlign w:val="bottom"/>
            <w:gridSpan w:val="2"/>
          </w:tcPr>
          <w:p>
            <w:pPr>
              <w:jc w:val="center"/>
              <w:ind w:right="664"/>
              <w:spacing w:after="0"/>
              <w:rPr>
                <w:sz w:val="20"/>
                <w:szCs w:val="20"/>
                <w:color w:val="auto"/>
              </w:rPr>
            </w:pPr>
            <w:r>
              <w:rPr>
                <w:rFonts w:ascii="Arial" w:cs="Arial" w:eastAsia="Arial" w:hAnsi="Arial"/>
                <w:sz w:val="14"/>
                <w:szCs w:val="14"/>
                <w:color w:val="auto"/>
                <w:w w:val="90"/>
              </w:rPr>
              <w:t>Title of each class</w:t>
            </w:r>
          </w:p>
        </w:tc>
        <w:tc>
          <w:tcPr>
            <w:tcW w:w="1660" w:type="dxa"/>
            <w:vAlign w:val="bottom"/>
            <w:gridSpan w:val="3"/>
          </w:tcPr>
          <w:p>
            <w:pPr>
              <w:jc w:val="right"/>
              <w:ind w:right="360"/>
              <w:spacing w:after="0"/>
              <w:rPr>
                <w:sz w:val="20"/>
                <w:szCs w:val="20"/>
                <w:color w:val="auto"/>
              </w:rPr>
            </w:pPr>
            <w:r>
              <w:rPr>
                <w:rFonts w:ascii="Arial" w:cs="Arial" w:eastAsia="Arial" w:hAnsi="Arial"/>
                <w:sz w:val="14"/>
                <w:szCs w:val="14"/>
                <w:color w:val="auto"/>
              </w:rPr>
              <w:t>Trading Symbol(s)</w:t>
            </w:r>
          </w:p>
        </w:tc>
        <w:tc>
          <w:tcPr>
            <w:tcW w:w="4720" w:type="dxa"/>
            <w:vAlign w:val="bottom"/>
            <w:gridSpan w:val="2"/>
          </w:tcPr>
          <w:p>
            <w:pPr>
              <w:jc w:val="center"/>
              <w:ind w:left="546"/>
              <w:spacing w:after="0"/>
              <w:rPr>
                <w:sz w:val="20"/>
                <w:szCs w:val="20"/>
                <w:color w:val="auto"/>
              </w:rPr>
            </w:pPr>
            <w:r>
              <w:rPr>
                <w:rFonts w:ascii="Arial" w:cs="Arial" w:eastAsia="Arial" w:hAnsi="Arial"/>
                <w:sz w:val="14"/>
                <w:szCs w:val="14"/>
                <w:color w:val="auto"/>
                <w:w w:val="90"/>
              </w:rPr>
              <w:t>Name of each exchange on which registered</w:t>
            </w:r>
          </w:p>
        </w:tc>
      </w:tr>
      <w:tr>
        <w:trPr>
          <w:trHeight w:val="29"/>
        </w:trPr>
        <w:tc>
          <w:tcPr>
            <w:tcW w:w="47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720" w:type="dxa"/>
            <w:vAlign w:val="bottom"/>
            <w:tcBorders>
              <w:bottom w:val="single" w:sz="8" w:color="auto"/>
            </w:tcBorders>
            <w:gridSpan w:val="2"/>
          </w:tcPr>
          <w:p>
            <w:pPr>
              <w:spacing w:after="0"/>
              <w:rPr>
                <w:sz w:val="2"/>
                <w:szCs w:val="2"/>
                <w:color w:val="auto"/>
              </w:rPr>
            </w:pPr>
          </w:p>
        </w:tc>
      </w:tr>
      <w:tr>
        <w:trPr>
          <w:trHeight w:val="202"/>
        </w:trPr>
        <w:tc>
          <w:tcPr>
            <w:tcW w:w="4720" w:type="dxa"/>
            <w:vAlign w:val="bottom"/>
            <w:gridSpan w:val="2"/>
          </w:tcPr>
          <w:p>
            <w:pPr>
              <w:jc w:val="center"/>
              <w:ind w:right="644"/>
              <w:spacing w:after="0"/>
              <w:rPr>
                <w:sz w:val="20"/>
                <w:szCs w:val="20"/>
                <w:color w:val="auto"/>
              </w:rPr>
            </w:pPr>
            <w:r>
              <w:rPr>
                <w:rFonts w:ascii="Arial" w:cs="Arial" w:eastAsia="Arial" w:hAnsi="Arial"/>
                <w:sz w:val="16"/>
                <w:szCs w:val="16"/>
                <w:color w:val="auto"/>
                <w:w w:val="87"/>
              </w:rPr>
              <w:t>Common Stock, par value $0.001 per share</w:t>
            </w:r>
          </w:p>
        </w:tc>
        <w:tc>
          <w:tcPr>
            <w:tcW w:w="480" w:type="dxa"/>
            <w:vAlign w:val="bottom"/>
          </w:tcPr>
          <w:p>
            <w:pPr>
              <w:spacing w:after="0"/>
              <w:rPr>
                <w:sz w:val="17"/>
                <w:szCs w:val="17"/>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6"/>
                <w:szCs w:val="16"/>
                <w:color w:val="auto"/>
              </w:rPr>
              <w:t>LPSN</w:t>
            </w:r>
          </w:p>
        </w:tc>
        <w:tc>
          <w:tcPr>
            <w:tcW w:w="4720" w:type="dxa"/>
            <w:vAlign w:val="bottom"/>
            <w:gridSpan w:val="2"/>
          </w:tcPr>
          <w:p>
            <w:pPr>
              <w:jc w:val="center"/>
              <w:ind w:left="546"/>
              <w:spacing w:after="0"/>
              <w:rPr>
                <w:sz w:val="20"/>
                <w:szCs w:val="20"/>
                <w:color w:val="auto"/>
              </w:rPr>
            </w:pPr>
            <w:r>
              <w:rPr>
                <w:rFonts w:ascii="Arial" w:cs="Arial" w:eastAsia="Arial" w:hAnsi="Arial"/>
                <w:sz w:val="16"/>
                <w:szCs w:val="16"/>
                <w:color w:val="auto"/>
                <w:w w:val="90"/>
              </w:rPr>
              <w:t>The Nasdaq Stock Market LLC</w:t>
            </w:r>
          </w:p>
        </w:tc>
      </w:tr>
    </w:tbl>
    <w:p>
      <w:pPr>
        <w:spacing w:after="0" w:line="200" w:lineRule="exact"/>
        <w:rPr>
          <w:sz w:val="24"/>
          <w:szCs w:val="24"/>
          <w:color w:val="auto"/>
        </w:rPr>
      </w:pPr>
    </w:p>
    <w:p>
      <w:pPr>
        <w:ind w:right="160"/>
        <w:spacing w:after="0" w:line="20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5" w:lineRule="exact"/>
        <w:rPr>
          <w:sz w:val="24"/>
          <w:szCs w:val="24"/>
          <w:color w:val="auto"/>
        </w:rPr>
      </w:pPr>
    </w:p>
    <w:p>
      <w:pPr>
        <w:ind w:right="120"/>
        <w:spacing w:after="0" w:line="20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211" w:lineRule="exact"/>
        <w:rPr>
          <w:sz w:val="24"/>
          <w:szCs w:val="24"/>
          <w:color w:val="auto"/>
        </w:rPr>
      </w:pPr>
    </w:p>
    <w:tbl>
      <w:tblPr>
        <w:tblLayout w:type="fixed"/>
        <w:tblInd w:w="140" w:type="dxa"/>
        <w:tblCellMar>
          <w:top w:w="0" w:type="dxa"/>
          <w:left w:w="0" w:type="dxa"/>
          <w:bottom w:w="0" w:type="dxa"/>
          <w:right w:w="0" w:type="dxa"/>
        </w:tblCellMar>
      </w:tblPr>
      <w:tr>
        <w:trPr>
          <w:trHeight w:val="235"/>
        </w:trPr>
        <w:tc>
          <w:tcPr>
            <w:tcW w:w="21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30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5"/>
        </w:trPr>
        <w:tc>
          <w:tcPr>
            <w:tcW w:w="21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30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1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0" w:type="dxa"/>
            <w:vAlign w:val="bottom"/>
          </w:tcPr>
          <w:p>
            <w:pPr>
              <w:ind w:left="1300"/>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ind w:right="380"/>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8" w:lineRule="exact"/>
        <w:rPr>
          <w:sz w:val="24"/>
          <w:szCs w:val="24"/>
          <w:color w:val="auto"/>
        </w:rPr>
      </w:pPr>
    </w:p>
    <w:p>
      <w:pPr>
        <w:ind w:right="3300"/>
        <w:spacing w:after="0" w:line="25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On November 4, 2020, 66,885,182 shares of the registrant’s common stock were outstanding.</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60"/>
          </w:cols>
          <w:pgMar w:left="320" w:top="593"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LIVEPERSON,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September 30, 2020</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INDEX</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80" w:type="dxa"/>
            <w:vAlign w:val="bottom"/>
          </w:tcPr>
          <w:p>
            <w:pPr>
              <w:spacing w:after="0"/>
              <w:rPr>
                <w:sz w:val="17"/>
                <w:szCs w:val="17"/>
                <w:color w:val="auto"/>
              </w:rPr>
            </w:pPr>
          </w:p>
        </w:tc>
        <w:tc>
          <w:tcPr>
            <w:tcW w:w="9280" w:type="dxa"/>
            <w:vAlign w:val="bottom"/>
          </w:tcPr>
          <w:p>
            <w:pPr>
              <w:spacing w:after="0"/>
              <w:rPr>
                <w:sz w:val="17"/>
                <w:szCs w:val="17"/>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6"/>
                <w:szCs w:val="16"/>
                <w:color w:val="auto"/>
              </w:rPr>
              <w:t>PAGE</w:t>
            </w:r>
          </w:p>
        </w:tc>
      </w:tr>
      <w:tr>
        <w:trPr>
          <w:trHeight w:val="25"/>
        </w:trPr>
        <w:tc>
          <w:tcPr>
            <w:tcW w:w="980" w:type="dxa"/>
            <w:vAlign w:val="bottom"/>
            <w:tcBorders>
              <w:bottom w:val="single" w:sz="8" w:color="CCFFCC"/>
            </w:tcBorders>
          </w:tcPr>
          <w:p>
            <w:pPr>
              <w:spacing w:after="0"/>
              <w:rPr>
                <w:sz w:val="2"/>
                <w:szCs w:val="2"/>
                <w:color w:val="auto"/>
              </w:rPr>
            </w:pPr>
          </w:p>
        </w:tc>
        <w:tc>
          <w:tcPr>
            <w:tcW w:w="9280" w:type="dxa"/>
            <w:vAlign w:val="bottom"/>
            <w:tcBorders>
              <w:bottom w:val="single" w:sz="8" w:color="CCFFC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07"/>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Part I.</w:t>
            </w:r>
          </w:p>
        </w:tc>
        <w:tc>
          <w:tcPr>
            <w:tcW w:w="9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Financial Information</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r>
      <w:tr>
        <w:trPr>
          <w:trHeight w:val="235"/>
        </w:trPr>
        <w:tc>
          <w:tcPr>
            <w:tcW w:w="98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1.</w:t>
            </w:r>
          </w:p>
        </w:tc>
        <w:tc>
          <w:tcPr>
            <w:tcW w:w="9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Financial Statements (Unaudited):</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r>
      <w:tr>
        <w:trPr>
          <w:trHeight w:val="235"/>
        </w:trPr>
        <w:tc>
          <w:tcPr>
            <w:tcW w:w="98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Borders>
              <w:bottom w:val="single" w:sz="8" w:color="CCFFCC"/>
            </w:tcBorders>
            <w:shd w:val="clear" w:color="auto" w:fill="CCFFCC"/>
          </w:tcPr>
          <w:p>
            <w:pPr>
              <w:spacing w:after="0"/>
              <w:rPr>
                <w:sz w:val="18"/>
                <w:szCs w:val="18"/>
                <w:color w:val="auto"/>
              </w:rPr>
            </w:pPr>
          </w:p>
        </w:tc>
        <w:tc>
          <w:tcPr>
            <w:tcW w:w="9280" w:type="dxa"/>
            <w:vAlign w:val="bottom"/>
            <w:tcBorders>
              <w:bottom w:val="single" w:sz="8" w:color="CCFFCC"/>
            </w:tcBorders>
            <w:shd w:val="clear" w:color="auto" w:fill="CCFFCC"/>
          </w:tcPr>
          <w:p>
            <w:pPr>
              <w:ind w:left="580"/>
              <w:spacing w:after="0"/>
              <w:rPr>
                <w:sz w:val="20"/>
                <w:szCs w:val="20"/>
                <w:color w:val="auto"/>
              </w:rPr>
            </w:pPr>
            <w:r>
              <w:rPr>
                <w:rFonts w:ascii="Arial" w:cs="Arial" w:eastAsia="Arial" w:hAnsi="Arial"/>
                <w:sz w:val="16"/>
                <w:szCs w:val="16"/>
                <w:color w:val="auto"/>
              </w:rPr>
              <w:t>Condensed Consolidated Balance Sheets as of September 30, 2020 and December 31, 2019</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5</w:t>
              </w:r>
            </w:hyperlink>
          </w:p>
        </w:tc>
      </w:tr>
      <w:tr>
        <w:trPr>
          <w:trHeight w:val="235"/>
        </w:trPr>
        <w:tc>
          <w:tcPr>
            <w:tcW w:w="98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Borders>
              <w:bottom w:val="single" w:sz="8" w:color="CCFFCC"/>
            </w:tcBorders>
            <w:shd w:val="clear" w:color="auto" w:fill="CCFFCC"/>
          </w:tcPr>
          <w:p>
            <w:pPr>
              <w:spacing w:after="0"/>
              <w:rPr>
                <w:sz w:val="18"/>
                <w:szCs w:val="18"/>
                <w:color w:val="auto"/>
              </w:rPr>
            </w:pPr>
          </w:p>
        </w:tc>
        <w:tc>
          <w:tcPr>
            <w:tcW w:w="9280" w:type="dxa"/>
            <w:vAlign w:val="bottom"/>
            <w:tcBorders>
              <w:bottom w:val="single" w:sz="8" w:color="CCFFCC"/>
            </w:tcBorders>
            <w:shd w:val="clear" w:color="auto" w:fill="CCFFCC"/>
          </w:tcPr>
          <w:p>
            <w:pPr>
              <w:ind w:left="580"/>
              <w:spacing w:after="0"/>
              <w:rPr>
                <w:sz w:val="20"/>
                <w:szCs w:val="20"/>
                <w:color w:val="auto"/>
              </w:rPr>
            </w:pPr>
            <w:r>
              <w:rPr>
                <w:rFonts w:ascii="Arial" w:cs="Arial" w:eastAsia="Arial" w:hAnsi="Arial"/>
                <w:sz w:val="16"/>
                <w:szCs w:val="16"/>
                <w:color w:val="auto"/>
              </w:rPr>
              <w:t>Condensed Consolidated Statements of Operations for the Three and Nine Months Ended September 30, 2020 and 2019</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6</w:t>
              </w:r>
            </w:hyperlink>
          </w:p>
        </w:tc>
      </w:tr>
      <w:tr>
        <w:trPr>
          <w:trHeight w:val="235"/>
        </w:trPr>
        <w:tc>
          <w:tcPr>
            <w:tcW w:w="98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Borders>
              <w:bottom w:val="single" w:sz="8" w:color="CCFFCC"/>
            </w:tcBorders>
            <w:shd w:val="clear" w:color="auto" w:fill="CCFFCC"/>
          </w:tcPr>
          <w:p>
            <w:pPr>
              <w:spacing w:after="0"/>
              <w:rPr>
                <w:sz w:val="18"/>
                <w:szCs w:val="18"/>
                <w:color w:val="auto"/>
              </w:rPr>
            </w:pPr>
          </w:p>
        </w:tc>
        <w:tc>
          <w:tcPr>
            <w:tcW w:w="9280" w:type="dxa"/>
            <w:vAlign w:val="bottom"/>
            <w:tcBorders>
              <w:bottom w:val="single" w:sz="8" w:color="CCFFCC"/>
            </w:tcBorders>
            <w:shd w:val="clear" w:color="auto" w:fill="CCFFCC"/>
          </w:tcPr>
          <w:p>
            <w:pPr>
              <w:ind w:left="580"/>
              <w:spacing w:after="0"/>
              <w:rPr>
                <w:sz w:val="20"/>
                <w:szCs w:val="20"/>
                <w:color w:val="auto"/>
              </w:rPr>
            </w:pPr>
            <w:r>
              <w:rPr>
                <w:rFonts w:ascii="Arial" w:cs="Arial" w:eastAsia="Arial" w:hAnsi="Arial"/>
                <w:sz w:val="16"/>
                <w:szCs w:val="16"/>
                <w:color w:val="auto"/>
                <w:w w:val="93"/>
              </w:rPr>
              <w:t>Condensed Consolidated Statements of Comprehensive Loss for the Three and Nine Months Ended September 30, 2020 and 2019</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7</w:t>
              </w:r>
            </w:hyperlink>
          </w:p>
        </w:tc>
      </w:tr>
      <w:tr>
        <w:trPr>
          <w:trHeight w:val="235"/>
        </w:trPr>
        <w:tc>
          <w:tcPr>
            <w:tcW w:w="98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shd w:val="clear" w:color="auto" w:fill="CCFFCC"/>
          </w:tcPr>
          <w:p>
            <w:pPr>
              <w:spacing w:after="0"/>
              <w:rPr>
                <w:sz w:val="18"/>
                <w:szCs w:val="18"/>
                <w:color w:val="auto"/>
              </w:rPr>
            </w:pPr>
          </w:p>
        </w:tc>
        <w:tc>
          <w:tcPr>
            <w:tcW w:w="9280" w:type="dxa"/>
            <w:vAlign w:val="bottom"/>
            <w:shd w:val="clear" w:color="auto" w:fill="CCFFCC"/>
          </w:tcPr>
          <w:p>
            <w:pPr>
              <w:ind w:left="580"/>
              <w:spacing w:after="0" w:line="176" w:lineRule="exact"/>
              <w:rPr>
                <w:sz w:val="20"/>
                <w:szCs w:val="20"/>
                <w:color w:val="auto"/>
              </w:rPr>
            </w:pPr>
            <w:r>
              <w:rPr>
                <w:rFonts w:ascii="Arial" w:cs="Arial" w:eastAsia="Arial" w:hAnsi="Arial"/>
                <w:sz w:val="16"/>
                <w:szCs w:val="16"/>
                <w:color w:val="auto"/>
                <w:w w:val="93"/>
              </w:rPr>
              <w:t>Condensed Consolidated Statements of Stockholders' Equity for the Three and Nine Months Ended September 30, 2020 and 2019</w:t>
            </w:r>
          </w:p>
        </w:tc>
        <w:tc>
          <w:tcPr>
            <w:tcW w:w="1000" w:type="dxa"/>
            <w:vAlign w:val="bottom"/>
            <w:gridSpan w:val="3"/>
            <w:shd w:val="clear" w:color="auto" w:fill="CCFFCC"/>
          </w:tcPr>
          <w:p>
            <w:pPr>
              <w:jc w:val="right"/>
              <w:ind w:right="120"/>
              <w:spacing w:after="0" w:line="176" w:lineRule="exact"/>
              <w:rPr>
                <w:sz w:val="20"/>
                <w:szCs w:val="20"/>
                <w:color w:val="auto"/>
              </w:rPr>
            </w:pPr>
            <w:r>
              <w:rPr>
                <w:rFonts w:ascii="Arial" w:cs="Arial" w:eastAsia="Arial" w:hAnsi="Arial"/>
                <w:sz w:val="16"/>
                <w:szCs w:val="16"/>
                <w:color w:val="0000FF"/>
              </w:rPr>
              <w:t>7</w:t>
            </w:r>
          </w:p>
        </w:tc>
      </w:tr>
      <w:tr>
        <w:trPr>
          <w:trHeight w:val="235"/>
        </w:trPr>
        <w:tc>
          <w:tcPr>
            <w:tcW w:w="980" w:type="dxa"/>
            <w:vAlign w:val="bottom"/>
            <w:tcBorders>
              <w:top w:val="single" w:sz="8" w:color="CCFFCC"/>
            </w:tcBorders>
          </w:tcPr>
          <w:p>
            <w:pPr>
              <w:spacing w:after="0"/>
              <w:rPr>
                <w:sz w:val="20"/>
                <w:szCs w:val="20"/>
                <w:color w:val="auto"/>
              </w:rPr>
            </w:pPr>
          </w:p>
        </w:tc>
        <w:tc>
          <w:tcPr>
            <w:tcW w:w="9280" w:type="dxa"/>
            <w:vAlign w:val="bottom"/>
            <w:tcBorders>
              <w:top w:val="single" w:sz="8" w:color="CCFFCC"/>
            </w:tcBorders>
          </w:tcPr>
          <w:p>
            <w:pPr>
              <w:spacing w:after="0"/>
              <w:rPr>
                <w:sz w:val="20"/>
                <w:szCs w:val="20"/>
                <w:color w:val="auto"/>
              </w:rPr>
            </w:pPr>
          </w:p>
        </w:tc>
        <w:tc>
          <w:tcPr>
            <w:tcW w:w="800" w:type="dxa"/>
            <w:vAlign w:val="bottom"/>
            <w:tcBorders>
              <w:top w:val="single" w:sz="8" w:color="CCFFCC"/>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r>
      <w:tr>
        <w:trPr>
          <w:trHeight w:val="215"/>
        </w:trPr>
        <w:tc>
          <w:tcPr>
            <w:tcW w:w="980" w:type="dxa"/>
            <w:vAlign w:val="bottom"/>
            <w:tcBorders>
              <w:bottom w:val="single" w:sz="8" w:color="CCFFCC"/>
            </w:tcBorders>
            <w:shd w:val="clear" w:color="auto" w:fill="CCFFCC"/>
          </w:tcPr>
          <w:p>
            <w:pPr>
              <w:spacing w:after="0"/>
              <w:rPr>
                <w:sz w:val="18"/>
                <w:szCs w:val="18"/>
                <w:color w:val="auto"/>
              </w:rPr>
            </w:pPr>
          </w:p>
        </w:tc>
        <w:tc>
          <w:tcPr>
            <w:tcW w:w="9280" w:type="dxa"/>
            <w:vAlign w:val="bottom"/>
            <w:tcBorders>
              <w:bottom w:val="single" w:sz="8" w:color="CCFFCC"/>
            </w:tcBorders>
            <w:shd w:val="clear" w:color="auto" w:fill="CCFFCC"/>
          </w:tcPr>
          <w:p>
            <w:pPr>
              <w:ind w:left="580"/>
              <w:spacing w:after="0"/>
              <w:rPr>
                <w:sz w:val="20"/>
                <w:szCs w:val="20"/>
                <w:color w:val="auto"/>
              </w:rPr>
            </w:pPr>
            <w:r>
              <w:rPr>
                <w:rFonts w:ascii="Arial" w:cs="Arial" w:eastAsia="Arial" w:hAnsi="Arial"/>
                <w:sz w:val="16"/>
                <w:szCs w:val="16"/>
                <w:color w:val="auto"/>
              </w:rPr>
              <w:t>Condensed Consolidated Statements of Cash Flows for the Nine Months Ended September 30, 2020 and 2019</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10</w:t>
              </w:r>
            </w:hyperlink>
          </w:p>
        </w:tc>
      </w:tr>
      <w:tr>
        <w:trPr>
          <w:trHeight w:val="282"/>
        </w:trPr>
        <w:tc>
          <w:tcPr>
            <w:tcW w:w="98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5"/>
        </w:trPr>
        <w:tc>
          <w:tcPr>
            <w:tcW w:w="980" w:type="dxa"/>
            <w:vAlign w:val="bottom"/>
            <w:tcBorders>
              <w:bottom w:val="single" w:sz="8" w:color="CCFFCC"/>
            </w:tcBorders>
            <w:shd w:val="clear" w:color="auto" w:fill="CCFFCC"/>
          </w:tcPr>
          <w:p>
            <w:pPr>
              <w:spacing w:after="0"/>
              <w:rPr>
                <w:sz w:val="18"/>
                <w:szCs w:val="18"/>
                <w:color w:val="auto"/>
              </w:rPr>
            </w:pPr>
          </w:p>
        </w:tc>
        <w:tc>
          <w:tcPr>
            <w:tcW w:w="9280" w:type="dxa"/>
            <w:vAlign w:val="bottom"/>
            <w:tcBorders>
              <w:bottom w:val="single" w:sz="8" w:color="CCFFCC"/>
            </w:tcBorders>
            <w:shd w:val="clear" w:color="auto" w:fill="CCFFCC"/>
          </w:tcPr>
          <w:p>
            <w:pPr>
              <w:ind w:left="580"/>
              <w:spacing w:after="0"/>
              <w:rPr>
                <w:sz w:val="20"/>
                <w:szCs w:val="20"/>
                <w:color w:val="auto"/>
              </w:rPr>
            </w:pPr>
            <w:r>
              <w:rPr>
                <w:rFonts w:ascii="Arial" w:cs="Arial" w:eastAsia="Arial" w:hAnsi="Arial"/>
                <w:sz w:val="16"/>
                <w:szCs w:val="16"/>
                <w:color w:val="auto"/>
              </w:rPr>
              <w:t>Notes to Condensed Consolidated Financial Statements</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12</w:t>
              </w:r>
            </w:hyperlink>
          </w:p>
        </w:tc>
      </w:tr>
      <w:tr>
        <w:trPr>
          <w:trHeight w:val="235"/>
        </w:trPr>
        <w:tc>
          <w:tcPr>
            <w:tcW w:w="98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2.</w:t>
            </w:r>
          </w:p>
        </w:tc>
        <w:tc>
          <w:tcPr>
            <w:tcW w:w="9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38</w:t>
              </w:r>
            </w:hyperlink>
          </w:p>
        </w:tc>
      </w:tr>
      <w:tr>
        <w:trPr>
          <w:trHeight w:val="235"/>
        </w:trPr>
        <w:tc>
          <w:tcPr>
            <w:tcW w:w="98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3.</w:t>
            </w:r>
          </w:p>
        </w:tc>
        <w:tc>
          <w:tcPr>
            <w:tcW w:w="9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Quantitative and Qualitative Disclosures about Market Risk</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58">
              <w:r>
                <w:rPr>
                  <w:rFonts w:ascii="Arial" w:cs="Arial" w:eastAsia="Arial" w:hAnsi="Arial"/>
                  <w:sz w:val="16"/>
                  <w:szCs w:val="16"/>
                  <w:u w:val="single" w:color="auto"/>
                  <w:color w:val="0000FF"/>
                </w:rPr>
                <w:t>58</w:t>
              </w:r>
            </w:hyperlink>
          </w:p>
        </w:tc>
      </w:tr>
      <w:tr>
        <w:trPr>
          <w:trHeight w:val="235"/>
        </w:trPr>
        <w:tc>
          <w:tcPr>
            <w:tcW w:w="98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4.</w:t>
            </w:r>
          </w:p>
        </w:tc>
        <w:tc>
          <w:tcPr>
            <w:tcW w:w="9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Controls and Procedures</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59</w:t>
              </w:r>
            </w:hyperlink>
          </w:p>
        </w:tc>
      </w:tr>
      <w:tr>
        <w:trPr>
          <w:trHeight w:val="235"/>
        </w:trPr>
        <w:tc>
          <w:tcPr>
            <w:tcW w:w="98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Part II.</w:t>
            </w:r>
          </w:p>
        </w:tc>
        <w:tc>
          <w:tcPr>
            <w:tcW w:w="9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Other Information</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59</w:t>
              </w:r>
            </w:hyperlink>
          </w:p>
        </w:tc>
      </w:tr>
      <w:tr>
        <w:trPr>
          <w:trHeight w:val="235"/>
        </w:trPr>
        <w:tc>
          <w:tcPr>
            <w:tcW w:w="98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1.</w:t>
            </w:r>
          </w:p>
        </w:tc>
        <w:tc>
          <w:tcPr>
            <w:tcW w:w="9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Legal Proceedings</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59</w:t>
              </w:r>
            </w:hyperlink>
          </w:p>
        </w:tc>
      </w:tr>
      <w:tr>
        <w:trPr>
          <w:trHeight w:val="235"/>
        </w:trPr>
        <w:tc>
          <w:tcPr>
            <w:tcW w:w="98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1A.</w:t>
            </w:r>
          </w:p>
        </w:tc>
        <w:tc>
          <w:tcPr>
            <w:tcW w:w="9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Risk Factors</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60</w:t>
              </w:r>
            </w:hyperlink>
          </w:p>
        </w:tc>
      </w:tr>
      <w:tr>
        <w:trPr>
          <w:trHeight w:val="235"/>
        </w:trPr>
        <w:tc>
          <w:tcPr>
            <w:tcW w:w="98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2.</w:t>
            </w:r>
          </w:p>
        </w:tc>
        <w:tc>
          <w:tcPr>
            <w:tcW w:w="9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Unregistered Sales of Equity Securities and Use of Proceeds</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61</w:t>
              </w:r>
            </w:hyperlink>
          </w:p>
        </w:tc>
      </w:tr>
      <w:tr>
        <w:trPr>
          <w:trHeight w:val="235"/>
        </w:trPr>
        <w:tc>
          <w:tcPr>
            <w:tcW w:w="98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3.</w:t>
            </w:r>
          </w:p>
        </w:tc>
        <w:tc>
          <w:tcPr>
            <w:tcW w:w="9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Defaults Upon Senior Securities</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61</w:t>
              </w:r>
            </w:hyperlink>
          </w:p>
        </w:tc>
      </w:tr>
      <w:tr>
        <w:trPr>
          <w:trHeight w:val="235"/>
        </w:trPr>
        <w:tc>
          <w:tcPr>
            <w:tcW w:w="98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4.</w:t>
            </w:r>
          </w:p>
        </w:tc>
        <w:tc>
          <w:tcPr>
            <w:tcW w:w="9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Mine Safety Disclosures</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61</w:t>
              </w:r>
            </w:hyperlink>
          </w:p>
        </w:tc>
      </w:tr>
      <w:tr>
        <w:trPr>
          <w:trHeight w:val="235"/>
        </w:trPr>
        <w:tc>
          <w:tcPr>
            <w:tcW w:w="98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5.</w:t>
            </w:r>
          </w:p>
        </w:tc>
        <w:tc>
          <w:tcPr>
            <w:tcW w:w="9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Other Information</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61</w:t>
              </w:r>
            </w:hyperlink>
          </w:p>
        </w:tc>
      </w:tr>
      <w:tr>
        <w:trPr>
          <w:trHeight w:val="235"/>
        </w:trPr>
        <w:tc>
          <w:tcPr>
            <w:tcW w:w="98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6.</w:t>
            </w:r>
          </w:p>
        </w:tc>
        <w:tc>
          <w:tcPr>
            <w:tcW w:w="9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Exhibits</w:t>
            </w: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62</w:t>
              </w:r>
            </w:hyperlink>
          </w:p>
        </w:tc>
      </w:tr>
      <w:tr>
        <w:trPr>
          <w:trHeight w:val="282"/>
        </w:trPr>
        <w:tc>
          <w:tcPr>
            <w:tcW w:w="98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5"/>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Signatures</w:t>
            </w:r>
          </w:p>
        </w:tc>
        <w:tc>
          <w:tcPr>
            <w:tcW w:w="928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63</w:t>
              </w:r>
            </w:hyperlink>
          </w:p>
        </w:tc>
      </w:tr>
      <w:tr>
        <w:trPr>
          <w:trHeight w:val="375"/>
        </w:trPr>
        <w:tc>
          <w:tcPr>
            <w:tcW w:w="980" w:type="dxa"/>
            <w:vAlign w:val="bottom"/>
          </w:tcPr>
          <w:p>
            <w:pPr>
              <w:spacing w:after="0"/>
              <w:rPr>
                <w:sz w:val="24"/>
                <w:szCs w:val="24"/>
                <w:color w:val="auto"/>
              </w:rPr>
            </w:pPr>
          </w:p>
        </w:tc>
        <w:tc>
          <w:tcPr>
            <w:tcW w:w="9280" w:type="dxa"/>
            <w:vAlign w:val="bottom"/>
          </w:tcPr>
          <w:p>
            <w:pPr>
              <w:ind w:left="4600"/>
              <w:spacing w:after="0"/>
              <w:rPr>
                <w:sz w:val="20"/>
                <w:szCs w:val="20"/>
                <w:color w:val="auto"/>
              </w:rPr>
            </w:pPr>
            <w:r>
              <w:rPr>
                <w:rFonts w:ascii="Arial" w:cs="Arial" w:eastAsia="Arial" w:hAnsi="Arial"/>
                <w:sz w:val="16"/>
                <w:szCs w:val="16"/>
                <w:color w:val="auto"/>
              </w:rPr>
              <w:t>2</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60"/>
          </w:cols>
          <w:pgMar w:left="320" w:top="66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STATEMENTS IN THIS QUARTERLY REPORT ON FORM 10-Q ABOUT LIVEPERSON, INC. (“LIVEPERSON”)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20" w:top="499" w:right="319" w:bottom="1440" w:gutter="0" w:footer="0" w:header="0"/>
        </w:sectPr>
      </w:pPr>
    </w:p>
    <w:bookmarkStart w:id="3" w:name="page4"/>
    <w:bookmarkEnd w:id="3"/>
    <w:p>
      <w:pPr>
        <w:jc w:val="right"/>
        <w:ind w:right="3619"/>
        <w:spacing w:after="0"/>
        <w:rPr>
          <w:sz w:val="20"/>
          <w:szCs w:val="20"/>
          <w:color w:val="auto"/>
        </w:rPr>
      </w:pPr>
      <w:r>
        <w:rPr>
          <w:rFonts w:ascii="Arial" w:cs="Arial" w:eastAsia="Arial" w:hAnsi="Arial"/>
          <w:sz w:val="16"/>
          <w:szCs w:val="16"/>
          <w:color w:val="auto"/>
        </w:rPr>
        <w:t>Part I. Financial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139"/>
          </w:cols>
          <w:pgMar w:left="320" w:top="503" w:right="1440" w:bottom="1440" w:gutter="0" w:footer="0" w:header="0"/>
        </w:sectPr>
      </w:pPr>
    </w:p>
    <w:bookmarkStart w:id="4" w:name="page5"/>
    <w:bookmarkEnd w:id="4"/>
    <w:p>
      <w:pPr>
        <w:ind w:left="4920"/>
        <w:spacing w:after="0"/>
        <w:rPr>
          <w:sz w:val="20"/>
          <w:szCs w:val="20"/>
          <w:color w:val="auto"/>
        </w:rPr>
      </w:pPr>
      <w:r>
        <w:rPr>
          <w:rFonts w:ascii="Arial" w:cs="Arial" w:eastAsia="Arial" w:hAnsi="Arial"/>
          <w:sz w:val="16"/>
          <w:szCs w:val="16"/>
          <w:b w:val="1"/>
          <w:bCs w:val="1"/>
          <w:color w:val="auto"/>
        </w:rPr>
        <w:t>LIVEPERSON, INC.</w:t>
      </w:r>
    </w:p>
    <w:p>
      <w:pPr>
        <w:spacing w:after="0" w:line="98"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3"/>
                <w:szCs w:val="13"/>
                <w:color w:val="auto"/>
              </w:rPr>
            </w:pPr>
          </w:p>
        </w:tc>
        <w:tc>
          <w:tcPr>
            <w:tcW w:w="1240" w:type="dxa"/>
            <w:vAlign w:val="bottom"/>
          </w:tcPr>
          <w:p>
            <w:pPr>
              <w:jc w:val="center"/>
              <w:ind w:right="170"/>
              <w:spacing w:after="0"/>
              <w:rPr>
                <w:sz w:val="20"/>
                <w:szCs w:val="20"/>
                <w:color w:val="auto"/>
              </w:rPr>
            </w:pPr>
            <w:r>
              <w:rPr>
                <w:rFonts w:ascii="Arial" w:cs="Arial" w:eastAsia="Arial" w:hAnsi="Arial"/>
                <w:sz w:val="13"/>
                <w:szCs w:val="13"/>
                <w:b w:val="1"/>
                <w:bCs w:val="1"/>
                <w:color w:val="auto"/>
                <w:w w:val="85"/>
              </w:rPr>
              <w:t>December 31,</w:t>
            </w:r>
          </w:p>
        </w:tc>
      </w:tr>
      <w:tr>
        <w:trPr>
          <w:trHeight w:val="167"/>
        </w:trPr>
        <w:tc>
          <w:tcPr>
            <w:tcW w:w="8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3"/>
                <w:szCs w:val="13"/>
                <w:b w:val="1"/>
                <w:bCs w:val="1"/>
                <w:color w:val="auto"/>
                <w:w w:val="89"/>
              </w:rPr>
              <w:t>2019</w:t>
            </w:r>
          </w:p>
        </w:tc>
      </w:tr>
      <w:tr>
        <w:trPr>
          <w:trHeight w:val="227"/>
        </w:trPr>
        <w:tc>
          <w:tcPr>
            <w:tcW w:w="8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Arial" w:cs="Arial" w:eastAsia="Arial" w:hAnsi="Arial"/>
                <w:sz w:val="13"/>
                <w:szCs w:val="13"/>
                <w:b w:val="1"/>
                <w:bCs w:val="1"/>
                <w:color w:val="auto"/>
                <w:w w:val="86"/>
              </w:rPr>
              <w:t>(Note 1)</w:t>
            </w:r>
          </w:p>
        </w:tc>
      </w:tr>
      <w:tr>
        <w:trPr>
          <w:trHeight w:val="221"/>
        </w:trPr>
        <w:tc>
          <w:tcPr>
            <w:tcW w:w="8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spacing w:after="0"/>
              <w:rPr>
                <w:sz w:val="19"/>
                <w:szCs w:val="19"/>
                <w:color w:val="auto"/>
              </w:rPr>
            </w:pPr>
          </w:p>
        </w:tc>
      </w:tr>
      <w:tr>
        <w:trPr>
          <w:trHeight w:val="207"/>
        </w:trPr>
        <w:tc>
          <w:tcPr>
            <w:tcW w:w="82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9"/>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198,694</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176,523</w:t>
            </w:r>
          </w:p>
        </w:tc>
      </w:tr>
      <w:tr>
        <w:trPr>
          <w:trHeight w:val="195"/>
        </w:trPr>
        <w:tc>
          <w:tcPr>
            <w:tcW w:w="8220" w:type="dxa"/>
            <w:vAlign w:val="bottom"/>
          </w:tcPr>
          <w:p>
            <w:pPr>
              <w:ind w:left="140"/>
              <w:spacing w:after="0"/>
              <w:rPr>
                <w:sz w:val="20"/>
                <w:szCs w:val="20"/>
                <w:color w:val="auto"/>
              </w:rPr>
            </w:pPr>
            <w:r>
              <w:rPr>
                <w:rFonts w:ascii="Arial" w:cs="Arial" w:eastAsia="Arial" w:hAnsi="Arial"/>
                <w:sz w:val="14"/>
                <w:szCs w:val="14"/>
                <w:color w:val="auto"/>
              </w:rPr>
              <w:t>Accounts receivable, net of allowances of $8,994 and $4,226 as of September 30, 2020 and December 31, 2019, respectively</w:t>
            </w:r>
          </w:p>
        </w:tc>
        <w:tc>
          <w:tcPr>
            <w:tcW w:w="22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66,483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87,620</w:t>
            </w:r>
          </w:p>
        </w:tc>
      </w:tr>
      <w:tr>
        <w:trPr>
          <w:trHeight w:val="29"/>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20,112</w:t>
            </w: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13,964</w:t>
            </w:r>
          </w:p>
        </w:tc>
      </w:tr>
      <w:tr>
        <w:trPr>
          <w:trHeight w:val="187"/>
        </w:trPr>
        <w:tc>
          <w:tcPr>
            <w:tcW w:w="822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285,289</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278,107</w:t>
            </w:r>
          </w:p>
        </w:tc>
      </w:tr>
      <w:tr>
        <w:trPr>
          <w:trHeight w:val="29"/>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8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Operating lease right of use asset</w:t>
            </w:r>
          </w:p>
        </w:tc>
        <w:tc>
          <w:tcPr>
            <w:tcW w:w="220" w:type="dxa"/>
            <w:vAlign w:val="bottom"/>
            <w:tcBorders>
              <w:bottom w:val="single" w:sz="8" w:color="CCFFCC"/>
            </w:tcBorders>
            <w:shd w:val="clear" w:color="auto" w:fill="CCFFCC"/>
          </w:tcPr>
          <w:p>
            <w:pPr>
              <w:spacing w:after="0"/>
              <w:rPr>
                <w:sz w:val="17"/>
                <w:szCs w:val="17"/>
                <w:color w:val="auto"/>
              </w:rPr>
            </w:pPr>
          </w:p>
        </w:tc>
        <w:tc>
          <w:tcPr>
            <w:tcW w:w="1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786</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15,680</w:t>
            </w:r>
          </w:p>
        </w:tc>
      </w:tr>
      <w:tr>
        <w:trPr>
          <w:trHeight w:val="195"/>
        </w:trPr>
        <w:tc>
          <w:tcPr>
            <w:tcW w:w="82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91,081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76,236</w:t>
            </w:r>
          </w:p>
        </w:tc>
      </w:tr>
      <w:tr>
        <w:trPr>
          <w:trHeight w:val="29"/>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8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Contract acquisition costs</w:t>
            </w:r>
          </w:p>
        </w:tc>
        <w:tc>
          <w:tcPr>
            <w:tcW w:w="220" w:type="dxa"/>
            <w:vAlign w:val="bottom"/>
            <w:tcBorders>
              <w:bottom w:val="single" w:sz="8" w:color="CCFFCC"/>
            </w:tcBorders>
            <w:shd w:val="clear" w:color="auto" w:fill="CCFFCC"/>
          </w:tcPr>
          <w:p>
            <w:pPr>
              <w:spacing w:after="0"/>
              <w:rPr>
                <w:sz w:val="17"/>
                <w:szCs w:val="17"/>
                <w:color w:val="auto"/>
              </w:rPr>
            </w:pPr>
          </w:p>
        </w:tc>
        <w:tc>
          <w:tcPr>
            <w:tcW w:w="1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41,095</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31,965</w:t>
            </w:r>
          </w:p>
        </w:tc>
      </w:tr>
      <w:tr>
        <w:trPr>
          <w:trHeight w:val="195"/>
        </w:trPr>
        <w:tc>
          <w:tcPr>
            <w:tcW w:w="8220" w:type="dxa"/>
            <w:vAlign w:val="bottom"/>
          </w:tcPr>
          <w:p>
            <w:pPr>
              <w:ind w:left="20"/>
              <w:spacing w:after="0"/>
              <w:rPr>
                <w:sz w:val="20"/>
                <w:szCs w:val="20"/>
                <w:color w:val="auto"/>
              </w:rPr>
            </w:pPr>
            <w:r>
              <w:rPr>
                <w:rFonts w:ascii="Arial" w:cs="Arial" w:eastAsia="Arial" w:hAnsi="Arial"/>
                <w:sz w:val="14"/>
                <w:szCs w:val="14"/>
                <w:color w:val="auto"/>
              </w:rPr>
              <w:t>Intangibles, net</w:t>
            </w:r>
          </w:p>
        </w:tc>
        <w:tc>
          <w:tcPr>
            <w:tcW w:w="22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11,040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11,812</w:t>
            </w:r>
          </w:p>
        </w:tc>
      </w:tr>
      <w:tr>
        <w:trPr>
          <w:trHeight w:val="29"/>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8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CCFFCC"/>
            </w:tcBorders>
            <w:shd w:val="clear" w:color="auto" w:fill="CCFFCC"/>
          </w:tcPr>
          <w:p>
            <w:pPr>
              <w:spacing w:after="0"/>
              <w:rPr>
                <w:sz w:val="17"/>
                <w:szCs w:val="17"/>
                <w:color w:val="auto"/>
              </w:rPr>
            </w:pPr>
          </w:p>
        </w:tc>
        <w:tc>
          <w:tcPr>
            <w:tcW w:w="1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95,086</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94,987</w:t>
            </w:r>
          </w:p>
        </w:tc>
      </w:tr>
      <w:tr>
        <w:trPr>
          <w:trHeight w:val="195"/>
        </w:trPr>
        <w:tc>
          <w:tcPr>
            <w:tcW w:w="822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22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2,194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2,179</w:t>
            </w:r>
          </w:p>
        </w:tc>
      </w:tr>
      <w:tr>
        <w:trPr>
          <w:trHeight w:val="29"/>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1,754</w:t>
            </w: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1,744</w:t>
            </w:r>
          </w:p>
        </w:tc>
      </w:tr>
      <w:tr>
        <w:trPr>
          <w:trHeight w:val="247"/>
        </w:trPr>
        <w:tc>
          <w:tcPr>
            <w:tcW w:w="8220" w:type="dxa"/>
            <w:vAlign w:val="bottom"/>
            <w:tcBorders>
              <w:bottom w:val="single" w:sz="8" w:color="CCFFCC"/>
            </w:tcBorders>
          </w:tcPr>
          <w:p>
            <w:pPr>
              <w:ind w:left="220"/>
              <w:spacing w:after="0"/>
              <w:rPr>
                <w:sz w:val="20"/>
                <w:szCs w:val="20"/>
                <w:color w:val="auto"/>
              </w:rPr>
            </w:pPr>
            <w:r>
              <w:rPr>
                <w:rFonts w:ascii="Arial" w:cs="Arial" w:eastAsia="Arial" w:hAnsi="Arial"/>
                <w:sz w:val="14"/>
                <w:szCs w:val="14"/>
                <w:color w:val="auto"/>
              </w:rPr>
              <w:t>Total assets</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528,325</w:t>
            </w:r>
          </w:p>
        </w:tc>
        <w:tc>
          <w:tcPr>
            <w:tcW w:w="100" w:type="dxa"/>
            <w:vAlign w:val="bottom"/>
            <w:tcBorders>
              <w:bottom w:val="single" w:sz="8" w:color="CCFFC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512,710</w:t>
            </w:r>
          </w:p>
        </w:tc>
      </w:tr>
      <w:tr>
        <w:trPr>
          <w:trHeight w:val="266"/>
        </w:trPr>
        <w:tc>
          <w:tcPr>
            <w:tcW w:w="822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2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240" w:type="dxa"/>
            <w:vAlign w:val="bottom"/>
            <w:shd w:val="clear" w:color="auto" w:fill="CCFFCC"/>
          </w:tcPr>
          <w:p>
            <w:pPr>
              <w:spacing w:after="0"/>
              <w:rPr>
                <w:sz w:val="23"/>
                <w:szCs w:val="23"/>
                <w:color w:val="auto"/>
              </w:rPr>
            </w:pPr>
          </w:p>
        </w:tc>
      </w:tr>
      <w:tr>
        <w:trPr>
          <w:trHeight w:val="207"/>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9"/>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5"/>
        </w:trPr>
        <w:tc>
          <w:tcPr>
            <w:tcW w:w="8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CCFFCC"/>
            </w:tcBorders>
            <w:shd w:val="clear" w:color="auto" w:fill="CCFFCC"/>
          </w:tcPr>
          <w:p>
            <w:pPr>
              <w:spacing w:after="0"/>
              <w:rPr>
                <w:sz w:val="18"/>
                <w:szCs w:val="18"/>
                <w:color w:val="auto"/>
              </w:rPr>
            </w:pPr>
          </w:p>
        </w:tc>
      </w:tr>
      <w:tr>
        <w:trPr>
          <w:trHeight w:val="195"/>
        </w:trPr>
        <w:tc>
          <w:tcPr>
            <w:tcW w:w="82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9,629</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12,302</w:t>
            </w:r>
          </w:p>
        </w:tc>
      </w:tr>
      <w:tr>
        <w:trPr>
          <w:trHeight w:val="29"/>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tcBorders>
              <w:bottom w:val="single" w:sz="8" w:color="CCFFCC"/>
            </w:tcBorders>
            <w:shd w:val="clear" w:color="auto" w:fill="CCFFCC"/>
          </w:tcPr>
          <w:p>
            <w:pPr>
              <w:spacing w:after="0"/>
              <w:rPr>
                <w:sz w:val="17"/>
                <w:szCs w:val="17"/>
                <w:color w:val="auto"/>
              </w:rPr>
            </w:pPr>
          </w:p>
        </w:tc>
        <w:tc>
          <w:tcPr>
            <w:tcW w:w="1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100,138</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62,778</w:t>
            </w:r>
          </w:p>
        </w:tc>
      </w:tr>
      <w:tr>
        <w:trPr>
          <w:trHeight w:val="195"/>
        </w:trPr>
        <w:tc>
          <w:tcPr>
            <w:tcW w:w="8220" w:type="dxa"/>
            <w:vAlign w:val="bottom"/>
          </w:tcPr>
          <w:p>
            <w:pPr>
              <w:ind w:left="14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90,359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88,751</w:t>
            </w:r>
          </w:p>
        </w:tc>
      </w:tr>
      <w:tr>
        <w:trPr>
          <w:trHeight w:val="29"/>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Operating lease liability</w:t>
            </w:r>
          </w:p>
        </w:tc>
        <w:tc>
          <w:tcPr>
            <w:tcW w:w="22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6,295</w:t>
            </w: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6,602</w:t>
            </w:r>
          </w:p>
        </w:tc>
      </w:tr>
      <w:tr>
        <w:trPr>
          <w:trHeight w:val="187"/>
        </w:trPr>
        <w:tc>
          <w:tcPr>
            <w:tcW w:w="822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206,421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170,433</w:t>
            </w:r>
          </w:p>
        </w:tc>
      </w:tr>
      <w:tr>
        <w:trPr>
          <w:trHeight w:val="29"/>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Deferred revenue, net of current portion</w:t>
            </w:r>
          </w:p>
        </w:tc>
        <w:tc>
          <w:tcPr>
            <w:tcW w:w="220" w:type="dxa"/>
            <w:vAlign w:val="bottom"/>
            <w:tcBorders>
              <w:bottom w:val="single" w:sz="8" w:color="CCFFCC"/>
            </w:tcBorders>
            <w:shd w:val="clear" w:color="auto" w:fill="CCFFCC"/>
          </w:tcPr>
          <w:p>
            <w:pPr>
              <w:spacing w:after="0"/>
              <w:rPr>
                <w:sz w:val="17"/>
                <w:szCs w:val="17"/>
                <w:color w:val="auto"/>
              </w:rPr>
            </w:pPr>
          </w:p>
        </w:tc>
        <w:tc>
          <w:tcPr>
            <w:tcW w:w="1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438</w:t>
            </w:r>
          </w:p>
        </w:tc>
      </w:tr>
      <w:tr>
        <w:trPr>
          <w:trHeight w:val="195"/>
        </w:trPr>
        <w:tc>
          <w:tcPr>
            <w:tcW w:w="8220" w:type="dxa"/>
            <w:vAlign w:val="bottom"/>
          </w:tcPr>
          <w:p>
            <w:pPr>
              <w:ind w:left="140"/>
              <w:spacing w:after="0"/>
              <w:rPr>
                <w:sz w:val="20"/>
                <w:szCs w:val="20"/>
                <w:color w:val="auto"/>
              </w:rPr>
            </w:pPr>
            <w:r>
              <w:rPr>
                <w:rFonts w:ascii="Arial" w:cs="Arial" w:eastAsia="Arial" w:hAnsi="Arial"/>
                <w:sz w:val="14"/>
                <w:szCs w:val="14"/>
                <w:color w:val="auto"/>
              </w:rPr>
              <w:t>Convertible senior notes, net</w:t>
            </w:r>
          </w:p>
        </w:tc>
        <w:tc>
          <w:tcPr>
            <w:tcW w:w="22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187,147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179,012</w:t>
            </w:r>
          </w:p>
        </w:tc>
      </w:tr>
      <w:tr>
        <w:trPr>
          <w:trHeight w:val="29"/>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CCFFCC"/>
            </w:tcBorders>
            <w:shd w:val="clear" w:color="auto" w:fill="CCFFCC"/>
          </w:tcPr>
          <w:p>
            <w:pPr>
              <w:spacing w:after="0"/>
              <w:rPr>
                <w:sz w:val="17"/>
                <w:szCs w:val="17"/>
                <w:color w:val="auto"/>
              </w:rPr>
            </w:pPr>
          </w:p>
        </w:tc>
        <w:tc>
          <w:tcPr>
            <w:tcW w:w="1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72</w:t>
            </w:r>
          </w:p>
        </w:tc>
      </w:tr>
      <w:tr>
        <w:trPr>
          <w:trHeight w:val="195"/>
        </w:trPr>
        <w:tc>
          <w:tcPr>
            <w:tcW w:w="8220" w:type="dxa"/>
            <w:vAlign w:val="bottom"/>
          </w:tcPr>
          <w:p>
            <w:pPr>
              <w:ind w:left="140"/>
              <w:spacing w:after="0"/>
              <w:rPr>
                <w:sz w:val="20"/>
                <w:szCs w:val="20"/>
                <w:color w:val="auto"/>
              </w:rPr>
            </w:pPr>
            <w:r>
              <w:rPr>
                <w:rFonts w:ascii="Arial" w:cs="Arial" w:eastAsia="Arial" w:hAnsi="Arial"/>
                <w:sz w:val="14"/>
                <w:szCs w:val="14"/>
                <w:color w:val="auto"/>
              </w:rPr>
              <w:t>Operating lease liability, net of current portion</w:t>
            </w:r>
          </w:p>
        </w:tc>
        <w:tc>
          <w:tcPr>
            <w:tcW w:w="22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9,310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12,865</w:t>
            </w:r>
          </w:p>
        </w:tc>
      </w:tr>
      <w:tr>
        <w:trPr>
          <w:trHeight w:val="29"/>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Deferred tax liability</w:t>
            </w:r>
          </w:p>
        </w:tc>
        <w:tc>
          <w:tcPr>
            <w:tcW w:w="22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1,398</w:t>
            </w: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1,355</w:t>
            </w:r>
          </w:p>
        </w:tc>
      </w:tr>
      <w:tr>
        <w:trPr>
          <w:trHeight w:val="187"/>
        </w:trPr>
        <w:tc>
          <w:tcPr>
            <w:tcW w:w="8220" w:type="dxa"/>
            <w:vAlign w:val="bottom"/>
          </w:tcPr>
          <w:p>
            <w:pPr>
              <w:ind w:left="220"/>
              <w:spacing w:after="0"/>
              <w:rPr>
                <w:sz w:val="20"/>
                <w:szCs w:val="20"/>
                <w:color w:val="auto"/>
              </w:rPr>
            </w:pPr>
            <w:r>
              <w:rPr>
                <w:rFonts w:ascii="Arial" w:cs="Arial" w:eastAsia="Arial" w:hAnsi="Arial"/>
                <w:sz w:val="14"/>
                <w:szCs w:val="14"/>
                <w:color w:val="auto"/>
              </w:rPr>
              <w:t>Total liabilities</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404,630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364,175</w:t>
            </w:r>
          </w:p>
        </w:tc>
      </w:tr>
      <w:tr>
        <w:trPr>
          <w:trHeight w:val="29"/>
        </w:trPr>
        <w:tc>
          <w:tcPr>
            <w:tcW w:w="82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4"/>
        </w:trPr>
        <w:tc>
          <w:tcPr>
            <w:tcW w:w="822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2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240" w:type="dxa"/>
            <w:vAlign w:val="bottom"/>
            <w:shd w:val="clear" w:color="auto" w:fill="CCFFCC"/>
          </w:tcPr>
          <w:p>
            <w:pPr>
              <w:spacing w:after="0"/>
              <w:rPr>
                <w:sz w:val="23"/>
                <w:szCs w:val="23"/>
                <w:color w:val="auto"/>
              </w:rPr>
            </w:pPr>
          </w:p>
        </w:tc>
      </w:tr>
      <w:tr>
        <w:trPr>
          <w:trHeight w:val="207"/>
        </w:trPr>
        <w:tc>
          <w:tcPr>
            <w:tcW w:w="8220" w:type="dxa"/>
            <w:vAlign w:val="bottom"/>
          </w:tcPr>
          <w:p>
            <w:pPr>
              <w:ind w:left="20"/>
              <w:spacing w:after="0"/>
              <w:rPr>
                <w:sz w:val="20"/>
                <w:szCs w:val="20"/>
                <w:color w:val="auto"/>
              </w:rPr>
            </w:pPr>
            <w:r>
              <w:rPr>
                <w:rFonts w:ascii="Arial" w:cs="Arial" w:eastAsia="Arial" w:hAnsi="Arial"/>
                <w:sz w:val="14"/>
                <w:szCs w:val="14"/>
                <w:color w:val="auto"/>
              </w:rPr>
              <w:t>Commitments and contingencies (Note 11)</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9"/>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5"/>
        </w:trPr>
        <w:tc>
          <w:tcPr>
            <w:tcW w:w="8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CCFFCC"/>
            </w:tcBorders>
            <w:shd w:val="clear" w:color="auto" w:fill="CCFFCC"/>
          </w:tcPr>
          <w:p>
            <w:pPr>
              <w:spacing w:after="0"/>
              <w:rPr>
                <w:sz w:val="18"/>
                <w:szCs w:val="18"/>
                <w:color w:val="auto"/>
              </w:rPr>
            </w:pPr>
          </w:p>
        </w:tc>
      </w:tr>
      <w:tr>
        <w:trPr>
          <w:trHeight w:val="207"/>
        </w:trPr>
        <w:tc>
          <w:tcPr>
            <w:tcW w:w="8220" w:type="dxa"/>
            <w:vAlign w:val="bottom"/>
          </w:tcPr>
          <w:p>
            <w:pPr>
              <w:ind w:left="140"/>
              <w:spacing w:after="0"/>
              <w:rPr>
                <w:sz w:val="20"/>
                <w:szCs w:val="20"/>
                <w:color w:val="auto"/>
              </w:rPr>
            </w:pPr>
            <w:r>
              <w:rPr>
                <w:rFonts w:ascii="Arial" w:cs="Arial" w:eastAsia="Arial" w:hAnsi="Arial"/>
                <w:sz w:val="14"/>
                <w:szCs w:val="14"/>
                <w:color w:val="auto"/>
              </w:rPr>
              <w:t>Preferred stock, $0.001 par value - 5,000,000 shares authorized, none issued</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9"/>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1"/>
        </w:trPr>
        <w:tc>
          <w:tcPr>
            <w:tcW w:w="8220" w:type="dxa"/>
            <w:vAlign w:val="bottom"/>
            <w:shd w:val="clear" w:color="auto" w:fill="CCFFCC"/>
          </w:tcPr>
          <w:p>
            <w:pPr>
              <w:ind w:left="140"/>
              <w:spacing w:after="0"/>
              <w:rPr>
                <w:sz w:val="20"/>
                <w:szCs w:val="20"/>
                <w:color w:val="auto"/>
              </w:rPr>
            </w:pPr>
            <w:r>
              <w:rPr>
                <w:rFonts w:ascii="Arial" w:cs="Arial" w:eastAsia="Arial" w:hAnsi="Arial"/>
                <w:sz w:val="14"/>
                <w:szCs w:val="14"/>
                <w:color w:val="auto"/>
                <w:w w:val="93"/>
              </w:rPr>
              <w:t>Common stock, $0.001 par value - 200,000,000 shares authorized, 69,457,299 and 66,543,073 shares issued, 66,747,469 and 63,833,243</w:t>
            </w:r>
          </w:p>
        </w:tc>
        <w:tc>
          <w:tcPr>
            <w:tcW w:w="220" w:type="dxa"/>
            <w:vAlign w:val="bottom"/>
            <w:shd w:val="clear" w:color="auto" w:fill="CCFFCC"/>
          </w:tcPr>
          <w:p>
            <w:pPr>
              <w:spacing w:after="0"/>
              <w:rPr>
                <w:sz w:val="16"/>
                <w:szCs w:val="16"/>
                <w:color w:val="auto"/>
              </w:rPr>
            </w:pPr>
          </w:p>
        </w:tc>
        <w:tc>
          <w:tcPr>
            <w:tcW w:w="12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240" w:type="dxa"/>
            <w:vAlign w:val="bottom"/>
            <w:shd w:val="clear" w:color="auto" w:fill="CCFFCC"/>
          </w:tcPr>
          <w:p>
            <w:pPr>
              <w:spacing w:after="0"/>
              <w:rPr>
                <w:sz w:val="16"/>
                <w:szCs w:val="16"/>
                <w:color w:val="auto"/>
              </w:rPr>
            </w:pPr>
          </w:p>
        </w:tc>
      </w:tr>
      <w:tr>
        <w:trPr>
          <w:trHeight w:val="188"/>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shares outstanding as of September 30, 2020 and December 31, 2019, respectively</w:t>
            </w:r>
          </w:p>
        </w:tc>
        <w:tc>
          <w:tcPr>
            <w:tcW w:w="220" w:type="dxa"/>
            <w:vAlign w:val="bottom"/>
            <w:tcBorders>
              <w:bottom w:val="single" w:sz="8" w:color="CCFFCC"/>
            </w:tcBorders>
            <w:shd w:val="clear" w:color="auto" w:fill="CCFFCC"/>
          </w:tcPr>
          <w:p>
            <w:pPr>
              <w:spacing w:after="0"/>
              <w:rPr>
                <w:sz w:val="16"/>
                <w:szCs w:val="16"/>
                <w:color w:val="auto"/>
              </w:rPr>
            </w:pPr>
          </w:p>
        </w:tc>
        <w:tc>
          <w:tcPr>
            <w:tcW w:w="1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FFCC"/>
            </w:tcBorders>
            <w:shd w:val="clear" w:color="auto" w:fill="CCFFCC"/>
          </w:tcPr>
          <w:p>
            <w:pPr>
              <w:spacing w:after="0"/>
              <w:rPr>
                <w:sz w:val="16"/>
                <w:szCs w:val="16"/>
                <w:color w:val="auto"/>
              </w:rPr>
            </w:pPr>
          </w:p>
        </w:tc>
        <w:tc>
          <w:tcPr>
            <w:tcW w:w="220" w:type="dxa"/>
            <w:vAlign w:val="bottom"/>
            <w:tcBorders>
              <w:bottom w:val="single" w:sz="8" w:color="CCFFCC"/>
            </w:tcBorders>
            <w:shd w:val="clear" w:color="auto" w:fill="CCFFCC"/>
          </w:tcPr>
          <w:p>
            <w:pPr>
              <w:spacing w:after="0"/>
              <w:rPr>
                <w:sz w:val="16"/>
                <w:szCs w:val="16"/>
                <w:color w:val="auto"/>
              </w:rPr>
            </w:pPr>
          </w:p>
        </w:tc>
        <w:tc>
          <w:tcPr>
            <w:tcW w:w="12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67</w:t>
            </w:r>
          </w:p>
        </w:tc>
      </w:tr>
      <w:tr>
        <w:trPr>
          <w:trHeight w:val="207"/>
        </w:trPr>
        <w:tc>
          <w:tcPr>
            <w:tcW w:w="822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7"/>
                <w:szCs w:val="17"/>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505,028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436,557</w:t>
            </w:r>
          </w:p>
        </w:tc>
      </w:tr>
      <w:tr>
        <w:trPr>
          <w:trHeight w:val="29"/>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5"/>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Treasury stock</w:t>
            </w:r>
          </w:p>
        </w:tc>
        <w:tc>
          <w:tcPr>
            <w:tcW w:w="22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w:t>
            </w:r>
          </w:p>
        </w:tc>
      </w:tr>
      <w:tr>
        <w:trPr>
          <w:trHeight w:val="207"/>
        </w:trPr>
        <w:tc>
          <w:tcPr>
            <w:tcW w:w="822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(378,629)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(283,562)</w:t>
            </w:r>
          </w:p>
        </w:tc>
      </w:tr>
      <w:tr>
        <w:trPr>
          <w:trHeight w:val="29"/>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5"/>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(2,770)</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(4,524)</w:t>
            </w:r>
          </w:p>
        </w:tc>
      </w:tr>
      <w:tr>
        <w:trPr>
          <w:trHeight w:val="187"/>
        </w:trPr>
        <w:tc>
          <w:tcPr>
            <w:tcW w:w="8220" w:type="dxa"/>
            <w:vAlign w:val="bottom"/>
          </w:tcPr>
          <w:p>
            <w:pPr>
              <w:ind w:left="22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123,695</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148,535</w:t>
            </w:r>
          </w:p>
        </w:tc>
      </w:tr>
      <w:tr>
        <w:trPr>
          <w:trHeight w:val="29"/>
        </w:trPr>
        <w:tc>
          <w:tcPr>
            <w:tcW w:w="82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7"/>
        </w:trPr>
        <w:tc>
          <w:tcPr>
            <w:tcW w:w="82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4"/>
                <w:szCs w:val="14"/>
                <w:color w:val="auto"/>
              </w:rPr>
              <w:t>528,325</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4"/>
                <w:szCs w:val="14"/>
                <w:color w:val="auto"/>
              </w:rPr>
              <w:t>512,710</w:t>
            </w: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 (unaudited).</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320" w:top="664" w:right="3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LIVEPERSON, INC.</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88"/>
              </w:rPr>
              <w:t>Three Months Ended</w:t>
            </w:r>
          </w:p>
        </w:tc>
        <w:tc>
          <w:tcPr>
            <w:tcW w:w="220" w:type="dxa"/>
            <w:vAlign w:val="bottom"/>
          </w:tcPr>
          <w:p>
            <w:pPr>
              <w:spacing w:after="0"/>
              <w:rPr>
                <w:sz w:val="14"/>
                <w:szCs w:val="14"/>
                <w:color w:val="auto"/>
              </w:rPr>
            </w:pPr>
          </w:p>
        </w:tc>
        <w:tc>
          <w:tcPr>
            <w:tcW w:w="2100" w:type="dxa"/>
            <w:vAlign w:val="bottom"/>
            <w:gridSpan w:val="4"/>
          </w:tcPr>
          <w:p>
            <w:pPr>
              <w:jc w:val="center"/>
              <w:ind w:right="132"/>
              <w:spacing w:after="0"/>
              <w:rPr>
                <w:sz w:val="20"/>
                <w:szCs w:val="20"/>
                <w:color w:val="auto"/>
              </w:rPr>
            </w:pPr>
            <w:r>
              <w:rPr>
                <w:rFonts w:ascii="Arial" w:cs="Arial" w:eastAsia="Arial" w:hAnsi="Arial"/>
                <w:sz w:val="13"/>
                <w:szCs w:val="13"/>
                <w:b w:val="1"/>
                <w:bCs w:val="1"/>
                <w:color w:val="auto"/>
                <w:w w:val="87"/>
              </w:rPr>
              <w:t>Nine Months Ended</w:t>
            </w:r>
          </w:p>
        </w:tc>
      </w:tr>
      <w:tr>
        <w:trPr>
          <w:trHeight w:val="241"/>
        </w:trPr>
        <w:tc>
          <w:tcPr>
            <w:tcW w:w="6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3"/>
                <w:szCs w:val="13"/>
                <w:b w:val="1"/>
                <w:bCs w:val="1"/>
                <w:color w:val="auto"/>
                <w:w w:val="85"/>
              </w:rPr>
              <w:t>September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3"/>
                <w:szCs w:val="13"/>
                <w:b w:val="1"/>
                <w:bCs w:val="1"/>
                <w:color w:val="auto"/>
                <w:w w:val="87"/>
              </w:rPr>
              <w:t>September 30,</w:t>
            </w:r>
          </w:p>
        </w:tc>
        <w:tc>
          <w:tcPr>
            <w:tcW w:w="760" w:type="dxa"/>
            <w:vAlign w:val="bottom"/>
            <w:tcBorders>
              <w:bottom w:val="single" w:sz="8" w:color="auto"/>
            </w:tcBorders>
          </w:tcPr>
          <w:p>
            <w:pPr>
              <w:spacing w:after="0"/>
              <w:rPr>
                <w:sz w:val="20"/>
                <w:szCs w:val="20"/>
                <w:color w:val="auto"/>
              </w:rPr>
            </w:pPr>
          </w:p>
        </w:tc>
      </w:tr>
      <w:tr>
        <w:trPr>
          <w:trHeight w:val="227"/>
        </w:trPr>
        <w:tc>
          <w:tcPr>
            <w:tcW w:w="6080" w:type="dxa"/>
            <w:vAlign w:val="bottom"/>
            <w:tcBorders>
              <w:bottom w:val="single" w:sz="8" w:color="CCFFCC"/>
            </w:tcBorders>
          </w:tcPr>
          <w:p>
            <w:pPr>
              <w:spacing w:after="0"/>
              <w:rPr>
                <w:sz w:val="19"/>
                <w:szCs w:val="19"/>
                <w:color w:val="auto"/>
              </w:rPr>
            </w:pPr>
          </w:p>
        </w:tc>
        <w:tc>
          <w:tcPr>
            <w:tcW w:w="34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FFC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72"/>
              <w:spacing w:after="0"/>
              <w:rPr>
                <w:sz w:val="20"/>
                <w:szCs w:val="20"/>
                <w:color w:val="auto"/>
              </w:rPr>
            </w:pPr>
            <w:r>
              <w:rPr>
                <w:rFonts w:ascii="Arial" w:cs="Arial" w:eastAsia="Arial" w:hAnsi="Arial"/>
                <w:sz w:val="13"/>
                <w:szCs w:val="13"/>
                <w:b w:val="1"/>
                <w:bCs w:val="1"/>
                <w:color w:val="auto"/>
              </w:rPr>
              <w:t>2019</w:t>
            </w:r>
          </w:p>
        </w:tc>
      </w:tr>
      <w:tr>
        <w:trPr>
          <w:trHeight w:val="221"/>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Revenue</w:t>
            </w:r>
          </w:p>
        </w:tc>
        <w:tc>
          <w:tcPr>
            <w:tcW w:w="580" w:type="dxa"/>
            <w:vAlign w:val="bottom"/>
            <w:tcBorders>
              <w:bottom w:val="single" w:sz="8" w:color="CCFFCC"/>
            </w:tcBorders>
            <w:gridSpan w:val="2"/>
            <w:shd w:val="clear" w:color="auto" w:fill="CCFFCC"/>
          </w:tcPr>
          <w:p>
            <w:pPr>
              <w:ind w:left="3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94,804</w:t>
            </w:r>
          </w:p>
        </w:tc>
        <w:tc>
          <w:tcPr>
            <w:tcW w:w="120" w:type="dxa"/>
            <w:vAlign w:val="bottom"/>
            <w:tcBorders>
              <w:bottom w:val="single" w:sz="8" w:color="CCFFCC"/>
            </w:tcBorders>
            <w:shd w:val="clear" w:color="auto" w:fill="CCFFCC"/>
          </w:tcPr>
          <w:p>
            <w:pPr>
              <w:spacing w:after="0"/>
              <w:rPr>
                <w:sz w:val="19"/>
                <w:szCs w:val="19"/>
                <w:color w:val="auto"/>
              </w:rPr>
            </w:pPr>
          </w:p>
        </w:tc>
        <w:tc>
          <w:tcPr>
            <w:tcW w:w="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75,175</w:t>
            </w:r>
          </w:p>
        </w:tc>
        <w:tc>
          <w:tcPr>
            <w:tcW w:w="12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264,495</w:t>
            </w:r>
          </w:p>
        </w:tc>
        <w:tc>
          <w:tcPr>
            <w:tcW w:w="100" w:type="dxa"/>
            <w:vAlign w:val="bottom"/>
          </w:tcPr>
          <w:p>
            <w:pPr>
              <w:spacing w:after="0"/>
              <w:rPr>
                <w:sz w:val="19"/>
                <w:szCs w:val="19"/>
                <w:color w:val="auto"/>
              </w:rPr>
            </w:pPr>
          </w:p>
        </w:tc>
        <w:tc>
          <w:tcPr>
            <w:tcW w:w="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212,536</w:t>
            </w:r>
          </w:p>
        </w:tc>
      </w:tr>
      <w:tr>
        <w:trPr>
          <w:trHeight w:val="227"/>
        </w:trPr>
        <w:tc>
          <w:tcPr>
            <w:tcW w:w="6080" w:type="dxa"/>
            <w:vAlign w:val="bottom"/>
          </w:tcPr>
          <w:p>
            <w:pPr>
              <w:ind w:left="20"/>
              <w:spacing w:after="0"/>
              <w:rPr>
                <w:sz w:val="20"/>
                <w:szCs w:val="20"/>
                <w:color w:val="auto"/>
              </w:rPr>
            </w:pPr>
            <w:r>
              <w:rPr>
                <w:rFonts w:ascii="Arial" w:cs="Arial" w:eastAsia="Arial" w:hAnsi="Arial"/>
                <w:sz w:val="14"/>
                <w:szCs w:val="14"/>
                <w:color w:val="auto"/>
              </w:rPr>
              <w:t xml:space="preserve">Costs and expenses </w:t>
            </w:r>
            <w:r>
              <w:rPr>
                <w:rFonts w:ascii="Arial" w:cs="Arial" w:eastAsia="Arial" w:hAnsi="Arial"/>
                <w:sz w:val="18"/>
                <w:szCs w:val="18"/>
                <w:color w:val="auto"/>
                <w:vertAlign w:val="superscript"/>
              </w:rPr>
              <w:t>(1) (2)</w:t>
            </w: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r>
      <w:tr>
        <w:trPr>
          <w:trHeight w:val="235"/>
        </w:trPr>
        <w:tc>
          <w:tcPr>
            <w:tcW w:w="6080" w:type="dxa"/>
            <w:vAlign w:val="bottom"/>
            <w:shd w:val="clear" w:color="auto" w:fill="CCFFCC"/>
          </w:tcPr>
          <w:p>
            <w:pPr>
              <w:ind w:left="140"/>
              <w:spacing w:after="0"/>
              <w:rPr>
                <w:sz w:val="20"/>
                <w:szCs w:val="20"/>
                <w:color w:val="auto"/>
              </w:rPr>
            </w:pPr>
            <w:r>
              <w:rPr>
                <w:rFonts w:ascii="Arial" w:cs="Arial" w:eastAsia="Arial" w:hAnsi="Arial"/>
                <w:sz w:val="14"/>
                <w:szCs w:val="14"/>
                <w:color w:val="auto"/>
              </w:rPr>
              <w:t xml:space="preserve">Cost of revenue </w:t>
            </w:r>
            <w:r>
              <w:rPr>
                <w:rFonts w:ascii="Arial" w:cs="Arial" w:eastAsia="Arial" w:hAnsi="Arial"/>
                <w:sz w:val="18"/>
                <w:szCs w:val="18"/>
                <w:color w:val="auto"/>
                <w:vertAlign w:val="superscript"/>
              </w:rPr>
              <w:t>(3)</w:t>
            </w: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jc w:val="right"/>
              <w:ind w:right="53"/>
              <w:spacing w:after="0"/>
              <w:rPr>
                <w:sz w:val="20"/>
                <w:szCs w:val="20"/>
                <w:color w:val="auto"/>
              </w:rPr>
            </w:pPr>
            <w:r>
              <w:rPr>
                <w:rFonts w:ascii="Arial" w:cs="Arial" w:eastAsia="Arial" w:hAnsi="Arial"/>
                <w:sz w:val="14"/>
                <w:szCs w:val="14"/>
                <w:color w:val="auto"/>
              </w:rPr>
              <w:t>27,692</w:t>
            </w:r>
          </w:p>
        </w:tc>
        <w:tc>
          <w:tcPr>
            <w:tcW w:w="1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780" w:type="dxa"/>
            <w:vAlign w:val="bottom"/>
            <w:shd w:val="clear" w:color="auto" w:fill="CCFFCC"/>
          </w:tcPr>
          <w:p>
            <w:pPr>
              <w:jc w:val="right"/>
              <w:ind w:right="52"/>
              <w:spacing w:after="0"/>
              <w:rPr>
                <w:sz w:val="20"/>
                <w:szCs w:val="20"/>
                <w:color w:val="auto"/>
              </w:rPr>
            </w:pPr>
            <w:r>
              <w:rPr>
                <w:rFonts w:ascii="Arial" w:cs="Arial" w:eastAsia="Arial" w:hAnsi="Arial"/>
                <w:sz w:val="14"/>
                <w:szCs w:val="14"/>
                <w:color w:val="auto"/>
              </w:rPr>
              <w:t>20,120</w:t>
            </w:r>
          </w:p>
        </w:tc>
        <w:tc>
          <w:tcPr>
            <w:tcW w:w="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4"/>
                <w:szCs w:val="14"/>
                <w:color w:val="auto"/>
              </w:rPr>
              <w:t>78,218</w:t>
            </w:r>
          </w:p>
        </w:tc>
        <w:tc>
          <w:tcPr>
            <w:tcW w:w="10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760" w:type="dxa"/>
            <w:vAlign w:val="bottom"/>
            <w:shd w:val="clear" w:color="auto" w:fill="CCFFCC"/>
          </w:tcPr>
          <w:p>
            <w:pPr>
              <w:jc w:val="right"/>
              <w:ind w:right="52"/>
              <w:spacing w:after="0"/>
              <w:rPr>
                <w:sz w:val="20"/>
                <w:szCs w:val="20"/>
                <w:color w:val="auto"/>
              </w:rPr>
            </w:pPr>
            <w:r>
              <w:rPr>
                <w:rFonts w:ascii="Arial" w:cs="Arial" w:eastAsia="Arial" w:hAnsi="Arial"/>
                <w:sz w:val="14"/>
                <w:szCs w:val="14"/>
                <w:color w:val="auto"/>
              </w:rPr>
              <w:t>56,818</w:t>
            </w:r>
          </w:p>
        </w:tc>
      </w:tr>
      <w:tr>
        <w:trPr>
          <w:trHeight w:val="207"/>
        </w:trPr>
        <w:tc>
          <w:tcPr>
            <w:tcW w:w="6080" w:type="dxa"/>
            <w:vAlign w:val="bottom"/>
          </w:tcPr>
          <w:p>
            <w:pPr>
              <w:ind w:left="14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color w:val="auto"/>
              </w:rPr>
              <w:t>32,775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41,774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110,073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114,153</w:t>
            </w:r>
          </w:p>
        </w:tc>
      </w:tr>
      <w:tr>
        <w:trPr>
          <w:trHeight w:val="29"/>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5"/>
        </w:trPr>
        <w:tc>
          <w:tcPr>
            <w:tcW w:w="608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14,891</w:t>
            </w:r>
          </w:p>
        </w:tc>
        <w:tc>
          <w:tcPr>
            <w:tcW w:w="12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13,958</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47,713</w:t>
            </w:r>
          </w:p>
        </w:tc>
        <w:tc>
          <w:tcPr>
            <w:tcW w:w="10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41,889</w:t>
            </w:r>
          </w:p>
        </w:tc>
      </w:tr>
      <w:tr>
        <w:trPr>
          <w:trHeight w:val="207"/>
        </w:trPr>
        <w:tc>
          <w:tcPr>
            <w:tcW w:w="6080" w:type="dxa"/>
            <w:vAlign w:val="bottom"/>
          </w:tcPr>
          <w:p>
            <w:pPr>
              <w:ind w:left="140"/>
              <w:spacing w:after="0"/>
              <w:rPr>
                <w:sz w:val="20"/>
                <w:szCs w:val="20"/>
                <w:color w:val="auto"/>
              </w:rPr>
            </w:pPr>
            <w:r>
              <w:rPr>
                <w:rFonts w:ascii="Arial" w:cs="Arial" w:eastAsia="Arial" w:hAnsi="Arial"/>
                <w:sz w:val="14"/>
                <w:szCs w:val="14"/>
                <w:color w:val="auto"/>
              </w:rPr>
              <w:t>Product development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color w:val="auto"/>
              </w:rPr>
              <w:t>27,736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20,577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80,417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58,932</w:t>
            </w:r>
          </w:p>
        </w:tc>
      </w:tr>
      <w:tr>
        <w:trPr>
          <w:trHeight w:val="29"/>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5"/>
        </w:trPr>
        <w:tc>
          <w:tcPr>
            <w:tcW w:w="608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Restructuring costs</w:t>
            </w:r>
          </w:p>
        </w:tc>
        <w:tc>
          <w:tcPr>
            <w:tcW w:w="3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26,442</w:t>
            </w:r>
          </w:p>
        </w:tc>
        <w:tc>
          <w:tcPr>
            <w:tcW w:w="12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1,425</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29,635</w:t>
            </w:r>
          </w:p>
        </w:tc>
        <w:tc>
          <w:tcPr>
            <w:tcW w:w="10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1,909</w:t>
            </w:r>
          </w:p>
        </w:tc>
      </w:tr>
      <w:tr>
        <w:trPr>
          <w:trHeight w:val="207"/>
        </w:trPr>
        <w:tc>
          <w:tcPr>
            <w:tcW w:w="6080" w:type="dxa"/>
            <w:vAlign w:val="bottom"/>
          </w:tcPr>
          <w:p>
            <w:pPr>
              <w:ind w:left="140"/>
              <w:spacing w:after="0"/>
              <w:rPr>
                <w:sz w:val="20"/>
                <w:szCs w:val="20"/>
                <w:color w:val="auto"/>
              </w:rPr>
            </w:pPr>
            <w:r>
              <w:rPr>
                <w:rFonts w:ascii="Arial" w:cs="Arial" w:eastAsia="Arial" w:hAnsi="Arial"/>
                <w:sz w:val="14"/>
                <w:szCs w:val="14"/>
                <w:color w:val="auto"/>
              </w:rPr>
              <w:t>Amortization of purchased intangibles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1,219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1,346</w:t>
            </w:r>
          </w:p>
        </w:tc>
      </w:tr>
      <w:tr>
        <w:trPr>
          <w:trHeight w:val="29"/>
        </w:trPr>
        <w:tc>
          <w:tcPr>
            <w:tcW w:w="6080" w:type="dxa"/>
            <w:vAlign w:val="bottom"/>
            <w:tcBorders>
              <w:bottom w:val="single" w:sz="8" w:color="CCFFCC"/>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7"/>
        </w:trPr>
        <w:tc>
          <w:tcPr>
            <w:tcW w:w="608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Total costs and expenses</w:t>
            </w:r>
          </w:p>
        </w:tc>
        <w:tc>
          <w:tcPr>
            <w:tcW w:w="34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129,947</w:t>
            </w:r>
          </w:p>
        </w:tc>
        <w:tc>
          <w:tcPr>
            <w:tcW w:w="120" w:type="dxa"/>
            <w:vAlign w:val="bottom"/>
            <w:tcBorders>
              <w:bottom w:val="single" w:sz="8" w:color="CCFFCC"/>
            </w:tcBorders>
            <w:shd w:val="clear" w:color="auto" w:fill="CCFFCC"/>
          </w:tcPr>
          <w:p>
            <w:pPr>
              <w:spacing w:after="0"/>
              <w:rPr>
                <w:sz w:val="19"/>
                <w:szCs w:val="19"/>
                <w:color w:val="auto"/>
              </w:rPr>
            </w:pPr>
          </w:p>
        </w:tc>
        <w:tc>
          <w:tcPr>
            <w:tcW w:w="360" w:type="dxa"/>
            <w:vAlign w:val="bottom"/>
            <w:tcBorders>
              <w:bottom w:val="single" w:sz="8" w:color="CCFFCC"/>
            </w:tcBorders>
            <w:shd w:val="clear" w:color="auto" w:fill="CCFFCC"/>
          </w:tcPr>
          <w:p>
            <w:pPr>
              <w:spacing w:after="0"/>
              <w:rPr>
                <w:sz w:val="19"/>
                <w:szCs w:val="19"/>
                <w:color w:val="auto"/>
              </w:rPr>
            </w:pPr>
          </w:p>
        </w:tc>
        <w:tc>
          <w:tcPr>
            <w:tcW w:w="78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98,301</w:t>
            </w:r>
          </w:p>
        </w:tc>
        <w:tc>
          <w:tcPr>
            <w:tcW w:w="12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347,275</w:t>
            </w:r>
          </w:p>
        </w:tc>
        <w:tc>
          <w:tcPr>
            <w:tcW w:w="100" w:type="dxa"/>
            <w:vAlign w:val="bottom"/>
            <w:tcBorders>
              <w:bottom w:val="single" w:sz="8" w:color="CCFFCC"/>
            </w:tcBorders>
            <w:shd w:val="clear" w:color="auto" w:fill="CCFFCC"/>
          </w:tcPr>
          <w:p>
            <w:pPr>
              <w:spacing w:after="0"/>
              <w:rPr>
                <w:sz w:val="19"/>
                <w:szCs w:val="19"/>
                <w:color w:val="auto"/>
              </w:rPr>
            </w:pPr>
          </w:p>
        </w:tc>
        <w:tc>
          <w:tcPr>
            <w:tcW w:w="360" w:type="dxa"/>
            <w:vAlign w:val="bottom"/>
            <w:tcBorders>
              <w:bottom w:val="single" w:sz="8" w:color="CCFFCC"/>
            </w:tcBorders>
            <w:shd w:val="clear" w:color="auto" w:fill="CCFFCC"/>
          </w:tcPr>
          <w:p>
            <w:pPr>
              <w:spacing w:after="0"/>
              <w:rPr>
                <w:sz w:val="19"/>
                <w:szCs w:val="19"/>
                <w:color w:val="auto"/>
              </w:rPr>
            </w:pPr>
          </w:p>
        </w:tc>
        <w:tc>
          <w:tcPr>
            <w:tcW w:w="76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275,047</w:t>
            </w:r>
          </w:p>
        </w:tc>
      </w:tr>
      <w:tr>
        <w:trPr>
          <w:trHeight w:val="198"/>
        </w:trPr>
        <w:tc>
          <w:tcPr>
            <w:tcW w:w="60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(35,143)</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(23,126)</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(82,780)</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(62,511)</w:t>
            </w:r>
          </w:p>
        </w:tc>
      </w:tr>
      <w:tr>
        <w:trPr>
          <w:trHeight w:val="29"/>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5"/>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Other (expense) income, net</w:t>
            </w:r>
          </w:p>
        </w:tc>
        <w:tc>
          <w:tcPr>
            <w:tcW w:w="3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r>
      <w:tr>
        <w:trPr>
          <w:trHeight w:val="207"/>
        </w:trPr>
        <w:tc>
          <w:tcPr>
            <w:tcW w:w="608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(3,159)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(9,161)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(4,873)</w:t>
            </w:r>
          </w:p>
        </w:tc>
      </w:tr>
      <w:tr>
        <w:trPr>
          <w:trHeight w:val="29"/>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5"/>
        </w:trPr>
        <w:tc>
          <w:tcPr>
            <w:tcW w:w="608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Other (expense) income, net</w:t>
            </w:r>
          </w:p>
        </w:tc>
        <w:tc>
          <w:tcPr>
            <w:tcW w:w="34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(508)</w:t>
            </w:r>
          </w:p>
        </w:tc>
        <w:tc>
          <w:tcPr>
            <w:tcW w:w="12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bottom w:val="single" w:sz="8" w:color="CCFFCC"/>
            </w:tcBorders>
            <w:shd w:val="clear" w:color="auto" w:fill="CCFFCC"/>
          </w:tcPr>
          <w:p>
            <w:pPr>
              <w:spacing w:after="0"/>
              <w:rPr>
                <w:sz w:val="20"/>
                <w:szCs w:val="20"/>
                <w:color w:val="auto"/>
              </w:rPr>
            </w:pPr>
          </w:p>
        </w:tc>
        <w:tc>
          <w:tcPr>
            <w:tcW w:w="78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379</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(2,484)</w:t>
            </w:r>
          </w:p>
        </w:tc>
        <w:tc>
          <w:tcPr>
            <w:tcW w:w="10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862</w:t>
            </w:r>
          </w:p>
        </w:tc>
      </w:tr>
      <w:tr>
        <w:trPr>
          <w:trHeight w:val="198"/>
        </w:trPr>
        <w:tc>
          <w:tcPr>
            <w:tcW w:w="6080" w:type="dxa"/>
            <w:vAlign w:val="bottom"/>
          </w:tcPr>
          <w:p>
            <w:pPr>
              <w:ind w:left="20"/>
              <w:spacing w:after="0"/>
              <w:rPr>
                <w:sz w:val="20"/>
                <w:szCs w:val="20"/>
                <w:color w:val="auto"/>
              </w:rPr>
            </w:pPr>
            <w:r>
              <w:rPr>
                <w:rFonts w:ascii="Arial" w:cs="Arial" w:eastAsia="Arial" w:hAnsi="Arial"/>
                <w:sz w:val="14"/>
                <w:szCs w:val="14"/>
                <w:color w:val="auto"/>
              </w:rPr>
              <w:t>Total other (expense) income, net</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(3,667)</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(1,810)</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(11,645)</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(4,011)</w:t>
            </w:r>
          </w:p>
        </w:tc>
      </w:tr>
      <w:tr>
        <w:trPr>
          <w:trHeight w:val="29"/>
        </w:trPr>
        <w:tc>
          <w:tcPr>
            <w:tcW w:w="6080" w:type="dxa"/>
            <w:vAlign w:val="bottom"/>
            <w:tcBorders>
              <w:bottom w:val="single" w:sz="8" w:color="CCFFCC"/>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7"/>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Loss before (benefit from) provision for income taxes</w:t>
            </w:r>
          </w:p>
        </w:tc>
        <w:tc>
          <w:tcPr>
            <w:tcW w:w="34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(38,810)</w:t>
            </w:r>
          </w:p>
        </w:tc>
        <w:tc>
          <w:tcPr>
            <w:tcW w:w="120" w:type="dxa"/>
            <w:vAlign w:val="bottom"/>
            <w:tcBorders>
              <w:bottom w:val="single" w:sz="8" w:color="CCFFCC"/>
            </w:tcBorders>
            <w:shd w:val="clear" w:color="auto" w:fill="CCFFCC"/>
          </w:tcPr>
          <w:p>
            <w:pPr>
              <w:spacing w:after="0"/>
              <w:rPr>
                <w:sz w:val="17"/>
                <w:szCs w:val="17"/>
                <w:color w:val="auto"/>
              </w:rPr>
            </w:pPr>
          </w:p>
        </w:tc>
        <w:tc>
          <w:tcPr>
            <w:tcW w:w="360" w:type="dxa"/>
            <w:vAlign w:val="bottom"/>
            <w:tcBorders>
              <w:bottom w:val="single" w:sz="8" w:color="CCFFCC"/>
            </w:tcBorders>
            <w:shd w:val="clear" w:color="auto" w:fill="CCFFCC"/>
          </w:tcPr>
          <w:p>
            <w:pPr>
              <w:spacing w:after="0"/>
              <w:rPr>
                <w:sz w:val="17"/>
                <w:szCs w:val="17"/>
                <w:color w:val="auto"/>
              </w:rPr>
            </w:pP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(24,936)</w:t>
            </w:r>
          </w:p>
        </w:tc>
        <w:tc>
          <w:tcPr>
            <w:tcW w:w="1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(94,425)</w:t>
            </w:r>
          </w:p>
        </w:tc>
        <w:tc>
          <w:tcPr>
            <w:tcW w:w="100" w:type="dxa"/>
            <w:vAlign w:val="bottom"/>
            <w:tcBorders>
              <w:bottom w:val="single" w:sz="8" w:color="CCFFCC"/>
            </w:tcBorders>
            <w:shd w:val="clear" w:color="auto" w:fill="CCFFCC"/>
          </w:tcPr>
          <w:p>
            <w:pPr>
              <w:spacing w:after="0"/>
              <w:rPr>
                <w:sz w:val="17"/>
                <w:szCs w:val="17"/>
                <w:color w:val="auto"/>
              </w:rPr>
            </w:pPr>
          </w:p>
        </w:tc>
        <w:tc>
          <w:tcPr>
            <w:tcW w:w="360" w:type="dxa"/>
            <w:vAlign w:val="bottom"/>
            <w:tcBorders>
              <w:bottom w:val="single" w:sz="8" w:color="CCFFCC"/>
            </w:tcBorders>
            <w:shd w:val="clear" w:color="auto" w:fill="CCFFCC"/>
          </w:tcPr>
          <w:p>
            <w:pPr>
              <w:spacing w:after="0"/>
              <w:rPr>
                <w:sz w:val="17"/>
                <w:szCs w:val="17"/>
                <w:color w:val="auto"/>
              </w:rPr>
            </w:pPr>
          </w:p>
        </w:tc>
        <w:tc>
          <w:tcPr>
            <w:tcW w:w="7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(66,522)</w:t>
            </w:r>
          </w:p>
        </w:tc>
      </w:tr>
      <w:tr>
        <w:trPr>
          <w:trHeight w:val="207"/>
        </w:trPr>
        <w:tc>
          <w:tcPr>
            <w:tcW w:w="6080" w:type="dxa"/>
            <w:vAlign w:val="bottom"/>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936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2,227</w:t>
            </w:r>
          </w:p>
        </w:tc>
      </w:tr>
      <w:tr>
        <w:trPr>
          <w:trHeight w:val="29"/>
        </w:trPr>
        <w:tc>
          <w:tcPr>
            <w:tcW w:w="6080" w:type="dxa"/>
            <w:vAlign w:val="bottom"/>
            <w:tcBorders>
              <w:bottom w:val="single" w:sz="8" w:color="CCFFCC"/>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9"/>
        </w:trPr>
        <w:tc>
          <w:tcPr>
            <w:tcW w:w="6080" w:type="dxa"/>
            <w:vAlign w:val="bottom"/>
            <w:shd w:val="clear" w:color="auto" w:fill="CCFFCC"/>
          </w:tcPr>
          <w:p>
            <w:pPr>
              <w:ind w:left="20"/>
              <w:spacing w:after="0"/>
              <w:rPr>
                <w:sz w:val="20"/>
                <w:szCs w:val="20"/>
                <w:color w:val="auto"/>
              </w:rPr>
            </w:pPr>
            <w:r>
              <w:rPr>
                <w:rFonts w:ascii="Arial" w:cs="Arial" w:eastAsia="Arial" w:hAnsi="Arial"/>
                <w:sz w:val="14"/>
                <w:szCs w:val="14"/>
                <w:color w:val="auto"/>
              </w:rPr>
              <w:t>Net loss</w:t>
            </w:r>
          </w:p>
        </w:tc>
        <w:tc>
          <w:tcPr>
            <w:tcW w:w="580" w:type="dxa"/>
            <w:vAlign w:val="bottom"/>
            <w:gridSpan w:val="2"/>
            <w:shd w:val="clear" w:color="auto" w:fill="CCFFCC"/>
          </w:tcPr>
          <w:p>
            <w:pPr>
              <w:ind w:lef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(38,710)</w:t>
            </w:r>
          </w:p>
        </w:tc>
        <w:tc>
          <w:tcPr>
            <w:tcW w:w="120" w:type="dxa"/>
            <w:vAlign w:val="bottom"/>
            <w:shd w:val="clear" w:color="auto" w:fill="CCFFCC"/>
          </w:tcPr>
          <w:p>
            <w:pPr>
              <w:spacing w:after="0"/>
              <w:rPr>
                <w:sz w:val="19"/>
                <w:szCs w:val="19"/>
                <w:color w:val="auto"/>
              </w:rPr>
            </w:pPr>
          </w:p>
        </w:tc>
        <w:tc>
          <w:tcPr>
            <w:tcW w:w="36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(25,872)</w:t>
            </w:r>
          </w:p>
        </w:tc>
        <w:tc>
          <w:tcPr>
            <w:tcW w:w="120" w:type="dxa"/>
            <w:vAlign w:val="bottom"/>
            <w:shd w:val="clear" w:color="auto" w:fill="CCFFCC"/>
          </w:tcPr>
          <w:p>
            <w:pPr>
              <w:spacing w:after="0"/>
              <w:rPr>
                <w:sz w:val="19"/>
                <w:szCs w:val="19"/>
                <w:color w:val="auto"/>
              </w:rPr>
            </w:pPr>
          </w:p>
        </w:tc>
        <w:tc>
          <w:tcPr>
            <w:tcW w:w="2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(94,338)</w:t>
            </w:r>
          </w:p>
        </w:tc>
        <w:tc>
          <w:tcPr>
            <w:tcW w:w="460" w:type="dxa"/>
            <w:vAlign w:val="bottom"/>
            <w:gridSpan w:val="2"/>
            <w:shd w:val="clear" w:color="auto" w:fill="CCFFCC"/>
          </w:tcPr>
          <w:p>
            <w:pPr>
              <w:ind w:lef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(68,749)</w:t>
            </w:r>
          </w:p>
        </w:tc>
      </w:tr>
      <w:tr>
        <w:trPr>
          <w:trHeight w:val="20"/>
        </w:trPr>
        <w:tc>
          <w:tcPr>
            <w:tcW w:w="60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42"/>
        </w:trPr>
        <w:tc>
          <w:tcPr>
            <w:tcW w:w="6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5"/>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Net loss per share of common stock:</w:t>
            </w:r>
          </w:p>
        </w:tc>
        <w:tc>
          <w:tcPr>
            <w:tcW w:w="3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r>
      <w:tr>
        <w:trPr>
          <w:trHeight w:val="267"/>
        </w:trPr>
        <w:tc>
          <w:tcPr>
            <w:tcW w:w="6080" w:type="dxa"/>
            <w:vAlign w:val="bottom"/>
            <w:tcBorders>
              <w:bottom w:val="single" w:sz="8" w:color="CCFFCC"/>
            </w:tcBorders>
          </w:tcPr>
          <w:p>
            <w:pPr>
              <w:ind w:left="14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CCFFCC"/>
            </w:tcBorders>
          </w:tcPr>
          <w:p>
            <w:pPr>
              <w:spacing w:after="0"/>
              <w:rPr>
                <w:sz w:val="23"/>
                <w:szCs w:val="23"/>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120" w:type="dxa"/>
            <w:vAlign w:val="bottom"/>
            <w:tcBorders>
              <w:bottom w:val="single" w:sz="8" w:color="CCFFCC"/>
            </w:tcBorders>
          </w:tcPr>
          <w:p>
            <w:pPr>
              <w:spacing w:after="0"/>
              <w:rPr>
                <w:sz w:val="23"/>
                <w:szCs w:val="23"/>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r>
      <w:tr>
        <w:trPr>
          <w:trHeight w:val="210"/>
        </w:trPr>
        <w:tc>
          <w:tcPr>
            <w:tcW w:w="6080" w:type="dxa"/>
            <w:vAlign w:val="bottom"/>
            <w:shd w:val="clear" w:color="auto" w:fill="CCFFCC"/>
          </w:tcPr>
          <w:p>
            <w:pPr>
              <w:ind w:left="140"/>
              <w:spacing w:after="0"/>
              <w:rPr>
                <w:sz w:val="20"/>
                <w:szCs w:val="20"/>
                <w:color w:val="auto"/>
              </w:rPr>
            </w:pPr>
            <w:r>
              <w:rPr>
                <w:rFonts w:ascii="Arial" w:cs="Arial" w:eastAsia="Arial" w:hAnsi="Arial"/>
                <w:sz w:val="14"/>
                <w:szCs w:val="14"/>
                <w:color w:val="auto"/>
              </w:rPr>
              <w:t>Diluted</w:t>
            </w:r>
          </w:p>
        </w:tc>
        <w:tc>
          <w:tcPr>
            <w:tcW w:w="580" w:type="dxa"/>
            <w:vAlign w:val="bottom"/>
            <w:gridSpan w:val="2"/>
            <w:shd w:val="clear" w:color="auto" w:fill="CCFFCC"/>
          </w:tcPr>
          <w:p>
            <w:pPr>
              <w:ind w:lef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(0.58)</w:t>
            </w: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(0.41)</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(1.44)</w:t>
            </w:r>
          </w:p>
        </w:tc>
        <w:tc>
          <w:tcPr>
            <w:tcW w:w="460" w:type="dxa"/>
            <w:vAlign w:val="bottom"/>
            <w:gridSpan w:val="2"/>
            <w:shd w:val="clear" w:color="auto" w:fill="CCFFCC"/>
          </w:tcPr>
          <w:p>
            <w:pPr>
              <w:ind w:lef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(1.10)</w:t>
            </w:r>
          </w:p>
        </w:tc>
      </w:tr>
      <w:tr>
        <w:trPr>
          <w:trHeight w:val="20"/>
        </w:trPr>
        <w:tc>
          <w:tcPr>
            <w:tcW w:w="60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42"/>
        </w:trPr>
        <w:tc>
          <w:tcPr>
            <w:tcW w:w="6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5"/>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Weighted-average shares used to compute net loss per share:</w:t>
            </w:r>
          </w:p>
        </w:tc>
        <w:tc>
          <w:tcPr>
            <w:tcW w:w="3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r>
      <w:tr>
        <w:trPr>
          <w:trHeight w:val="267"/>
        </w:trPr>
        <w:tc>
          <w:tcPr>
            <w:tcW w:w="6080" w:type="dxa"/>
            <w:vAlign w:val="bottom"/>
            <w:tcBorders>
              <w:bottom w:val="single" w:sz="8" w:color="CCFFCC"/>
            </w:tcBorders>
          </w:tcPr>
          <w:p>
            <w:pPr>
              <w:ind w:left="14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CCFFC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66,451,414</w:t>
            </w:r>
          </w:p>
        </w:tc>
        <w:tc>
          <w:tcPr>
            <w:tcW w:w="120" w:type="dxa"/>
            <w:vAlign w:val="bottom"/>
            <w:tcBorders>
              <w:bottom w:val="single" w:sz="8" w:color="CCFFC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1"/>
              </w:rPr>
              <w:t>63,014,802</w:t>
            </w: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65,504,571</w:t>
            </w: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88"/>
              </w:rPr>
              <w:t>62,268,439</w:t>
            </w:r>
          </w:p>
        </w:tc>
      </w:tr>
      <w:tr>
        <w:trPr>
          <w:trHeight w:val="210"/>
        </w:trPr>
        <w:tc>
          <w:tcPr>
            <w:tcW w:w="608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ind w:right="53"/>
              <w:spacing w:after="0"/>
              <w:rPr>
                <w:sz w:val="20"/>
                <w:szCs w:val="20"/>
                <w:color w:val="auto"/>
              </w:rPr>
            </w:pPr>
            <w:r>
              <w:rPr>
                <w:rFonts w:ascii="Arial" w:cs="Arial" w:eastAsia="Arial" w:hAnsi="Arial"/>
                <w:sz w:val="14"/>
                <w:szCs w:val="14"/>
                <w:color w:val="auto"/>
              </w:rPr>
              <w:t>66,451,414</w:t>
            </w:r>
          </w:p>
        </w:tc>
        <w:tc>
          <w:tcPr>
            <w:tcW w:w="12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bottom w:val="single" w:sz="8" w:color="auto"/>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jc w:val="right"/>
              <w:ind w:right="52"/>
              <w:spacing w:after="0"/>
              <w:rPr>
                <w:sz w:val="20"/>
                <w:szCs w:val="20"/>
                <w:color w:val="auto"/>
              </w:rPr>
            </w:pPr>
            <w:r>
              <w:rPr>
                <w:rFonts w:ascii="Arial" w:cs="Arial" w:eastAsia="Arial" w:hAnsi="Arial"/>
                <w:sz w:val="14"/>
                <w:szCs w:val="14"/>
                <w:color w:val="auto"/>
                <w:w w:val="91"/>
              </w:rPr>
              <w:t>63,014,802</w:t>
            </w:r>
          </w:p>
        </w:tc>
        <w:tc>
          <w:tcPr>
            <w:tcW w:w="120" w:type="dxa"/>
            <w:vAlign w:val="bottom"/>
            <w:tcBorders>
              <w:bottom w:val="single" w:sz="8" w:color="auto"/>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ind w:right="33"/>
              <w:spacing w:after="0"/>
              <w:rPr>
                <w:sz w:val="20"/>
                <w:szCs w:val="20"/>
                <w:color w:val="auto"/>
              </w:rPr>
            </w:pPr>
            <w:r>
              <w:rPr>
                <w:rFonts w:ascii="Arial" w:cs="Arial" w:eastAsia="Arial" w:hAnsi="Arial"/>
                <w:sz w:val="14"/>
                <w:szCs w:val="14"/>
                <w:color w:val="auto"/>
              </w:rPr>
              <w:t>65,504,571</w:t>
            </w:r>
          </w:p>
        </w:tc>
        <w:tc>
          <w:tcPr>
            <w:tcW w:w="100" w:type="dxa"/>
            <w:vAlign w:val="bottom"/>
            <w:tcBorders>
              <w:bottom w:val="single" w:sz="8" w:color="auto"/>
            </w:tcBorders>
            <w:shd w:val="clear" w:color="auto" w:fill="CCFFCC"/>
          </w:tcPr>
          <w:p>
            <w:pPr>
              <w:spacing w:after="0"/>
              <w:rPr>
                <w:sz w:val="18"/>
                <w:szCs w:val="18"/>
                <w:color w:val="auto"/>
              </w:rPr>
            </w:pPr>
          </w:p>
        </w:tc>
        <w:tc>
          <w:tcPr>
            <w:tcW w:w="36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ind w:right="52"/>
              <w:spacing w:after="0"/>
              <w:rPr>
                <w:sz w:val="20"/>
                <w:szCs w:val="20"/>
                <w:color w:val="auto"/>
              </w:rPr>
            </w:pPr>
            <w:r>
              <w:rPr>
                <w:rFonts w:ascii="Arial" w:cs="Arial" w:eastAsia="Arial" w:hAnsi="Arial"/>
                <w:sz w:val="14"/>
                <w:szCs w:val="14"/>
                <w:color w:val="auto"/>
                <w:w w:val="88"/>
              </w:rPr>
              <w:t>62,268,439</w:t>
            </w:r>
          </w:p>
        </w:tc>
      </w:tr>
      <w:tr>
        <w:trPr>
          <w:trHeight w:val="20"/>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2"/>
        </w:trPr>
        <w:tc>
          <w:tcPr>
            <w:tcW w:w="6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9"/>
        </w:trPr>
        <w:tc>
          <w:tcPr>
            <w:tcW w:w="6080" w:type="dxa"/>
            <w:vAlign w:val="bottom"/>
            <w:tcBorders>
              <w:bottom w:val="single" w:sz="8" w:color="auto"/>
            </w:tcBorders>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9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7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760" w:type="dxa"/>
            <w:vAlign w:val="bottom"/>
            <w:shd w:val="clear" w:color="auto" w:fill="CCFFCC"/>
          </w:tcPr>
          <w:p>
            <w:pPr>
              <w:spacing w:after="0"/>
              <w:rPr>
                <w:sz w:val="22"/>
                <w:szCs w:val="22"/>
                <w:color w:val="auto"/>
              </w:rPr>
            </w:pPr>
          </w:p>
        </w:tc>
      </w:tr>
      <w:tr>
        <w:trPr>
          <w:trHeight w:val="210"/>
        </w:trPr>
        <w:tc>
          <w:tcPr>
            <w:tcW w:w="6080" w:type="dxa"/>
            <w:vAlign w:val="bottom"/>
          </w:tcPr>
          <w:p>
            <w:pPr>
              <w:ind w:left="140"/>
              <w:spacing w:after="0"/>
              <w:rPr>
                <w:sz w:val="20"/>
                <w:szCs w:val="20"/>
                <w:color w:val="auto"/>
              </w:rPr>
            </w:pPr>
            <w:r>
              <w:rPr>
                <w:rFonts w:ascii="Arial" w:cs="Arial" w:eastAsia="Arial" w:hAnsi="Arial"/>
                <w:sz w:val="8"/>
                <w:szCs w:val="8"/>
                <w:color w:val="auto"/>
              </w:rPr>
              <w:t xml:space="preserve">(1) </w:t>
            </w:r>
            <w:r>
              <w:rPr>
                <w:rFonts w:ascii="Arial" w:cs="Arial" w:eastAsia="Arial" w:hAnsi="Arial"/>
                <w:sz w:val="12"/>
                <w:szCs w:val="12"/>
                <w:color w:val="auto"/>
              </w:rPr>
              <w:t>Amounts include stock-based compensation expense, as follows: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1"/>
        </w:trPr>
        <w:tc>
          <w:tcPr>
            <w:tcW w:w="6080" w:type="dxa"/>
            <w:vAlign w:val="bottom"/>
            <w:shd w:val="clear" w:color="auto" w:fill="CCFFCC"/>
          </w:tcPr>
          <w:p>
            <w:pPr>
              <w:ind w:left="320"/>
              <w:spacing w:after="0"/>
              <w:rPr>
                <w:sz w:val="20"/>
                <w:szCs w:val="20"/>
                <w:color w:val="auto"/>
              </w:rPr>
            </w:pPr>
            <w:r>
              <w:rPr>
                <w:rFonts w:ascii="Arial" w:cs="Arial" w:eastAsia="Arial" w:hAnsi="Arial"/>
                <w:sz w:val="13"/>
                <w:szCs w:val="13"/>
                <w:color w:val="auto"/>
              </w:rPr>
              <w:t>Cost of revenue</w:t>
            </w:r>
          </w:p>
        </w:tc>
        <w:tc>
          <w:tcPr>
            <w:tcW w:w="580" w:type="dxa"/>
            <w:vAlign w:val="bottom"/>
            <w:gridSpan w:val="2"/>
            <w:shd w:val="clear" w:color="auto" w:fill="CCFFCC"/>
          </w:tcPr>
          <w:p>
            <w:pPr>
              <w:ind w:left="3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FFCC"/>
          </w:tcPr>
          <w:p>
            <w:pPr>
              <w:jc w:val="right"/>
              <w:ind w:right="53"/>
              <w:spacing w:after="0"/>
              <w:rPr>
                <w:sz w:val="20"/>
                <w:szCs w:val="20"/>
                <w:color w:val="auto"/>
              </w:rPr>
            </w:pPr>
            <w:r>
              <w:rPr>
                <w:rFonts w:ascii="Arial" w:cs="Arial" w:eastAsia="Arial" w:hAnsi="Arial"/>
                <w:sz w:val="13"/>
                <w:szCs w:val="13"/>
                <w:color w:val="auto"/>
              </w:rPr>
              <w:t>2,288</w:t>
            </w:r>
          </w:p>
        </w:tc>
        <w:tc>
          <w:tcPr>
            <w:tcW w:w="120" w:type="dxa"/>
            <w:vAlign w:val="bottom"/>
            <w:shd w:val="clear" w:color="auto" w:fill="CCFFCC"/>
          </w:tcPr>
          <w:p>
            <w:pPr>
              <w:spacing w:after="0"/>
              <w:rPr>
                <w:sz w:val="20"/>
                <w:szCs w:val="20"/>
                <w:color w:val="auto"/>
              </w:rPr>
            </w:pPr>
          </w:p>
        </w:tc>
        <w:tc>
          <w:tcPr>
            <w:tcW w:w="360" w:type="dxa"/>
            <w:vAlign w:val="bottom"/>
            <w:shd w:val="clear" w:color="auto" w:fill="CCFFCC"/>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jc w:val="right"/>
              <w:ind w:right="52"/>
              <w:spacing w:after="0"/>
              <w:rPr>
                <w:sz w:val="20"/>
                <w:szCs w:val="20"/>
                <w:color w:val="auto"/>
              </w:rPr>
            </w:pPr>
            <w:r>
              <w:rPr>
                <w:rFonts w:ascii="Arial" w:cs="Arial" w:eastAsia="Arial" w:hAnsi="Arial"/>
                <w:sz w:val="13"/>
                <w:szCs w:val="13"/>
                <w:color w:val="auto"/>
              </w:rPr>
              <w:t>763</w:t>
            </w:r>
          </w:p>
        </w:tc>
        <w:tc>
          <w:tcPr>
            <w:tcW w:w="120" w:type="dxa"/>
            <w:vAlign w:val="bottom"/>
            <w:shd w:val="clear" w:color="auto" w:fill="CCFFCC"/>
          </w:tcPr>
          <w:p>
            <w:pPr>
              <w:spacing w:after="0"/>
              <w:rPr>
                <w:sz w:val="20"/>
                <w:szCs w:val="20"/>
                <w:color w:val="auto"/>
              </w:rPr>
            </w:pPr>
          </w:p>
        </w:tc>
        <w:tc>
          <w:tcPr>
            <w:tcW w:w="220" w:type="dxa"/>
            <w:vAlign w:val="bottom"/>
            <w:shd w:val="clear" w:color="auto" w:fill="CCFFCC"/>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3"/>
                <w:szCs w:val="13"/>
                <w:color w:val="auto"/>
              </w:rPr>
              <w:t>5,735</w:t>
            </w:r>
          </w:p>
        </w:tc>
        <w:tc>
          <w:tcPr>
            <w:tcW w:w="460" w:type="dxa"/>
            <w:vAlign w:val="bottom"/>
            <w:gridSpan w:val="2"/>
            <w:shd w:val="clear" w:color="auto" w:fill="CCFFCC"/>
          </w:tcPr>
          <w:p>
            <w:pPr>
              <w:ind w:lef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ind w:right="52"/>
              <w:spacing w:after="0"/>
              <w:rPr>
                <w:sz w:val="20"/>
                <w:szCs w:val="20"/>
                <w:color w:val="auto"/>
              </w:rPr>
            </w:pPr>
            <w:r>
              <w:rPr>
                <w:rFonts w:ascii="Arial" w:cs="Arial" w:eastAsia="Arial" w:hAnsi="Arial"/>
                <w:sz w:val="13"/>
                <w:szCs w:val="13"/>
                <w:color w:val="auto"/>
              </w:rPr>
              <w:t>1,911</w:t>
            </w:r>
          </w:p>
        </w:tc>
      </w:tr>
      <w:tr>
        <w:trPr>
          <w:trHeight w:val="230"/>
        </w:trPr>
        <w:tc>
          <w:tcPr>
            <w:tcW w:w="6080" w:type="dxa"/>
            <w:vAlign w:val="bottom"/>
          </w:tcPr>
          <w:p>
            <w:pPr>
              <w:ind w:left="320"/>
              <w:spacing w:after="0"/>
              <w:rPr>
                <w:sz w:val="20"/>
                <w:szCs w:val="20"/>
                <w:color w:val="auto"/>
              </w:rPr>
            </w:pPr>
            <w:r>
              <w:rPr>
                <w:rFonts w:ascii="Arial" w:cs="Arial" w:eastAsia="Arial" w:hAnsi="Arial"/>
                <w:sz w:val="13"/>
                <w:szCs w:val="13"/>
                <w:color w:val="auto"/>
              </w:rPr>
              <w:t>Sales and marketing</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1,873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Arial" w:cs="Arial" w:eastAsia="Arial" w:hAnsi="Arial"/>
                <w:sz w:val="13"/>
                <w:szCs w:val="13"/>
                <w:color w:val="auto"/>
              </w:rPr>
              <w:t>2,050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9,536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3"/>
                <w:szCs w:val="13"/>
                <w:color w:val="auto"/>
              </w:rPr>
              <w:t>5,744</w:t>
            </w:r>
          </w:p>
        </w:tc>
      </w:tr>
      <w:tr>
        <w:trPr>
          <w:trHeight w:val="241"/>
        </w:trPr>
        <w:tc>
          <w:tcPr>
            <w:tcW w:w="6080" w:type="dxa"/>
            <w:vAlign w:val="bottom"/>
            <w:shd w:val="clear" w:color="auto" w:fill="CCFFCC"/>
          </w:tcPr>
          <w:p>
            <w:pPr>
              <w:ind w:left="320"/>
              <w:spacing w:after="0"/>
              <w:rPr>
                <w:sz w:val="20"/>
                <w:szCs w:val="20"/>
                <w:color w:val="auto"/>
              </w:rPr>
            </w:pPr>
            <w:r>
              <w:rPr>
                <w:rFonts w:ascii="Arial" w:cs="Arial" w:eastAsia="Arial" w:hAnsi="Arial"/>
                <w:sz w:val="13"/>
                <w:szCs w:val="13"/>
                <w:color w:val="auto"/>
              </w:rPr>
              <w:t>General and administrative</w:t>
            </w: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jc w:val="right"/>
              <w:ind w:right="53"/>
              <w:spacing w:after="0"/>
              <w:rPr>
                <w:sz w:val="20"/>
                <w:szCs w:val="20"/>
                <w:color w:val="auto"/>
              </w:rPr>
            </w:pPr>
            <w:r>
              <w:rPr>
                <w:rFonts w:ascii="Arial" w:cs="Arial" w:eastAsia="Arial" w:hAnsi="Arial"/>
                <w:sz w:val="13"/>
                <w:szCs w:val="13"/>
                <w:color w:val="auto"/>
              </w:rPr>
              <w:t>3,618</w:t>
            </w:r>
          </w:p>
        </w:tc>
        <w:tc>
          <w:tcPr>
            <w:tcW w:w="1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780" w:type="dxa"/>
            <w:vAlign w:val="bottom"/>
            <w:shd w:val="clear" w:color="auto" w:fill="CCFFCC"/>
          </w:tcPr>
          <w:p>
            <w:pPr>
              <w:jc w:val="right"/>
              <w:ind w:right="52"/>
              <w:spacing w:after="0"/>
              <w:rPr>
                <w:sz w:val="20"/>
                <w:szCs w:val="20"/>
                <w:color w:val="auto"/>
              </w:rPr>
            </w:pPr>
            <w:r>
              <w:rPr>
                <w:rFonts w:ascii="Arial" w:cs="Arial" w:eastAsia="Arial" w:hAnsi="Arial"/>
                <w:sz w:val="13"/>
                <w:szCs w:val="13"/>
                <w:color w:val="auto"/>
              </w:rPr>
              <w:t>2,605</w:t>
            </w:r>
          </w:p>
        </w:tc>
        <w:tc>
          <w:tcPr>
            <w:tcW w:w="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3"/>
                <w:szCs w:val="13"/>
                <w:color w:val="auto"/>
              </w:rPr>
              <w:t>10,428</w:t>
            </w:r>
          </w:p>
        </w:tc>
        <w:tc>
          <w:tcPr>
            <w:tcW w:w="10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760" w:type="dxa"/>
            <w:vAlign w:val="bottom"/>
            <w:shd w:val="clear" w:color="auto" w:fill="CCFFCC"/>
          </w:tcPr>
          <w:p>
            <w:pPr>
              <w:jc w:val="right"/>
              <w:ind w:right="52"/>
              <w:spacing w:after="0"/>
              <w:rPr>
                <w:sz w:val="20"/>
                <w:szCs w:val="20"/>
                <w:color w:val="auto"/>
              </w:rPr>
            </w:pPr>
            <w:r>
              <w:rPr>
                <w:rFonts w:ascii="Arial" w:cs="Arial" w:eastAsia="Arial" w:hAnsi="Arial"/>
                <w:sz w:val="13"/>
                <w:szCs w:val="13"/>
                <w:color w:val="auto"/>
              </w:rPr>
              <w:t>7,995</w:t>
            </w:r>
          </w:p>
        </w:tc>
      </w:tr>
      <w:tr>
        <w:trPr>
          <w:trHeight w:val="230"/>
        </w:trPr>
        <w:tc>
          <w:tcPr>
            <w:tcW w:w="6080" w:type="dxa"/>
            <w:vAlign w:val="bottom"/>
          </w:tcPr>
          <w:p>
            <w:pPr>
              <w:ind w:left="320"/>
              <w:spacing w:after="0"/>
              <w:rPr>
                <w:sz w:val="20"/>
                <w:szCs w:val="20"/>
                <w:color w:val="auto"/>
              </w:rPr>
            </w:pPr>
            <w:r>
              <w:rPr>
                <w:rFonts w:ascii="Arial" w:cs="Arial" w:eastAsia="Arial" w:hAnsi="Arial"/>
                <w:sz w:val="13"/>
                <w:szCs w:val="13"/>
                <w:color w:val="auto"/>
              </w:rPr>
              <w:t>Product development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7,753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Arial" w:cs="Arial" w:eastAsia="Arial" w:hAnsi="Arial"/>
                <w:sz w:val="13"/>
                <w:szCs w:val="13"/>
                <w:color w:val="auto"/>
              </w:rPr>
              <w:t>3,650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20,472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3"/>
                <w:szCs w:val="13"/>
                <w:color w:val="auto"/>
              </w:rPr>
              <w:t>9,889</w:t>
            </w:r>
          </w:p>
        </w:tc>
      </w:tr>
      <w:tr>
        <w:trPr>
          <w:trHeight w:val="241"/>
        </w:trPr>
        <w:tc>
          <w:tcPr>
            <w:tcW w:w="608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8"/>
                <w:szCs w:val="8"/>
                <w:color w:val="auto"/>
              </w:rPr>
              <w:t xml:space="preserve">(2) </w:t>
            </w:r>
            <w:r>
              <w:rPr>
                <w:rFonts w:ascii="Arial" w:cs="Arial" w:eastAsia="Arial" w:hAnsi="Arial"/>
                <w:sz w:val="12"/>
                <w:szCs w:val="12"/>
                <w:color w:val="auto"/>
              </w:rPr>
              <w:t>Amounts include depreciation expense, as follows: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1"/>
        </w:trPr>
        <w:tc>
          <w:tcPr>
            <w:tcW w:w="6080" w:type="dxa"/>
            <w:vAlign w:val="bottom"/>
            <w:shd w:val="clear" w:color="auto" w:fill="CCFFCC"/>
          </w:tcPr>
          <w:p>
            <w:pPr>
              <w:ind w:left="320"/>
              <w:spacing w:after="0"/>
              <w:rPr>
                <w:sz w:val="20"/>
                <w:szCs w:val="20"/>
                <w:color w:val="auto"/>
              </w:rPr>
            </w:pPr>
            <w:r>
              <w:rPr>
                <w:rFonts w:ascii="Arial" w:cs="Arial" w:eastAsia="Arial" w:hAnsi="Arial"/>
                <w:sz w:val="13"/>
                <w:szCs w:val="13"/>
                <w:color w:val="auto"/>
              </w:rPr>
              <w:t>Cost of revenue</w:t>
            </w:r>
          </w:p>
        </w:tc>
        <w:tc>
          <w:tcPr>
            <w:tcW w:w="580" w:type="dxa"/>
            <w:vAlign w:val="bottom"/>
            <w:gridSpan w:val="2"/>
            <w:shd w:val="clear" w:color="auto" w:fill="CCFFCC"/>
          </w:tcPr>
          <w:p>
            <w:pPr>
              <w:ind w:left="3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FFCC"/>
          </w:tcPr>
          <w:p>
            <w:pPr>
              <w:jc w:val="right"/>
              <w:ind w:right="53"/>
              <w:spacing w:after="0"/>
              <w:rPr>
                <w:sz w:val="20"/>
                <w:szCs w:val="20"/>
                <w:color w:val="auto"/>
              </w:rPr>
            </w:pPr>
            <w:r>
              <w:rPr>
                <w:rFonts w:ascii="Arial" w:cs="Arial" w:eastAsia="Arial" w:hAnsi="Arial"/>
                <w:sz w:val="13"/>
                <w:szCs w:val="13"/>
                <w:color w:val="auto"/>
              </w:rPr>
              <w:t>2,710</w:t>
            </w:r>
          </w:p>
        </w:tc>
        <w:tc>
          <w:tcPr>
            <w:tcW w:w="120" w:type="dxa"/>
            <w:vAlign w:val="bottom"/>
            <w:shd w:val="clear" w:color="auto" w:fill="CCFFCC"/>
          </w:tcPr>
          <w:p>
            <w:pPr>
              <w:spacing w:after="0"/>
              <w:rPr>
                <w:sz w:val="20"/>
                <w:szCs w:val="20"/>
                <w:color w:val="auto"/>
              </w:rPr>
            </w:pPr>
          </w:p>
        </w:tc>
        <w:tc>
          <w:tcPr>
            <w:tcW w:w="360" w:type="dxa"/>
            <w:vAlign w:val="bottom"/>
            <w:shd w:val="clear" w:color="auto" w:fill="CCFFCC"/>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jc w:val="right"/>
              <w:ind w:right="52"/>
              <w:spacing w:after="0"/>
              <w:rPr>
                <w:sz w:val="20"/>
                <w:szCs w:val="20"/>
                <w:color w:val="auto"/>
              </w:rPr>
            </w:pPr>
            <w:r>
              <w:rPr>
                <w:rFonts w:ascii="Arial" w:cs="Arial" w:eastAsia="Arial" w:hAnsi="Arial"/>
                <w:sz w:val="13"/>
                <w:szCs w:val="13"/>
                <w:color w:val="auto"/>
              </w:rPr>
              <w:t>2,208</w:t>
            </w:r>
          </w:p>
        </w:tc>
        <w:tc>
          <w:tcPr>
            <w:tcW w:w="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3"/>
                <w:szCs w:val="13"/>
                <w:color w:val="auto"/>
              </w:rPr>
              <w:t>7,619</w:t>
            </w:r>
          </w:p>
        </w:tc>
        <w:tc>
          <w:tcPr>
            <w:tcW w:w="10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760" w:type="dxa"/>
            <w:vAlign w:val="bottom"/>
            <w:shd w:val="clear" w:color="auto" w:fill="CCFFCC"/>
          </w:tcPr>
          <w:p>
            <w:pPr>
              <w:jc w:val="right"/>
              <w:ind w:right="52"/>
              <w:spacing w:after="0"/>
              <w:rPr>
                <w:sz w:val="20"/>
                <w:szCs w:val="20"/>
                <w:color w:val="auto"/>
              </w:rPr>
            </w:pPr>
            <w:r>
              <w:rPr>
                <w:rFonts w:ascii="Arial" w:cs="Arial" w:eastAsia="Arial" w:hAnsi="Arial"/>
                <w:sz w:val="13"/>
                <w:szCs w:val="13"/>
                <w:color w:val="auto"/>
              </w:rPr>
              <w:t>6,192</w:t>
            </w:r>
          </w:p>
        </w:tc>
      </w:tr>
      <w:tr>
        <w:trPr>
          <w:trHeight w:val="230"/>
        </w:trPr>
        <w:tc>
          <w:tcPr>
            <w:tcW w:w="6080" w:type="dxa"/>
            <w:vAlign w:val="bottom"/>
          </w:tcPr>
          <w:p>
            <w:pPr>
              <w:ind w:left="320"/>
              <w:spacing w:after="0"/>
              <w:rPr>
                <w:sz w:val="20"/>
                <w:szCs w:val="20"/>
                <w:color w:val="auto"/>
              </w:rPr>
            </w:pPr>
            <w:r>
              <w:rPr>
                <w:rFonts w:ascii="Arial" w:cs="Arial" w:eastAsia="Arial" w:hAnsi="Arial"/>
                <w:sz w:val="13"/>
                <w:szCs w:val="13"/>
                <w:color w:val="auto"/>
              </w:rPr>
              <w:t>Sales and marketing</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511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Arial" w:cs="Arial" w:eastAsia="Arial" w:hAnsi="Arial"/>
                <w:sz w:val="13"/>
                <w:szCs w:val="13"/>
                <w:color w:val="auto"/>
              </w:rPr>
              <w:t>423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1,798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3"/>
                <w:szCs w:val="13"/>
                <w:color w:val="auto"/>
              </w:rPr>
              <w:t>1,210</w:t>
            </w:r>
          </w:p>
        </w:tc>
      </w:tr>
      <w:tr>
        <w:trPr>
          <w:trHeight w:val="241"/>
        </w:trPr>
        <w:tc>
          <w:tcPr>
            <w:tcW w:w="6080" w:type="dxa"/>
            <w:vAlign w:val="bottom"/>
            <w:shd w:val="clear" w:color="auto" w:fill="CCFFCC"/>
          </w:tcPr>
          <w:p>
            <w:pPr>
              <w:ind w:left="320"/>
              <w:spacing w:after="0"/>
              <w:rPr>
                <w:sz w:val="20"/>
                <w:szCs w:val="20"/>
                <w:color w:val="auto"/>
              </w:rPr>
            </w:pPr>
            <w:r>
              <w:rPr>
                <w:rFonts w:ascii="Arial" w:cs="Arial" w:eastAsia="Arial" w:hAnsi="Arial"/>
                <w:sz w:val="13"/>
                <w:szCs w:val="13"/>
                <w:color w:val="auto"/>
              </w:rPr>
              <w:t>General and administrative</w:t>
            </w: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jc w:val="right"/>
              <w:ind w:right="53"/>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780" w:type="dxa"/>
            <w:vAlign w:val="bottom"/>
            <w:shd w:val="clear" w:color="auto" w:fill="CCFFCC"/>
          </w:tcPr>
          <w:p>
            <w:pPr>
              <w:jc w:val="right"/>
              <w:ind w:right="52"/>
              <w:spacing w:after="0"/>
              <w:rPr>
                <w:sz w:val="20"/>
                <w:szCs w:val="20"/>
                <w:color w:val="auto"/>
              </w:rPr>
            </w:pPr>
            <w:r>
              <w:rPr>
                <w:rFonts w:ascii="Arial" w:cs="Arial" w:eastAsia="Arial" w:hAnsi="Arial"/>
                <w:sz w:val="13"/>
                <w:szCs w:val="13"/>
                <w:color w:val="auto"/>
              </w:rPr>
              <w:t>221</w:t>
            </w:r>
          </w:p>
        </w:tc>
        <w:tc>
          <w:tcPr>
            <w:tcW w:w="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3"/>
                <w:szCs w:val="13"/>
                <w:color w:val="auto"/>
              </w:rPr>
              <w:t>207</w:t>
            </w:r>
          </w:p>
        </w:tc>
        <w:tc>
          <w:tcPr>
            <w:tcW w:w="10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760" w:type="dxa"/>
            <w:vAlign w:val="bottom"/>
            <w:shd w:val="clear" w:color="auto" w:fill="CCFFCC"/>
          </w:tcPr>
          <w:p>
            <w:pPr>
              <w:jc w:val="right"/>
              <w:ind w:right="52"/>
              <w:spacing w:after="0"/>
              <w:rPr>
                <w:sz w:val="20"/>
                <w:szCs w:val="20"/>
                <w:color w:val="auto"/>
              </w:rPr>
            </w:pPr>
            <w:r>
              <w:rPr>
                <w:rFonts w:ascii="Arial" w:cs="Arial" w:eastAsia="Arial" w:hAnsi="Arial"/>
                <w:sz w:val="13"/>
                <w:szCs w:val="13"/>
                <w:color w:val="auto"/>
              </w:rPr>
              <w:t>677</w:t>
            </w:r>
          </w:p>
        </w:tc>
      </w:tr>
      <w:tr>
        <w:trPr>
          <w:trHeight w:val="230"/>
        </w:trPr>
        <w:tc>
          <w:tcPr>
            <w:tcW w:w="6080" w:type="dxa"/>
            <w:vAlign w:val="bottom"/>
          </w:tcPr>
          <w:p>
            <w:pPr>
              <w:ind w:left="320"/>
              <w:spacing w:after="0"/>
              <w:rPr>
                <w:sz w:val="20"/>
                <w:szCs w:val="20"/>
                <w:color w:val="auto"/>
              </w:rPr>
            </w:pPr>
            <w:r>
              <w:rPr>
                <w:rFonts w:ascii="Arial" w:cs="Arial" w:eastAsia="Arial" w:hAnsi="Arial"/>
                <w:sz w:val="13"/>
                <w:szCs w:val="13"/>
                <w:color w:val="auto"/>
              </w:rPr>
              <w:t>Product development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2,674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Arial" w:cs="Arial" w:eastAsia="Arial" w:hAnsi="Arial"/>
                <w:sz w:val="13"/>
                <w:szCs w:val="13"/>
                <w:color w:val="auto"/>
              </w:rPr>
              <w:t>1,305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7,599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3"/>
                <w:szCs w:val="13"/>
                <w:color w:val="auto"/>
              </w:rPr>
              <w:t>3,726</w:t>
            </w:r>
          </w:p>
        </w:tc>
      </w:tr>
      <w:tr>
        <w:trPr>
          <w:trHeight w:val="252"/>
        </w:trPr>
        <w:tc>
          <w:tcPr>
            <w:tcW w:w="608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8"/>
                <w:szCs w:val="8"/>
                <w:color w:val="auto"/>
              </w:rPr>
              <w:t xml:space="preserve">(3) </w:t>
            </w:r>
            <w:r>
              <w:rPr>
                <w:rFonts w:ascii="Arial" w:cs="Arial" w:eastAsia="Arial" w:hAnsi="Arial"/>
                <w:sz w:val="12"/>
                <w:szCs w:val="12"/>
                <w:color w:val="auto"/>
              </w:rPr>
              <w:t>Amounts include amortization of purchased intangibles, as follows: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1"/>
        </w:trPr>
        <w:tc>
          <w:tcPr>
            <w:tcW w:w="6080" w:type="dxa"/>
            <w:vAlign w:val="bottom"/>
            <w:shd w:val="clear" w:color="auto" w:fill="CCFFCC"/>
          </w:tcPr>
          <w:p>
            <w:pPr>
              <w:ind w:left="320"/>
              <w:spacing w:after="0"/>
              <w:rPr>
                <w:sz w:val="20"/>
                <w:szCs w:val="20"/>
                <w:color w:val="auto"/>
              </w:rPr>
            </w:pPr>
            <w:r>
              <w:rPr>
                <w:rFonts w:ascii="Arial" w:cs="Arial" w:eastAsia="Arial" w:hAnsi="Arial"/>
                <w:sz w:val="13"/>
                <w:szCs w:val="13"/>
                <w:color w:val="auto"/>
              </w:rPr>
              <w:t>Cost of revenue</w:t>
            </w:r>
          </w:p>
        </w:tc>
        <w:tc>
          <w:tcPr>
            <w:tcW w:w="580" w:type="dxa"/>
            <w:vAlign w:val="bottom"/>
            <w:gridSpan w:val="2"/>
            <w:shd w:val="clear" w:color="auto" w:fill="CCFFCC"/>
          </w:tcPr>
          <w:p>
            <w:pPr>
              <w:ind w:left="3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FFCC"/>
          </w:tcPr>
          <w:p>
            <w:pPr>
              <w:jc w:val="right"/>
              <w:ind w:right="53"/>
              <w:spacing w:after="0"/>
              <w:rPr>
                <w:sz w:val="20"/>
                <w:szCs w:val="20"/>
                <w:color w:val="auto"/>
              </w:rPr>
            </w:pPr>
            <w:r>
              <w:rPr>
                <w:rFonts w:ascii="Arial" w:cs="Arial" w:eastAsia="Arial" w:hAnsi="Arial"/>
                <w:sz w:val="13"/>
                <w:szCs w:val="13"/>
                <w:color w:val="auto"/>
              </w:rPr>
              <w:t>286</w:t>
            </w:r>
          </w:p>
        </w:tc>
        <w:tc>
          <w:tcPr>
            <w:tcW w:w="120" w:type="dxa"/>
            <w:vAlign w:val="bottom"/>
            <w:shd w:val="clear" w:color="auto" w:fill="CCFFCC"/>
          </w:tcPr>
          <w:p>
            <w:pPr>
              <w:spacing w:after="0"/>
              <w:rPr>
                <w:sz w:val="20"/>
                <w:szCs w:val="20"/>
                <w:color w:val="auto"/>
              </w:rPr>
            </w:pPr>
          </w:p>
        </w:tc>
        <w:tc>
          <w:tcPr>
            <w:tcW w:w="360" w:type="dxa"/>
            <w:vAlign w:val="bottom"/>
            <w:shd w:val="clear" w:color="auto" w:fill="CCFFCC"/>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jc w:val="right"/>
              <w:ind w:right="52"/>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FFCC"/>
          </w:tcPr>
          <w:p>
            <w:pPr>
              <w:spacing w:after="0"/>
              <w:rPr>
                <w:sz w:val="20"/>
                <w:szCs w:val="20"/>
                <w:color w:val="auto"/>
              </w:rPr>
            </w:pPr>
          </w:p>
        </w:tc>
        <w:tc>
          <w:tcPr>
            <w:tcW w:w="220" w:type="dxa"/>
            <w:vAlign w:val="bottom"/>
            <w:shd w:val="clear" w:color="auto" w:fill="CCFFCC"/>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3"/>
                <w:szCs w:val="13"/>
                <w:color w:val="auto"/>
              </w:rPr>
              <w:t>854</w:t>
            </w:r>
          </w:p>
        </w:tc>
        <w:tc>
          <w:tcPr>
            <w:tcW w:w="460" w:type="dxa"/>
            <w:vAlign w:val="bottom"/>
            <w:gridSpan w:val="2"/>
            <w:shd w:val="clear" w:color="auto" w:fill="CCFFCC"/>
          </w:tcPr>
          <w:p>
            <w:pPr>
              <w:ind w:lef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ind w:right="52"/>
              <w:spacing w:after="0"/>
              <w:rPr>
                <w:sz w:val="20"/>
                <w:szCs w:val="20"/>
                <w:color w:val="auto"/>
              </w:rPr>
            </w:pPr>
            <w:r>
              <w:rPr>
                <w:rFonts w:ascii="Arial" w:cs="Arial" w:eastAsia="Arial" w:hAnsi="Arial"/>
                <w:sz w:val="13"/>
                <w:szCs w:val="13"/>
                <w:color w:val="auto"/>
              </w:rPr>
              <w:t>854</w:t>
            </w:r>
          </w:p>
        </w:tc>
      </w:tr>
    </w:tbl>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 (unaudited).</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60"/>
          </w:cols>
          <w:pgMar w:left="320" w:top="664" w:right="319" w:bottom="1440" w:gutter="0" w:footer="0" w:header="0"/>
        </w:sectPr>
      </w:pPr>
    </w:p>
    <w:bookmarkStart w:id="6" w:name="page7"/>
    <w:bookmarkEnd w:id="6"/>
    <w:p>
      <w:pPr>
        <w:ind w:left="4920"/>
        <w:spacing w:after="0"/>
        <w:rPr>
          <w:sz w:val="20"/>
          <w:szCs w:val="20"/>
          <w:color w:val="auto"/>
        </w:rPr>
      </w:pPr>
      <w:r>
        <w:rPr>
          <w:rFonts w:ascii="Arial" w:cs="Arial" w:eastAsia="Arial" w:hAnsi="Arial"/>
          <w:sz w:val="16"/>
          <w:szCs w:val="16"/>
          <w:b w:val="1"/>
          <w:bCs w:val="1"/>
          <w:color w:val="auto"/>
        </w:rPr>
        <w:t>LIVEPERSON, INC.</w:t>
      </w:r>
    </w:p>
    <w:p>
      <w:pPr>
        <w:spacing w:after="0" w:line="98" w:lineRule="exact"/>
        <w:rPr>
          <w:sz w:val="20"/>
          <w:szCs w:val="20"/>
          <w:color w:val="auto"/>
        </w:rPr>
      </w:pPr>
    </w:p>
    <w:p>
      <w:pPr>
        <w:ind w:left="2880"/>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right"/>
              <w:ind w:right="651"/>
              <w:spacing w:after="0"/>
              <w:rPr>
                <w:sz w:val="20"/>
                <w:szCs w:val="20"/>
                <w:color w:val="auto"/>
              </w:rPr>
            </w:pPr>
            <w:r>
              <w:rPr>
                <w:rFonts w:ascii="Arial" w:cs="Arial" w:eastAsia="Arial" w:hAnsi="Arial"/>
                <w:sz w:val="13"/>
                <w:szCs w:val="13"/>
                <w:b w:val="1"/>
                <w:bCs w:val="1"/>
                <w:color w:val="auto"/>
              </w:rPr>
              <w:t>Three Months Ended</w:t>
            </w:r>
          </w:p>
        </w:tc>
        <w:tc>
          <w:tcPr>
            <w:tcW w:w="400" w:type="dxa"/>
            <w:vAlign w:val="bottom"/>
          </w:tcPr>
          <w:p>
            <w:pPr>
              <w:spacing w:after="0"/>
              <w:rPr>
                <w:sz w:val="14"/>
                <w:szCs w:val="14"/>
                <w:color w:val="auto"/>
              </w:rPr>
            </w:pPr>
          </w:p>
        </w:tc>
        <w:tc>
          <w:tcPr>
            <w:tcW w:w="2060" w:type="dxa"/>
            <w:vAlign w:val="bottom"/>
            <w:gridSpan w:val="3"/>
          </w:tcPr>
          <w:p>
            <w:pPr>
              <w:jc w:val="right"/>
              <w:ind w:right="551"/>
              <w:spacing w:after="0"/>
              <w:rPr>
                <w:sz w:val="20"/>
                <w:szCs w:val="20"/>
                <w:color w:val="auto"/>
              </w:rPr>
            </w:pPr>
            <w:r>
              <w:rPr>
                <w:rFonts w:ascii="Arial" w:cs="Arial" w:eastAsia="Arial" w:hAnsi="Arial"/>
                <w:sz w:val="13"/>
                <w:szCs w:val="13"/>
                <w:b w:val="1"/>
                <w:bCs w:val="1"/>
                <w:color w:val="auto"/>
              </w:rPr>
              <w:t>Nine Months Ended</w:t>
            </w:r>
          </w:p>
        </w:tc>
      </w:tr>
      <w:tr>
        <w:trPr>
          <w:trHeight w:val="241"/>
        </w:trPr>
        <w:tc>
          <w:tcPr>
            <w:tcW w:w="6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September 30,</w:t>
            </w:r>
          </w:p>
        </w:tc>
        <w:tc>
          <w:tcPr>
            <w:tcW w:w="720" w:type="dxa"/>
            <w:vAlign w:val="bottom"/>
            <w:tcBorders>
              <w:bottom w:val="single" w:sz="8" w:color="auto"/>
            </w:tcBorders>
          </w:tcPr>
          <w:p>
            <w:pPr>
              <w:spacing w:after="0"/>
              <w:rPr>
                <w:sz w:val="20"/>
                <w:szCs w:val="20"/>
                <w:color w:val="auto"/>
              </w:rPr>
            </w:pPr>
          </w:p>
        </w:tc>
      </w:tr>
      <w:tr>
        <w:trPr>
          <w:trHeight w:val="227"/>
        </w:trPr>
        <w:tc>
          <w:tcPr>
            <w:tcW w:w="630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FFC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w w:val="96"/>
              </w:rPr>
              <w:t>2019</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w w:val="89"/>
              </w:rPr>
              <w:t>2019</w:t>
            </w:r>
          </w:p>
        </w:tc>
      </w:tr>
      <w:tr>
        <w:trPr>
          <w:trHeight w:val="212"/>
        </w:trPr>
        <w:tc>
          <w:tcPr>
            <w:tcW w:w="63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tcBorders>
              <w:bottom w:val="single" w:sz="8" w:color="CCFFCC"/>
            </w:tcBorders>
            <w:shd w:val="clear" w:color="auto" w:fill="CCFFCC"/>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(38,710)</w:t>
            </w:r>
          </w:p>
        </w:tc>
        <w:tc>
          <w:tcPr>
            <w:tcW w:w="120" w:type="dxa"/>
            <w:vAlign w:val="bottom"/>
            <w:tcBorders>
              <w:bottom w:val="single" w:sz="8" w:color="CCFFCC"/>
            </w:tcBorders>
            <w:shd w:val="clear" w:color="auto" w:fill="CCFFCC"/>
          </w:tcPr>
          <w:p>
            <w:pPr>
              <w:spacing w:after="0"/>
              <w:rPr>
                <w:sz w:val="18"/>
                <w:szCs w:val="18"/>
                <w:color w:val="auto"/>
              </w:rPr>
            </w:pPr>
          </w:p>
        </w:tc>
        <w:tc>
          <w:tcPr>
            <w:tcW w:w="400" w:type="dxa"/>
            <w:vAlign w:val="bottom"/>
            <w:tcBorders>
              <w:bottom w:val="single" w:sz="8" w:color="CCFFCC"/>
            </w:tcBorders>
            <w:shd w:val="clear" w:color="auto" w:fill="CCFFCC"/>
          </w:tcPr>
          <w:p>
            <w:pPr>
              <w:jc w:val="right"/>
              <w:ind w:right="2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FFCC"/>
            </w:tcBorders>
            <w:shd w:val="clear" w:color="auto" w:fill="CCFFCC"/>
          </w:tcPr>
          <w:p>
            <w:pPr>
              <w:jc w:val="right"/>
              <w:ind w:right="91"/>
              <w:spacing w:after="0"/>
              <w:rPr>
                <w:sz w:val="20"/>
                <w:szCs w:val="20"/>
                <w:color w:val="auto"/>
              </w:rPr>
            </w:pPr>
            <w:r>
              <w:rPr>
                <w:rFonts w:ascii="Arial" w:cs="Arial" w:eastAsia="Arial" w:hAnsi="Arial"/>
                <w:sz w:val="14"/>
                <w:szCs w:val="14"/>
                <w:color w:val="auto"/>
              </w:rPr>
              <w:t>(25,872)</w:t>
            </w:r>
          </w:p>
        </w:tc>
        <w:tc>
          <w:tcPr>
            <w:tcW w:w="400" w:type="dxa"/>
            <w:vAlign w:val="bottom"/>
            <w:tcBorders>
              <w:bottom w:val="single" w:sz="8" w:color="CCFFCC"/>
            </w:tcBorders>
            <w:shd w:val="clear" w:color="auto" w:fill="CCFFCC"/>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(94,338)</w:t>
            </w:r>
          </w:p>
        </w:tc>
        <w:tc>
          <w:tcPr>
            <w:tcW w:w="460" w:type="dxa"/>
            <w:vAlign w:val="bottom"/>
            <w:tcBorders>
              <w:bottom w:val="single" w:sz="8" w:color="CCFFCC"/>
            </w:tcBorders>
            <w:shd w:val="clear" w:color="auto" w:fill="CCFFCC"/>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(68,749)</w:t>
            </w:r>
          </w:p>
        </w:tc>
      </w:tr>
      <w:tr>
        <w:trPr>
          <w:trHeight w:val="207"/>
        </w:trPr>
        <w:tc>
          <w:tcPr>
            <w:tcW w:w="63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28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2,292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151"/>
              <w:spacing w:after="0"/>
              <w:rPr>
                <w:sz w:val="20"/>
                <w:szCs w:val="20"/>
                <w:color w:val="auto"/>
              </w:rPr>
            </w:pPr>
            <w:r>
              <w:rPr>
                <w:rFonts w:ascii="Arial" w:cs="Arial" w:eastAsia="Arial" w:hAnsi="Arial"/>
                <w:sz w:val="14"/>
                <w:szCs w:val="14"/>
                <w:color w:val="auto"/>
              </w:rPr>
              <w:t>1,676</w:t>
            </w:r>
          </w:p>
        </w:tc>
        <w:tc>
          <w:tcPr>
            <w:tcW w:w="40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1,754</w:t>
            </w:r>
          </w:p>
        </w:tc>
        <w:tc>
          <w:tcPr>
            <w:tcW w:w="460" w:type="dxa"/>
            <w:vAlign w:val="bottom"/>
          </w:tcPr>
          <w:p>
            <w:pPr>
              <w:spacing w:after="0"/>
              <w:rPr>
                <w:sz w:val="17"/>
                <w:szCs w:val="17"/>
                <w:color w:val="auto"/>
              </w:rPr>
            </w:pPr>
          </w:p>
        </w:tc>
        <w:tc>
          <w:tcPr>
            <w:tcW w:w="720" w:type="dxa"/>
            <w:vAlign w:val="bottom"/>
          </w:tcPr>
          <w:p>
            <w:pPr>
              <w:jc w:val="right"/>
              <w:ind w:right="51"/>
              <w:spacing w:after="0"/>
              <w:rPr>
                <w:sz w:val="20"/>
                <w:szCs w:val="20"/>
                <w:color w:val="auto"/>
              </w:rPr>
            </w:pPr>
            <w:r>
              <w:rPr>
                <w:rFonts w:ascii="Arial" w:cs="Arial" w:eastAsia="Arial" w:hAnsi="Arial"/>
                <w:sz w:val="14"/>
                <w:szCs w:val="14"/>
                <w:color w:val="auto"/>
              </w:rPr>
              <w:t>1,876</w:t>
            </w:r>
          </w:p>
        </w:tc>
      </w:tr>
      <w:tr>
        <w:trPr>
          <w:trHeight w:val="29"/>
        </w:trPr>
        <w:tc>
          <w:tcPr>
            <w:tcW w:w="63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9"/>
        </w:trPr>
        <w:tc>
          <w:tcPr>
            <w:tcW w:w="63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Comprehensive loss</w:t>
            </w:r>
          </w:p>
        </w:tc>
        <w:tc>
          <w:tcPr>
            <w:tcW w:w="280" w:type="dxa"/>
            <w:vAlign w:val="bottom"/>
            <w:tcBorders>
              <w:bottom w:val="single" w:sz="8" w:color="auto"/>
            </w:tcBorders>
            <w:shd w:val="clear" w:color="auto" w:fill="CCFFCC"/>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(36,418)</w:t>
            </w:r>
          </w:p>
        </w:tc>
        <w:tc>
          <w:tcPr>
            <w:tcW w:w="1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jc w:val="right"/>
              <w:ind w:right="2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FFCC"/>
          </w:tcPr>
          <w:p>
            <w:pPr>
              <w:jc w:val="right"/>
              <w:ind w:right="91"/>
              <w:spacing w:after="0"/>
              <w:rPr>
                <w:sz w:val="20"/>
                <w:szCs w:val="20"/>
                <w:color w:val="auto"/>
              </w:rPr>
            </w:pPr>
            <w:r>
              <w:rPr>
                <w:rFonts w:ascii="Arial" w:cs="Arial" w:eastAsia="Arial" w:hAnsi="Arial"/>
                <w:sz w:val="14"/>
                <w:szCs w:val="14"/>
                <w:color w:val="auto"/>
              </w:rPr>
              <w:t>(24,196)</w:t>
            </w:r>
          </w:p>
        </w:tc>
        <w:tc>
          <w:tcPr>
            <w:tcW w:w="400" w:type="dxa"/>
            <w:vAlign w:val="bottom"/>
            <w:tcBorders>
              <w:bottom w:val="single" w:sz="8" w:color="auto"/>
            </w:tcBorders>
            <w:shd w:val="clear" w:color="auto" w:fill="CCFFCC"/>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FFCC"/>
          </w:tcPr>
          <w:p>
            <w:pPr>
              <w:jc w:val="right"/>
              <w:ind w:right="33"/>
              <w:spacing w:after="0"/>
              <w:rPr>
                <w:sz w:val="20"/>
                <w:szCs w:val="20"/>
                <w:color w:val="auto"/>
              </w:rPr>
            </w:pPr>
            <w:r>
              <w:rPr>
                <w:rFonts w:ascii="Arial" w:cs="Arial" w:eastAsia="Arial" w:hAnsi="Arial"/>
                <w:sz w:val="14"/>
                <w:szCs w:val="14"/>
                <w:color w:val="auto"/>
              </w:rPr>
              <w:t>(92,584)</w:t>
            </w:r>
          </w:p>
        </w:tc>
        <w:tc>
          <w:tcPr>
            <w:tcW w:w="460" w:type="dxa"/>
            <w:vAlign w:val="bottom"/>
            <w:tcBorders>
              <w:bottom w:val="single" w:sz="8" w:color="auto"/>
            </w:tcBorders>
            <w:shd w:val="clear" w:color="auto" w:fill="CCFFCC"/>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(66,873)</w:t>
            </w: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 (unaudited).</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60"/>
          </w:cols>
          <w:pgMar w:left="320" w:top="664" w:right="319" w:bottom="1440" w:gutter="0" w:footer="0" w:header="0"/>
        </w:sectPr>
      </w:pPr>
    </w:p>
    <w:bookmarkStart w:id="7" w:name="page8"/>
    <w:bookmarkEnd w:id="7"/>
    <w:p>
      <w:pPr>
        <w:ind w:left="4920"/>
        <w:spacing w:after="0"/>
        <w:rPr>
          <w:sz w:val="20"/>
          <w:szCs w:val="20"/>
          <w:color w:val="auto"/>
        </w:rPr>
      </w:pPr>
      <w:r>
        <w:rPr>
          <w:rFonts w:ascii="Arial" w:cs="Arial" w:eastAsia="Arial" w:hAnsi="Arial"/>
          <w:sz w:val="16"/>
          <w:szCs w:val="16"/>
          <w:b w:val="1"/>
          <w:bCs w:val="1"/>
          <w:color w:val="auto"/>
        </w:rPr>
        <w:t>LIVEPERSON, INC.</w:t>
      </w:r>
    </w:p>
    <w:p>
      <w:pPr>
        <w:spacing w:after="0" w:line="98" w:lineRule="exact"/>
        <w:rPr>
          <w:sz w:val="20"/>
          <w:szCs w:val="20"/>
          <w:color w:val="auto"/>
        </w:rPr>
      </w:pPr>
    </w:p>
    <w:p>
      <w:pPr>
        <w:ind w:left="3300"/>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(IN THOUSANDS, EXCEPT SHARE DATA)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20471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4710" cy="762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7"/>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4"/>
            <w:vMerge w:val="restart"/>
          </w:tcPr>
          <w:p>
            <w:pPr>
              <w:ind w:left="160"/>
              <w:spacing w:after="0"/>
              <w:rPr>
                <w:sz w:val="20"/>
                <w:szCs w:val="20"/>
                <w:color w:val="auto"/>
              </w:rPr>
            </w:pPr>
            <w:r>
              <w:rPr>
                <w:rFonts w:ascii="Arial" w:cs="Arial" w:eastAsia="Arial" w:hAnsi="Arial"/>
                <w:sz w:val="11"/>
                <w:szCs w:val="11"/>
                <w:b w:val="1"/>
                <w:bCs w:val="1"/>
                <w:color w:val="auto"/>
              </w:rPr>
              <w:t>Common Stock</w:t>
            </w:r>
          </w:p>
        </w:tc>
        <w:tc>
          <w:tcPr>
            <w:tcW w:w="110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right="120"/>
              <w:spacing w:after="0" w:line="125" w:lineRule="exact"/>
              <w:rPr>
                <w:sz w:val="20"/>
                <w:szCs w:val="20"/>
                <w:color w:val="auto"/>
              </w:rPr>
            </w:pPr>
            <w:r>
              <w:rPr>
                <w:rFonts w:ascii="Arial" w:cs="Arial" w:eastAsia="Arial" w:hAnsi="Arial"/>
                <w:sz w:val="11"/>
                <w:szCs w:val="11"/>
                <w:b w:val="1"/>
                <w:bCs w:val="1"/>
                <w:color w:val="auto"/>
                <w:w w:val="89"/>
              </w:rPr>
              <w:t>Accumulated</w:t>
            </w:r>
          </w:p>
        </w:tc>
        <w:tc>
          <w:tcPr>
            <w:tcW w:w="500" w:type="dxa"/>
            <w:vAlign w:val="bottom"/>
          </w:tcPr>
          <w:p>
            <w:pPr>
              <w:spacing w:after="0"/>
              <w:rPr>
                <w:sz w:val="10"/>
                <w:szCs w:val="10"/>
                <w:color w:val="auto"/>
              </w:rPr>
            </w:pPr>
          </w:p>
        </w:tc>
        <w:tc>
          <w:tcPr>
            <w:tcW w:w="1240" w:type="dxa"/>
            <w:vAlign w:val="bottom"/>
            <w:gridSpan w:val="4"/>
            <w:vMerge w:val="restart"/>
          </w:tcPr>
          <w:p>
            <w:pPr>
              <w:ind w:left="280"/>
              <w:spacing w:after="0"/>
              <w:rPr>
                <w:sz w:val="20"/>
                <w:szCs w:val="20"/>
                <w:color w:val="auto"/>
              </w:rPr>
            </w:pPr>
            <w:r>
              <w:rPr>
                <w:rFonts w:ascii="Arial" w:cs="Arial" w:eastAsia="Arial" w:hAnsi="Arial"/>
                <w:sz w:val="11"/>
                <w:szCs w:val="11"/>
                <w:b w:val="1"/>
                <w:bCs w:val="1"/>
                <w:color w:val="auto"/>
              </w:rPr>
              <w:t>Common Stock</w:t>
            </w:r>
          </w:p>
        </w:tc>
        <w:tc>
          <w:tcPr>
            <w:tcW w:w="108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25" w:lineRule="exact"/>
              <w:rPr>
                <w:sz w:val="20"/>
                <w:szCs w:val="20"/>
                <w:color w:val="auto"/>
              </w:rPr>
            </w:pPr>
            <w:r>
              <w:rPr>
                <w:rFonts w:ascii="Arial" w:cs="Arial" w:eastAsia="Arial" w:hAnsi="Arial"/>
                <w:sz w:val="11"/>
                <w:szCs w:val="11"/>
                <w:b w:val="1"/>
                <w:bCs w:val="1"/>
                <w:color w:val="auto"/>
                <w:w w:val="89"/>
              </w:rPr>
              <w:t>Accumulated</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Additional</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Other</w:t>
            </w:r>
          </w:p>
        </w:tc>
        <w:tc>
          <w:tcPr>
            <w:tcW w:w="50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Additional</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Other</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100"/>
              <w:spacing w:after="0" w:line="94" w:lineRule="exact"/>
              <w:rPr>
                <w:sz w:val="20"/>
                <w:szCs w:val="20"/>
                <w:color w:val="auto"/>
              </w:rPr>
            </w:pPr>
            <w:r>
              <w:rPr>
                <w:rFonts w:ascii="Arial" w:cs="Arial" w:eastAsia="Arial" w:hAnsi="Arial"/>
                <w:sz w:val="10"/>
                <w:szCs w:val="10"/>
                <w:b w:val="1"/>
                <w:bCs w:val="1"/>
                <w:color w:val="auto"/>
              </w:rPr>
              <w:t>Paid-in</w:t>
            </w:r>
          </w:p>
        </w:tc>
        <w:tc>
          <w:tcPr>
            <w:tcW w:w="760" w:type="dxa"/>
            <w:vAlign w:val="bottom"/>
            <w:gridSpan w:val="2"/>
          </w:tcPr>
          <w:p>
            <w:pPr>
              <w:ind w:left="20"/>
              <w:spacing w:after="0" w:line="94" w:lineRule="exact"/>
              <w:rPr>
                <w:sz w:val="20"/>
                <w:szCs w:val="20"/>
                <w:color w:val="auto"/>
              </w:rPr>
            </w:pPr>
            <w:r>
              <w:rPr>
                <w:rFonts w:ascii="Arial" w:cs="Arial" w:eastAsia="Arial" w:hAnsi="Arial"/>
                <w:sz w:val="10"/>
                <w:szCs w:val="10"/>
                <w:b w:val="1"/>
                <w:bCs w:val="1"/>
                <w:color w:val="auto"/>
              </w:rPr>
              <w:t>Accumulated</w:t>
            </w:r>
          </w:p>
        </w:tc>
        <w:tc>
          <w:tcPr>
            <w:tcW w:w="860" w:type="dxa"/>
            <w:vAlign w:val="bottom"/>
            <w:gridSpan w:val="3"/>
          </w:tcPr>
          <w:p>
            <w:pPr>
              <w:jc w:val="center"/>
              <w:ind w:right="100"/>
              <w:spacing w:after="0" w:line="94" w:lineRule="exact"/>
              <w:rPr>
                <w:sz w:val="20"/>
                <w:szCs w:val="20"/>
                <w:color w:val="auto"/>
              </w:rPr>
            </w:pPr>
            <w:r>
              <w:rPr>
                <w:rFonts w:ascii="Arial" w:cs="Arial" w:eastAsia="Arial" w:hAnsi="Arial"/>
                <w:sz w:val="10"/>
                <w:szCs w:val="10"/>
                <w:b w:val="1"/>
                <w:bCs w:val="1"/>
                <w:color w:val="auto"/>
                <w:w w:val="95"/>
              </w:rPr>
              <w:t>Comprehensive</w:t>
            </w:r>
          </w:p>
        </w:tc>
        <w:tc>
          <w:tcPr>
            <w:tcW w:w="5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80"/>
              <w:spacing w:after="0" w:line="94" w:lineRule="exact"/>
              <w:rPr>
                <w:sz w:val="20"/>
                <w:szCs w:val="20"/>
                <w:color w:val="auto"/>
              </w:rPr>
            </w:pPr>
            <w:r>
              <w:rPr>
                <w:rFonts w:ascii="Arial" w:cs="Arial" w:eastAsia="Arial" w:hAnsi="Arial"/>
                <w:sz w:val="10"/>
                <w:szCs w:val="10"/>
                <w:b w:val="1"/>
                <w:bCs w:val="1"/>
                <w:color w:val="auto"/>
              </w:rPr>
              <w:t>Paid-in</w:t>
            </w:r>
          </w:p>
        </w:tc>
        <w:tc>
          <w:tcPr>
            <w:tcW w:w="760" w:type="dxa"/>
            <w:vAlign w:val="bottom"/>
            <w:gridSpan w:val="2"/>
          </w:tcPr>
          <w:p>
            <w:pPr>
              <w:ind w:left="40"/>
              <w:spacing w:after="0" w:line="94" w:lineRule="exact"/>
              <w:rPr>
                <w:sz w:val="20"/>
                <w:szCs w:val="20"/>
                <w:color w:val="auto"/>
              </w:rPr>
            </w:pPr>
            <w:r>
              <w:rPr>
                <w:rFonts w:ascii="Arial" w:cs="Arial" w:eastAsia="Arial" w:hAnsi="Arial"/>
                <w:sz w:val="10"/>
                <w:szCs w:val="10"/>
                <w:b w:val="1"/>
                <w:bCs w:val="1"/>
                <w:color w:val="auto"/>
              </w:rPr>
              <w:t>Accumulated</w:t>
            </w:r>
          </w:p>
        </w:tc>
        <w:tc>
          <w:tcPr>
            <w:tcW w:w="880" w:type="dxa"/>
            <w:vAlign w:val="bottom"/>
            <w:gridSpan w:val="3"/>
          </w:tcPr>
          <w:p>
            <w:pPr>
              <w:jc w:val="center"/>
              <w:ind w:right="100"/>
              <w:spacing w:after="0" w:line="94" w:lineRule="exact"/>
              <w:rPr>
                <w:sz w:val="20"/>
                <w:szCs w:val="20"/>
                <w:color w:val="auto"/>
              </w:rPr>
            </w:pPr>
            <w:r>
              <w:rPr>
                <w:rFonts w:ascii="Arial" w:cs="Arial" w:eastAsia="Arial" w:hAnsi="Arial"/>
                <w:sz w:val="10"/>
                <w:szCs w:val="10"/>
                <w:b w:val="1"/>
                <w:bCs w:val="1"/>
                <w:color w:val="auto"/>
                <w:w w:val="98"/>
              </w:rPr>
              <w:t>Comprehensive</w:t>
            </w: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2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Shares</w:t>
            </w:r>
          </w:p>
        </w:tc>
        <w:tc>
          <w:tcPr>
            <w:tcW w:w="80" w:type="dxa"/>
            <w:vAlign w:val="bottom"/>
            <w:tcBorders>
              <w:bottom w:val="single" w:sz="8" w:color="CCFFCC"/>
            </w:tcBorders>
          </w:tcPr>
          <w:p>
            <w:pPr>
              <w:spacing w:after="0"/>
              <w:rPr>
                <w:sz w:val="12"/>
                <w:szCs w:val="12"/>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Borders>
              <w:bottom w:val="single" w:sz="8" w:color="CCFFCC"/>
            </w:tcBorders>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Shares</w:t>
            </w:r>
          </w:p>
        </w:tc>
        <w:tc>
          <w:tcPr>
            <w:tcW w:w="100" w:type="dxa"/>
            <w:vAlign w:val="bottom"/>
            <w:tcBorders>
              <w:bottom w:val="single" w:sz="8" w:color="CCFFCC"/>
            </w:tcBorders>
          </w:tcPr>
          <w:p>
            <w:pPr>
              <w:spacing w:after="0"/>
              <w:rPr>
                <w:sz w:val="12"/>
                <w:szCs w:val="12"/>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Borders>
              <w:bottom w:val="single" w:sz="8" w:color="CCFFCC"/>
            </w:tcBorders>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Borders>
              <w:bottom w:val="single" w:sz="8" w:color="CCFFCC"/>
            </w:tcBorders>
          </w:tcPr>
          <w:p>
            <w:pPr>
              <w:spacing w:after="0"/>
              <w:rPr>
                <w:sz w:val="12"/>
                <w:szCs w:val="12"/>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CFFC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25"/>
              <w:spacing w:after="0"/>
              <w:rPr>
                <w:sz w:val="20"/>
                <w:szCs w:val="20"/>
                <w:color w:val="auto"/>
              </w:rPr>
            </w:pPr>
            <w:r>
              <w:rPr>
                <w:rFonts w:ascii="Arial" w:cs="Arial" w:eastAsia="Arial" w:hAnsi="Arial"/>
                <w:sz w:val="11"/>
                <w:szCs w:val="11"/>
                <w:b w:val="1"/>
                <w:bCs w:val="1"/>
                <w:color w:val="auto"/>
                <w:w w:val="85"/>
              </w:rPr>
              <w:t>Loss</w:t>
            </w:r>
          </w:p>
        </w:tc>
        <w:tc>
          <w:tcPr>
            <w:tcW w:w="100" w:type="dxa"/>
            <w:vAlign w:val="bottom"/>
            <w:tcBorders>
              <w:bottom w:val="single" w:sz="8" w:color="CCFFCC"/>
            </w:tcBorders>
          </w:tcPr>
          <w:p>
            <w:pPr>
              <w:spacing w:after="0"/>
              <w:rPr>
                <w:sz w:val="12"/>
                <w:szCs w:val="12"/>
                <w:color w:val="auto"/>
              </w:rPr>
            </w:pPr>
          </w:p>
        </w:tc>
        <w:tc>
          <w:tcPr>
            <w:tcW w:w="5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Total</w:t>
            </w:r>
          </w:p>
        </w:tc>
        <w:tc>
          <w:tcPr>
            <w:tcW w:w="620" w:type="dxa"/>
            <w:vAlign w:val="bottom"/>
            <w:tcBorders>
              <w:bottom w:val="single" w:sz="8" w:color="auto"/>
            </w:tcBorders>
          </w:tcPr>
          <w:p>
            <w:pPr>
              <w:jc w:val="center"/>
              <w:ind w:left="45"/>
              <w:spacing w:after="0"/>
              <w:rPr>
                <w:sz w:val="20"/>
                <w:szCs w:val="20"/>
                <w:color w:val="auto"/>
              </w:rPr>
            </w:pPr>
            <w:r>
              <w:rPr>
                <w:rFonts w:ascii="Arial" w:cs="Arial" w:eastAsia="Arial" w:hAnsi="Arial"/>
                <w:sz w:val="11"/>
                <w:szCs w:val="11"/>
                <w:b w:val="1"/>
                <w:bCs w:val="1"/>
                <w:color w:val="auto"/>
                <w:w w:val="87"/>
              </w:rPr>
              <w:t>Shares</w:t>
            </w:r>
          </w:p>
        </w:tc>
        <w:tc>
          <w:tcPr>
            <w:tcW w:w="100" w:type="dxa"/>
            <w:vAlign w:val="bottom"/>
            <w:tcBorders>
              <w:bottom w:val="single" w:sz="8" w:color="CCFFCC"/>
            </w:tcBorders>
          </w:tcPr>
          <w:p>
            <w:pPr>
              <w:spacing w:after="0"/>
              <w:rPr>
                <w:sz w:val="12"/>
                <w:szCs w:val="12"/>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Borders>
              <w:bottom w:val="single" w:sz="8" w:color="CCFFCC"/>
            </w:tcBorders>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Shares</w:t>
            </w:r>
          </w:p>
        </w:tc>
        <w:tc>
          <w:tcPr>
            <w:tcW w:w="100" w:type="dxa"/>
            <w:vAlign w:val="bottom"/>
            <w:tcBorders>
              <w:bottom w:val="single" w:sz="8" w:color="CCFFCC"/>
            </w:tcBorders>
          </w:tcPr>
          <w:p>
            <w:pPr>
              <w:spacing w:after="0"/>
              <w:rPr>
                <w:sz w:val="12"/>
                <w:szCs w:val="12"/>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Borders>
              <w:bottom w:val="single" w:sz="8" w:color="CCFFCC"/>
            </w:tcBorders>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Borders>
              <w:bottom w:val="single" w:sz="8" w:color="CCFFCC"/>
            </w:tcBorders>
          </w:tcPr>
          <w:p>
            <w:pPr>
              <w:spacing w:after="0"/>
              <w:rPr>
                <w:sz w:val="12"/>
                <w:szCs w:val="12"/>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CFFC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5"/>
              <w:spacing w:after="0"/>
              <w:rPr>
                <w:sz w:val="20"/>
                <w:szCs w:val="20"/>
                <w:color w:val="auto"/>
              </w:rPr>
            </w:pPr>
            <w:r>
              <w:rPr>
                <w:rFonts w:ascii="Arial" w:cs="Arial" w:eastAsia="Arial" w:hAnsi="Arial"/>
                <w:sz w:val="11"/>
                <w:szCs w:val="11"/>
                <w:b w:val="1"/>
                <w:bCs w:val="1"/>
                <w:color w:val="auto"/>
                <w:w w:val="85"/>
              </w:rPr>
              <w:t>Loss</w:t>
            </w:r>
          </w:p>
        </w:tc>
        <w:tc>
          <w:tcPr>
            <w:tcW w:w="100" w:type="dxa"/>
            <w:vAlign w:val="bottom"/>
            <w:tcBorders>
              <w:bottom w:val="single" w:sz="8" w:color="CCFFCC"/>
            </w:tcBorders>
          </w:tcPr>
          <w:p>
            <w:pPr>
              <w:spacing w:after="0"/>
              <w:rPr>
                <w:sz w:val="12"/>
                <w:szCs w:val="12"/>
                <w:color w:val="auto"/>
              </w:rPr>
            </w:pPr>
          </w:p>
        </w:tc>
        <w:tc>
          <w:tcPr>
            <w:tcW w:w="50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34"/>
        </w:trPr>
        <w:tc>
          <w:tcPr>
            <w:tcW w:w="1020" w:type="dxa"/>
            <w:vAlign w:val="bottom"/>
            <w:gridSpan w:val="2"/>
            <w:shd w:val="clear" w:color="auto" w:fill="CCFFCC"/>
          </w:tcPr>
          <w:p>
            <w:pPr>
              <w:ind w:left="20"/>
              <w:spacing w:after="0"/>
              <w:rPr>
                <w:sz w:val="20"/>
                <w:szCs w:val="20"/>
                <w:color w:val="auto"/>
              </w:rPr>
            </w:pPr>
            <w:r>
              <w:rPr>
                <w:rFonts w:ascii="Arial" w:cs="Arial" w:eastAsia="Arial" w:hAnsi="Arial"/>
                <w:sz w:val="11"/>
                <w:szCs w:val="11"/>
                <w:color w:val="auto"/>
              </w:rPr>
              <w:t>Balance at June 30</w:t>
            </w: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w w:val="90"/>
              </w:rPr>
              <w:t>68,731,477</w:t>
            </w:r>
          </w:p>
        </w:tc>
        <w:tc>
          <w:tcPr>
            <w:tcW w:w="440" w:type="dxa"/>
            <w:vAlign w:val="bottom"/>
            <w:shd w:val="clear" w:color="auto" w:fill="CCFFCC"/>
          </w:tcPr>
          <w:p>
            <w:pPr>
              <w:ind w:left="40"/>
              <w:spacing w:after="0"/>
              <w:rPr>
                <w:sz w:val="20"/>
                <w:szCs w:val="20"/>
                <w:color w:val="auto"/>
              </w:rPr>
            </w:pPr>
            <w:r>
              <w:rPr>
                <w:rFonts w:ascii="Arial" w:cs="Arial" w:eastAsia="Arial" w:hAnsi="Arial"/>
                <w:sz w:val="11"/>
                <w:szCs w:val="11"/>
                <w:color w:val="auto"/>
              </w:rPr>
              <w:t>$   69</w:t>
            </w:r>
          </w:p>
        </w:tc>
        <w:tc>
          <w:tcPr>
            <w:tcW w:w="80" w:type="dxa"/>
            <w:vAlign w:val="bottom"/>
            <w:shd w:val="clear" w:color="auto" w:fill="CCFFCC"/>
          </w:tcPr>
          <w:p>
            <w:pPr>
              <w:spacing w:after="0"/>
              <w:rPr>
                <w:sz w:val="20"/>
                <w:szCs w:val="20"/>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2"/>
              </w:rPr>
              <w:t>(2,709,830)</w:t>
            </w:r>
          </w:p>
        </w:tc>
        <w:tc>
          <w:tcPr>
            <w:tcW w:w="100" w:type="dxa"/>
            <w:vAlign w:val="bottom"/>
            <w:shd w:val="clear" w:color="auto" w:fill="CCFFCC"/>
          </w:tcPr>
          <w:p>
            <w:pPr>
              <w:spacing w:after="0"/>
              <w:rPr>
                <w:sz w:val="20"/>
                <w:szCs w:val="20"/>
                <w:color w:val="auto"/>
              </w:rPr>
            </w:pPr>
          </w:p>
        </w:tc>
        <w:tc>
          <w:tcPr>
            <w:tcW w:w="420" w:type="dxa"/>
            <w:vAlign w:val="bottom"/>
            <w:shd w:val="clear" w:color="auto" w:fill="CCFFCC"/>
          </w:tcPr>
          <w:p>
            <w:pPr>
              <w:ind w:left="20"/>
              <w:spacing w:after="0"/>
              <w:rPr>
                <w:sz w:val="20"/>
                <w:szCs w:val="20"/>
                <w:color w:val="auto"/>
              </w:rPr>
            </w:pPr>
            <w:r>
              <w:rPr>
                <w:rFonts w:ascii="Arial" w:cs="Arial" w:eastAsia="Arial" w:hAnsi="Arial"/>
                <w:sz w:val="11"/>
                <w:szCs w:val="11"/>
                <w:color w:val="auto"/>
              </w:rPr>
              <w:t>$   (3)</w:t>
            </w:r>
          </w:p>
        </w:tc>
        <w:tc>
          <w:tcPr>
            <w:tcW w:w="660" w:type="dxa"/>
            <w:vAlign w:val="bottom"/>
            <w:gridSpan w:val="2"/>
            <w:shd w:val="clear" w:color="auto" w:fill="CCFFCC"/>
          </w:tcPr>
          <w:p>
            <w:pPr>
              <w:jc w:val="right"/>
              <w:ind w:right="47"/>
              <w:spacing w:after="0"/>
              <w:rPr>
                <w:sz w:val="20"/>
                <w:szCs w:val="20"/>
                <w:color w:val="auto"/>
              </w:rPr>
            </w:pPr>
            <w:r>
              <w:rPr>
                <w:rFonts w:ascii="Arial" w:cs="Arial" w:eastAsia="Arial" w:hAnsi="Arial"/>
                <w:sz w:val="11"/>
                <w:szCs w:val="11"/>
                <w:color w:val="auto"/>
              </w:rPr>
              <w:t>$ 488,229</w:t>
            </w:r>
          </w:p>
        </w:tc>
        <w:tc>
          <w:tcPr>
            <w:tcW w:w="100" w:type="dxa"/>
            <w:vAlign w:val="bottom"/>
            <w:shd w:val="clear" w:color="auto" w:fill="CCFFCC"/>
          </w:tcPr>
          <w:p>
            <w:pPr>
              <w:spacing w:after="0"/>
              <w:rPr>
                <w:sz w:val="20"/>
                <w:szCs w:val="20"/>
                <w:color w:val="auto"/>
              </w:rPr>
            </w:pPr>
          </w:p>
        </w:tc>
        <w:tc>
          <w:tcPr>
            <w:tcW w:w="660" w:type="dxa"/>
            <w:vAlign w:val="bottom"/>
            <w:shd w:val="clear" w:color="auto" w:fill="CCFFCC"/>
          </w:tcPr>
          <w:p>
            <w:pPr>
              <w:ind w:left="20"/>
              <w:spacing w:after="0"/>
              <w:rPr>
                <w:sz w:val="20"/>
                <w:szCs w:val="20"/>
                <w:color w:val="auto"/>
              </w:rPr>
            </w:pPr>
            <w:r>
              <w:rPr>
                <w:rFonts w:ascii="Arial" w:cs="Arial" w:eastAsia="Arial" w:hAnsi="Arial"/>
                <w:sz w:val="11"/>
                <w:szCs w:val="11"/>
                <w:color w:val="auto"/>
              </w:rPr>
              <w:t>$  (339,919)</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jc w:val="right"/>
              <w:ind w:right="27"/>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FFCC"/>
          </w:tcPr>
          <w:p>
            <w:pPr>
              <w:jc w:val="right"/>
              <w:ind w:right="25"/>
              <w:spacing w:after="0"/>
              <w:rPr>
                <w:sz w:val="20"/>
                <w:szCs w:val="20"/>
                <w:color w:val="auto"/>
              </w:rPr>
            </w:pPr>
            <w:r>
              <w:rPr>
                <w:rFonts w:ascii="Arial" w:cs="Arial" w:eastAsia="Arial" w:hAnsi="Arial"/>
                <w:sz w:val="11"/>
                <w:szCs w:val="11"/>
                <w:color w:val="auto"/>
              </w:rPr>
              <w:t>(5,062)</w:t>
            </w:r>
          </w:p>
        </w:tc>
        <w:tc>
          <w:tcPr>
            <w:tcW w:w="100" w:type="dxa"/>
            <w:vAlign w:val="bottom"/>
            <w:shd w:val="clear" w:color="auto" w:fill="CCFFCC"/>
          </w:tcPr>
          <w:p>
            <w:pPr>
              <w:spacing w:after="0"/>
              <w:rPr>
                <w:sz w:val="20"/>
                <w:szCs w:val="20"/>
                <w:color w:val="auto"/>
              </w:rPr>
            </w:pPr>
          </w:p>
        </w:tc>
        <w:tc>
          <w:tcPr>
            <w:tcW w:w="500" w:type="dxa"/>
            <w:vAlign w:val="bottom"/>
            <w:shd w:val="clear" w:color="auto" w:fill="CCFFCC"/>
          </w:tcPr>
          <w:p>
            <w:pPr>
              <w:jc w:val="right"/>
              <w:ind w:right="5"/>
              <w:spacing w:after="0"/>
              <w:rPr>
                <w:sz w:val="20"/>
                <w:szCs w:val="20"/>
                <w:color w:val="auto"/>
              </w:rPr>
            </w:pPr>
            <w:r>
              <w:rPr>
                <w:rFonts w:ascii="Arial" w:cs="Arial" w:eastAsia="Arial" w:hAnsi="Arial"/>
                <w:sz w:val="11"/>
                <w:szCs w:val="11"/>
                <w:color w:val="auto"/>
                <w:w w:val="91"/>
              </w:rPr>
              <w:t>$143,314</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65,398,798</w:t>
            </w:r>
          </w:p>
        </w:tc>
        <w:tc>
          <w:tcPr>
            <w:tcW w:w="420" w:type="dxa"/>
            <w:vAlign w:val="bottom"/>
            <w:shd w:val="clear" w:color="auto" w:fill="CCFFCC"/>
          </w:tcPr>
          <w:p>
            <w:pPr>
              <w:ind w:left="20"/>
              <w:spacing w:after="0"/>
              <w:rPr>
                <w:sz w:val="20"/>
                <w:szCs w:val="20"/>
                <w:color w:val="auto"/>
              </w:rPr>
            </w:pPr>
            <w:r>
              <w:rPr>
                <w:rFonts w:ascii="Arial" w:cs="Arial" w:eastAsia="Arial" w:hAnsi="Arial"/>
                <w:sz w:val="11"/>
                <w:szCs w:val="11"/>
                <w:color w:val="auto"/>
              </w:rPr>
              <w:t>$   66</w:t>
            </w:r>
          </w:p>
        </w:tc>
        <w:tc>
          <w:tcPr>
            <w:tcW w:w="100" w:type="dxa"/>
            <w:vAlign w:val="bottom"/>
            <w:shd w:val="clear" w:color="auto" w:fill="CCFFCC"/>
          </w:tcPr>
          <w:p>
            <w:pPr>
              <w:spacing w:after="0"/>
              <w:rPr>
                <w:sz w:val="20"/>
                <w:szCs w:val="20"/>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2"/>
              </w:rPr>
              <w:t>(2,704,706)</w:t>
            </w:r>
          </w:p>
        </w:tc>
        <w:tc>
          <w:tcPr>
            <w:tcW w:w="100" w:type="dxa"/>
            <w:vAlign w:val="bottom"/>
            <w:shd w:val="clear" w:color="auto" w:fill="CCFFCC"/>
          </w:tcPr>
          <w:p>
            <w:pPr>
              <w:spacing w:after="0"/>
              <w:rPr>
                <w:sz w:val="20"/>
                <w:szCs w:val="20"/>
                <w:color w:val="auto"/>
              </w:rPr>
            </w:pPr>
          </w:p>
        </w:tc>
        <w:tc>
          <w:tcPr>
            <w:tcW w:w="420" w:type="dxa"/>
            <w:vAlign w:val="bottom"/>
            <w:shd w:val="clear" w:color="auto" w:fill="CCFFCC"/>
          </w:tcPr>
          <w:p>
            <w:pPr>
              <w:ind w:left="20"/>
              <w:spacing w:after="0"/>
              <w:rPr>
                <w:sz w:val="20"/>
                <w:szCs w:val="20"/>
                <w:color w:val="auto"/>
              </w:rPr>
            </w:pPr>
            <w:r>
              <w:rPr>
                <w:rFonts w:ascii="Arial" w:cs="Arial" w:eastAsia="Arial" w:hAnsi="Arial"/>
                <w:sz w:val="11"/>
                <w:szCs w:val="11"/>
                <w:color w:val="auto"/>
              </w:rPr>
              <w:t>$   (3)</w:t>
            </w:r>
          </w:p>
        </w:tc>
        <w:tc>
          <w:tcPr>
            <w:tcW w:w="680" w:type="dxa"/>
            <w:vAlign w:val="bottom"/>
            <w:gridSpan w:val="2"/>
            <w:shd w:val="clear" w:color="auto" w:fill="CCFFCC"/>
          </w:tcPr>
          <w:p>
            <w:pPr>
              <w:jc w:val="right"/>
              <w:ind w:right="67"/>
              <w:spacing w:after="0"/>
              <w:rPr>
                <w:sz w:val="20"/>
                <w:szCs w:val="20"/>
                <w:color w:val="auto"/>
              </w:rPr>
            </w:pPr>
            <w:r>
              <w:rPr>
                <w:rFonts w:ascii="Arial" w:cs="Arial" w:eastAsia="Arial" w:hAnsi="Arial"/>
                <w:sz w:val="11"/>
                <w:szCs w:val="11"/>
                <w:color w:val="auto"/>
              </w:rPr>
              <w:t>$ 412,253</w:t>
            </w:r>
          </w:p>
        </w:tc>
        <w:tc>
          <w:tcPr>
            <w:tcW w:w="80" w:type="dxa"/>
            <w:vAlign w:val="bottom"/>
            <w:shd w:val="clear" w:color="auto" w:fill="CCFFCC"/>
          </w:tcPr>
          <w:p>
            <w:pPr>
              <w:spacing w:after="0"/>
              <w:rPr>
                <w:sz w:val="20"/>
                <w:szCs w:val="20"/>
                <w:color w:val="auto"/>
              </w:rPr>
            </w:pPr>
          </w:p>
        </w:tc>
        <w:tc>
          <w:tcPr>
            <w:tcW w:w="660" w:type="dxa"/>
            <w:vAlign w:val="bottom"/>
            <w:shd w:val="clear" w:color="auto" w:fill="CCFFCC"/>
          </w:tcPr>
          <w:p>
            <w:pPr>
              <w:ind w:left="40"/>
              <w:spacing w:after="0"/>
              <w:rPr>
                <w:sz w:val="20"/>
                <w:szCs w:val="20"/>
                <w:color w:val="auto"/>
              </w:rPr>
            </w:pPr>
            <w:r>
              <w:rPr>
                <w:rFonts w:ascii="Arial" w:cs="Arial" w:eastAsia="Arial" w:hAnsi="Arial"/>
                <w:sz w:val="11"/>
                <w:szCs w:val="11"/>
                <w:color w:val="auto"/>
              </w:rPr>
              <w:t>$  (230,368)</w:t>
            </w: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FFCC"/>
          </w:tcPr>
          <w:p>
            <w:pPr>
              <w:jc w:val="right"/>
              <w:ind w:right="5"/>
              <w:spacing w:after="0"/>
              <w:rPr>
                <w:sz w:val="20"/>
                <w:szCs w:val="20"/>
                <w:color w:val="auto"/>
              </w:rPr>
            </w:pPr>
            <w:r>
              <w:rPr>
                <w:rFonts w:ascii="Arial" w:cs="Arial" w:eastAsia="Arial" w:hAnsi="Arial"/>
                <w:sz w:val="11"/>
                <w:szCs w:val="11"/>
                <w:color w:val="auto"/>
              </w:rPr>
              <w:t>(4,631)</w:t>
            </w:r>
          </w:p>
        </w:tc>
        <w:tc>
          <w:tcPr>
            <w:tcW w:w="100" w:type="dxa"/>
            <w:vAlign w:val="bottom"/>
            <w:shd w:val="clear" w:color="auto" w:fill="CCFFCC"/>
          </w:tcPr>
          <w:p>
            <w:pPr>
              <w:spacing w:after="0"/>
              <w:rPr>
                <w:sz w:val="20"/>
                <w:szCs w:val="20"/>
                <w:color w:val="auto"/>
              </w:rPr>
            </w:pPr>
          </w:p>
        </w:tc>
        <w:tc>
          <w:tcPr>
            <w:tcW w:w="500" w:type="dxa"/>
            <w:vAlign w:val="bottom"/>
            <w:shd w:val="clear" w:color="auto" w:fill="CCFFCC"/>
          </w:tcPr>
          <w:p>
            <w:pPr>
              <w:jc w:val="right"/>
              <w:ind w:right="5"/>
              <w:spacing w:after="0"/>
              <w:rPr>
                <w:sz w:val="20"/>
                <w:szCs w:val="20"/>
                <w:color w:val="auto"/>
              </w:rPr>
            </w:pPr>
            <w:r>
              <w:rPr>
                <w:rFonts w:ascii="Arial" w:cs="Arial" w:eastAsia="Arial" w:hAnsi="Arial"/>
                <w:sz w:val="11"/>
                <w:szCs w:val="11"/>
                <w:color w:val="auto"/>
                <w:w w:val="91"/>
              </w:rPr>
              <w:t>$177,317</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340"/>
          </w:cols>
          <w:pgMar w:left="320" w:top="499" w:right="239" w:bottom="1440" w:gutter="0" w:footer="0" w:header="0"/>
        </w:sectPr>
      </w:pPr>
    </w:p>
    <w:tbl>
      <w:tblPr>
        <w:tblLayout w:type="fixed"/>
        <w:tblInd w:w="20" w:type="dxa"/>
        <w:tblCellMar>
          <w:top w:w="0" w:type="dxa"/>
          <w:left w:w="0" w:type="dxa"/>
          <w:bottom w:w="0" w:type="dxa"/>
          <w:right w:w="0" w:type="dxa"/>
        </w:tblCellMar>
      </w:tblPr>
      <w:tr>
        <w:trPr>
          <w:trHeight w:val="126"/>
        </w:trPr>
        <w:tc>
          <w:tcPr>
            <w:tcW w:w="1000" w:type="dxa"/>
            <w:vAlign w:val="bottom"/>
          </w:tcPr>
          <w:p>
            <w:pPr>
              <w:ind w:left="200"/>
              <w:spacing w:after="0"/>
              <w:rPr>
                <w:sz w:val="20"/>
                <w:szCs w:val="20"/>
                <w:color w:val="auto"/>
              </w:rPr>
            </w:pPr>
            <w:r>
              <w:rPr>
                <w:rFonts w:ascii="Arial" w:cs="Arial" w:eastAsia="Arial" w:hAnsi="Arial"/>
                <w:sz w:val="11"/>
                <w:szCs w:val="11"/>
                <w:color w:val="auto"/>
              </w:rPr>
              <w:t>Common stock</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200"/>
              <w:spacing w:after="0" w:line="118" w:lineRule="exact"/>
              <w:rPr>
                <w:sz w:val="20"/>
                <w:szCs w:val="20"/>
                <w:color w:val="auto"/>
              </w:rPr>
            </w:pPr>
            <w:r>
              <w:rPr>
                <w:rFonts w:ascii="Arial" w:cs="Arial" w:eastAsia="Arial" w:hAnsi="Arial"/>
                <w:sz w:val="11"/>
                <w:szCs w:val="11"/>
                <w:color w:val="auto"/>
              </w:rPr>
              <w:t>issued upon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200"/>
              <w:spacing w:after="0" w:line="118" w:lineRule="exact"/>
              <w:rPr>
                <w:sz w:val="20"/>
                <w:szCs w:val="20"/>
                <w:color w:val="auto"/>
              </w:rPr>
            </w:pPr>
            <w:r>
              <w:rPr>
                <w:rFonts w:ascii="Arial" w:cs="Arial" w:eastAsia="Arial" w:hAnsi="Arial"/>
                <w:sz w:val="11"/>
                <w:szCs w:val="11"/>
                <w:color w:val="auto"/>
              </w:rPr>
              <w:t>exercise of</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000" w:type="dxa"/>
            <w:vAlign w:val="bottom"/>
          </w:tcPr>
          <w:p>
            <w:pPr>
              <w:ind w:left="200"/>
              <w:spacing w:after="0"/>
              <w:rPr>
                <w:sz w:val="20"/>
                <w:szCs w:val="20"/>
                <w:color w:val="auto"/>
              </w:rPr>
            </w:pPr>
            <w:r>
              <w:rPr>
                <w:rFonts w:ascii="Arial" w:cs="Arial" w:eastAsia="Arial" w:hAnsi="Arial"/>
                <w:sz w:val="11"/>
                <w:szCs w:val="11"/>
                <w:color w:val="auto"/>
              </w:rPr>
              <w:t>stock options</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544,693</w:t>
            </w:r>
          </w:p>
        </w:tc>
        <w:tc>
          <w:tcPr>
            <w:tcW w:w="160" w:type="dxa"/>
            <w:vAlign w:val="bottom"/>
          </w:tcPr>
          <w:p>
            <w:pPr>
              <w:spacing w:after="0"/>
              <w:rPr>
                <w:sz w:val="11"/>
                <w:szCs w:val="11"/>
                <w:color w:val="auto"/>
              </w:rPr>
            </w:pPr>
          </w:p>
        </w:tc>
        <w:tc>
          <w:tcPr>
            <w:tcW w:w="3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5"/>
              <w:spacing w:after="0"/>
              <w:rPr>
                <w:sz w:val="20"/>
                <w:szCs w:val="20"/>
                <w:color w:val="auto"/>
              </w:rPr>
            </w:pPr>
            <w:r>
              <w:rPr>
                <w:rFonts w:ascii="Arial" w:cs="Arial" w:eastAsia="Arial" w:hAnsi="Arial"/>
                <w:sz w:val="11"/>
                <w:szCs w:val="11"/>
                <w:color w:val="auto"/>
              </w:rPr>
              <w:t>7,072</w:t>
            </w: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54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000" w:type="dxa"/>
            <w:vAlign w:val="bottom"/>
          </w:tcPr>
          <w:p>
            <w:pPr>
              <w:ind w:left="200"/>
              <w:spacing w:after="0"/>
              <w:rPr>
                <w:sz w:val="20"/>
                <w:szCs w:val="20"/>
                <w:color w:val="auto"/>
              </w:rPr>
            </w:pPr>
            <w:r>
              <w:rPr>
                <w:rFonts w:ascii="Arial" w:cs="Arial" w:eastAsia="Arial" w:hAnsi="Arial"/>
                <w:sz w:val="11"/>
                <w:szCs w:val="11"/>
                <w:color w:val="auto"/>
              </w:rPr>
              <w:t>Common 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200"/>
              <w:spacing w:after="0" w:line="118" w:lineRule="exact"/>
              <w:rPr>
                <w:sz w:val="20"/>
                <w:szCs w:val="20"/>
                <w:color w:val="auto"/>
              </w:rPr>
            </w:pPr>
            <w:r>
              <w:rPr>
                <w:rFonts w:ascii="Arial" w:cs="Arial" w:eastAsia="Arial" w:hAnsi="Arial"/>
                <w:sz w:val="11"/>
                <w:szCs w:val="11"/>
                <w:color w:val="auto"/>
              </w:rPr>
              <w:t>issued upon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200"/>
              <w:spacing w:after="0" w:line="118" w:lineRule="exact"/>
              <w:rPr>
                <w:sz w:val="20"/>
                <w:szCs w:val="20"/>
                <w:color w:val="auto"/>
              </w:rPr>
            </w:pPr>
            <w:r>
              <w:rPr>
                <w:rFonts w:ascii="Arial" w:cs="Arial" w:eastAsia="Arial" w:hAnsi="Arial"/>
                <w:sz w:val="11"/>
                <w:szCs w:val="11"/>
                <w:color w:val="auto"/>
              </w:rPr>
              <w:t>vesting of</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200"/>
              <w:spacing w:after="0" w:line="118" w:lineRule="exact"/>
              <w:rPr>
                <w:sz w:val="20"/>
                <w:szCs w:val="20"/>
                <w:color w:val="auto"/>
              </w:rPr>
            </w:pPr>
            <w:r>
              <w:rPr>
                <w:rFonts w:ascii="Arial" w:cs="Arial" w:eastAsia="Arial" w:hAnsi="Arial"/>
                <w:sz w:val="11"/>
                <w:szCs w:val="11"/>
                <w:color w:val="auto"/>
              </w:rPr>
              <w:t>restricted stock</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000" w:type="dxa"/>
            <w:vAlign w:val="bottom"/>
          </w:tcPr>
          <w:p>
            <w:pPr>
              <w:ind w:left="200"/>
              <w:spacing w:after="0"/>
              <w:rPr>
                <w:sz w:val="20"/>
                <w:szCs w:val="20"/>
                <w:color w:val="auto"/>
              </w:rPr>
            </w:pPr>
            <w:r>
              <w:rPr>
                <w:rFonts w:ascii="Arial" w:cs="Arial" w:eastAsia="Arial" w:hAnsi="Arial"/>
                <w:sz w:val="11"/>
                <w:szCs w:val="11"/>
                <w:color w:val="auto"/>
              </w:rPr>
              <w:t>units</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162,346</w:t>
            </w:r>
          </w:p>
        </w:tc>
        <w:tc>
          <w:tcPr>
            <w:tcW w:w="160" w:type="dxa"/>
            <w:vAlign w:val="bottom"/>
          </w:tcPr>
          <w:p>
            <w:pPr>
              <w:spacing w:after="0"/>
              <w:rPr>
                <w:sz w:val="11"/>
                <w:szCs w:val="11"/>
                <w:color w:val="auto"/>
              </w:rPr>
            </w:pPr>
          </w:p>
        </w:tc>
        <w:tc>
          <w:tcPr>
            <w:tcW w:w="3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54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000" w:type="dxa"/>
            <w:vAlign w:val="bottom"/>
          </w:tcPr>
          <w:p>
            <w:pPr>
              <w:ind w:left="200"/>
              <w:spacing w:after="0"/>
              <w:rPr>
                <w:sz w:val="20"/>
                <w:szCs w:val="20"/>
                <w:color w:val="auto"/>
              </w:rPr>
            </w:pPr>
            <w:r>
              <w:rPr>
                <w:rFonts w:ascii="Arial" w:cs="Arial" w:eastAsia="Arial" w:hAnsi="Arial"/>
                <w:sz w:val="11"/>
                <w:szCs w:val="11"/>
                <w:color w:val="auto"/>
              </w:rPr>
              <w:t>Stock-based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000" w:type="dxa"/>
            <w:vAlign w:val="bottom"/>
          </w:tcPr>
          <w:p>
            <w:pPr>
              <w:ind w:left="200"/>
              <w:spacing w:after="0"/>
              <w:rPr>
                <w:sz w:val="20"/>
                <w:szCs w:val="20"/>
                <w:color w:val="auto"/>
              </w:rPr>
            </w:pPr>
            <w:r>
              <w:rPr>
                <w:rFonts w:ascii="Arial" w:cs="Arial" w:eastAsia="Arial" w:hAnsi="Arial"/>
                <w:sz w:val="11"/>
                <w:szCs w:val="11"/>
                <w:color w:val="auto"/>
              </w:rPr>
              <w:t>compensation</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5"/>
              <w:spacing w:after="0"/>
              <w:rPr>
                <w:sz w:val="20"/>
                <w:szCs w:val="20"/>
                <w:color w:val="auto"/>
              </w:rPr>
            </w:pPr>
            <w:r>
              <w:rPr>
                <w:rFonts w:ascii="Arial" w:cs="Arial" w:eastAsia="Arial" w:hAnsi="Arial"/>
                <w:sz w:val="11"/>
                <w:szCs w:val="11"/>
                <w:color w:val="auto"/>
              </w:rPr>
              <w:t>9,423</w:t>
            </w: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54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000" w:type="dxa"/>
            <w:vAlign w:val="bottom"/>
          </w:tcPr>
          <w:p>
            <w:pPr>
              <w:ind w:left="200"/>
              <w:spacing w:after="0"/>
              <w:rPr>
                <w:sz w:val="20"/>
                <w:szCs w:val="20"/>
                <w:color w:val="auto"/>
              </w:rPr>
            </w:pPr>
            <w:r>
              <w:rPr>
                <w:rFonts w:ascii="Arial" w:cs="Arial" w:eastAsia="Arial" w:hAnsi="Arial"/>
                <w:sz w:val="11"/>
                <w:szCs w:val="11"/>
                <w:color w:val="auto"/>
              </w:rPr>
              <w:t>Common 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200"/>
              <w:spacing w:after="0" w:line="118" w:lineRule="exact"/>
              <w:rPr>
                <w:sz w:val="20"/>
                <w:szCs w:val="20"/>
                <w:color w:val="auto"/>
              </w:rPr>
            </w:pPr>
            <w:r>
              <w:rPr>
                <w:rFonts w:ascii="Arial" w:cs="Arial" w:eastAsia="Arial" w:hAnsi="Arial"/>
                <w:sz w:val="11"/>
                <w:szCs w:val="11"/>
                <w:color w:val="auto"/>
              </w:rPr>
              <w:t>issued under</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200"/>
              <w:spacing w:after="0" w:line="118" w:lineRule="exact"/>
              <w:rPr>
                <w:sz w:val="20"/>
                <w:szCs w:val="20"/>
                <w:color w:val="auto"/>
              </w:rPr>
            </w:pPr>
            <w:r>
              <w:rPr>
                <w:rFonts w:ascii="Arial" w:cs="Arial" w:eastAsia="Arial" w:hAnsi="Arial"/>
                <w:sz w:val="11"/>
                <w:szCs w:val="11"/>
                <w:color w:val="auto"/>
              </w:rPr>
              <w:t>Employee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200"/>
              <w:spacing w:after="0" w:line="118" w:lineRule="exact"/>
              <w:rPr>
                <w:sz w:val="20"/>
                <w:szCs w:val="20"/>
                <w:color w:val="auto"/>
              </w:rPr>
            </w:pPr>
            <w:r>
              <w:rPr>
                <w:rFonts w:ascii="Arial" w:cs="Arial" w:eastAsia="Arial" w:hAnsi="Arial"/>
                <w:sz w:val="11"/>
                <w:szCs w:val="11"/>
                <w:color w:val="auto"/>
              </w:rPr>
              <w:t>Stock</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000" w:type="dxa"/>
            <w:vAlign w:val="bottom"/>
          </w:tcPr>
          <w:p>
            <w:pPr>
              <w:ind w:left="200"/>
              <w:spacing w:after="0"/>
              <w:rPr>
                <w:sz w:val="20"/>
                <w:szCs w:val="20"/>
                <w:color w:val="auto"/>
              </w:rPr>
            </w:pPr>
            <w:r>
              <w:rPr>
                <w:rFonts w:ascii="Arial" w:cs="Arial" w:eastAsia="Arial" w:hAnsi="Arial"/>
                <w:sz w:val="11"/>
                <w:szCs w:val="11"/>
                <w:color w:val="auto"/>
              </w:rPr>
              <w:t>Purchase Plan</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18,783</w:t>
            </w:r>
          </w:p>
        </w:tc>
        <w:tc>
          <w:tcPr>
            <w:tcW w:w="160" w:type="dxa"/>
            <w:vAlign w:val="bottom"/>
          </w:tcPr>
          <w:p>
            <w:pPr>
              <w:spacing w:after="0"/>
              <w:rPr>
                <w:sz w:val="11"/>
                <w:szCs w:val="11"/>
                <w:color w:val="auto"/>
              </w:rPr>
            </w:pPr>
          </w:p>
        </w:tc>
        <w:tc>
          <w:tcPr>
            <w:tcW w:w="3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5"/>
              <w:spacing w:after="0"/>
              <w:rPr>
                <w:sz w:val="20"/>
                <w:szCs w:val="20"/>
                <w:color w:val="auto"/>
              </w:rPr>
            </w:pPr>
            <w:r>
              <w:rPr>
                <w:rFonts w:ascii="Arial" w:cs="Arial" w:eastAsia="Arial" w:hAnsi="Arial"/>
                <w:sz w:val="11"/>
                <w:szCs w:val="11"/>
                <w:color w:val="auto"/>
              </w:rPr>
              <w:t>304</w:t>
            </w: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54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5"/>
        </w:trPr>
        <w:tc>
          <w:tcPr>
            <w:tcW w:w="1000" w:type="dxa"/>
            <w:vAlign w:val="bottom"/>
          </w:tcPr>
          <w:p>
            <w:pPr>
              <w:ind w:left="200"/>
              <w:spacing w:after="0"/>
              <w:rPr>
                <w:sz w:val="20"/>
                <w:szCs w:val="20"/>
                <w:color w:val="auto"/>
              </w:rPr>
            </w:pPr>
            <w:r>
              <w:rPr>
                <w:rFonts w:ascii="Arial" w:cs="Arial" w:eastAsia="Arial" w:hAnsi="Arial"/>
                <w:sz w:val="11"/>
                <w:szCs w:val="11"/>
                <w:color w:val="auto"/>
              </w:rPr>
              <w:t>Net loss</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3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(38,710)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000" w:type="dxa"/>
            <w:vAlign w:val="bottom"/>
          </w:tcPr>
          <w:p>
            <w:pPr>
              <w:ind w:left="200"/>
              <w:spacing w:after="0"/>
              <w:rPr>
                <w:sz w:val="20"/>
                <w:szCs w:val="20"/>
                <w:color w:val="auto"/>
              </w:rPr>
            </w:pPr>
            <w:r>
              <w:rPr>
                <w:rFonts w:ascii="Arial" w:cs="Arial" w:eastAsia="Arial" w:hAnsi="Arial"/>
                <w:sz w:val="11"/>
                <w:szCs w:val="11"/>
                <w:color w:val="auto"/>
              </w:rPr>
              <w:t>Other</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200"/>
              <w:spacing w:after="0" w:line="118" w:lineRule="exact"/>
              <w:rPr>
                <w:sz w:val="20"/>
                <w:szCs w:val="20"/>
                <w:color w:val="auto"/>
              </w:rPr>
            </w:pPr>
            <w:r>
              <w:rPr>
                <w:rFonts w:ascii="Arial" w:cs="Arial" w:eastAsia="Arial" w:hAnsi="Arial"/>
                <w:sz w:val="11"/>
                <w:szCs w:val="11"/>
                <w:color w:val="auto"/>
              </w:rPr>
              <w:t>comprehensive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00" w:type="dxa"/>
            <w:vAlign w:val="bottom"/>
          </w:tcPr>
          <w:p>
            <w:pPr>
              <w:ind w:left="200"/>
              <w:spacing w:after="0"/>
              <w:rPr>
                <w:sz w:val="20"/>
                <w:szCs w:val="20"/>
                <w:color w:val="auto"/>
              </w:rPr>
            </w:pPr>
            <w:r>
              <w:rPr>
                <w:rFonts w:ascii="Arial" w:cs="Arial" w:eastAsia="Arial" w:hAnsi="Arial"/>
                <w:sz w:val="11"/>
                <w:szCs w:val="11"/>
                <w:color w:val="auto"/>
              </w:rPr>
              <w:t>loss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2,292</w:t>
            </w:r>
          </w:p>
        </w:tc>
        <w:tc>
          <w:tcPr>
            <w:tcW w:w="0" w:type="dxa"/>
            <w:vAlign w:val="bottom"/>
          </w:tcPr>
          <w:p>
            <w:pPr>
              <w:spacing w:after="0"/>
              <w:rPr>
                <w:sz w:val="1"/>
                <w:szCs w:val="1"/>
                <w:color w:val="auto"/>
              </w:rPr>
            </w:pPr>
          </w:p>
        </w:tc>
      </w:tr>
      <w:tr>
        <w:trPr>
          <w:trHeight w:val="118"/>
        </w:trPr>
        <w:tc>
          <w:tcPr>
            <w:tcW w:w="1000" w:type="dxa"/>
            <w:vAlign w:val="bottom"/>
          </w:tcPr>
          <w:p>
            <w:pPr>
              <w:spacing w:after="0" w:line="118" w:lineRule="exact"/>
              <w:rPr>
                <w:sz w:val="20"/>
                <w:szCs w:val="20"/>
                <w:color w:val="auto"/>
              </w:rPr>
            </w:pPr>
            <w:r>
              <w:rPr>
                <w:rFonts w:ascii="Arial" w:cs="Arial" w:eastAsia="Arial" w:hAnsi="Arial"/>
                <w:sz w:val="11"/>
                <w:szCs w:val="11"/>
                <w:color w:val="auto"/>
              </w:rPr>
              <w:t>Balance at</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w w:val="90"/>
              </w:rPr>
              <w:t>69,457,299</w:t>
            </w:r>
          </w:p>
        </w:tc>
        <w:tc>
          <w:tcPr>
            <w:tcW w:w="160" w:type="dxa"/>
            <w:vAlign w:val="bottom"/>
            <w:vMerge w:val="restart"/>
          </w:tcPr>
          <w:p>
            <w:pPr>
              <w:jc w:val="right"/>
              <w:ind w:right="25"/>
              <w:spacing w:after="0"/>
              <w:rPr>
                <w:sz w:val="20"/>
                <w:szCs w:val="20"/>
                <w:color w:val="auto"/>
              </w:rPr>
            </w:pPr>
            <w:r>
              <w:rPr>
                <w:rFonts w:ascii="Arial" w:cs="Arial" w:eastAsia="Arial" w:hAnsi="Arial"/>
                <w:sz w:val="11"/>
                <w:szCs w:val="11"/>
                <w:color w:val="auto"/>
                <w:w w:val="97"/>
              </w:rPr>
              <w:t>$</w:t>
            </w:r>
          </w:p>
        </w:tc>
        <w:tc>
          <w:tcPr>
            <w:tcW w:w="280" w:type="dxa"/>
            <w:vAlign w:val="bottom"/>
            <w:vMerge w:val="restart"/>
          </w:tcPr>
          <w:p>
            <w:pPr>
              <w:ind w:left="60"/>
              <w:spacing w:after="0"/>
              <w:rPr>
                <w:sz w:val="20"/>
                <w:szCs w:val="20"/>
                <w:color w:val="auto"/>
              </w:rPr>
            </w:pPr>
            <w:r>
              <w:rPr>
                <w:rFonts w:ascii="Arial" w:cs="Arial" w:eastAsia="Arial" w:hAnsi="Arial"/>
                <w:sz w:val="11"/>
                <w:szCs w:val="11"/>
                <w:color w:val="auto"/>
              </w:rPr>
              <w:t>69</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w w:val="92"/>
              </w:rPr>
              <w:t>(2,709,830)</w:t>
            </w:r>
          </w:p>
        </w:tc>
        <w:tc>
          <w:tcPr>
            <w:tcW w:w="100" w:type="dxa"/>
            <w:vAlign w:val="bottom"/>
          </w:tcPr>
          <w:p>
            <w:pPr>
              <w:spacing w:after="0"/>
              <w:rPr>
                <w:sz w:val="10"/>
                <w:szCs w:val="10"/>
                <w:color w:val="auto"/>
              </w:rPr>
            </w:pPr>
          </w:p>
        </w:tc>
        <w:tc>
          <w:tcPr>
            <w:tcW w:w="420" w:type="dxa"/>
            <w:vAlign w:val="bottom"/>
            <w:vMerge w:val="restart"/>
          </w:tcPr>
          <w:p>
            <w:pPr>
              <w:jc w:val="right"/>
              <w:ind w:right="25"/>
              <w:spacing w:after="0"/>
              <w:rPr>
                <w:sz w:val="20"/>
                <w:szCs w:val="20"/>
                <w:color w:val="auto"/>
              </w:rPr>
            </w:pPr>
            <w:r>
              <w:rPr>
                <w:rFonts w:ascii="Arial" w:cs="Arial" w:eastAsia="Arial" w:hAnsi="Arial"/>
                <w:sz w:val="11"/>
                <w:szCs w:val="11"/>
                <w:color w:val="auto"/>
              </w:rPr>
              <w:t>$   (3)</w:t>
            </w:r>
          </w:p>
        </w:tc>
        <w:tc>
          <w:tcPr>
            <w:tcW w:w="100" w:type="dxa"/>
            <w:vAlign w:val="bottom"/>
          </w:tcPr>
          <w:p>
            <w:pPr>
              <w:spacing w:after="0"/>
              <w:rPr>
                <w:sz w:val="10"/>
                <w:szCs w:val="10"/>
                <w:color w:val="auto"/>
              </w:rPr>
            </w:pPr>
          </w:p>
        </w:tc>
        <w:tc>
          <w:tcPr>
            <w:tcW w:w="560" w:type="dxa"/>
            <w:vAlign w:val="bottom"/>
            <w:vMerge w:val="restart"/>
          </w:tcPr>
          <w:p>
            <w:pPr>
              <w:jc w:val="right"/>
              <w:ind w:right="45"/>
              <w:spacing w:after="0"/>
              <w:rPr>
                <w:sz w:val="20"/>
                <w:szCs w:val="20"/>
                <w:color w:val="auto"/>
              </w:rPr>
            </w:pPr>
            <w:r>
              <w:rPr>
                <w:rFonts w:ascii="Arial" w:cs="Arial" w:eastAsia="Arial" w:hAnsi="Arial"/>
                <w:sz w:val="11"/>
                <w:szCs w:val="11"/>
                <w:color w:val="auto"/>
                <w:w w:val="89"/>
              </w:rPr>
              <w:t>$ 505,028</w:t>
            </w:r>
          </w:p>
        </w:tc>
        <w:tc>
          <w:tcPr>
            <w:tcW w:w="100" w:type="dxa"/>
            <w:vAlign w:val="bottom"/>
          </w:tcPr>
          <w:p>
            <w:pPr>
              <w:spacing w:after="0"/>
              <w:rPr>
                <w:sz w:val="10"/>
                <w:szCs w:val="10"/>
                <w:color w:val="auto"/>
              </w:rPr>
            </w:pP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w w:val="97"/>
              </w:rPr>
              <w:t>$  (378,629)</w:t>
            </w:r>
          </w:p>
        </w:tc>
        <w:tc>
          <w:tcPr>
            <w:tcW w:w="100" w:type="dxa"/>
            <w:vAlign w:val="bottom"/>
          </w:tcPr>
          <w:p>
            <w:pPr>
              <w:spacing w:after="0"/>
              <w:rPr>
                <w:sz w:val="10"/>
                <w:szCs w:val="10"/>
                <w:color w:val="auto"/>
              </w:rPr>
            </w:pPr>
          </w:p>
        </w:tc>
        <w:tc>
          <w:tcPr>
            <w:tcW w:w="220" w:type="dxa"/>
            <w:vAlign w:val="bottom"/>
            <w:vMerge w:val="restart"/>
          </w:tcPr>
          <w:p>
            <w:pPr>
              <w:jc w:val="right"/>
              <w:ind w:right="85"/>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25"/>
              <w:spacing w:after="0"/>
              <w:rPr>
                <w:sz w:val="20"/>
                <w:szCs w:val="20"/>
                <w:color w:val="auto"/>
              </w:rPr>
            </w:pPr>
            <w:r>
              <w:rPr>
                <w:rFonts w:ascii="Arial" w:cs="Arial" w:eastAsia="Arial" w:hAnsi="Arial"/>
                <w:sz w:val="11"/>
                <w:szCs w:val="11"/>
                <w:color w:val="auto"/>
              </w:rPr>
              <w:t>(2,770)</w:t>
            </w:r>
          </w:p>
        </w:tc>
        <w:tc>
          <w:tcPr>
            <w:tcW w:w="0" w:type="dxa"/>
            <w:vAlign w:val="bottom"/>
          </w:tcPr>
          <w:p>
            <w:pPr>
              <w:spacing w:after="0"/>
              <w:rPr>
                <w:sz w:val="1"/>
                <w:szCs w:val="1"/>
                <w:color w:val="auto"/>
              </w:rPr>
            </w:pPr>
          </w:p>
        </w:tc>
      </w:tr>
      <w:tr>
        <w:trPr>
          <w:trHeight w:val="139"/>
        </w:trPr>
        <w:tc>
          <w:tcPr>
            <w:tcW w:w="1000" w:type="dxa"/>
            <w:vAlign w:val="bottom"/>
          </w:tcPr>
          <w:p>
            <w:pPr>
              <w:spacing w:after="0"/>
              <w:rPr>
                <w:sz w:val="20"/>
                <w:szCs w:val="20"/>
                <w:color w:val="auto"/>
              </w:rPr>
            </w:pPr>
            <w:r>
              <w:rPr>
                <w:rFonts w:ascii="Arial" w:cs="Arial" w:eastAsia="Arial" w:hAnsi="Arial"/>
                <w:sz w:val="11"/>
                <w:szCs w:val="11"/>
                <w:color w:val="auto"/>
              </w:rPr>
              <w:t>September 30</w:t>
            </w:r>
          </w:p>
        </w:tc>
        <w:tc>
          <w:tcPr>
            <w:tcW w:w="60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560" w:type="dxa"/>
            <w:vAlign w:val="bottom"/>
          </w:tcPr>
          <w:p>
            <w:pPr>
              <w:jc w:val="right"/>
              <w:ind w:right="65"/>
              <w:spacing w:after="0"/>
              <w:rPr>
                <w:sz w:val="20"/>
                <w:szCs w:val="20"/>
                <w:color w:val="auto"/>
              </w:rPr>
            </w:pPr>
            <w:r>
              <w:rPr>
                <w:rFonts w:ascii="Arial" w:cs="Arial" w:eastAsia="Arial" w:hAnsi="Arial"/>
                <w:sz w:val="11"/>
                <w:szCs w:val="11"/>
                <w:color w:val="auto"/>
              </w:rPr>
              <w:t>7,072</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460,961</w:t>
            </w:r>
          </w:p>
        </w:tc>
        <w:tc>
          <w:tcPr>
            <w:tcW w:w="140" w:type="dxa"/>
            <w:vAlign w:val="bottom"/>
          </w:tcPr>
          <w:p>
            <w:pPr>
              <w:spacing w:after="0"/>
              <w:rPr>
                <w:sz w:val="11"/>
                <w:szCs w:val="11"/>
                <w:color w:val="auto"/>
              </w:rPr>
            </w:pPr>
          </w:p>
        </w:tc>
        <w:tc>
          <w:tcPr>
            <w:tcW w:w="38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5,647</w:t>
            </w:r>
          </w:p>
        </w:tc>
        <w:tc>
          <w:tcPr>
            <w:tcW w:w="8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5,647</w:t>
            </w:r>
          </w:p>
        </w:tc>
      </w:tr>
      <w:tr>
        <w:trPr>
          <w:trHeight w:val="635"/>
        </w:trPr>
        <w:tc>
          <w:tcPr>
            <w:tcW w:w="56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142,236</w:t>
            </w:r>
          </w:p>
        </w:tc>
        <w:tc>
          <w:tcPr>
            <w:tcW w:w="140" w:type="dxa"/>
            <w:vAlign w:val="bottom"/>
          </w:tcPr>
          <w:p>
            <w:pPr>
              <w:spacing w:after="0"/>
              <w:rPr>
                <w:sz w:val="24"/>
                <w:szCs w:val="24"/>
                <w:color w:val="auto"/>
              </w:rPr>
            </w:pPr>
          </w:p>
        </w:tc>
        <w:tc>
          <w:tcPr>
            <w:tcW w:w="38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w:t>
            </w:r>
          </w:p>
        </w:tc>
      </w:tr>
      <w:tr>
        <w:trPr>
          <w:trHeight w:val="282"/>
        </w:trPr>
        <w:tc>
          <w:tcPr>
            <w:tcW w:w="560" w:type="dxa"/>
            <w:vAlign w:val="bottom"/>
          </w:tcPr>
          <w:p>
            <w:pPr>
              <w:jc w:val="right"/>
              <w:ind w:right="65"/>
              <w:spacing w:after="0"/>
              <w:rPr>
                <w:sz w:val="20"/>
                <w:szCs w:val="20"/>
                <w:color w:val="auto"/>
              </w:rPr>
            </w:pPr>
            <w:r>
              <w:rPr>
                <w:rFonts w:ascii="Arial" w:cs="Arial" w:eastAsia="Arial" w:hAnsi="Arial"/>
                <w:sz w:val="11"/>
                <w:szCs w:val="11"/>
                <w:color w:val="auto"/>
              </w:rPr>
              <w:t>9,423</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38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6,486</w:t>
            </w:r>
          </w:p>
        </w:tc>
        <w:tc>
          <w:tcPr>
            <w:tcW w:w="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6,486</w:t>
            </w:r>
          </w:p>
        </w:tc>
      </w:tr>
      <w:tr>
        <w:trPr>
          <w:trHeight w:val="635"/>
        </w:trPr>
        <w:tc>
          <w:tcPr>
            <w:tcW w:w="560" w:type="dxa"/>
            <w:vAlign w:val="bottom"/>
          </w:tcPr>
          <w:p>
            <w:pPr>
              <w:jc w:val="right"/>
              <w:ind w:right="65"/>
              <w:spacing w:after="0"/>
              <w:rPr>
                <w:sz w:val="20"/>
                <w:szCs w:val="20"/>
                <w:color w:val="auto"/>
              </w:rPr>
            </w:pPr>
            <w:r>
              <w:rPr>
                <w:rFonts w:ascii="Arial" w:cs="Arial" w:eastAsia="Arial" w:hAnsi="Arial"/>
                <w:sz w:val="11"/>
                <w:szCs w:val="11"/>
                <w:color w:val="auto"/>
              </w:rPr>
              <w:t>304</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33,101</w:t>
            </w:r>
          </w:p>
        </w:tc>
        <w:tc>
          <w:tcPr>
            <w:tcW w:w="140" w:type="dxa"/>
            <w:vAlign w:val="bottom"/>
          </w:tcPr>
          <w:p>
            <w:pPr>
              <w:spacing w:after="0"/>
              <w:rPr>
                <w:sz w:val="24"/>
                <w:szCs w:val="24"/>
                <w:color w:val="auto"/>
              </w:rPr>
            </w:pPr>
          </w:p>
        </w:tc>
        <w:tc>
          <w:tcPr>
            <w:tcW w:w="38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1,160</w:t>
            </w:r>
          </w:p>
        </w:tc>
        <w:tc>
          <w:tcPr>
            <w:tcW w:w="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1,160</w:t>
            </w:r>
          </w:p>
        </w:tc>
      </w:tr>
      <w:tr>
        <w:trPr>
          <w:trHeight w:val="235"/>
        </w:trPr>
        <w:tc>
          <w:tcPr>
            <w:tcW w:w="560" w:type="dxa"/>
            <w:vAlign w:val="bottom"/>
          </w:tcPr>
          <w:p>
            <w:pPr>
              <w:jc w:val="right"/>
              <w:ind w:right="25"/>
              <w:spacing w:after="0"/>
              <w:rPr>
                <w:sz w:val="20"/>
                <w:szCs w:val="20"/>
                <w:color w:val="auto"/>
              </w:rPr>
            </w:pPr>
            <w:r>
              <w:rPr>
                <w:rFonts w:ascii="Arial" w:cs="Arial" w:eastAsia="Arial" w:hAnsi="Arial"/>
                <w:sz w:val="11"/>
                <w:szCs w:val="11"/>
                <w:color w:val="auto"/>
              </w:rPr>
              <w:t>(38,710)</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38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(25,872)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(25,872)</w:t>
            </w:r>
          </w:p>
        </w:tc>
      </w:tr>
      <w:tr>
        <w:trPr>
          <w:trHeight w:val="407"/>
        </w:trPr>
        <w:tc>
          <w:tcPr>
            <w:tcW w:w="5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2,292</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6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(1,676)</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(1,676)</w:t>
            </w:r>
          </w:p>
        </w:tc>
      </w:tr>
      <w:tr>
        <w:trPr>
          <w:trHeight w:val="250"/>
        </w:trPr>
        <w:tc>
          <w:tcPr>
            <w:tcW w:w="560" w:type="dxa"/>
            <w:vAlign w:val="bottom"/>
          </w:tcPr>
          <w:p>
            <w:pPr>
              <w:jc w:val="right"/>
              <w:ind w:right="65"/>
              <w:spacing w:after="0"/>
              <w:rPr>
                <w:sz w:val="20"/>
                <w:szCs w:val="20"/>
                <w:color w:val="auto"/>
              </w:rPr>
            </w:pPr>
            <w:r>
              <w:rPr>
                <w:rFonts w:ascii="Arial" w:cs="Arial" w:eastAsia="Arial" w:hAnsi="Arial"/>
                <w:sz w:val="11"/>
                <w:szCs w:val="11"/>
                <w:color w:val="auto"/>
                <w:w w:val="91"/>
              </w:rPr>
              <w:t>$123,695</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w w:val="98"/>
              </w:rPr>
              <w:t>66,035,096</w:t>
            </w:r>
          </w:p>
        </w:tc>
        <w:tc>
          <w:tcPr>
            <w:tcW w:w="140" w:type="dxa"/>
            <w:vAlign w:val="bottom"/>
          </w:tcPr>
          <w:p>
            <w:pPr>
              <w:jc w:val="right"/>
              <w:ind w:right="5"/>
              <w:spacing w:after="0"/>
              <w:rPr>
                <w:sz w:val="20"/>
                <w:szCs w:val="20"/>
                <w:color w:val="auto"/>
              </w:rPr>
            </w:pPr>
            <w:r>
              <w:rPr>
                <w:rFonts w:ascii="Arial" w:cs="Arial" w:eastAsia="Arial" w:hAnsi="Arial"/>
                <w:sz w:val="11"/>
                <w:szCs w:val="11"/>
                <w:color w:val="auto"/>
                <w:w w:val="97"/>
              </w:rPr>
              <w:t>$</w:t>
            </w:r>
          </w:p>
        </w:tc>
        <w:tc>
          <w:tcPr>
            <w:tcW w:w="280" w:type="dxa"/>
            <w:vAlign w:val="bottom"/>
          </w:tcPr>
          <w:p>
            <w:pPr>
              <w:ind w:left="60"/>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2"/>
              </w:rPr>
              <w:t>(2,704,706)</w:t>
            </w:r>
          </w:p>
        </w:tc>
        <w:tc>
          <w:tcPr>
            <w:tcW w:w="100" w:type="dxa"/>
            <w:vAlign w:val="bottom"/>
          </w:tcPr>
          <w:p>
            <w:pPr>
              <w:spacing w:after="0"/>
              <w:rPr>
                <w:sz w:val="21"/>
                <w:szCs w:val="21"/>
                <w:color w:val="auto"/>
              </w:rPr>
            </w:pPr>
          </w:p>
        </w:tc>
        <w:tc>
          <w:tcPr>
            <w:tcW w:w="420" w:type="dxa"/>
            <w:vAlign w:val="bottom"/>
          </w:tcPr>
          <w:p>
            <w:pPr>
              <w:jc w:val="right"/>
              <w:ind w:right="5"/>
              <w:spacing w:after="0"/>
              <w:rPr>
                <w:sz w:val="20"/>
                <w:szCs w:val="20"/>
                <w:color w:val="auto"/>
              </w:rPr>
            </w:pPr>
            <w:r>
              <w:rPr>
                <w:rFonts w:ascii="Arial" w:cs="Arial" w:eastAsia="Arial" w:hAnsi="Arial"/>
                <w:sz w:val="11"/>
                <w:szCs w:val="11"/>
                <w:color w:val="auto"/>
              </w:rPr>
              <w:t>$   (3)</w:t>
            </w:r>
          </w:p>
        </w:tc>
        <w:tc>
          <w:tcPr>
            <w:tcW w:w="100" w:type="dxa"/>
            <w:vAlign w:val="bottom"/>
          </w:tcPr>
          <w:p>
            <w:pPr>
              <w:spacing w:after="0"/>
              <w:rPr>
                <w:sz w:val="21"/>
                <w:szCs w:val="21"/>
                <w:color w:val="auto"/>
              </w:rPr>
            </w:pPr>
          </w:p>
        </w:tc>
        <w:tc>
          <w:tcPr>
            <w:tcW w:w="580" w:type="dxa"/>
            <w:vAlign w:val="bottom"/>
          </w:tcPr>
          <w:p>
            <w:pPr>
              <w:jc w:val="right"/>
              <w:ind w:right="65"/>
              <w:spacing w:after="0"/>
              <w:rPr>
                <w:sz w:val="20"/>
                <w:szCs w:val="20"/>
                <w:color w:val="auto"/>
              </w:rPr>
            </w:pPr>
            <w:r>
              <w:rPr>
                <w:rFonts w:ascii="Arial" w:cs="Arial" w:eastAsia="Arial" w:hAnsi="Arial"/>
                <w:sz w:val="11"/>
                <w:szCs w:val="11"/>
                <w:color w:val="auto"/>
                <w:w w:val="89"/>
              </w:rPr>
              <w:t>$ 425,546</w:t>
            </w:r>
          </w:p>
        </w:tc>
        <w:tc>
          <w:tcPr>
            <w:tcW w:w="80" w:type="dxa"/>
            <w:vAlign w:val="bottom"/>
          </w:tcPr>
          <w:p>
            <w:pPr>
              <w:spacing w:after="0"/>
              <w:rPr>
                <w:sz w:val="21"/>
                <w:szCs w:val="21"/>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w w:val="97"/>
              </w:rPr>
              <w:t>$  (256,240)</w:t>
            </w:r>
          </w:p>
        </w:tc>
        <w:tc>
          <w:tcPr>
            <w:tcW w:w="100" w:type="dxa"/>
            <w:vAlign w:val="bottom"/>
          </w:tcPr>
          <w:p>
            <w:pPr>
              <w:spacing w:after="0"/>
              <w:rPr>
                <w:sz w:val="21"/>
                <w:szCs w:val="21"/>
                <w:color w:val="auto"/>
              </w:rPr>
            </w:pPr>
          </w:p>
        </w:tc>
        <w:tc>
          <w:tcPr>
            <w:tcW w:w="240" w:type="dxa"/>
            <w:vAlign w:val="bottom"/>
          </w:tcPr>
          <w:p>
            <w:pPr>
              <w:jc w:val="right"/>
              <w:ind w:right="105"/>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(6,307)</w:t>
            </w:r>
          </w:p>
        </w:tc>
        <w:tc>
          <w:tcPr>
            <w:tcW w:w="100" w:type="dxa"/>
            <w:vAlign w:val="bottom"/>
          </w:tcPr>
          <w:p>
            <w:pPr>
              <w:spacing w:after="0"/>
              <w:rPr>
                <w:sz w:val="21"/>
                <w:szCs w:val="21"/>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w w:val="91"/>
              </w:rPr>
              <w:t>$163,062</w:t>
            </w:r>
          </w:p>
        </w:tc>
      </w:tr>
      <w:tr>
        <w:trPr>
          <w:trHeight w:val="20"/>
        </w:trPr>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-1581785</wp:posOffset>
            </wp:positionV>
            <wp:extent cx="7204710" cy="403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4710" cy="40322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-999490</wp:posOffset>
            </wp:positionV>
            <wp:extent cx="7204710" cy="403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4710" cy="40322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-447040</wp:posOffset>
            </wp:positionV>
            <wp:extent cx="7204710" cy="254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4710" cy="25400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5520" w:space="100"/>
            <w:col w:w="5720"/>
          </w:cols>
          <w:pgMar w:left="320" w:top="499" w:right="239" w:bottom="1440" w:gutter="0" w:footer="0" w:header="0"/>
          <w:type w:val="continuous"/>
        </w:sectPr>
      </w:pPr>
    </w:p>
    <w:p>
      <w:pPr>
        <w:jc w:val="center"/>
        <w:ind w:right="10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40"/>
          </w:cols>
          <w:pgMar w:left="320" w:top="499" w:right="239"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11"/>
          <w:szCs w:val="11"/>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501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5"/>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920" w:type="dxa"/>
            <w:vAlign w:val="bottom"/>
          </w:tcPr>
          <w:p>
            <w:pPr>
              <w:spacing w:after="0"/>
              <w:rPr>
                <w:sz w:val="10"/>
                <w:szCs w:val="10"/>
                <w:color w:val="auto"/>
              </w:rPr>
            </w:pPr>
          </w:p>
        </w:tc>
        <w:tc>
          <w:tcPr>
            <w:tcW w:w="1140" w:type="dxa"/>
            <w:vAlign w:val="bottom"/>
            <w:gridSpan w:val="5"/>
            <w:vMerge w:val="restart"/>
          </w:tcPr>
          <w:p>
            <w:pPr>
              <w:ind w:left="180"/>
              <w:spacing w:after="0"/>
              <w:rPr>
                <w:sz w:val="20"/>
                <w:szCs w:val="20"/>
                <w:color w:val="auto"/>
              </w:rPr>
            </w:pPr>
            <w:r>
              <w:rPr>
                <w:rFonts w:ascii="Arial" w:cs="Arial" w:eastAsia="Arial" w:hAnsi="Arial"/>
                <w:sz w:val="11"/>
                <w:szCs w:val="11"/>
                <w:b w:val="1"/>
                <w:bCs w:val="1"/>
                <w:color w:val="auto"/>
              </w:rPr>
              <w:t>Common Stock</w:t>
            </w:r>
          </w:p>
        </w:tc>
        <w:tc>
          <w:tcPr>
            <w:tcW w:w="1180" w:type="dxa"/>
            <w:vAlign w:val="bottom"/>
            <w:gridSpan w:val="5"/>
            <w:vMerge w:val="restart"/>
          </w:tcPr>
          <w:p>
            <w:pPr>
              <w:ind w:left="200"/>
              <w:spacing w:after="0"/>
              <w:rPr>
                <w:sz w:val="20"/>
                <w:szCs w:val="20"/>
                <w:color w:val="auto"/>
              </w:rPr>
            </w:pPr>
            <w:r>
              <w:rPr>
                <w:rFonts w:ascii="Arial" w:cs="Arial" w:eastAsia="Arial" w:hAnsi="Arial"/>
                <w:sz w:val="11"/>
                <w:szCs w:val="11"/>
                <w:b w:val="1"/>
                <w:bCs w:val="1"/>
                <w:color w:val="auto"/>
              </w:rPr>
              <w:t>Treasury Stock</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right="80"/>
              <w:spacing w:after="0" w:line="125" w:lineRule="exact"/>
              <w:rPr>
                <w:sz w:val="20"/>
                <w:szCs w:val="20"/>
                <w:color w:val="auto"/>
              </w:rPr>
            </w:pPr>
            <w:r>
              <w:rPr>
                <w:rFonts w:ascii="Arial" w:cs="Arial" w:eastAsia="Arial" w:hAnsi="Arial"/>
                <w:sz w:val="11"/>
                <w:szCs w:val="11"/>
                <w:b w:val="1"/>
                <w:bCs w:val="1"/>
                <w:color w:val="auto"/>
                <w:w w:val="89"/>
              </w:rPr>
              <w:t>Accumulated</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5"/>
            <w:vMerge w:val="restart"/>
          </w:tcPr>
          <w:p>
            <w:pPr>
              <w:ind w:left="180"/>
              <w:spacing w:after="0"/>
              <w:rPr>
                <w:sz w:val="20"/>
                <w:szCs w:val="20"/>
                <w:color w:val="auto"/>
              </w:rPr>
            </w:pPr>
            <w:r>
              <w:rPr>
                <w:rFonts w:ascii="Arial" w:cs="Arial" w:eastAsia="Arial" w:hAnsi="Arial"/>
                <w:sz w:val="11"/>
                <w:szCs w:val="11"/>
                <w:b w:val="1"/>
                <w:bCs w:val="1"/>
                <w:color w:val="auto"/>
              </w:rPr>
              <w:t>Common Stock</w:t>
            </w:r>
          </w:p>
        </w:tc>
        <w:tc>
          <w:tcPr>
            <w:tcW w:w="1180" w:type="dxa"/>
            <w:vAlign w:val="bottom"/>
            <w:gridSpan w:val="5"/>
            <w:vMerge w:val="restart"/>
          </w:tcPr>
          <w:p>
            <w:pPr>
              <w:ind w:left="200"/>
              <w:spacing w:after="0"/>
              <w:rPr>
                <w:sz w:val="20"/>
                <w:szCs w:val="20"/>
                <w:color w:val="auto"/>
              </w:rPr>
            </w:pPr>
            <w:r>
              <w:rPr>
                <w:rFonts w:ascii="Arial" w:cs="Arial" w:eastAsia="Arial" w:hAnsi="Arial"/>
                <w:sz w:val="11"/>
                <w:szCs w:val="11"/>
                <w:b w:val="1"/>
                <w:bCs w:val="1"/>
                <w:color w:val="auto"/>
              </w:rPr>
              <w:t>Treasury Stock</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jc w:val="center"/>
              <w:ind w:right="80"/>
              <w:spacing w:after="0" w:line="125" w:lineRule="exact"/>
              <w:rPr>
                <w:sz w:val="20"/>
                <w:szCs w:val="20"/>
                <w:color w:val="auto"/>
              </w:rPr>
            </w:pPr>
            <w:r>
              <w:rPr>
                <w:rFonts w:ascii="Arial" w:cs="Arial" w:eastAsia="Arial" w:hAnsi="Arial"/>
                <w:sz w:val="11"/>
                <w:szCs w:val="11"/>
                <w:b w:val="1"/>
                <w:bCs w:val="1"/>
                <w:color w:val="auto"/>
                <w:w w:val="89"/>
              </w:rPr>
              <w:t>Accumulated</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20" w:type="dxa"/>
            <w:vAlign w:val="bottom"/>
          </w:tcPr>
          <w:p>
            <w:pPr>
              <w:spacing w:after="0"/>
              <w:rPr>
                <w:sz w:val="10"/>
                <w:szCs w:val="10"/>
                <w:color w:val="auto"/>
              </w:rPr>
            </w:pPr>
          </w:p>
        </w:tc>
        <w:tc>
          <w:tcPr>
            <w:tcW w:w="1140" w:type="dxa"/>
            <w:vAlign w:val="bottom"/>
            <w:gridSpan w:val="5"/>
            <w:vMerge w:val="continue"/>
          </w:tcPr>
          <w:p>
            <w:pPr>
              <w:spacing w:after="0"/>
              <w:rPr>
                <w:sz w:val="10"/>
                <w:szCs w:val="10"/>
                <w:color w:val="auto"/>
              </w:rPr>
            </w:pPr>
          </w:p>
        </w:tc>
        <w:tc>
          <w:tcPr>
            <w:tcW w:w="1180" w:type="dxa"/>
            <w:vAlign w:val="bottom"/>
            <w:gridSpan w:val="5"/>
            <w:vMerge w:val="continue"/>
          </w:tcPr>
          <w:p>
            <w:pPr>
              <w:spacing w:after="0"/>
              <w:rPr>
                <w:sz w:val="10"/>
                <w:szCs w:val="10"/>
                <w:color w:val="auto"/>
              </w:rPr>
            </w:pPr>
          </w:p>
        </w:tc>
        <w:tc>
          <w:tcPr>
            <w:tcW w:w="6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Other</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5"/>
            <w:vMerge w:val="continue"/>
          </w:tcPr>
          <w:p>
            <w:pPr>
              <w:spacing w:after="0"/>
              <w:rPr>
                <w:sz w:val="10"/>
                <w:szCs w:val="10"/>
                <w:color w:val="auto"/>
              </w:rPr>
            </w:pPr>
          </w:p>
        </w:tc>
        <w:tc>
          <w:tcPr>
            <w:tcW w:w="1180" w:type="dxa"/>
            <w:vAlign w:val="bottom"/>
            <w:gridSpan w:val="5"/>
            <w:vMerge w:val="continue"/>
          </w:tcPr>
          <w:p>
            <w:pPr>
              <w:spacing w:after="0"/>
              <w:rPr>
                <w:sz w:val="10"/>
                <w:szCs w:val="10"/>
                <w:color w:val="auto"/>
              </w:rPr>
            </w:pPr>
          </w:p>
        </w:tc>
        <w:tc>
          <w:tcPr>
            <w:tcW w:w="6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Other</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9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ind w:left="120"/>
              <w:spacing w:after="0" w:line="94" w:lineRule="exact"/>
              <w:rPr>
                <w:sz w:val="20"/>
                <w:szCs w:val="20"/>
                <w:color w:val="auto"/>
              </w:rPr>
            </w:pPr>
            <w:r>
              <w:rPr>
                <w:rFonts w:ascii="Arial" w:cs="Arial" w:eastAsia="Arial" w:hAnsi="Arial"/>
                <w:sz w:val="10"/>
                <w:szCs w:val="10"/>
                <w:b w:val="1"/>
                <w:bCs w:val="1"/>
                <w:color w:val="auto"/>
              </w:rPr>
              <w:t>Paid-in</w:t>
            </w:r>
          </w:p>
        </w:tc>
        <w:tc>
          <w:tcPr>
            <w:tcW w:w="760" w:type="dxa"/>
            <w:vAlign w:val="bottom"/>
            <w:gridSpan w:val="3"/>
          </w:tcPr>
          <w:p>
            <w:pPr>
              <w:ind w:left="40"/>
              <w:spacing w:after="0" w:line="94" w:lineRule="exact"/>
              <w:rPr>
                <w:sz w:val="20"/>
                <w:szCs w:val="20"/>
                <w:color w:val="auto"/>
              </w:rPr>
            </w:pPr>
            <w:r>
              <w:rPr>
                <w:rFonts w:ascii="Arial" w:cs="Arial" w:eastAsia="Arial" w:hAnsi="Arial"/>
                <w:sz w:val="10"/>
                <w:szCs w:val="10"/>
                <w:b w:val="1"/>
                <w:bCs w:val="1"/>
                <w:color w:val="auto"/>
              </w:rPr>
              <w:t>Accumulated</w:t>
            </w:r>
          </w:p>
        </w:tc>
        <w:tc>
          <w:tcPr>
            <w:tcW w:w="860" w:type="dxa"/>
            <w:vAlign w:val="bottom"/>
            <w:gridSpan w:val="3"/>
          </w:tcPr>
          <w:p>
            <w:pPr>
              <w:ind w:left="20"/>
              <w:spacing w:after="0" w:line="94" w:lineRule="exact"/>
              <w:rPr>
                <w:sz w:val="20"/>
                <w:szCs w:val="20"/>
                <w:color w:val="auto"/>
              </w:rPr>
            </w:pPr>
            <w:r>
              <w:rPr>
                <w:rFonts w:ascii="Arial" w:cs="Arial" w:eastAsia="Arial" w:hAnsi="Arial"/>
                <w:sz w:val="10"/>
                <w:szCs w:val="10"/>
                <w:b w:val="1"/>
                <w:bCs w:val="1"/>
                <w:color w:val="auto"/>
              </w:rPr>
              <w:t>Comprehensive</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center"/>
              <w:ind w:right="100"/>
              <w:spacing w:after="0" w:line="94" w:lineRule="exact"/>
              <w:rPr>
                <w:sz w:val="20"/>
                <w:szCs w:val="20"/>
                <w:color w:val="auto"/>
              </w:rPr>
            </w:pPr>
            <w:r>
              <w:rPr>
                <w:rFonts w:ascii="Arial" w:cs="Arial" w:eastAsia="Arial" w:hAnsi="Arial"/>
                <w:sz w:val="10"/>
                <w:szCs w:val="10"/>
                <w:b w:val="1"/>
                <w:bCs w:val="1"/>
                <w:color w:val="auto"/>
              </w:rPr>
              <w:t>Paid-in</w:t>
            </w:r>
          </w:p>
        </w:tc>
        <w:tc>
          <w:tcPr>
            <w:tcW w:w="740" w:type="dxa"/>
            <w:vAlign w:val="bottom"/>
            <w:gridSpan w:val="3"/>
          </w:tcPr>
          <w:p>
            <w:pPr>
              <w:ind w:left="20"/>
              <w:spacing w:after="0" w:line="94" w:lineRule="exact"/>
              <w:rPr>
                <w:sz w:val="20"/>
                <w:szCs w:val="20"/>
                <w:color w:val="auto"/>
              </w:rPr>
            </w:pPr>
            <w:r>
              <w:rPr>
                <w:rFonts w:ascii="Arial" w:cs="Arial" w:eastAsia="Arial" w:hAnsi="Arial"/>
                <w:sz w:val="10"/>
                <w:szCs w:val="10"/>
                <w:b w:val="1"/>
                <w:bCs w:val="1"/>
                <w:color w:val="auto"/>
              </w:rPr>
              <w:t>Accumulated</w:t>
            </w:r>
          </w:p>
        </w:tc>
        <w:tc>
          <w:tcPr>
            <w:tcW w:w="860" w:type="dxa"/>
            <w:vAlign w:val="bottom"/>
            <w:gridSpan w:val="3"/>
          </w:tcPr>
          <w:p>
            <w:pPr>
              <w:jc w:val="center"/>
              <w:ind w:right="60"/>
              <w:spacing w:after="0" w:line="94" w:lineRule="exact"/>
              <w:rPr>
                <w:sz w:val="20"/>
                <w:szCs w:val="20"/>
                <w:color w:val="auto"/>
              </w:rPr>
            </w:pPr>
            <w:r>
              <w:rPr>
                <w:rFonts w:ascii="Arial" w:cs="Arial" w:eastAsia="Arial" w:hAnsi="Arial"/>
                <w:sz w:val="10"/>
                <w:szCs w:val="10"/>
                <w:b w:val="1"/>
                <w:bCs w:val="1"/>
                <w:color w:val="auto"/>
                <w:w w:val="95"/>
              </w:rPr>
              <w:t>Comprehensive</w:t>
            </w: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2"/>
                <w:szCs w:val="12"/>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77"/>
              </w:rPr>
              <w:t>Loss</w:t>
            </w:r>
          </w:p>
        </w:tc>
        <w:tc>
          <w:tcPr>
            <w:tcW w:w="60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Loss</w:t>
            </w:r>
          </w:p>
        </w:tc>
        <w:tc>
          <w:tcPr>
            <w:tcW w:w="540" w:type="dxa"/>
            <w:vAlign w:val="bottom"/>
          </w:tcPr>
          <w:p>
            <w:pPr>
              <w:jc w:val="right"/>
              <w:ind w:right="105"/>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7"/>
        </w:trPr>
        <w:tc>
          <w:tcPr>
            <w:tcW w:w="920" w:type="dxa"/>
            <w:vAlign w:val="bottom"/>
            <w:tcBorders>
              <w:top w:val="single" w:sz="8" w:color="CCFFCC"/>
            </w:tcBorders>
            <w:shd w:val="clear" w:color="auto" w:fill="CCFFCC"/>
          </w:tcPr>
          <w:p>
            <w:pPr>
              <w:ind w:left="20"/>
              <w:spacing w:after="0" w:line="117" w:lineRule="exact"/>
              <w:rPr>
                <w:sz w:val="20"/>
                <w:szCs w:val="20"/>
                <w:color w:val="auto"/>
              </w:rPr>
            </w:pPr>
            <w:r>
              <w:rPr>
                <w:rFonts w:ascii="Arial" w:cs="Arial" w:eastAsia="Arial" w:hAnsi="Arial"/>
                <w:sz w:val="11"/>
                <w:szCs w:val="11"/>
                <w:color w:val="auto"/>
              </w:rPr>
              <w:t>Balance at</w:t>
            </w:r>
          </w:p>
        </w:tc>
        <w:tc>
          <w:tcPr>
            <w:tcW w:w="5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2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2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auto"/>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2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28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auto"/>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shd w:val="clear" w:color="auto" w:fill="CCFFCC"/>
          </w:tcPr>
          <w:p>
            <w:pPr>
              <w:ind w:left="20"/>
              <w:spacing w:after="0" w:line="118" w:lineRule="exact"/>
              <w:rPr>
                <w:sz w:val="20"/>
                <w:szCs w:val="20"/>
                <w:color w:val="auto"/>
              </w:rPr>
            </w:pPr>
            <w:r>
              <w:rPr>
                <w:rFonts w:ascii="Arial" w:cs="Arial" w:eastAsia="Arial" w:hAnsi="Arial"/>
                <w:sz w:val="11"/>
                <w:szCs w:val="11"/>
                <w:color w:val="auto"/>
                <w:w w:val="91"/>
              </w:rPr>
              <w:t>December 31, 2019</w:t>
            </w: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20" w:type="dxa"/>
            <w:vAlign w:val="bottom"/>
            <w:shd w:val="clear" w:color="auto" w:fill="CCFFCC"/>
          </w:tcPr>
          <w:p>
            <w:pPr>
              <w:ind w:left="20"/>
              <w:spacing w:after="0"/>
              <w:rPr>
                <w:sz w:val="20"/>
                <w:szCs w:val="20"/>
                <w:color w:val="auto"/>
              </w:rPr>
            </w:pPr>
            <w:r>
              <w:rPr>
                <w:rFonts w:ascii="Arial" w:cs="Arial" w:eastAsia="Arial" w:hAnsi="Arial"/>
                <w:sz w:val="11"/>
                <w:szCs w:val="11"/>
                <w:color w:val="auto"/>
              </w:rPr>
              <w:t>and 2018</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w w:val="90"/>
              </w:rPr>
              <w:t>66,543,073</w:t>
            </w:r>
          </w:p>
        </w:tc>
        <w:tc>
          <w:tcPr>
            <w:tcW w:w="14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45"/>
              <w:spacing w:after="0"/>
              <w:rPr>
                <w:sz w:val="20"/>
                <w:szCs w:val="20"/>
                <w:color w:val="auto"/>
              </w:rPr>
            </w:pPr>
            <w:r>
              <w:rPr>
                <w:rFonts w:ascii="Arial" w:cs="Arial" w:eastAsia="Arial" w:hAnsi="Arial"/>
                <w:sz w:val="11"/>
                <w:szCs w:val="11"/>
                <w:color w:val="auto"/>
              </w:rPr>
              <w:t>67</w:t>
            </w:r>
          </w:p>
        </w:tc>
        <w:tc>
          <w:tcPr>
            <w:tcW w:w="100" w:type="dxa"/>
            <w:vAlign w:val="bottom"/>
            <w:shd w:val="clear" w:color="auto" w:fill="CCFFCC"/>
          </w:tcPr>
          <w:p>
            <w:pPr>
              <w:spacing w:after="0"/>
              <w:rPr>
                <w:sz w:val="13"/>
                <w:szCs w:val="13"/>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2"/>
              </w:rPr>
              <w:t>(2,709,830)</w:t>
            </w:r>
          </w:p>
        </w:tc>
        <w:tc>
          <w:tcPr>
            <w:tcW w:w="100" w:type="dxa"/>
            <w:vAlign w:val="bottom"/>
            <w:shd w:val="clear" w:color="auto" w:fill="CCFFCC"/>
          </w:tcPr>
          <w:p>
            <w:pPr>
              <w:spacing w:after="0"/>
              <w:rPr>
                <w:sz w:val="13"/>
                <w:szCs w:val="13"/>
                <w:color w:val="auto"/>
              </w:rPr>
            </w:pPr>
          </w:p>
        </w:tc>
        <w:tc>
          <w:tcPr>
            <w:tcW w:w="14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5"/>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FFCC"/>
          </w:tcPr>
          <w:p>
            <w:pPr>
              <w:spacing w:after="0"/>
              <w:rPr>
                <w:sz w:val="13"/>
                <w:szCs w:val="13"/>
                <w:color w:val="auto"/>
              </w:rPr>
            </w:pPr>
          </w:p>
        </w:tc>
        <w:tc>
          <w:tcPr>
            <w:tcW w:w="580" w:type="dxa"/>
            <w:vAlign w:val="bottom"/>
            <w:shd w:val="clear" w:color="auto" w:fill="CCFFCC"/>
          </w:tcPr>
          <w:p>
            <w:pPr>
              <w:jc w:val="right"/>
              <w:ind w:right="65"/>
              <w:spacing w:after="0"/>
              <w:rPr>
                <w:sz w:val="20"/>
                <w:szCs w:val="20"/>
                <w:color w:val="auto"/>
              </w:rPr>
            </w:pPr>
            <w:r>
              <w:rPr>
                <w:rFonts w:ascii="Arial" w:cs="Arial" w:eastAsia="Arial" w:hAnsi="Arial"/>
                <w:sz w:val="11"/>
                <w:szCs w:val="11"/>
                <w:color w:val="auto"/>
                <w:w w:val="89"/>
              </w:rPr>
              <w:t>$ 436,557</w:t>
            </w:r>
          </w:p>
        </w:tc>
        <w:tc>
          <w:tcPr>
            <w:tcW w:w="80" w:type="dxa"/>
            <w:vAlign w:val="bottom"/>
            <w:shd w:val="clear" w:color="auto" w:fill="CCFFCC"/>
          </w:tcPr>
          <w:p>
            <w:pPr>
              <w:spacing w:after="0"/>
              <w:rPr>
                <w:sz w:val="13"/>
                <w:szCs w:val="13"/>
                <w:color w:val="auto"/>
              </w:rPr>
            </w:pPr>
          </w:p>
        </w:tc>
        <w:tc>
          <w:tcPr>
            <w:tcW w:w="120" w:type="dxa"/>
            <w:vAlign w:val="bottom"/>
            <w:shd w:val="clear" w:color="auto" w:fill="CCFFCC"/>
          </w:tcPr>
          <w:p>
            <w:pPr>
              <w:ind w:left="40"/>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FFCC"/>
          </w:tcPr>
          <w:p>
            <w:pPr>
              <w:jc w:val="right"/>
              <w:ind w:right="5"/>
              <w:spacing w:after="0"/>
              <w:rPr>
                <w:sz w:val="20"/>
                <w:szCs w:val="20"/>
                <w:color w:val="auto"/>
              </w:rPr>
            </w:pPr>
            <w:r>
              <w:rPr>
                <w:rFonts w:ascii="Arial" w:cs="Arial" w:eastAsia="Arial" w:hAnsi="Arial"/>
                <w:sz w:val="11"/>
                <w:szCs w:val="11"/>
                <w:color w:val="auto"/>
                <w:w w:val="97"/>
              </w:rPr>
              <w:t>(283,562)</w:t>
            </w:r>
          </w:p>
        </w:tc>
        <w:tc>
          <w:tcPr>
            <w:tcW w:w="100" w:type="dxa"/>
            <w:vAlign w:val="bottom"/>
            <w:shd w:val="clear" w:color="auto" w:fill="CCFFCC"/>
          </w:tcPr>
          <w:p>
            <w:pPr>
              <w:spacing w:after="0"/>
              <w:rPr>
                <w:sz w:val="13"/>
                <w:szCs w:val="13"/>
                <w:color w:val="auto"/>
              </w:rPr>
            </w:pPr>
          </w:p>
        </w:tc>
        <w:tc>
          <w:tcPr>
            <w:tcW w:w="16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FFCC"/>
          </w:tcPr>
          <w:p>
            <w:pPr>
              <w:jc w:val="right"/>
              <w:ind w:right="5"/>
              <w:spacing w:after="0"/>
              <w:rPr>
                <w:sz w:val="20"/>
                <w:szCs w:val="20"/>
                <w:color w:val="auto"/>
              </w:rPr>
            </w:pPr>
            <w:r>
              <w:rPr>
                <w:rFonts w:ascii="Arial" w:cs="Arial" w:eastAsia="Arial" w:hAnsi="Arial"/>
                <w:sz w:val="11"/>
                <w:szCs w:val="11"/>
                <w:color w:val="auto"/>
              </w:rPr>
              <w:t>(4,524)</w:t>
            </w:r>
          </w:p>
        </w:tc>
        <w:tc>
          <w:tcPr>
            <w:tcW w:w="100" w:type="dxa"/>
            <w:vAlign w:val="bottom"/>
            <w:shd w:val="clear" w:color="auto" w:fill="CCFFCC"/>
          </w:tcPr>
          <w:p>
            <w:pPr>
              <w:spacing w:after="0"/>
              <w:rPr>
                <w:sz w:val="13"/>
                <w:szCs w:val="13"/>
                <w:color w:val="auto"/>
              </w:rPr>
            </w:pPr>
          </w:p>
        </w:tc>
        <w:tc>
          <w:tcPr>
            <w:tcW w:w="520" w:type="dxa"/>
            <w:vAlign w:val="bottom"/>
            <w:shd w:val="clear" w:color="auto" w:fill="CCFFCC"/>
          </w:tcPr>
          <w:p>
            <w:pPr>
              <w:jc w:val="right"/>
              <w:ind w:right="25"/>
              <w:spacing w:after="0"/>
              <w:rPr>
                <w:sz w:val="20"/>
                <w:szCs w:val="20"/>
                <w:color w:val="auto"/>
              </w:rPr>
            </w:pPr>
            <w:r>
              <w:rPr>
                <w:rFonts w:ascii="Arial" w:cs="Arial" w:eastAsia="Arial" w:hAnsi="Arial"/>
                <w:sz w:val="11"/>
                <w:szCs w:val="11"/>
                <w:color w:val="auto"/>
                <w:w w:val="91"/>
              </w:rPr>
              <w:t>$148,535</w:t>
            </w:r>
          </w:p>
        </w:tc>
        <w:tc>
          <w:tcPr>
            <w:tcW w:w="80" w:type="dxa"/>
            <w:vAlign w:val="bottom"/>
            <w:shd w:val="clear" w:color="auto" w:fill="CCFFCC"/>
          </w:tcPr>
          <w:p>
            <w:pPr>
              <w:spacing w:after="0"/>
              <w:rPr>
                <w:sz w:val="13"/>
                <w:szCs w:val="13"/>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w w:val="90"/>
              </w:rPr>
              <w:t>63,676,046</w:t>
            </w:r>
          </w:p>
        </w:tc>
        <w:tc>
          <w:tcPr>
            <w:tcW w:w="14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45"/>
              <w:spacing w:after="0"/>
              <w:rPr>
                <w:sz w:val="20"/>
                <w:szCs w:val="20"/>
                <w:color w:val="auto"/>
              </w:rPr>
            </w:pPr>
            <w:r>
              <w:rPr>
                <w:rFonts w:ascii="Arial" w:cs="Arial" w:eastAsia="Arial" w:hAnsi="Arial"/>
                <w:sz w:val="11"/>
                <w:szCs w:val="11"/>
                <w:color w:val="auto"/>
              </w:rPr>
              <w:t>64</w:t>
            </w:r>
          </w:p>
        </w:tc>
        <w:tc>
          <w:tcPr>
            <w:tcW w:w="100" w:type="dxa"/>
            <w:vAlign w:val="bottom"/>
            <w:shd w:val="clear" w:color="auto" w:fill="CCFFCC"/>
          </w:tcPr>
          <w:p>
            <w:pPr>
              <w:spacing w:after="0"/>
              <w:rPr>
                <w:sz w:val="13"/>
                <w:szCs w:val="13"/>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2"/>
              </w:rPr>
              <w:t>(2,681,285)</w:t>
            </w:r>
          </w:p>
        </w:tc>
        <w:tc>
          <w:tcPr>
            <w:tcW w:w="80" w:type="dxa"/>
            <w:vAlign w:val="bottom"/>
            <w:shd w:val="clear" w:color="auto" w:fill="CCFFCC"/>
          </w:tcPr>
          <w:p>
            <w:pPr>
              <w:spacing w:after="0"/>
              <w:rPr>
                <w:sz w:val="13"/>
                <w:szCs w:val="13"/>
                <w:color w:val="auto"/>
              </w:rPr>
            </w:pPr>
          </w:p>
        </w:tc>
        <w:tc>
          <w:tcPr>
            <w:tcW w:w="160" w:type="dxa"/>
            <w:vAlign w:val="bottom"/>
            <w:shd w:val="clear" w:color="auto" w:fill="CCFFCC"/>
          </w:tcPr>
          <w:p>
            <w:pPr>
              <w:ind w:left="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25"/>
              <w:spacing w:after="0"/>
              <w:rPr>
                <w:sz w:val="20"/>
                <w:szCs w:val="20"/>
                <w:color w:val="auto"/>
              </w:rPr>
            </w:pPr>
            <w:r>
              <w:rPr>
                <w:rFonts w:ascii="Arial" w:cs="Arial" w:eastAsia="Arial" w:hAnsi="Arial"/>
                <w:sz w:val="11"/>
                <w:szCs w:val="11"/>
                <w:color w:val="auto"/>
              </w:rPr>
              <w:t>(3)</w:t>
            </w:r>
          </w:p>
        </w:tc>
        <w:tc>
          <w:tcPr>
            <w:tcW w:w="80" w:type="dxa"/>
            <w:vAlign w:val="bottom"/>
            <w:shd w:val="clear" w:color="auto" w:fill="CCFFCC"/>
          </w:tcPr>
          <w:p>
            <w:pPr>
              <w:spacing w:after="0"/>
              <w:rPr>
                <w:sz w:val="13"/>
                <w:szCs w:val="13"/>
                <w:color w:val="auto"/>
              </w:rPr>
            </w:pPr>
          </w:p>
        </w:tc>
        <w:tc>
          <w:tcPr>
            <w:tcW w:w="580" w:type="dxa"/>
            <w:vAlign w:val="bottom"/>
            <w:shd w:val="clear" w:color="auto" w:fill="CCFFCC"/>
          </w:tcPr>
          <w:p>
            <w:pPr>
              <w:jc w:val="right"/>
              <w:ind w:right="45"/>
              <w:spacing w:after="0"/>
              <w:rPr>
                <w:sz w:val="20"/>
                <w:szCs w:val="20"/>
                <w:color w:val="auto"/>
              </w:rPr>
            </w:pPr>
            <w:r>
              <w:rPr>
                <w:rFonts w:ascii="Arial" w:cs="Arial" w:eastAsia="Arial" w:hAnsi="Arial"/>
                <w:sz w:val="11"/>
                <w:szCs w:val="11"/>
                <w:color w:val="auto"/>
                <w:w w:val="93"/>
              </w:rPr>
              <w:t>$ 362,590</w:t>
            </w: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FFCC"/>
          </w:tcPr>
          <w:p>
            <w:pPr>
              <w:jc w:val="right"/>
              <w:ind w:right="25"/>
              <w:spacing w:after="0"/>
              <w:rPr>
                <w:sz w:val="20"/>
                <w:szCs w:val="20"/>
                <w:color w:val="auto"/>
              </w:rPr>
            </w:pPr>
            <w:r>
              <w:rPr>
                <w:rFonts w:ascii="Arial" w:cs="Arial" w:eastAsia="Arial" w:hAnsi="Arial"/>
                <w:sz w:val="11"/>
                <w:szCs w:val="11"/>
                <w:color w:val="auto"/>
                <w:w w:val="93"/>
              </w:rPr>
              <w:t>(187,491)</w:t>
            </w:r>
          </w:p>
        </w:tc>
        <w:tc>
          <w:tcPr>
            <w:tcW w:w="80" w:type="dxa"/>
            <w:vAlign w:val="bottom"/>
            <w:shd w:val="clear" w:color="auto" w:fill="CCFFCC"/>
          </w:tcPr>
          <w:p>
            <w:pPr>
              <w:spacing w:after="0"/>
              <w:rPr>
                <w:sz w:val="13"/>
                <w:szCs w:val="13"/>
                <w:color w:val="auto"/>
              </w:rPr>
            </w:pPr>
          </w:p>
        </w:tc>
        <w:tc>
          <w:tcPr>
            <w:tcW w:w="160" w:type="dxa"/>
            <w:vAlign w:val="bottom"/>
            <w:shd w:val="clear" w:color="auto" w:fill="CCFFCC"/>
          </w:tcPr>
          <w:p>
            <w:pPr>
              <w:jc w:val="right"/>
              <w:ind w:right="27"/>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FFCC"/>
          </w:tcPr>
          <w:p>
            <w:pPr>
              <w:jc w:val="right"/>
              <w:ind w:right="25"/>
              <w:spacing w:after="0"/>
              <w:rPr>
                <w:sz w:val="20"/>
                <w:szCs w:val="20"/>
                <w:color w:val="auto"/>
              </w:rPr>
            </w:pPr>
            <w:r>
              <w:rPr>
                <w:rFonts w:ascii="Arial" w:cs="Arial" w:eastAsia="Arial" w:hAnsi="Arial"/>
                <w:sz w:val="11"/>
                <w:szCs w:val="11"/>
                <w:color w:val="auto"/>
              </w:rPr>
              <w:t>(4,431)</w:t>
            </w:r>
          </w:p>
        </w:tc>
        <w:tc>
          <w:tcPr>
            <w:tcW w:w="80" w:type="dxa"/>
            <w:vAlign w:val="bottom"/>
            <w:shd w:val="clear" w:color="auto" w:fill="CCFFCC"/>
          </w:tcPr>
          <w:p>
            <w:pPr>
              <w:spacing w:after="0"/>
              <w:rPr>
                <w:sz w:val="13"/>
                <w:szCs w:val="13"/>
                <w:color w:val="auto"/>
              </w:rPr>
            </w:pPr>
          </w:p>
        </w:tc>
        <w:tc>
          <w:tcPr>
            <w:tcW w:w="540" w:type="dxa"/>
            <w:vAlign w:val="bottom"/>
            <w:shd w:val="clear" w:color="auto" w:fill="CCFFCC"/>
          </w:tcPr>
          <w:p>
            <w:pPr>
              <w:jc w:val="right"/>
              <w:ind w:right="25"/>
              <w:spacing w:after="0"/>
              <w:rPr>
                <w:sz w:val="20"/>
                <w:szCs w:val="20"/>
                <w:color w:val="auto"/>
              </w:rPr>
            </w:pPr>
            <w:r>
              <w:rPr>
                <w:rFonts w:ascii="Arial" w:cs="Arial" w:eastAsia="Arial" w:hAnsi="Arial"/>
                <w:sz w:val="11"/>
                <w:szCs w:val="11"/>
                <w:color w:val="auto"/>
                <w:w w:val="95"/>
              </w:rPr>
              <w:t>$170,729</w:t>
            </w:r>
          </w:p>
        </w:tc>
        <w:tc>
          <w:tcPr>
            <w:tcW w:w="0" w:type="dxa"/>
            <w:vAlign w:val="bottom"/>
          </w:tcPr>
          <w:p>
            <w:pPr>
              <w:spacing w:after="0"/>
              <w:rPr>
                <w:sz w:val="1"/>
                <w:szCs w:val="1"/>
                <w:color w:val="auto"/>
              </w:rPr>
            </w:pPr>
          </w:p>
        </w:tc>
      </w:tr>
      <w:tr>
        <w:trPr>
          <w:trHeight w:val="129"/>
        </w:trPr>
        <w:tc>
          <w:tcPr>
            <w:tcW w:w="920" w:type="dxa"/>
            <w:vAlign w:val="bottom"/>
          </w:tcPr>
          <w:p>
            <w:pPr>
              <w:ind w:left="220"/>
              <w:spacing w:after="0"/>
              <w:rPr>
                <w:sz w:val="20"/>
                <w:szCs w:val="20"/>
                <w:color w:val="auto"/>
              </w:rPr>
            </w:pPr>
            <w:r>
              <w:rPr>
                <w:rFonts w:ascii="Arial" w:cs="Arial" w:eastAsia="Arial" w:hAnsi="Arial"/>
                <w:sz w:val="11"/>
                <w:szCs w:val="11"/>
                <w:color w:val="auto"/>
                <w:w w:val="92"/>
              </w:rPr>
              <w:t>Common 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rPr>
              <w:t>issued upon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rPr>
              <w:t>exercise of</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920" w:type="dxa"/>
            <w:vAlign w:val="bottom"/>
          </w:tcPr>
          <w:p>
            <w:pPr>
              <w:ind w:left="220"/>
              <w:spacing w:after="0"/>
              <w:rPr>
                <w:sz w:val="20"/>
                <w:szCs w:val="20"/>
                <w:color w:val="auto"/>
              </w:rPr>
            </w:pPr>
            <w:r>
              <w:rPr>
                <w:rFonts w:ascii="Arial" w:cs="Arial" w:eastAsia="Arial" w:hAnsi="Arial"/>
                <w:sz w:val="11"/>
                <w:szCs w:val="11"/>
                <w:color w:val="auto"/>
              </w:rPr>
              <w:t>stock options</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1,147,351</w:t>
            </w:r>
          </w:p>
        </w:tc>
        <w:tc>
          <w:tcPr>
            <w:tcW w:w="140" w:type="dxa"/>
            <w:vAlign w:val="bottom"/>
          </w:tcPr>
          <w:p>
            <w:pPr>
              <w:spacing w:after="0"/>
              <w:rPr>
                <w:sz w:val="12"/>
                <w:szCs w:val="12"/>
                <w:color w:val="auto"/>
              </w:rPr>
            </w:pPr>
          </w:p>
        </w:tc>
        <w:tc>
          <w:tcPr>
            <w:tcW w:w="280" w:type="dxa"/>
            <w:vAlign w:val="bottom"/>
          </w:tcPr>
          <w:p>
            <w:pPr>
              <w:jc w:val="right"/>
              <w:ind w:right="4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14,106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5"/>
              <w:spacing w:after="0"/>
              <w:rPr>
                <w:sz w:val="20"/>
                <w:szCs w:val="20"/>
                <w:color w:val="auto"/>
              </w:rPr>
            </w:pPr>
            <w:r>
              <w:rPr>
                <w:rFonts w:ascii="Arial" w:cs="Arial" w:eastAsia="Arial" w:hAnsi="Arial"/>
                <w:sz w:val="11"/>
                <w:szCs w:val="11"/>
                <w:color w:val="auto"/>
              </w:rPr>
              <w:t>14,107</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1,350,507</w:t>
            </w:r>
          </w:p>
        </w:tc>
        <w:tc>
          <w:tcPr>
            <w:tcW w:w="140" w:type="dxa"/>
            <w:vAlign w:val="bottom"/>
          </w:tcPr>
          <w:p>
            <w:pPr>
              <w:spacing w:after="0"/>
              <w:rPr>
                <w:sz w:val="12"/>
                <w:szCs w:val="12"/>
                <w:color w:val="auto"/>
              </w:rPr>
            </w:pPr>
          </w:p>
        </w:tc>
        <w:tc>
          <w:tcPr>
            <w:tcW w:w="280" w:type="dxa"/>
            <w:vAlign w:val="bottom"/>
          </w:tcPr>
          <w:p>
            <w:pPr>
              <w:jc w:val="right"/>
              <w:ind w:right="4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14,727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25"/>
              <w:spacing w:after="0"/>
              <w:rPr>
                <w:sz w:val="20"/>
                <w:szCs w:val="20"/>
                <w:color w:val="auto"/>
              </w:rPr>
            </w:pPr>
            <w:r>
              <w:rPr>
                <w:rFonts w:ascii="Arial" w:cs="Arial" w:eastAsia="Arial" w:hAnsi="Arial"/>
                <w:sz w:val="11"/>
                <w:szCs w:val="11"/>
                <w:color w:val="auto"/>
              </w:rPr>
              <w:t>14,728</w:t>
            </w:r>
          </w:p>
        </w:tc>
        <w:tc>
          <w:tcPr>
            <w:tcW w:w="0" w:type="dxa"/>
            <w:vAlign w:val="bottom"/>
          </w:tcPr>
          <w:p>
            <w:pPr>
              <w:spacing w:after="0"/>
              <w:rPr>
                <w:sz w:val="1"/>
                <w:szCs w:val="1"/>
                <w:color w:val="auto"/>
              </w:rPr>
            </w:pPr>
          </w:p>
        </w:tc>
      </w:tr>
      <w:tr>
        <w:trPr>
          <w:trHeight w:val="137"/>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w w:val="92"/>
              </w:rPr>
              <w:t>Common stock</w:t>
            </w: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20" w:type="dxa"/>
            <w:vAlign w:val="bottom"/>
            <w:shd w:val="clear" w:color="auto" w:fill="CCFFCC"/>
          </w:tcPr>
          <w:p>
            <w:pPr>
              <w:ind w:left="220"/>
              <w:spacing w:after="0" w:line="118" w:lineRule="exact"/>
              <w:rPr>
                <w:sz w:val="20"/>
                <w:szCs w:val="20"/>
                <w:color w:val="auto"/>
              </w:rPr>
            </w:pPr>
            <w:r>
              <w:rPr>
                <w:rFonts w:ascii="Arial" w:cs="Arial" w:eastAsia="Arial" w:hAnsi="Arial"/>
                <w:sz w:val="11"/>
                <w:szCs w:val="11"/>
                <w:color w:val="auto"/>
              </w:rPr>
              <w:t>issued upon</w:t>
            </w: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shd w:val="clear" w:color="auto" w:fill="CCFFCC"/>
          </w:tcPr>
          <w:p>
            <w:pPr>
              <w:ind w:left="220"/>
              <w:spacing w:after="0" w:line="118" w:lineRule="exact"/>
              <w:rPr>
                <w:sz w:val="20"/>
                <w:szCs w:val="20"/>
                <w:color w:val="auto"/>
              </w:rPr>
            </w:pPr>
            <w:r>
              <w:rPr>
                <w:rFonts w:ascii="Arial" w:cs="Arial" w:eastAsia="Arial" w:hAnsi="Arial"/>
                <w:sz w:val="11"/>
                <w:szCs w:val="11"/>
                <w:color w:val="auto"/>
              </w:rPr>
              <w:t>vesting of</w:t>
            </w: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shd w:val="clear" w:color="auto" w:fill="CCFFCC"/>
          </w:tcPr>
          <w:p>
            <w:pPr>
              <w:ind w:left="220"/>
              <w:spacing w:after="0" w:line="118" w:lineRule="exact"/>
              <w:rPr>
                <w:sz w:val="20"/>
                <w:szCs w:val="20"/>
                <w:color w:val="auto"/>
              </w:rPr>
            </w:pPr>
            <w:r>
              <w:rPr>
                <w:rFonts w:ascii="Arial" w:cs="Arial" w:eastAsia="Arial" w:hAnsi="Arial"/>
                <w:sz w:val="11"/>
                <w:szCs w:val="11"/>
                <w:color w:val="auto"/>
                <w:w w:val="91"/>
              </w:rPr>
              <w:t>restricted stock</w:t>
            </w: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rPr>
              <w:t>units</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664,150</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3"/>
                <w:szCs w:val="13"/>
                <w:color w:val="auto"/>
              </w:rPr>
            </w:pP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896,410</w:t>
            </w:r>
          </w:p>
        </w:tc>
        <w:tc>
          <w:tcPr>
            <w:tcW w:w="140" w:type="dxa"/>
            <w:vAlign w:val="bottom"/>
            <w:shd w:val="clear" w:color="auto" w:fill="CCFFCC"/>
          </w:tcPr>
          <w:p>
            <w:pPr>
              <w:spacing w:after="0"/>
              <w:rPr>
                <w:sz w:val="13"/>
                <w:szCs w:val="13"/>
                <w:color w:val="auto"/>
              </w:rPr>
            </w:pPr>
          </w:p>
        </w:tc>
        <w:tc>
          <w:tcPr>
            <w:tcW w:w="280" w:type="dxa"/>
            <w:vAlign w:val="bottom"/>
            <w:shd w:val="clear" w:color="auto" w:fill="CCFFCC"/>
          </w:tcPr>
          <w:p>
            <w:pPr>
              <w:jc w:val="right"/>
              <w:ind w:right="45"/>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FFCC"/>
          </w:tcPr>
          <w:p>
            <w:pPr>
              <w:spacing w:after="0"/>
              <w:rPr>
                <w:sz w:val="13"/>
                <w:szCs w:val="13"/>
                <w:color w:val="auto"/>
              </w:rPr>
            </w:pP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3"/>
                <w:szCs w:val="13"/>
                <w:color w:val="auto"/>
              </w:rPr>
            </w:pP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FFCC"/>
          </w:tcPr>
          <w:p>
            <w:pPr>
              <w:jc w:val="right"/>
              <w:ind w:right="25"/>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9"/>
        </w:trPr>
        <w:tc>
          <w:tcPr>
            <w:tcW w:w="920" w:type="dxa"/>
            <w:vAlign w:val="bottom"/>
          </w:tcPr>
          <w:p>
            <w:pPr>
              <w:ind w:left="220"/>
              <w:spacing w:after="0"/>
              <w:rPr>
                <w:sz w:val="20"/>
                <w:szCs w:val="20"/>
                <w:color w:val="auto"/>
              </w:rPr>
            </w:pPr>
            <w:r>
              <w:rPr>
                <w:rFonts w:ascii="Arial" w:cs="Arial" w:eastAsia="Arial" w:hAnsi="Arial"/>
                <w:sz w:val="11"/>
                <w:szCs w:val="11"/>
                <w:color w:val="auto"/>
                <w:w w:val="92"/>
              </w:rPr>
              <w:t>Common 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rPr>
              <w:t>as earnout</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rPr>
              <w:t>payment in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rPr>
              <w:t>connection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rPr>
              <w:t>with</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w w:val="95"/>
              </w:rPr>
              <w:t>AdvantageTec</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920" w:type="dxa"/>
            <w:vAlign w:val="bottom"/>
          </w:tcPr>
          <w:p>
            <w:pPr>
              <w:ind w:left="220"/>
              <w:spacing w:after="0"/>
              <w:rPr>
                <w:sz w:val="20"/>
                <w:szCs w:val="20"/>
                <w:color w:val="auto"/>
              </w:rPr>
            </w:pPr>
            <w:r>
              <w:rPr>
                <w:rFonts w:ascii="Arial" w:cs="Arial" w:eastAsia="Arial" w:hAnsi="Arial"/>
                <w:sz w:val="11"/>
                <w:szCs w:val="11"/>
                <w:color w:val="auto"/>
              </w:rPr>
              <w:t>Inc.</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11,508</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293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5"/>
              <w:spacing w:after="0"/>
              <w:rPr>
                <w:sz w:val="20"/>
                <w:szCs w:val="20"/>
                <w:color w:val="auto"/>
              </w:rPr>
            </w:pPr>
            <w:r>
              <w:rPr>
                <w:rFonts w:ascii="Arial" w:cs="Arial" w:eastAsia="Arial" w:hAnsi="Arial"/>
                <w:sz w:val="11"/>
                <w:szCs w:val="11"/>
                <w:color w:val="auto"/>
              </w:rPr>
              <w:t>293</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7"/>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rPr>
              <w:t>Stock-based</w:t>
            </w: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w w:val="99"/>
              </w:rPr>
              <w:t>compensation</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FFCC"/>
          </w:tcPr>
          <w:p>
            <w:pPr>
              <w:jc w:val="right"/>
              <w:ind w:right="65"/>
              <w:spacing w:after="0"/>
              <w:rPr>
                <w:sz w:val="20"/>
                <w:szCs w:val="20"/>
                <w:color w:val="auto"/>
              </w:rPr>
            </w:pPr>
            <w:r>
              <w:rPr>
                <w:rFonts w:ascii="Arial" w:cs="Arial" w:eastAsia="Arial" w:hAnsi="Arial"/>
                <w:sz w:val="11"/>
                <w:szCs w:val="11"/>
                <w:color w:val="auto"/>
              </w:rPr>
              <w:t>26,375</w:t>
            </w:r>
          </w:p>
        </w:tc>
        <w:tc>
          <w:tcPr>
            <w:tcW w:w="8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ind w:right="25"/>
              <w:spacing w:after="0"/>
              <w:rPr>
                <w:sz w:val="20"/>
                <w:szCs w:val="20"/>
                <w:color w:val="auto"/>
              </w:rPr>
            </w:pPr>
            <w:r>
              <w:rPr>
                <w:rFonts w:ascii="Arial" w:cs="Arial" w:eastAsia="Arial" w:hAnsi="Arial"/>
                <w:sz w:val="11"/>
                <w:szCs w:val="11"/>
                <w:color w:val="auto"/>
              </w:rPr>
              <w:t>26,375</w:t>
            </w:r>
          </w:p>
        </w:tc>
        <w:tc>
          <w:tcPr>
            <w:tcW w:w="80" w:type="dxa"/>
            <w:vAlign w:val="bottom"/>
            <w:shd w:val="clear" w:color="auto" w:fill="CCFFCC"/>
          </w:tcPr>
          <w:p>
            <w:pPr>
              <w:spacing w:after="0"/>
              <w:rPr>
                <w:sz w:val="13"/>
                <w:szCs w:val="13"/>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FFCC"/>
          </w:tcPr>
          <w:p>
            <w:pPr>
              <w:jc w:val="right"/>
              <w:ind w:right="45"/>
              <w:spacing w:after="0"/>
              <w:rPr>
                <w:sz w:val="20"/>
                <w:szCs w:val="20"/>
                <w:color w:val="auto"/>
              </w:rPr>
            </w:pPr>
            <w:r>
              <w:rPr>
                <w:rFonts w:ascii="Arial" w:cs="Arial" w:eastAsia="Arial" w:hAnsi="Arial"/>
                <w:sz w:val="11"/>
                <w:szCs w:val="11"/>
                <w:color w:val="auto"/>
              </w:rPr>
              <w:t>18,175</w:t>
            </w: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FFCC"/>
          </w:tcPr>
          <w:p>
            <w:pPr>
              <w:jc w:val="right"/>
              <w:ind w:right="25"/>
              <w:spacing w:after="0"/>
              <w:rPr>
                <w:sz w:val="20"/>
                <w:szCs w:val="20"/>
                <w:color w:val="auto"/>
              </w:rPr>
            </w:pPr>
            <w:r>
              <w:rPr>
                <w:rFonts w:ascii="Arial" w:cs="Arial" w:eastAsia="Arial" w:hAnsi="Arial"/>
                <w:sz w:val="11"/>
                <w:szCs w:val="11"/>
                <w:color w:val="auto"/>
              </w:rPr>
              <w:t>18,175</w:t>
            </w:r>
          </w:p>
        </w:tc>
        <w:tc>
          <w:tcPr>
            <w:tcW w:w="0" w:type="dxa"/>
            <w:vAlign w:val="bottom"/>
          </w:tcPr>
          <w:p>
            <w:pPr>
              <w:spacing w:after="0"/>
              <w:rPr>
                <w:sz w:val="1"/>
                <w:szCs w:val="1"/>
                <w:color w:val="auto"/>
              </w:rPr>
            </w:pPr>
          </w:p>
        </w:tc>
      </w:tr>
      <w:tr>
        <w:trPr>
          <w:trHeight w:val="129"/>
        </w:trPr>
        <w:tc>
          <w:tcPr>
            <w:tcW w:w="920" w:type="dxa"/>
            <w:vAlign w:val="bottom"/>
          </w:tcPr>
          <w:p>
            <w:pPr>
              <w:ind w:left="220"/>
              <w:spacing w:after="0"/>
              <w:rPr>
                <w:sz w:val="20"/>
                <w:szCs w:val="20"/>
                <w:color w:val="auto"/>
              </w:rPr>
            </w:pPr>
            <w:r>
              <w:rPr>
                <w:rFonts w:ascii="Arial" w:cs="Arial" w:eastAsia="Arial" w:hAnsi="Arial"/>
                <w:sz w:val="11"/>
                <w:szCs w:val="11"/>
                <w:color w:val="auto"/>
              </w:rPr>
              <w:t>Bonus cash</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rPr>
              <w:t>payment</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rPr>
              <w:t>settled in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rPr>
              <w:t>shares of the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rPr>
              <w:t>Company's</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920" w:type="dxa"/>
            <w:vAlign w:val="bottom"/>
          </w:tcPr>
          <w:p>
            <w:pPr>
              <w:ind w:left="220"/>
              <w:spacing w:after="0"/>
              <w:rPr>
                <w:sz w:val="20"/>
                <w:szCs w:val="20"/>
                <w:color w:val="auto"/>
              </w:rPr>
            </w:pPr>
            <w:r>
              <w:rPr>
                <w:rFonts w:ascii="Arial" w:cs="Arial" w:eastAsia="Arial" w:hAnsi="Arial"/>
                <w:sz w:val="11"/>
                <w:szCs w:val="11"/>
                <w:color w:val="auto"/>
                <w:w w:val="95"/>
              </w:rPr>
              <w:t>common stock</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991,905</w:t>
            </w:r>
          </w:p>
        </w:tc>
        <w:tc>
          <w:tcPr>
            <w:tcW w:w="140" w:type="dxa"/>
            <w:vAlign w:val="bottom"/>
          </w:tcPr>
          <w:p>
            <w:pPr>
              <w:spacing w:after="0"/>
              <w:rPr>
                <w:sz w:val="11"/>
                <w:szCs w:val="11"/>
                <w:color w:val="auto"/>
              </w:rPr>
            </w:pPr>
          </w:p>
        </w:tc>
        <w:tc>
          <w:tcPr>
            <w:tcW w:w="280" w:type="dxa"/>
            <w:vAlign w:val="bottom"/>
            <w:vMerge w:val="restart"/>
          </w:tcPr>
          <w:p>
            <w:pPr>
              <w:jc w:val="right"/>
              <w:ind w:right="4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ind w:right="65"/>
              <w:spacing w:after="0"/>
              <w:rPr>
                <w:sz w:val="20"/>
                <w:szCs w:val="20"/>
                <w:color w:val="auto"/>
              </w:rPr>
            </w:pPr>
            <w:r>
              <w:rPr>
                <w:rFonts w:ascii="Arial" w:cs="Arial" w:eastAsia="Arial" w:hAnsi="Arial"/>
                <w:sz w:val="11"/>
                <w:szCs w:val="11"/>
                <w:color w:val="auto"/>
              </w:rPr>
              <w:t>24,656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ind w:right="25"/>
              <w:spacing w:after="0"/>
              <w:rPr>
                <w:sz w:val="20"/>
                <w:szCs w:val="20"/>
                <w:color w:val="auto"/>
              </w:rPr>
            </w:pPr>
            <w:r>
              <w:rPr>
                <w:rFonts w:ascii="Arial" w:cs="Arial" w:eastAsia="Arial" w:hAnsi="Arial"/>
                <w:sz w:val="11"/>
                <w:szCs w:val="11"/>
                <w:color w:val="auto"/>
              </w:rPr>
              <w:t>24,657</w:t>
            </w:r>
          </w:p>
        </w:tc>
        <w:tc>
          <w:tcPr>
            <w:tcW w:w="80" w:type="dxa"/>
            <w:vAlign w:val="bottom"/>
          </w:tcPr>
          <w:p>
            <w:pPr>
              <w:spacing w:after="0"/>
              <w:rPr>
                <w:sz w:val="11"/>
                <w:szCs w:val="11"/>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9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rPr>
              <w:t>ASU 2016-13</w:t>
            </w: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20" w:type="dxa"/>
            <w:vAlign w:val="bottom"/>
            <w:shd w:val="clear" w:color="auto" w:fill="CCFFCC"/>
          </w:tcPr>
          <w:p>
            <w:pPr>
              <w:ind w:left="220"/>
              <w:spacing w:after="0" w:line="118" w:lineRule="exact"/>
              <w:rPr>
                <w:sz w:val="20"/>
                <w:szCs w:val="20"/>
                <w:color w:val="auto"/>
              </w:rPr>
            </w:pPr>
            <w:r>
              <w:rPr>
                <w:rFonts w:ascii="Arial" w:cs="Arial" w:eastAsia="Arial" w:hAnsi="Arial"/>
                <w:sz w:val="11"/>
                <w:szCs w:val="11"/>
                <w:color w:val="auto"/>
              </w:rPr>
              <w:t>(Topic 326)</w:t>
            </w: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shd w:val="clear" w:color="auto" w:fill="CCFFCC"/>
          </w:tcPr>
          <w:p>
            <w:pPr>
              <w:ind w:left="220"/>
              <w:spacing w:after="0" w:line="118" w:lineRule="exact"/>
              <w:rPr>
                <w:sz w:val="20"/>
                <w:szCs w:val="20"/>
                <w:color w:val="auto"/>
              </w:rPr>
            </w:pPr>
            <w:r>
              <w:rPr>
                <w:rFonts w:ascii="Arial" w:cs="Arial" w:eastAsia="Arial" w:hAnsi="Arial"/>
                <w:sz w:val="11"/>
                <w:szCs w:val="11"/>
                <w:color w:val="auto"/>
              </w:rPr>
              <w:t>Adjustment</w:t>
            </w: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rPr>
              <w:t>(See note 1)</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3"/>
                <w:szCs w:val="13"/>
                <w:color w:val="auto"/>
              </w:rPr>
            </w:pPr>
          </w:p>
        </w:tc>
        <w:tc>
          <w:tcPr>
            <w:tcW w:w="540" w:type="dxa"/>
            <w:vAlign w:val="bottom"/>
            <w:shd w:val="clear" w:color="auto" w:fill="CCFFCC"/>
          </w:tcPr>
          <w:p>
            <w:pPr>
              <w:jc w:val="right"/>
              <w:ind w:right="5"/>
              <w:spacing w:after="0"/>
              <w:rPr>
                <w:sz w:val="20"/>
                <w:szCs w:val="20"/>
                <w:color w:val="auto"/>
              </w:rPr>
            </w:pPr>
            <w:r>
              <w:rPr>
                <w:rFonts w:ascii="Arial" w:cs="Arial" w:eastAsia="Arial" w:hAnsi="Arial"/>
                <w:sz w:val="11"/>
                <w:szCs w:val="11"/>
                <w:color w:val="auto"/>
              </w:rPr>
              <w:t>(729)</w:t>
            </w:r>
          </w:p>
        </w:tc>
        <w:tc>
          <w:tcPr>
            <w:tcW w:w="10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(729)</w:t>
            </w:r>
          </w:p>
        </w:tc>
        <w:tc>
          <w:tcPr>
            <w:tcW w:w="80" w:type="dxa"/>
            <w:vAlign w:val="bottom"/>
            <w:shd w:val="clear" w:color="auto" w:fill="CCFFCC"/>
          </w:tcPr>
          <w:p>
            <w:pPr>
              <w:spacing w:after="0"/>
              <w:rPr>
                <w:sz w:val="13"/>
                <w:szCs w:val="13"/>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3"/>
                <w:szCs w:val="13"/>
                <w:color w:val="auto"/>
              </w:rPr>
            </w:pP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FFCC"/>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920" w:type="dxa"/>
            <w:vAlign w:val="bottom"/>
          </w:tcPr>
          <w:p>
            <w:pPr>
              <w:ind w:left="220"/>
              <w:spacing w:after="0"/>
              <w:rPr>
                <w:sz w:val="20"/>
                <w:szCs w:val="20"/>
                <w:color w:val="auto"/>
              </w:rPr>
            </w:pPr>
            <w:r>
              <w:rPr>
                <w:rFonts w:ascii="Arial" w:cs="Arial" w:eastAsia="Arial" w:hAnsi="Arial"/>
                <w:sz w:val="11"/>
                <w:szCs w:val="11"/>
                <w:color w:val="auto"/>
                <w:w w:val="92"/>
              </w:rPr>
              <w:t>Common 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rPr>
              <w:t>issued under</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rPr>
              <w:t>Employee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rPr>
              <w:t>Stock</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920" w:type="dxa"/>
            <w:vAlign w:val="bottom"/>
          </w:tcPr>
          <w:p>
            <w:pPr>
              <w:ind w:left="220"/>
              <w:spacing w:after="0"/>
              <w:rPr>
                <w:sz w:val="20"/>
                <w:szCs w:val="20"/>
                <w:color w:val="auto"/>
              </w:rPr>
            </w:pPr>
            <w:r>
              <w:rPr>
                <w:rFonts w:ascii="Arial" w:cs="Arial" w:eastAsia="Arial" w:hAnsi="Arial"/>
                <w:sz w:val="11"/>
                <w:szCs w:val="11"/>
                <w:color w:val="auto"/>
                <w:w w:val="94"/>
              </w:rPr>
              <w:t>Purchase Plan</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99,312</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3,041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5"/>
              <w:spacing w:after="0"/>
              <w:rPr>
                <w:sz w:val="20"/>
                <w:szCs w:val="20"/>
                <w:color w:val="auto"/>
              </w:rPr>
            </w:pPr>
            <w:r>
              <w:rPr>
                <w:rFonts w:ascii="Arial" w:cs="Arial" w:eastAsia="Arial" w:hAnsi="Arial"/>
                <w:sz w:val="11"/>
                <w:szCs w:val="11"/>
                <w:color w:val="auto"/>
              </w:rPr>
              <w:t>3,041</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112,133</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3,033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25"/>
              <w:spacing w:after="0"/>
              <w:rPr>
                <w:sz w:val="20"/>
                <w:szCs w:val="20"/>
                <w:color w:val="auto"/>
              </w:rPr>
            </w:pPr>
            <w:r>
              <w:rPr>
                <w:rFonts w:ascii="Arial" w:cs="Arial" w:eastAsia="Arial" w:hAnsi="Arial"/>
                <w:sz w:val="11"/>
                <w:szCs w:val="11"/>
                <w:color w:val="auto"/>
              </w:rPr>
              <w:t>3,033</w:t>
            </w:r>
          </w:p>
        </w:tc>
        <w:tc>
          <w:tcPr>
            <w:tcW w:w="0" w:type="dxa"/>
            <w:vAlign w:val="bottom"/>
          </w:tcPr>
          <w:p>
            <w:pPr>
              <w:spacing w:after="0"/>
              <w:rPr>
                <w:sz w:val="1"/>
                <w:szCs w:val="1"/>
                <w:color w:val="auto"/>
              </w:rPr>
            </w:pPr>
          </w:p>
        </w:tc>
      </w:tr>
      <w:tr>
        <w:trPr>
          <w:trHeight w:val="137"/>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w w:val="92"/>
              </w:rPr>
              <w:t>Common stock</w:t>
            </w: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rPr>
              <w:t>repurchase</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3"/>
                <w:szCs w:val="13"/>
                <w:color w:val="auto"/>
              </w:rPr>
            </w:pP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(23,421)</w:t>
            </w:r>
          </w:p>
        </w:tc>
        <w:tc>
          <w:tcPr>
            <w:tcW w:w="8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FFCC"/>
          </w:tcPr>
          <w:p>
            <w:pPr>
              <w:jc w:val="right"/>
              <w:ind w:right="5"/>
              <w:spacing w:after="0"/>
              <w:rPr>
                <w:sz w:val="20"/>
                <w:szCs w:val="20"/>
                <w:color w:val="auto"/>
              </w:rPr>
            </w:pPr>
            <w:r>
              <w:rPr>
                <w:rFonts w:ascii="Arial" w:cs="Arial" w:eastAsia="Arial" w:hAnsi="Arial"/>
                <w:sz w:val="11"/>
                <w:szCs w:val="11"/>
                <w:color w:val="auto"/>
              </w:rPr>
              <w:t>(709)</w:t>
            </w: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FFCC"/>
          </w:tcPr>
          <w:p>
            <w:pPr>
              <w:jc w:val="right"/>
              <w:ind w:right="5"/>
              <w:spacing w:after="0"/>
              <w:rPr>
                <w:sz w:val="20"/>
                <w:szCs w:val="20"/>
                <w:color w:val="auto"/>
              </w:rPr>
            </w:pPr>
            <w:r>
              <w:rPr>
                <w:rFonts w:ascii="Arial" w:cs="Arial" w:eastAsia="Arial" w:hAnsi="Arial"/>
                <w:sz w:val="11"/>
                <w:szCs w:val="11"/>
                <w:color w:val="auto"/>
              </w:rPr>
              <w:t>(709)</w:t>
            </w:r>
          </w:p>
        </w:tc>
        <w:tc>
          <w:tcPr>
            <w:tcW w:w="0" w:type="dxa"/>
            <w:vAlign w:val="bottom"/>
          </w:tcPr>
          <w:p>
            <w:pPr>
              <w:spacing w:after="0"/>
              <w:rPr>
                <w:sz w:val="1"/>
                <w:szCs w:val="1"/>
                <w:color w:val="auto"/>
              </w:rPr>
            </w:pPr>
          </w:p>
        </w:tc>
      </w:tr>
      <w:tr>
        <w:trPr>
          <w:trHeight w:val="129"/>
        </w:trPr>
        <w:tc>
          <w:tcPr>
            <w:tcW w:w="920" w:type="dxa"/>
            <w:vAlign w:val="bottom"/>
          </w:tcPr>
          <w:p>
            <w:pPr>
              <w:ind w:left="220"/>
              <w:spacing w:after="0"/>
              <w:rPr>
                <w:sz w:val="20"/>
                <w:szCs w:val="20"/>
                <w:color w:val="auto"/>
              </w:rPr>
            </w:pPr>
            <w:r>
              <w:rPr>
                <w:rFonts w:ascii="Arial" w:cs="Arial" w:eastAsia="Arial" w:hAnsi="Arial"/>
                <w:sz w:val="11"/>
                <w:szCs w:val="11"/>
                <w:color w:val="auto"/>
              </w:rPr>
              <w:t>Equity</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rPr>
              <w:t>component of</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rPr>
              <w:t>convertible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920" w:type="dxa"/>
            <w:vAlign w:val="bottom"/>
          </w:tcPr>
          <w:p>
            <w:pPr>
              <w:ind w:left="220"/>
              <w:spacing w:after="0"/>
              <w:rPr>
                <w:sz w:val="20"/>
                <w:szCs w:val="20"/>
                <w:color w:val="auto"/>
              </w:rPr>
            </w:pPr>
            <w:r>
              <w:rPr>
                <w:rFonts w:ascii="Arial" w:cs="Arial" w:eastAsia="Arial" w:hAnsi="Arial"/>
                <w:sz w:val="11"/>
                <w:szCs w:val="11"/>
                <w:color w:val="auto"/>
              </w:rPr>
              <w:t>senior notes</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52,900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25"/>
              <w:spacing w:after="0"/>
              <w:rPr>
                <w:sz w:val="20"/>
                <w:szCs w:val="20"/>
                <w:color w:val="auto"/>
              </w:rPr>
            </w:pPr>
            <w:r>
              <w:rPr>
                <w:rFonts w:ascii="Arial" w:cs="Arial" w:eastAsia="Arial" w:hAnsi="Arial"/>
                <w:sz w:val="11"/>
                <w:szCs w:val="11"/>
                <w:color w:val="auto"/>
              </w:rPr>
              <w:t>52,900</w:t>
            </w:r>
          </w:p>
        </w:tc>
        <w:tc>
          <w:tcPr>
            <w:tcW w:w="0" w:type="dxa"/>
            <w:vAlign w:val="bottom"/>
          </w:tcPr>
          <w:p>
            <w:pPr>
              <w:spacing w:after="0"/>
              <w:rPr>
                <w:sz w:val="1"/>
                <w:szCs w:val="1"/>
                <w:color w:val="auto"/>
              </w:rPr>
            </w:pPr>
          </w:p>
        </w:tc>
      </w:tr>
      <w:tr>
        <w:trPr>
          <w:trHeight w:val="137"/>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rPr>
              <w:t>Equity</w:t>
            </w: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20" w:type="dxa"/>
            <w:vAlign w:val="bottom"/>
            <w:shd w:val="clear" w:color="auto" w:fill="CCFFCC"/>
          </w:tcPr>
          <w:p>
            <w:pPr>
              <w:ind w:left="220"/>
              <w:spacing w:after="0" w:line="118" w:lineRule="exact"/>
              <w:rPr>
                <w:sz w:val="20"/>
                <w:szCs w:val="20"/>
                <w:color w:val="auto"/>
              </w:rPr>
            </w:pPr>
            <w:r>
              <w:rPr>
                <w:rFonts w:ascii="Arial" w:cs="Arial" w:eastAsia="Arial" w:hAnsi="Arial"/>
                <w:sz w:val="11"/>
                <w:szCs w:val="11"/>
                <w:color w:val="auto"/>
              </w:rPr>
              <w:t>component of</w:t>
            </w: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shd w:val="clear" w:color="auto" w:fill="CCFFCC"/>
          </w:tcPr>
          <w:p>
            <w:pPr>
              <w:ind w:left="220"/>
              <w:spacing w:after="0" w:line="118" w:lineRule="exact"/>
              <w:rPr>
                <w:sz w:val="20"/>
                <w:szCs w:val="20"/>
                <w:color w:val="auto"/>
              </w:rPr>
            </w:pPr>
            <w:r>
              <w:rPr>
                <w:rFonts w:ascii="Arial" w:cs="Arial" w:eastAsia="Arial" w:hAnsi="Arial"/>
                <w:sz w:val="11"/>
                <w:szCs w:val="11"/>
                <w:color w:val="auto"/>
              </w:rPr>
              <w:t>convertible</w:t>
            </w: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shd w:val="clear" w:color="auto" w:fill="CCFFCC"/>
          </w:tcPr>
          <w:p>
            <w:pPr>
              <w:ind w:left="220"/>
              <w:spacing w:after="0" w:line="118" w:lineRule="exact"/>
              <w:rPr>
                <w:sz w:val="20"/>
                <w:szCs w:val="20"/>
                <w:color w:val="auto"/>
              </w:rPr>
            </w:pPr>
            <w:r>
              <w:rPr>
                <w:rFonts w:ascii="Arial" w:cs="Arial" w:eastAsia="Arial" w:hAnsi="Arial"/>
                <w:sz w:val="11"/>
                <w:szCs w:val="11"/>
                <w:color w:val="auto"/>
              </w:rPr>
              <w:t>senior notes</w:t>
            </w: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w w:val="94"/>
              </w:rPr>
              <w:t>issuance costs</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3"/>
                <w:szCs w:val="13"/>
                <w:color w:val="auto"/>
              </w:rPr>
            </w:pP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FFCC"/>
          </w:tcPr>
          <w:p>
            <w:pPr>
              <w:jc w:val="right"/>
              <w:ind w:right="5"/>
              <w:spacing w:after="0"/>
              <w:rPr>
                <w:sz w:val="20"/>
                <w:szCs w:val="20"/>
                <w:color w:val="auto"/>
              </w:rPr>
            </w:pPr>
            <w:r>
              <w:rPr>
                <w:rFonts w:ascii="Arial" w:cs="Arial" w:eastAsia="Arial" w:hAnsi="Arial"/>
                <w:sz w:val="11"/>
                <w:szCs w:val="11"/>
                <w:color w:val="auto"/>
              </w:rPr>
              <w:t>(1,986)</w:t>
            </w: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FFCC"/>
          </w:tcPr>
          <w:p>
            <w:pPr>
              <w:jc w:val="right"/>
              <w:ind w:right="5"/>
              <w:spacing w:after="0"/>
              <w:rPr>
                <w:sz w:val="20"/>
                <w:szCs w:val="20"/>
                <w:color w:val="auto"/>
              </w:rPr>
            </w:pPr>
            <w:r>
              <w:rPr>
                <w:rFonts w:ascii="Arial" w:cs="Arial" w:eastAsia="Arial" w:hAnsi="Arial"/>
                <w:sz w:val="11"/>
                <w:szCs w:val="11"/>
                <w:color w:val="auto"/>
              </w:rPr>
              <w:t>(1,986)</w:t>
            </w:r>
          </w:p>
        </w:tc>
        <w:tc>
          <w:tcPr>
            <w:tcW w:w="0" w:type="dxa"/>
            <w:vAlign w:val="bottom"/>
          </w:tcPr>
          <w:p>
            <w:pPr>
              <w:spacing w:after="0"/>
              <w:rPr>
                <w:sz w:val="1"/>
                <w:szCs w:val="1"/>
                <w:color w:val="auto"/>
              </w:rPr>
            </w:pPr>
          </w:p>
        </w:tc>
      </w:tr>
      <w:tr>
        <w:trPr>
          <w:trHeight w:val="129"/>
        </w:trPr>
        <w:tc>
          <w:tcPr>
            <w:tcW w:w="920" w:type="dxa"/>
            <w:vAlign w:val="bottom"/>
          </w:tcPr>
          <w:p>
            <w:pPr>
              <w:ind w:left="220"/>
              <w:spacing w:after="0"/>
              <w:rPr>
                <w:sz w:val="20"/>
                <w:szCs w:val="20"/>
                <w:color w:val="auto"/>
              </w:rPr>
            </w:pPr>
            <w:r>
              <w:rPr>
                <w:rFonts w:ascii="Arial" w:cs="Arial" w:eastAsia="Arial" w:hAnsi="Arial"/>
                <w:sz w:val="11"/>
                <w:szCs w:val="11"/>
                <w:color w:val="auto"/>
              </w:rPr>
              <w:t>Purchase of</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rPr>
              <w:t>capped call</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920" w:type="dxa"/>
            <w:vAlign w:val="bottom"/>
          </w:tcPr>
          <w:p>
            <w:pPr>
              <w:ind w:left="220"/>
              <w:spacing w:after="0"/>
              <w:rPr>
                <w:sz w:val="20"/>
                <w:szCs w:val="20"/>
                <w:color w:val="auto"/>
              </w:rPr>
            </w:pPr>
            <w:r>
              <w:rPr>
                <w:rFonts w:ascii="Arial" w:cs="Arial" w:eastAsia="Arial" w:hAnsi="Arial"/>
                <w:sz w:val="11"/>
                <w:szCs w:val="11"/>
                <w:color w:val="auto"/>
              </w:rPr>
              <w:t>option</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(23,184)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(23,184)</w:t>
            </w:r>
          </w:p>
        </w:tc>
        <w:tc>
          <w:tcPr>
            <w:tcW w:w="0" w:type="dxa"/>
            <w:vAlign w:val="bottom"/>
          </w:tcPr>
          <w:p>
            <w:pPr>
              <w:spacing w:after="0"/>
              <w:rPr>
                <w:sz w:val="1"/>
                <w:szCs w:val="1"/>
                <w:color w:val="auto"/>
              </w:rPr>
            </w:pPr>
          </w:p>
        </w:tc>
      </w:tr>
      <w:tr>
        <w:trPr>
          <w:trHeight w:val="243"/>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rPr>
              <w:t>Net loss</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21"/>
                <w:szCs w:val="21"/>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21"/>
                <w:szCs w:val="21"/>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21"/>
                <w:szCs w:val="21"/>
                <w:color w:val="auto"/>
              </w:rPr>
            </w:pPr>
          </w:p>
        </w:tc>
        <w:tc>
          <w:tcPr>
            <w:tcW w:w="540" w:type="dxa"/>
            <w:vAlign w:val="bottom"/>
            <w:shd w:val="clear" w:color="auto" w:fill="CCFFCC"/>
          </w:tcPr>
          <w:p>
            <w:pPr>
              <w:jc w:val="right"/>
              <w:ind w:right="5"/>
              <w:spacing w:after="0"/>
              <w:rPr>
                <w:sz w:val="20"/>
                <w:szCs w:val="20"/>
                <w:color w:val="auto"/>
              </w:rPr>
            </w:pPr>
            <w:r>
              <w:rPr>
                <w:rFonts w:ascii="Arial" w:cs="Arial" w:eastAsia="Arial" w:hAnsi="Arial"/>
                <w:sz w:val="11"/>
                <w:szCs w:val="11"/>
                <w:color w:val="auto"/>
              </w:rPr>
              <w:t>(94,338)</w:t>
            </w:r>
          </w:p>
        </w:tc>
        <w:tc>
          <w:tcPr>
            <w:tcW w:w="1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(94,338)</w:t>
            </w:r>
          </w:p>
        </w:tc>
        <w:tc>
          <w:tcPr>
            <w:tcW w:w="8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21"/>
                <w:szCs w:val="21"/>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21"/>
                <w:szCs w:val="21"/>
                <w:color w:val="auto"/>
              </w:rPr>
            </w:pP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21"/>
                <w:szCs w:val="21"/>
                <w:color w:val="auto"/>
              </w:rPr>
            </w:pPr>
          </w:p>
        </w:tc>
        <w:tc>
          <w:tcPr>
            <w:tcW w:w="540" w:type="dxa"/>
            <w:vAlign w:val="bottom"/>
            <w:shd w:val="clear" w:color="auto" w:fill="CCFFCC"/>
          </w:tcPr>
          <w:p>
            <w:pPr>
              <w:jc w:val="right"/>
              <w:ind w:right="25"/>
              <w:spacing w:after="0"/>
              <w:rPr>
                <w:sz w:val="20"/>
                <w:szCs w:val="20"/>
                <w:color w:val="auto"/>
              </w:rPr>
            </w:pPr>
            <w:r>
              <w:rPr>
                <w:rFonts w:ascii="Arial" w:cs="Arial" w:eastAsia="Arial" w:hAnsi="Arial"/>
                <w:sz w:val="11"/>
                <w:szCs w:val="11"/>
                <w:color w:val="auto"/>
              </w:rPr>
              <w:t>(68,749)</w:t>
            </w: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FFCC"/>
          </w:tcPr>
          <w:p>
            <w:pPr>
              <w:jc w:val="right"/>
              <w:ind w:right="5"/>
              <w:spacing w:after="0"/>
              <w:rPr>
                <w:sz w:val="20"/>
                <w:szCs w:val="20"/>
                <w:color w:val="auto"/>
              </w:rPr>
            </w:pPr>
            <w:r>
              <w:rPr>
                <w:rFonts w:ascii="Arial" w:cs="Arial" w:eastAsia="Arial" w:hAnsi="Arial"/>
                <w:sz w:val="11"/>
                <w:szCs w:val="11"/>
                <w:color w:val="auto"/>
              </w:rPr>
              <w:t>(68,749)</w:t>
            </w:r>
          </w:p>
        </w:tc>
        <w:tc>
          <w:tcPr>
            <w:tcW w:w="0" w:type="dxa"/>
            <w:vAlign w:val="bottom"/>
          </w:tcPr>
          <w:p>
            <w:pPr>
              <w:spacing w:after="0"/>
              <w:rPr>
                <w:sz w:val="1"/>
                <w:szCs w:val="1"/>
                <w:color w:val="auto"/>
              </w:rPr>
            </w:pPr>
          </w:p>
        </w:tc>
      </w:tr>
      <w:tr>
        <w:trPr>
          <w:trHeight w:val="129"/>
        </w:trPr>
        <w:tc>
          <w:tcPr>
            <w:tcW w:w="920" w:type="dxa"/>
            <w:vAlign w:val="bottom"/>
          </w:tcPr>
          <w:p>
            <w:pPr>
              <w:ind w:left="220"/>
              <w:spacing w:after="0"/>
              <w:rPr>
                <w:sz w:val="20"/>
                <w:szCs w:val="20"/>
                <w:color w:val="auto"/>
              </w:rPr>
            </w:pPr>
            <w:r>
              <w:rPr>
                <w:rFonts w:ascii="Arial" w:cs="Arial" w:eastAsia="Arial" w:hAnsi="Arial"/>
                <w:sz w:val="11"/>
                <w:szCs w:val="11"/>
                <w:color w:val="auto"/>
              </w:rPr>
              <w:t>Other</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20"/>
              <w:spacing w:after="0" w:line="118" w:lineRule="exact"/>
              <w:rPr>
                <w:sz w:val="20"/>
                <w:szCs w:val="20"/>
                <w:color w:val="auto"/>
              </w:rPr>
            </w:pPr>
            <w:r>
              <w:rPr>
                <w:rFonts w:ascii="Arial" w:cs="Arial" w:eastAsia="Arial" w:hAnsi="Arial"/>
                <w:sz w:val="11"/>
                <w:szCs w:val="11"/>
                <w:color w:val="auto"/>
                <w:w w:val="91"/>
              </w:rPr>
              <w:t>comprehensive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920" w:type="dxa"/>
            <w:vAlign w:val="bottom"/>
          </w:tcPr>
          <w:p>
            <w:pPr>
              <w:ind w:left="220"/>
              <w:spacing w:after="0"/>
              <w:rPr>
                <w:sz w:val="20"/>
                <w:szCs w:val="20"/>
                <w:color w:val="auto"/>
              </w:rPr>
            </w:pPr>
            <w:r>
              <w:rPr>
                <w:rFonts w:ascii="Arial" w:cs="Arial" w:eastAsia="Arial" w:hAnsi="Arial"/>
                <w:sz w:val="11"/>
                <w:szCs w:val="11"/>
                <w:color w:val="auto"/>
              </w:rPr>
              <w:t>loss</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5"/>
              <w:spacing w:after="0"/>
              <w:rPr>
                <w:sz w:val="20"/>
                <w:szCs w:val="20"/>
                <w:color w:val="auto"/>
              </w:rPr>
            </w:pPr>
            <w:r>
              <w:rPr>
                <w:rFonts w:ascii="Arial" w:cs="Arial" w:eastAsia="Arial" w:hAnsi="Arial"/>
                <w:sz w:val="11"/>
                <w:szCs w:val="11"/>
                <w:color w:val="auto"/>
              </w:rPr>
              <w:t>1,754</w:t>
            </w:r>
          </w:p>
        </w:tc>
        <w:tc>
          <w:tcPr>
            <w:tcW w:w="100" w:type="dxa"/>
            <w:vAlign w:val="bottom"/>
          </w:tcPr>
          <w:p>
            <w:pPr>
              <w:spacing w:after="0"/>
              <w:rPr>
                <w:sz w:val="12"/>
                <w:szCs w:val="12"/>
                <w:color w:val="auto"/>
              </w:rPr>
            </w:pPr>
          </w:p>
        </w:tc>
        <w:tc>
          <w:tcPr>
            <w:tcW w:w="520" w:type="dxa"/>
            <w:vAlign w:val="bottom"/>
          </w:tcPr>
          <w:p>
            <w:pPr>
              <w:jc w:val="right"/>
              <w:ind w:right="25"/>
              <w:spacing w:after="0"/>
              <w:rPr>
                <w:sz w:val="20"/>
                <w:szCs w:val="20"/>
                <w:color w:val="auto"/>
              </w:rPr>
            </w:pPr>
            <w:r>
              <w:rPr>
                <w:rFonts w:ascii="Arial" w:cs="Arial" w:eastAsia="Arial" w:hAnsi="Arial"/>
                <w:sz w:val="11"/>
                <w:szCs w:val="11"/>
                <w:color w:val="auto"/>
              </w:rPr>
              <w:t>1,754</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20" w:type="dxa"/>
            <w:vAlign w:val="bottom"/>
          </w:tcPr>
          <w:p>
            <w:pPr>
              <w:jc w:val="right"/>
              <w:ind w:right="25"/>
              <w:spacing w:after="0"/>
              <w:rPr>
                <w:sz w:val="20"/>
                <w:szCs w:val="20"/>
                <w:color w:val="auto"/>
              </w:rPr>
            </w:pPr>
            <w:r>
              <w:rPr>
                <w:rFonts w:ascii="Arial" w:cs="Arial" w:eastAsia="Arial" w:hAnsi="Arial"/>
                <w:sz w:val="11"/>
                <w:szCs w:val="11"/>
                <w:color w:val="auto"/>
              </w:rPr>
              <w:t>(1,876)</w:t>
            </w:r>
          </w:p>
        </w:tc>
        <w:tc>
          <w:tcPr>
            <w:tcW w:w="80" w:type="dxa"/>
            <w:vAlign w:val="bottom"/>
          </w:tcPr>
          <w:p>
            <w:pPr>
              <w:spacing w:after="0"/>
              <w:rPr>
                <w:sz w:val="12"/>
                <w:szCs w:val="12"/>
                <w:color w:val="auto"/>
              </w:rPr>
            </w:pP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(1,876)</w:t>
            </w:r>
          </w:p>
        </w:tc>
        <w:tc>
          <w:tcPr>
            <w:tcW w:w="0" w:type="dxa"/>
            <w:vAlign w:val="bottom"/>
          </w:tcPr>
          <w:p>
            <w:pPr>
              <w:spacing w:after="0"/>
              <w:rPr>
                <w:sz w:val="1"/>
                <w:szCs w:val="1"/>
                <w:color w:val="auto"/>
              </w:rPr>
            </w:pPr>
          </w:p>
        </w:tc>
      </w:tr>
      <w:tr>
        <w:trPr>
          <w:trHeight w:val="20"/>
        </w:trPr>
        <w:tc>
          <w:tcPr>
            <w:tcW w:w="920" w:type="dxa"/>
            <w:vAlign w:val="bottom"/>
            <w:vMerge w:val="restart"/>
            <w:shd w:val="clear" w:color="auto" w:fill="CCFFCC"/>
          </w:tcPr>
          <w:p>
            <w:pPr>
              <w:ind w:left="20"/>
              <w:spacing w:after="0"/>
              <w:rPr>
                <w:sz w:val="20"/>
                <w:szCs w:val="20"/>
                <w:color w:val="auto"/>
              </w:rPr>
            </w:pPr>
            <w:r>
              <w:rPr>
                <w:rFonts w:ascii="Arial" w:cs="Arial" w:eastAsia="Arial" w:hAnsi="Arial"/>
                <w:sz w:val="11"/>
                <w:szCs w:val="11"/>
                <w:color w:val="auto"/>
              </w:rPr>
              <w:t>Balance at</w:t>
            </w: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20" w:type="dxa"/>
            <w:vAlign w:val="bottom"/>
            <w:vMerge w:val="continue"/>
            <w:shd w:val="clear" w:color="auto" w:fill="CCFFCC"/>
          </w:tcPr>
          <w:p>
            <w:pPr>
              <w:spacing w:after="0"/>
              <w:rPr>
                <w:sz w:val="10"/>
                <w:szCs w:val="10"/>
                <w:color w:val="auto"/>
              </w:rPr>
            </w:pPr>
          </w:p>
        </w:tc>
        <w:tc>
          <w:tcPr>
            <w:tcW w:w="520" w:type="dxa"/>
            <w:vAlign w:val="bottom"/>
            <w:vMerge w:val="restart"/>
            <w:shd w:val="clear" w:color="auto" w:fill="CCFFCC"/>
          </w:tcPr>
          <w:p>
            <w:pPr>
              <w:jc w:val="right"/>
              <w:spacing w:after="0"/>
              <w:rPr>
                <w:sz w:val="20"/>
                <w:szCs w:val="20"/>
                <w:color w:val="auto"/>
              </w:rPr>
            </w:pPr>
            <w:r>
              <w:rPr>
                <w:rFonts w:ascii="Arial" w:cs="Arial" w:eastAsia="Arial" w:hAnsi="Arial"/>
                <w:sz w:val="11"/>
                <w:szCs w:val="11"/>
                <w:color w:val="auto"/>
                <w:w w:val="90"/>
              </w:rPr>
              <w:t>69,457,299</w:t>
            </w:r>
          </w:p>
        </w:tc>
        <w:tc>
          <w:tcPr>
            <w:tcW w:w="100" w:type="dxa"/>
            <w:vAlign w:val="bottom"/>
            <w:vMerge w:val="restart"/>
            <w:shd w:val="clear" w:color="auto" w:fill="CCFFCC"/>
          </w:tcPr>
          <w:p>
            <w:pPr>
              <w:spacing w:after="0"/>
              <w:rPr>
                <w:sz w:val="10"/>
                <w:szCs w:val="10"/>
                <w:color w:val="auto"/>
              </w:rPr>
            </w:pPr>
          </w:p>
        </w:tc>
        <w:tc>
          <w:tcPr>
            <w:tcW w:w="140" w:type="dxa"/>
            <w:vAlign w:val="bottom"/>
            <w:vMerge w:val="restart"/>
            <w:shd w:val="clear" w:color="auto" w:fill="CCFFCC"/>
          </w:tcPr>
          <w:p>
            <w:pPr>
              <w:ind w:left="20"/>
              <w:spacing w:after="0"/>
              <w:rPr>
                <w:sz w:val="20"/>
                <w:szCs w:val="20"/>
                <w:color w:val="auto"/>
              </w:rPr>
            </w:pPr>
            <w:r>
              <w:rPr>
                <w:rFonts w:ascii="Arial" w:cs="Arial" w:eastAsia="Arial" w:hAnsi="Arial"/>
                <w:sz w:val="11"/>
                <w:szCs w:val="11"/>
                <w:color w:val="auto"/>
              </w:rPr>
              <w:t>$</w:t>
            </w:r>
          </w:p>
        </w:tc>
        <w:tc>
          <w:tcPr>
            <w:tcW w:w="280" w:type="dxa"/>
            <w:vAlign w:val="bottom"/>
            <w:vMerge w:val="restart"/>
            <w:shd w:val="clear" w:color="auto" w:fill="CCFFCC"/>
          </w:tcPr>
          <w:p>
            <w:pPr>
              <w:jc w:val="right"/>
              <w:ind w:right="45"/>
              <w:spacing w:after="0"/>
              <w:rPr>
                <w:sz w:val="20"/>
                <w:szCs w:val="20"/>
                <w:color w:val="auto"/>
              </w:rPr>
            </w:pPr>
            <w:r>
              <w:rPr>
                <w:rFonts w:ascii="Arial" w:cs="Arial" w:eastAsia="Arial" w:hAnsi="Arial"/>
                <w:sz w:val="11"/>
                <w:szCs w:val="11"/>
                <w:color w:val="auto"/>
              </w:rPr>
              <w:t>69</w:t>
            </w:r>
          </w:p>
        </w:tc>
        <w:tc>
          <w:tcPr>
            <w:tcW w:w="100" w:type="dxa"/>
            <w:vAlign w:val="bottom"/>
            <w:shd w:val="clear" w:color="auto" w:fill="CCFFCC"/>
          </w:tcPr>
          <w:p>
            <w:pPr>
              <w:spacing w:after="0"/>
              <w:rPr>
                <w:sz w:val="10"/>
                <w:szCs w:val="10"/>
                <w:color w:val="auto"/>
              </w:rPr>
            </w:pPr>
          </w:p>
        </w:tc>
        <w:tc>
          <w:tcPr>
            <w:tcW w:w="560" w:type="dxa"/>
            <w:vAlign w:val="bottom"/>
            <w:vMerge w:val="restart"/>
            <w:shd w:val="clear" w:color="auto" w:fill="CCFFCC"/>
          </w:tcPr>
          <w:p>
            <w:pPr>
              <w:jc w:val="right"/>
              <w:spacing w:after="0"/>
              <w:rPr>
                <w:sz w:val="20"/>
                <w:szCs w:val="20"/>
                <w:color w:val="auto"/>
              </w:rPr>
            </w:pPr>
            <w:r>
              <w:rPr>
                <w:rFonts w:ascii="Arial" w:cs="Arial" w:eastAsia="Arial" w:hAnsi="Arial"/>
                <w:sz w:val="11"/>
                <w:szCs w:val="11"/>
                <w:color w:val="auto"/>
                <w:w w:val="92"/>
              </w:rPr>
              <w:t>(2,709,830)</w:t>
            </w:r>
          </w:p>
        </w:tc>
        <w:tc>
          <w:tcPr>
            <w:tcW w:w="100" w:type="dxa"/>
            <w:vAlign w:val="bottom"/>
            <w:shd w:val="clear" w:color="auto" w:fill="CCFFCC"/>
          </w:tcPr>
          <w:p>
            <w:pPr>
              <w:spacing w:after="0"/>
              <w:rPr>
                <w:sz w:val="10"/>
                <w:szCs w:val="10"/>
                <w:color w:val="auto"/>
              </w:rPr>
            </w:pPr>
          </w:p>
        </w:tc>
        <w:tc>
          <w:tcPr>
            <w:tcW w:w="140" w:type="dxa"/>
            <w:vAlign w:val="bottom"/>
            <w:vMerge w:val="restart"/>
            <w:shd w:val="clear" w:color="auto" w:fill="CCFFCC"/>
          </w:tcPr>
          <w:p>
            <w:pPr>
              <w:ind w:left="20"/>
              <w:spacing w:after="0"/>
              <w:rPr>
                <w:sz w:val="20"/>
                <w:szCs w:val="20"/>
                <w:color w:val="auto"/>
              </w:rPr>
            </w:pPr>
            <w:r>
              <w:rPr>
                <w:rFonts w:ascii="Arial" w:cs="Arial" w:eastAsia="Arial" w:hAnsi="Arial"/>
                <w:sz w:val="11"/>
                <w:szCs w:val="11"/>
                <w:color w:val="auto"/>
              </w:rPr>
              <w:t>$</w:t>
            </w:r>
          </w:p>
        </w:tc>
        <w:tc>
          <w:tcPr>
            <w:tcW w:w="280" w:type="dxa"/>
            <w:vAlign w:val="bottom"/>
            <w:vMerge w:val="restart"/>
            <w:shd w:val="clear" w:color="auto" w:fill="CCFFCC"/>
          </w:tcPr>
          <w:p>
            <w:pPr>
              <w:jc w:val="right"/>
              <w:ind w:right="5"/>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FFCC"/>
          </w:tcPr>
          <w:p>
            <w:pPr>
              <w:spacing w:after="0"/>
              <w:rPr>
                <w:sz w:val="10"/>
                <w:szCs w:val="10"/>
                <w:color w:val="auto"/>
              </w:rPr>
            </w:pPr>
          </w:p>
        </w:tc>
        <w:tc>
          <w:tcPr>
            <w:tcW w:w="580" w:type="dxa"/>
            <w:vAlign w:val="bottom"/>
            <w:vMerge w:val="restart"/>
            <w:shd w:val="clear" w:color="auto" w:fill="CCFFCC"/>
          </w:tcPr>
          <w:p>
            <w:pPr>
              <w:jc w:val="right"/>
              <w:ind w:right="65"/>
              <w:spacing w:after="0"/>
              <w:rPr>
                <w:sz w:val="20"/>
                <w:szCs w:val="20"/>
                <w:color w:val="auto"/>
              </w:rPr>
            </w:pPr>
            <w:r>
              <w:rPr>
                <w:rFonts w:ascii="Arial" w:cs="Arial" w:eastAsia="Arial" w:hAnsi="Arial"/>
                <w:sz w:val="11"/>
                <w:szCs w:val="11"/>
                <w:color w:val="auto"/>
                <w:w w:val="89"/>
              </w:rPr>
              <w:t>$ 505,028</w:t>
            </w:r>
          </w:p>
        </w:tc>
        <w:tc>
          <w:tcPr>
            <w:tcW w:w="80" w:type="dxa"/>
            <w:vAlign w:val="bottom"/>
            <w:shd w:val="clear" w:color="auto" w:fill="CCFFCC"/>
          </w:tcPr>
          <w:p>
            <w:pPr>
              <w:spacing w:after="0"/>
              <w:rPr>
                <w:sz w:val="10"/>
                <w:szCs w:val="10"/>
                <w:color w:val="auto"/>
              </w:rPr>
            </w:pPr>
          </w:p>
        </w:tc>
        <w:tc>
          <w:tcPr>
            <w:tcW w:w="120" w:type="dxa"/>
            <w:vAlign w:val="bottom"/>
            <w:vMerge w:val="restart"/>
            <w:shd w:val="clear" w:color="auto" w:fill="CCFFCC"/>
          </w:tcPr>
          <w:p>
            <w:pPr>
              <w:ind w:left="40"/>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FFCC"/>
          </w:tcPr>
          <w:p>
            <w:pPr>
              <w:jc w:val="right"/>
              <w:ind w:right="5"/>
              <w:spacing w:after="0"/>
              <w:rPr>
                <w:sz w:val="20"/>
                <w:szCs w:val="20"/>
                <w:color w:val="auto"/>
              </w:rPr>
            </w:pPr>
            <w:r>
              <w:rPr>
                <w:rFonts w:ascii="Arial" w:cs="Arial" w:eastAsia="Arial" w:hAnsi="Arial"/>
                <w:sz w:val="11"/>
                <w:szCs w:val="11"/>
                <w:color w:val="auto"/>
                <w:w w:val="97"/>
              </w:rPr>
              <w:t>(378,629)</w:t>
            </w:r>
          </w:p>
        </w:tc>
        <w:tc>
          <w:tcPr>
            <w:tcW w:w="100" w:type="dxa"/>
            <w:vAlign w:val="bottom"/>
            <w:shd w:val="clear" w:color="auto" w:fill="CCFFCC"/>
          </w:tcPr>
          <w:p>
            <w:pPr>
              <w:spacing w:after="0"/>
              <w:rPr>
                <w:sz w:val="10"/>
                <w:szCs w:val="10"/>
                <w:color w:val="auto"/>
              </w:rPr>
            </w:pPr>
          </w:p>
        </w:tc>
        <w:tc>
          <w:tcPr>
            <w:tcW w:w="160" w:type="dxa"/>
            <w:vAlign w:val="bottom"/>
            <w:vMerge w:val="restart"/>
            <w:shd w:val="clear" w:color="auto" w:fill="CCFFCC"/>
          </w:tcPr>
          <w:p>
            <w:pPr>
              <w:ind w:left="2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FFCC"/>
          </w:tcPr>
          <w:p>
            <w:pPr>
              <w:jc w:val="right"/>
              <w:ind w:right="5"/>
              <w:spacing w:after="0"/>
              <w:rPr>
                <w:sz w:val="20"/>
                <w:szCs w:val="20"/>
                <w:color w:val="auto"/>
              </w:rPr>
            </w:pPr>
            <w:r>
              <w:rPr>
                <w:rFonts w:ascii="Arial" w:cs="Arial" w:eastAsia="Arial" w:hAnsi="Arial"/>
                <w:sz w:val="11"/>
                <w:szCs w:val="11"/>
                <w:color w:val="auto"/>
              </w:rPr>
              <w:t>(2,770)</w:t>
            </w:r>
          </w:p>
        </w:tc>
        <w:tc>
          <w:tcPr>
            <w:tcW w:w="100" w:type="dxa"/>
            <w:vAlign w:val="bottom"/>
            <w:shd w:val="clear" w:color="auto" w:fill="CCFFCC"/>
          </w:tcPr>
          <w:p>
            <w:pPr>
              <w:spacing w:after="0"/>
              <w:rPr>
                <w:sz w:val="10"/>
                <w:szCs w:val="10"/>
                <w:color w:val="auto"/>
              </w:rPr>
            </w:pPr>
          </w:p>
        </w:tc>
        <w:tc>
          <w:tcPr>
            <w:tcW w:w="520" w:type="dxa"/>
            <w:vAlign w:val="bottom"/>
            <w:vMerge w:val="restart"/>
            <w:shd w:val="clear" w:color="auto" w:fill="CCFFCC"/>
          </w:tcPr>
          <w:p>
            <w:pPr>
              <w:jc w:val="right"/>
              <w:ind w:right="25"/>
              <w:spacing w:after="0"/>
              <w:rPr>
                <w:sz w:val="20"/>
                <w:szCs w:val="20"/>
                <w:color w:val="auto"/>
              </w:rPr>
            </w:pPr>
            <w:r>
              <w:rPr>
                <w:rFonts w:ascii="Arial" w:cs="Arial" w:eastAsia="Arial" w:hAnsi="Arial"/>
                <w:sz w:val="11"/>
                <w:szCs w:val="11"/>
                <w:color w:val="auto"/>
                <w:w w:val="91"/>
              </w:rPr>
              <w:t>$123,695</w:t>
            </w:r>
          </w:p>
        </w:tc>
        <w:tc>
          <w:tcPr>
            <w:tcW w:w="80" w:type="dxa"/>
            <w:vAlign w:val="bottom"/>
            <w:shd w:val="clear" w:color="auto" w:fill="CCFFCC"/>
          </w:tcPr>
          <w:p>
            <w:pPr>
              <w:spacing w:after="0"/>
              <w:rPr>
                <w:sz w:val="10"/>
                <w:szCs w:val="10"/>
                <w:color w:val="auto"/>
              </w:rPr>
            </w:pPr>
          </w:p>
        </w:tc>
        <w:tc>
          <w:tcPr>
            <w:tcW w:w="62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1"/>
                <w:szCs w:val="11"/>
                <w:color w:val="auto"/>
                <w:w w:val="90"/>
              </w:rPr>
              <w:t>66,035,096</w:t>
            </w:r>
          </w:p>
        </w:tc>
        <w:tc>
          <w:tcPr>
            <w:tcW w:w="140" w:type="dxa"/>
            <w:vAlign w:val="bottom"/>
            <w:vMerge w:val="restart"/>
            <w:shd w:val="clear" w:color="auto" w:fill="CCFFCC"/>
          </w:tcPr>
          <w:p>
            <w:pPr>
              <w:ind w:left="20"/>
              <w:spacing w:after="0"/>
              <w:rPr>
                <w:sz w:val="20"/>
                <w:szCs w:val="20"/>
                <w:color w:val="auto"/>
              </w:rPr>
            </w:pPr>
            <w:r>
              <w:rPr>
                <w:rFonts w:ascii="Arial" w:cs="Arial" w:eastAsia="Arial" w:hAnsi="Arial"/>
                <w:sz w:val="11"/>
                <w:szCs w:val="11"/>
                <w:color w:val="auto"/>
              </w:rPr>
              <w:t>$</w:t>
            </w:r>
          </w:p>
        </w:tc>
        <w:tc>
          <w:tcPr>
            <w:tcW w:w="280" w:type="dxa"/>
            <w:vAlign w:val="bottom"/>
            <w:vMerge w:val="restart"/>
            <w:shd w:val="clear" w:color="auto" w:fill="CCFFCC"/>
          </w:tcPr>
          <w:p>
            <w:pPr>
              <w:jc w:val="right"/>
              <w:ind w:right="45"/>
              <w:spacing w:after="0"/>
              <w:rPr>
                <w:sz w:val="20"/>
                <w:szCs w:val="20"/>
                <w:color w:val="auto"/>
              </w:rPr>
            </w:pPr>
            <w:r>
              <w:rPr>
                <w:rFonts w:ascii="Arial" w:cs="Arial" w:eastAsia="Arial" w:hAnsi="Arial"/>
                <w:sz w:val="11"/>
                <w:szCs w:val="11"/>
                <w:color w:val="auto"/>
              </w:rPr>
              <w:t>66</w:t>
            </w:r>
          </w:p>
        </w:tc>
        <w:tc>
          <w:tcPr>
            <w:tcW w:w="100" w:type="dxa"/>
            <w:vAlign w:val="bottom"/>
            <w:shd w:val="clear" w:color="auto" w:fill="CCFFCC"/>
          </w:tcPr>
          <w:p>
            <w:pPr>
              <w:spacing w:after="0"/>
              <w:rPr>
                <w:sz w:val="10"/>
                <w:szCs w:val="10"/>
                <w:color w:val="auto"/>
              </w:rPr>
            </w:pPr>
          </w:p>
        </w:tc>
        <w:tc>
          <w:tcPr>
            <w:tcW w:w="580" w:type="dxa"/>
            <w:vAlign w:val="bottom"/>
            <w:vMerge w:val="restart"/>
            <w:shd w:val="clear" w:color="auto" w:fill="CCFFCC"/>
          </w:tcPr>
          <w:p>
            <w:pPr>
              <w:jc w:val="right"/>
              <w:spacing w:after="0"/>
              <w:rPr>
                <w:sz w:val="20"/>
                <w:szCs w:val="20"/>
                <w:color w:val="auto"/>
              </w:rPr>
            </w:pPr>
            <w:r>
              <w:rPr>
                <w:rFonts w:ascii="Arial" w:cs="Arial" w:eastAsia="Arial" w:hAnsi="Arial"/>
                <w:sz w:val="11"/>
                <w:szCs w:val="11"/>
                <w:color w:val="auto"/>
                <w:w w:val="92"/>
              </w:rPr>
              <w:t>(2,704,706)</w:t>
            </w:r>
          </w:p>
        </w:tc>
        <w:tc>
          <w:tcPr>
            <w:tcW w:w="80" w:type="dxa"/>
            <w:vAlign w:val="bottom"/>
            <w:shd w:val="clear" w:color="auto" w:fill="CCFFCC"/>
          </w:tcPr>
          <w:p>
            <w:pPr>
              <w:spacing w:after="0"/>
              <w:rPr>
                <w:sz w:val="10"/>
                <w:szCs w:val="10"/>
                <w:color w:val="auto"/>
              </w:rPr>
            </w:pPr>
          </w:p>
        </w:tc>
        <w:tc>
          <w:tcPr>
            <w:tcW w:w="160" w:type="dxa"/>
            <w:vAlign w:val="bottom"/>
            <w:vMerge w:val="restart"/>
            <w:shd w:val="clear" w:color="auto" w:fill="CCFFCC"/>
          </w:tcPr>
          <w:p>
            <w:pPr>
              <w:ind w:left="40"/>
              <w:spacing w:after="0"/>
              <w:rPr>
                <w:sz w:val="20"/>
                <w:szCs w:val="20"/>
                <w:color w:val="auto"/>
              </w:rPr>
            </w:pPr>
            <w:r>
              <w:rPr>
                <w:rFonts w:ascii="Arial" w:cs="Arial" w:eastAsia="Arial" w:hAnsi="Arial"/>
                <w:sz w:val="11"/>
                <w:szCs w:val="11"/>
                <w:color w:val="auto"/>
              </w:rPr>
              <w:t>$</w:t>
            </w:r>
          </w:p>
        </w:tc>
        <w:tc>
          <w:tcPr>
            <w:tcW w:w="280" w:type="dxa"/>
            <w:vAlign w:val="bottom"/>
            <w:vMerge w:val="restart"/>
            <w:shd w:val="clear" w:color="auto" w:fill="CCFFCC"/>
          </w:tcPr>
          <w:p>
            <w:pPr>
              <w:jc w:val="right"/>
              <w:ind w:right="25"/>
              <w:spacing w:after="0"/>
              <w:rPr>
                <w:sz w:val="20"/>
                <w:szCs w:val="20"/>
                <w:color w:val="auto"/>
              </w:rPr>
            </w:pPr>
            <w:r>
              <w:rPr>
                <w:rFonts w:ascii="Arial" w:cs="Arial" w:eastAsia="Arial" w:hAnsi="Arial"/>
                <w:sz w:val="11"/>
                <w:szCs w:val="11"/>
                <w:color w:val="auto"/>
              </w:rPr>
              <w:t>(3)</w:t>
            </w:r>
          </w:p>
        </w:tc>
        <w:tc>
          <w:tcPr>
            <w:tcW w:w="80" w:type="dxa"/>
            <w:vAlign w:val="bottom"/>
            <w:shd w:val="clear" w:color="auto" w:fill="CCFFCC"/>
          </w:tcPr>
          <w:p>
            <w:pPr>
              <w:spacing w:after="0"/>
              <w:rPr>
                <w:sz w:val="10"/>
                <w:szCs w:val="10"/>
                <w:color w:val="auto"/>
              </w:rPr>
            </w:pPr>
          </w:p>
        </w:tc>
        <w:tc>
          <w:tcPr>
            <w:tcW w:w="580" w:type="dxa"/>
            <w:vAlign w:val="bottom"/>
            <w:vMerge w:val="restart"/>
            <w:shd w:val="clear" w:color="auto" w:fill="CCFFCC"/>
          </w:tcPr>
          <w:p>
            <w:pPr>
              <w:jc w:val="right"/>
              <w:ind w:right="45"/>
              <w:spacing w:after="0"/>
              <w:rPr>
                <w:sz w:val="20"/>
                <w:szCs w:val="20"/>
                <w:color w:val="auto"/>
              </w:rPr>
            </w:pPr>
            <w:r>
              <w:rPr>
                <w:rFonts w:ascii="Arial" w:cs="Arial" w:eastAsia="Arial" w:hAnsi="Arial"/>
                <w:sz w:val="11"/>
                <w:szCs w:val="11"/>
                <w:color w:val="auto"/>
                <w:w w:val="93"/>
              </w:rPr>
              <w:t>$ 425,546</w:t>
            </w:r>
          </w:p>
        </w:tc>
        <w:tc>
          <w:tcPr>
            <w:tcW w:w="100" w:type="dxa"/>
            <w:vAlign w:val="bottom"/>
            <w:shd w:val="clear" w:color="auto" w:fill="CCFFCC"/>
          </w:tcPr>
          <w:p>
            <w:pPr>
              <w:spacing w:after="0"/>
              <w:rPr>
                <w:sz w:val="10"/>
                <w:szCs w:val="10"/>
                <w:color w:val="auto"/>
              </w:rPr>
            </w:pPr>
          </w:p>
        </w:tc>
        <w:tc>
          <w:tcPr>
            <w:tcW w:w="120" w:type="dxa"/>
            <w:vAlign w:val="bottom"/>
            <w:vMerge w:val="restart"/>
            <w:shd w:val="clear" w:color="auto" w:fill="CCFFCC"/>
          </w:tcPr>
          <w:p>
            <w:pPr>
              <w:ind w:left="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FFCC"/>
          </w:tcPr>
          <w:p>
            <w:pPr>
              <w:jc w:val="right"/>
              <w:ind w:right="25"/>
              <w:spacing w:after="0"/>
              <w:rPr>
                <w:sz w:val="20"/>
                <w:szCs w:val="20"/>
                <w:color w:val="auto"/>
              </w:rPr>
            </w:pPr>
            <w:r>
              <w:rPr>
                <w:rFonts w:ascii="Arial" w:cs="Arial" w:eastAsia="Arial" w:hAnsi="Arial"/>
                <w:sz w:val="11"/>
                <w:szCs w:val="11"/>
                <w:color w:val="auto"/>
                <w:w w:val="93"/>
              </w:rPr>
              <w:t>(256,240)</w:t>
            </w:r>
          </w:p>
        </w:tc>
        <w:tc>
          <w:tcPr>
            <w:tcW w:w="80" w:type="dxa"/>
            <w:vAlign w:val="bottom"/>
            <w:shd w:val="clear" w:color="auto" w:fill="CCFFCC"/>
          </w:tcPr>
          <w:p>
            <w:pPr>
              <w:spacing w:after="0"/>
              <w:rPr>
                <w:sz w:val="10"/>
                <w:szCs w:val="10"/>
                <w:color w:val="auto"/>
              </w:rPr>
            </w:pPr>
          </w:p>
        </w:tc>
        <w:tc>
          <w:tcPr>
            <w:tcW w:w="160" w:type="dxa"/>
            <w:vAlign w:val="bottom"/>
            <w:vMerge w:val="restart"/>
            <w:shd w:val="clear" w:color="auto" w:fill="CCFFCC"/>
          </w:tcPr>
          <w:p>
            <w:pPr>
              <w:jc w:val="right"/>
              <w:ind w:right="27"/>
              <w:spacing w:after="0"/>
              <w:rPr>
                <w:sz w:val="20"/>
                <w:szCs w:val="20"/>
                <w:color w:val="auto"/>
              </w:rPr>
            </w:pPr>
            <w:r>
              <w:rPr>
                <w:rFonts w:ascii="Arial" w:cs="Arial" w:eastAsia="Arial" w:hAnsi="Arial"/>
                <w:sz w:val="11"/>
                <w:szCs w:val="11"/>
                <w:color w:val="auto"/>
                <w:w w:val="97"/>
              </w:rPr>
              <w:t>$</w:t>
            </w:r>
          </w:p>
        </w:tc>
        <w:tc>
          <w:tcPr>
            <w:tcW w:w="620" w:type="dxa"/>
            <w:vAlign w:val="bottom"/>
            <w:vMerge w:val="restart"/>
            <w:shd w:val="clear" w:color="auto" w:fill="CCFFCC"/>
          </w:tcPr>
          <w:p>
            <w:pPr>
              <w:jc w:val="right"/>
              <w:ind w:right="25"/>
              <w:spacing w:after="0"/>
              <w:rPr>
                <w:sz w:val="20"/>
                <w:szCs w:val="20"/>
                <w:color w:val="auto"/>
              </w:rPr>
            </w:pPr>
            <w:r>
              <w:rPr>
                <w:rFonts w:ascii="Arial" w:cs="Arial" w:eastAsia="Arial" w:hAnsi="Arial"/>
                <w:sz w:val="11"/>
                <w:szCs w:val="11"/>
                <w:color w:val="auto"/>
              </w:rPr>
              <w:t>(6,307)</w:t>
            </w:r>
          </w:p>
        </w:tc>
        <w:tc>
          <w:tcPr>
            <w:tcW w:w="80" w:type="dxa"/>
            <w:vAlign w:val="bottom"/>
            <w:shd w:val="clear" w:color="auto" w:fill="CCFFCC"/>
          </w:tcPr>
          <w:p>
            <w:pPr>
              <w:spacing w:after="0"/>
              <w:rPr>
                <w:sz w:val="10"/>
                <w:szCs w:val="10"/>
                <w:color w:val="auto"/>
              </w:rPr>
            </w:pPr>
          </w:p>
        </w:tc>
        <w:tc>
          <w:tcPr>
            <w:tcW w:w="540" w:type="dxa"/>
            <w:vAlign w:val="bottom"/>
            <w:vMerge w:val="restart"/>
            <w:shd w:val="clear" w:color="auto" w:fill="CCFFCC"/>
          </w:tcPr>
          <w:p>
            <w:pPr>
              <w:jc w:val="right"/>
              <w:ind w:right="25"/>
              <w:spacing w:after="0"/>
              <w:rPr>
                <w:sz w:val="20"/>
                <w:szCs w:val="20"/>
                <w:color w:val="auto"/>
              </w:rPr>
            </w:pPr>
            <w:r>
              <w:rPr>
                <w:rFonts w:ascii="Arial" w:cs="Arial" w:eastAsia="Arial" w:hAnsi="Arial"/>
                <w:sz w:val="11"/>
                <w:szCs w:val="11"/>
                <w:color w:val="auto"/>
                <w:w w:val="95"/>
              </w:rPr>
              <w:t>$163,062</w:t>
            </w:r>
          </w:p>
        </w:tc>
        <w:tc>
          <w:tcPr>
            <w:tcW w:w="0" w:type="dxa"/>
            <w:vAlign w:val="bottom"/>
          </w:tcPr>
          <w:p>
            <w:pPr>
              <w:spacing w:after="0"/>
              <w:rPr>
                <w:sz w:val="1"/>
                <w:szCs w:val="1"/>
                <w:color w:val="auto"/>
              </w:rPr>
            </w:pPr>
          </w:p>
        </w:tc>
      </w:tr>
      <w:tr>
        <w:trPr>
          <w:trHeight w:val="139"/>
        </w:trPr>
        <w:tc>
          <w:tcPr>
            <w:tcW w:w="920" w:type="dxa"/>
            <w:vAlign w:val="bottom"/>
            <w:shd w:val="clear" w:color="auto" w:fill="CCFFCC"/>
          </w:tcPr>
          <w:p>
            <w:pPr>
              <w:ind w:left="20"/>
              <w:spacing w:after="0"/>
              <w:rPr>
                <w:sz w:val="20"/>
                <w:szCs w:val="20"/>
                <w:color w:val="auto"/>
              </w:rPr>
            </w:pPr>
            <w:r>
              <w:rPr>
                <w:rFonts w:ascii="Arial" w:cs="Arial" w:eastAsia="Arial" w:hAnsi="Arial"/>
                <w:sz w:val="11"/>
                <w:szCs w:val="11"/>
                <w:color w:val="auto"/>
              </w:rPr>
              <w:t>September 30</w:t>
            </w:r>
          </w:p>
        </w:tc>
        <w:tc>
          <w:tcPr>
            <w:tcW w:w="520" w:type="dxa"/>
            <w:vAlign w:val="bottom"/>
            <w:vMerge w:val="continue"/>
            <w:shd w:val="clear" w:color="auto" w:fill="CCFFCC"/>
          </w:tcPr>
          <w:p>
            <w:pPr>
              <w:spacing w:after="0"/>
              <w:rPr>
                <w:sz w:val="12"/>
                <w:szCs w:val="12"/>
                <w:color w:val="auto"/>
              </w:rPr>
            </w:pPr>
          </w:p>
        </w:tc>
        <w:tc>
          <w:tcPr>
            <w:tcW w:w="100" w:type="dxa"/>
            <w:vAlign w:val="bottom"/>
            <w:vMerge w:val="continue"/>
            <w:shd w:val="clear" w:color="auto" w:fill="CCFFCC"/>
          </w:tcPr>
          <w:p>
            <w:pPr>
              <w:spacing w:after="0"/>
              <w:rPr>
                <w:sz w:val="12"/>
                <w:szCs w:val="12"/>
                <w:color w:val="auto"/>
              </w:rPr>
            </w:pPr>
          </w:p>
        </w:tc>
        <w:tc>
          <w:tcPr>
            <w:tcW w:w="140" w:type="dxa"/>
            <w:vAlign w:val="bottom"/>
            <w:vMerge w:val="continue"/>
            <w:shd w:val="clear" w:color="auto" w:fill="CCFFCC"/>
          </w:tcPr>
          <w:p>
            <w:pPr>
              <w:spacing w:after="0"/>
              <w:rPr>
                <w:sz w:val="12"/>
                <w:szCs w:val="12"/>
                <w:color w:val="auto"/>
              </w:rPr>
            </w:pPr>
          </w:p>
        </w:tc>
        <w:tc>
          <w:tcPr>
            <w:tcW w:w="280" w:type="dxa"/>
            <w:vAlign w:val="bottom"/>
            <w:vMerge w:val="continue"/>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vMerge w:val="continue"/>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vMerge w:val="continue"/>
            <w:shd w:val="clear" w:color="auto" w:fill="CCFFCC"/>
          </w:tcPr>
          <w:p>
            <w:pPr>
              <w:spacing w:after="0"/>
              <w:rPr>
                <w:sz w:val="12"/>
                <w:szCs w:val="12"/>
                <w:color w:val="auto"/>
              </w:rPr>
            </w:pPr>
          </w:p>
        </w:tc>
        <w:tc>
          <w:tcPr>
            <w:tcW w:w="280" w:type="dxa"/>
            <w:vAlign w:val="bottom"/>
            <w:vMerge w:val="continue"/>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80" w:type="dxa"/>
            <w:vAlign w:val="bottom"/>
            <w:vMerge w:val="continue"/>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vMerge w:val="continue"/>
            <w:shd w:val="clear" w:color="auto" w:fill="CCFFCC"/>
          </w:tcPr>
          <w:p>
            <w:pPr>
              <w:spacing w:after="0"/>
              <w:rPr>
                <w:sz w:val="12"/>
                <w:szCs w:val="12"/>
                <w:color w:val="auto"/>
              </w:rPr>
            </w:pPr>
          </w:p>
        </w:tc>
        <w:tc>
          <w:tcPr>
            <w:tcW w:w="540" w:type="dxa"/>
            <w:vAlign w:val="bottom"/>
            <w:vMerge w:val="continue"/>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vMerge w:val="continue"/>
            <w:shd w:val="clear" w:color="auto" w:fill="CCFFCC"/>
          </w:tcPr>
          <w:p>
            <w:pPr>
              <w:spacing w:after="0"/>
              <w:rPr>
                <w:sz w:val="12"/>
                <w:szCs w:val="12"/>
                <w:color w:val="auto"/>
              </w:rPr>
            </w:pPr>
          </w:p>
        </w:tc>
        <w:tc>
          <w:tcPr>
            <w:tcW w:w="600" w:type="dxa"/>
            <w:vAlign w:val="bottom"/>
            <w:vMerge w:val="continue"/>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20" w:type="dxa"/>
            <w:vAlign w:val="bottom"/>
            <w:vMerge w:val="continue"/>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gridSpan w:val="2"/>
            <w:vMerge w:val="continue"/>
            <w:shd w:val="clear" w:color="auto" w:fill="CCFFCC"/>
          </w:tcPr>
          <w:p>
            <w:pPr>
              <w:spacing w:after="0"/>
              <w:rPr>
                <w:sz w:val="12"/>
                <w:szCs w:val="12"/>
                <w:color w:val="auto"/>
              </w:rPr>
            </w:pPr>
          </w:p>
        </w:tc>
        <w:tc>
          <w:tcPr>
            <w:tcW w:w="140" w:type="dxa"/>
            <w:vAlign w:val="bottom"/>
            <w:vMerge w:val="continue"/>
            <w:shd w:val="clear" w:color="auto" w:fill="CCFFCC"/>
          </w:tcPr>
          <w:p>
            <w:pPr>
              <w:spacing w:after="0"/>
              <w:rPr>
                <w:sz w:val="12"/>
                <w:szCs w:val="12"/>
                <w:color w:val="auto"/>
              </w:rPr>
            </w:pPr>
          </w:p>
        </w:tc>
        <w:tc>
          <w:tcPr>
            <w:tcW w:w="280" w:type="dxa"/>
            <w:vAlign w:val="bottom"/>
            <w:vMerge w:val="continue"/>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80" w:type="dxa"/>
            <w:vAlign w:val="bottom"/>
            <w:vMerge w:val="continue"/>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vMerge w:val="continue"/>
            <w:shd w:val="clear" w:color="auto" w:fill="CCFFCC"/>
          </w:tcPr>
          <w:p>
            <w:pPr>
              <w:spacing w:after="0"/>
              <w:rPr>
                <w:sz w:val="12"/>
                <w:szCs w:val="12"/>
                <w:color w:val="auto"/>
              </w:rPr>
            </w:pPr>
          </w:p>
        </w:tc>
        <w:tc>
          <w:tcPr>
            <w:tcW w:w="280" w:type="dxa"/>
            <w:vAlign w:val="bottom"/>
            <w:vMerge w:val="continue"/>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vMerge w:val="continue"/>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vMerge w:val="continue"/>
            <w:shd w:val="clear" w:color="auto" w:fill="CCFFCC"/>
          </w:tcPr>
          <w:p>
            <w:pPr>
              <w:spacing w:after="0"/>
              <w:rPr>
                <w:sz w:val="12"/>
                <w:szCs w:val="12"/>
                <w:color w:val="auto"/>
              </w:rPr>
            </w:pPr>
          </w:p>
        </w:tc>
        <w:tc>
          <w:tcPr>
            <w:tcW w:w="540" w:type="dxa"/>
            <w:vAlign w:val="bottom"/>
            <w:vMerge w:val="continue"/>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vMerge w:val="continue"/>
            <w:shd w:val="clear" w:color="auto" w:fill="CCFFCC"/>
          </w:tcPr>
          <w:p>
            <w:pPr>
              <w:spacing w:after="0"/>
              <w:rPr>
                <w:sz w:val="12"/>
                <w:szCs w:val="12"/>
                <w:color w:val="auto"/>
              </w:rPr>
            </w:pPr>
          </w:p>
        </w:tc>
        <w:tc>
          <w:tcPr>
            <w:tcW w:w="620" w:type="dxa"/>
            <w:vAlign w:val="bottom"/>
            <w:vMerge w:val="continue"/>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40" w:type="dxa"/>
            <w:vAlign w:val="bottom"/>
            <w:vMerge w:val="continue"/>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 (unaudited).</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60"/>
          </w:cols>
          <w:pgMar w:left="320" w:top="641"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LIVEPERSON, INC.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15" w:lineRule="exact"/>
        <w:rPr>
          <w:sz w:val="20"/>
          <w:szCs w:val="20"/>
          <w:color w:val="auto"/>
        </w:rPr>
      </w:pPr>
    </w:p>
    <w:p>
      <w:pPr>
        <w:jc w:val="center"/>
        <w:ind w:left="8220"/>
        <w:spacing w:after="0"/>
        <w:rPr>
          <w:sz w:val="20"/>
          <w:szCs w:val="20"/>
          <w:color w:val="auto"/>
        </w:rPr>
      </w:pPr>
      <w:r>
        <w:rPr>
          <w:rFonts w:ascii="Arial" w:cs="Arial" w:eastAsia="Arial" w:hAnsi="Arial"/>
          <w:sz w:val="13"/>
          <w:szCs w:val="13"/>
          <w:b w:val="1"/>
          <w:bCs w:val="1"/>
          <w:color w:val="auto"/>
        </w:rPr>
        <w:t>Nine Months Ended</w:t>
      </w:r>
    </w:p>
    <w:p>
      <w:pPr>
        <w:spacing w:after="0" w:line="94" w:lineRule="exact"/>
        <w:rPr>
          <w:sz w:val="20"/>
          <w:szCs w:val="20"/>
          <w:color w:val="auto"/>
        </w:rPr>
      </w:pPr>
    </w:p>
    <w:p>
      <w:pPr>
        <w:ind w:left="9380"/>
        <w:spacing w:after="0"/>
        <w:rPr>
          <w:sz w:val="20"/>
          <w:szCs w:val="20"/>
          <w:color w:val="auto"/>
        </w:rPr>
      </w:pPr>
      <w:r>
        <w:rPr>
          <w:rFonts w:ascii="Arial" w:cs="Arial" w:eastAsia="Arial" w:hAnsi="Arial"/>
          <w:sz w:val="12"/>
          <w:szCs w:val="12"/>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5213350</wp:posOffset>
            </wp:positionH>
            <wp:positionV relativeFrom="paragraph">
              <wp:posOffset>16510</wp:posOffset>
            </wp:positionV>
            <wp:extent cx="19253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5320" cy="762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200" w:type="dxa"/>
            <w:vAlign w:val="bottom"/>
            <w:tcBorders>
              <w:bottom w:val="single" w:sz="8" w:color="CCFFC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7"/>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FFC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222"/>
        </w:trPr>
        <w:tc>
          <w:tcPr>
            <w:tcW w:w="8200" w:type="dxa"/>
            <w:vAlign w:val="bottom"/>
            <w:shd w:val="clear" w:color="auto" w:fill="CCFFCC"/>
          </w:tcPr>
          <w:p>
            <w:pPr>
              <w:ind w:left="20"/>
              <w:spacing w:after="0"/>
              <w:rPr>
                <w:sz w:val="20"/>
                <w:szCs w:val="20"/>
                <w:color w:val="auto"/>
              </w:rPr>
            </w:pPr>
            <w:r>
              <w:rPr>
                <w:rFonts w:ascii="Arial" w:cs="Arial" w:eastAsia="Arial" w:hAnsi="Arial"/>
                <w:sz w:val="13"/>
                <w:szCs w:val="13"/>
                <w:color w:val="auto"/>
              </w:rPr>
              <w:t>OPERATING ACTIVITIES:</w:t>
            </w:r>
          </w:p>
        </w:tc>
        <w:tc>
          <w:tcPr>
            <w:tcW w:w="360" w:type="dxa"/>
            <w:vAlign w:val="bottom"/>
            <w:shd w:val="clear" w:color="auto" w:fill="CCFFCC"/>
          </w:tcPr>
          <w:p>
            <w:pPr>
              <w:spacing w:after="0"/>
              <w:rPr>
                <w:sz w:val="19"/>
                <w:szCs w:val="19"/>
                <w:color w:val="auto"/>
              </w:rPr>
            </w:pPr>
          </w:p>
        </w:tc>
        <w:tc>
          <w:tcPr>
            <w:tcW w:w="1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3"/>
                <w:szCs w:val="13"/>
                <w:color w:val="auto"/>
              </w:rPr>
              <w:t>Net loss</w:t>
            </w: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(94,338)</w:t>
            </w:r>
          </w:p>
        </w:tc>
        <w:tc>
          <w:tcPr>
            <w:tcW w:w="100" w:type="dxa"/>
            <w:vAlign w:val="bottom"/>
          </w:tcPr>
          <w:p>
            <w:pPr>
              <w:spacing w:after="0"/>
              <w:rPr>
                <w:sz w:val="19"/>
                <w:szCs w:val="19"/>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(68,749)</w:t>
            </w:r>
          </w:p>
        </w:tc>
        <w:tc>
          <w:tcPr>
            <w:tcW w:w="0" w:type="dxa"/>
            <w:vAlign w:val="bottom"/>
          </w:tcPr>
          <w:p>
            <w:pPr>
              <w:spacing w:after="0"/>
              <w:rPr>
                <w:sz w:val="1"/>
                <w:szCs w:val="1"/>
                <w:color w:val="auto"/>
              </w:rPr>
            </w:pPr>
          </w:p>
        </w:tc>
      </w:tr>
      <w:tr>
        <w:trPr>
          <w:trHeight w:val="241"/>
        </w:trPr>
        <w:tc>
          <w:tcPr>
            <w:tcW w:w="8200" w:type="dxa"/>
            <w:vAlign w:val="bottom"/>
            <w:shd w:val="clear" w:color="auto" w:fill="CCFFCC"/>
          </w:tcPr>
          <w:p>
            <w:pPr>
              <w:ind w:left="140"/>
              <w:spacing w:after="0"/>
              <w:rPr>
                <w:sz w:val="20"/>
                <w:szCs w:val="20"/>
                <w:color w:val="auto"/>
              </w:rPr>
            </w:pPr>
            <w:r>
              <w:rPr>
                <w:rFonts w:ascii="Arial" w:cs="Arial" w:eastAsia="Arial" w:hAnsi="Arial"/>
                <w:sz w:val="13"/>
                <w:szCs w:val="13"/>
                <w:color w:val="auto"/>
              </w:rPr>
              <w:t>Adjustments to reconcile net loss to net cash provided by (used in) operating activities:</w:t>
            </w:r>
          </w:p>
        </w:tc>
        <w:tc>
          <w:tcPr>
            <w:tcW w:w="3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360" w:type="dxa"/>
            <w:vAlign w:val="bottom"/>
          </w:tcPr>
          <w:p>
            <w:pPr>
              <w:spacing w:after="0"/>
              <w:rPr>
                <w:sz w:val="19"/>
                <w:szCs w:val="19"/>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46,171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25,539</w:t>
            </w:r>
          </w:p>
        </w:tc>
        <w:tc>
          <w:tcPr>
            <w:tcW w:w="0" w:type="dxa"/>
            <w:vAlign w:val="bottom"/>
          </w:tcPr>
          <w:p>
            <w:pPr>
              <w:spacing w:after="0"/>
              <w:rPr>
                <w:sz w:val="1"/>
                <w:szCs w:val="1"/>
                <w:color w:val="auto"/>
              </w:rPr>
            </w:pPr>
          </w:p>
        </w:tc>
      </w:tr>
      <w:tr>
        <w:trPr>
          <w:trHeight w:val="241"/>
        </w:trPr>
        <w:tc>
          <w:tcPr>
            <w:tcW w:w="8200" w:type="dxa"/>
            <w:vAlign w:val="bottom"/>
            <w:shd w:val="clear" w:color="auto" w:fill="CCFFCC"/>
          </w:tcPr>
          <w:p>
            <w:pPr>
              <w:ind w:left="140"/>
              <w:spacing w:after="0"/>
              <w:rPr>
                <w:sz w:val="20"/>
                <w:szCs w:val="20"/>
                <w:color w:val="auto"/>
              </w:rPr>
            </w:pPr>
            <w:r>
              <w:rPr>
                <w:rFonts w:ascii="Arial" w:cs="Arial" w:eastAsia="Arial" w:hAnsi="Arial"/>
                <w:sz w:val="13"/>
                <w:szCs w:val="13"/>
                <w:color w:val="auto"/>
              </w:rPr>
              <w:t>Depreciation and amortization</w:t>
            </w:r>
          </w:p>
        </w:tc>
        <w:tc>
          <w:tcPr>
            <w:tcW w:w="360" w:type="dxa"/>
            <w:vAlign w:val="bottom"/>
            <w:shd w:val="clear" w:color="auto" w:fill="CCFFCC"/>
          </w:tcPr>
          <w:p>
            <w:pPr>
              <w:spacing w:after="0"/>
              <w:rPr>
                <w:sz w:val="20"/>
                <w:szCs w:val="20"/>
                <w:color w:val="auto"/>
              </w:rPr>
            </w:pPr>
          </w:p>
        </w:tc>
        <w:tc>
          <w:tcPr>
            <w:tcW w:w="1140" w:type="dxa"/>
            <w:vAlign w:val="bottom"/>
            <w:shd w:val="clear" w:color="auto" w:fill="CCFFCC"/>
          </w:tcPr>
          <w:p>
            <w:pPr>
              <w:jc w:val="right"/>
              <w:ind w:right="57"/>
              <w:spacing w:after="0"/>
              <w:rPr>
                <w:sz w:val="20"/>
                <w:szCs w:val="20"/>
                <w:color w:val="auto"/>
              </w:rPr>
            </w:pPr>
            <w:r>
              <w:rPr>
                <w:rFonts w:ascii="Arial" w:cs="Arial" w:eastAsia="Arial" w:hAnsi="Arial"/>
                <w:sz w:val="13"/>
                <w:szCs w:val="13"/>
                <w:color w:val="auto"/>
              </w:rPr>
              <w:t>17,223</w:t>
            </w: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11,805</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3"/>
                <w:szCs w:val="13"/>
                <w:color w:val="auto"/>
              </w:rPr>
              <w:t>Non-cash restructuring costs</w:t>
            </w:r>
          </w:p>
        </w:tc>
        <w:tc>
          <w:tcPr>
            <w:tcW w:w="360" w:type="dxa"/>
            <w:vAlign w:val="bottom"/>
          </w:tcPr>
          <w:p>
            <w:pPr>
              <w:spacing w:after="0"/>
              <w:rPr>
                <w:sz w:val="19"/>
                <w:szCs w:val="19"/>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19,085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1"/>
        </w:trPr>
        <w:tc>
          <w:tcPr>
            <w:tcW w:w="8200" w:type="dxa"/>
            <w:vAlign w:val="bottom"/>
            <w:shd w:val="clear" w:color="auto" w:fill="CCFFCC"/>
          </w:tcPr>
          <w:p>
            <w:pPr>
              <w:ind w:left="140"/>
              <w:spacing w:after="0"/>
              <w:rPr>
                <w:sz w:val="20"/>
                <w:szCs w:val="20"/>
                <w:color w:val="auto"/>
              </w:rPr>
            </w:pPr>
            <w:r>
              <w:rPr>
                <w:rFonts w:ascii="Arial" w:cs="Arial" w:eastAsia="Arial" w:hAnsi="Arial"/>
                <w:sz w:val="13"/>
                <w:szCs w:val="13"/>
                <w:color w:val="auto"/>
              </w:rPr>
              <w:t>Amortization of tenant allowance</w:t>
            </w:r>
          </w:p>
        </w:tc>
        <w:tc>
          <w:tcPr>
            <w:tcW w:w="36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(387)</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3"/>
                <w:szCs w:val="13"/>
                <w:color w:val="auto"/>
              </w:rPr>
              <w:t>Amortization of purchased intangibles</w:t>
            </w:r>
          </w:p>
        </w:tc>
        <w:tc>
          <w:tcPr>
            <w:tcW w:w="360" w:type="dxa"/>
            <w:vAlign w:val="bottom"/>
          </w:tcPr>
          <w:p>
            <w:pPr>
              <w:spacing w:after="0"/>
              <w:rPr>
                <w:sz w:val="19"/>
                <w:szCs w:val="19"/>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2,073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2,200</w:t>
            </w:r>
          </w:p>
        </w:tc>
        <w:tc>
          <w:tcPr>
            <w:tcW w:w="0" w:type="dxa"/>
            <w:vAlign w:val="bottom"/>
          </w:tcPr>
          <w:p>
            <w:pPr>
              <w:spacing w:after="0"/>
              <w:rPr>
                <w:sz w:val="1"/>
                <w:szCs w:val="1"/>
                <w:color w:val="auto"/>
              </w:rPr>
            </w:pPr>
          </w:p>
        </w:tc>
      </w:tr>
      <w:tr>
        <w:trPr>
          <w:trHeight w:val="241"/>
        </w:trPr>
        <w:tc>
          <w:tcPr>
            <w:tcW w:w="8200" w:type="dxa"/>
            <w:vAlign w:val="bottom"/>
            <w:shd w:val="clear" w:color="auto" w:fill="CCFFCC"/>
          </w:tcPr>
          <w:p>
            <w:pPr>
              <w:ind w:left="140"/>
              <w:spacing w:after="0"/>
              <w:rPr>
                <w:sz w:val="20"/>
                <w:szCs w:val="20"/>
                <w:color w:val="auto"/>
              </w:rPr>
            </w:pPr>
            <w:r>
              <w:rPr>
                <w:rFonts w:ascii="Arial" w:cs="Arial" w:eastAsia="Arial" w:hAnsi="Arial"/>
                <w:sz w:val="13"/>
                <w:szCs w:val="13"/>
                <w:color w:val="auto"/>
              </w:rPr>
              <w:t>Amortization of debt issuance costs</w:t>
            </w:r>
          </w:p>
        </w:tc>
        <w:tc>
          <w:tcPr>
            <w:tcW w:w="360" w:type="dxa"/>
            <w:vAlign w:val="bottom"/>
            <w:shd w:val="clear" w:color="auto" w:fill="CCFFCC"/>
          </w:tcPr>
          <w:p>
            <w:pPr>
              <w:spacing w:after="0"/>
              <w:rPr>
                <w:sz w:val="20"/>
                <w:szCs w:val="20"/>
                <w:color w:val="auto"/>
              </w:rPr>
            </w:pPr>
          </w:p>
        </w:tc>
        <w:tc>
          <w:tcPr>
            <w:tcW w:w="1140" w:type="dxa"/>
            <w:vAlign w:val="bottom"/>
            <w:shd w:val="clear" w:color="auto" w:fill="CCFFCC"/>
          </w:tcPr>
          <w:p>
            <w:pPr>
              <w:jc w:val="right"/>
              <w:ind w:right="57"/>
              <w:spacing w:after="0"/>
              <w:rPr>
                <w:sz w:val="20"/>
                <w:szCs w:val="20"/>
                <w:color w:val="auto"/>
              </w:rPr>
            </w:pPr>
            <w:r>
              <w:rPr>
                <w:rFonts w:ascii="Arial" w:cs="Arial" w:eastAsia="Arial" w:hAnsi="Arial"/>
                <w:sz w:val="13"/>
                <w:szCs w:val="13"/>
                <w:color w:val="auto"/>
              </w:rPr>
              <w:t>908</w:t>
            </w: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663</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3"/>
                <w:szCs w:val="13"/>
                <w:color w:val="auto"/>
              </w:rPr>
              <w:t>Accretion of debt discount on convertible senior notes</w:t>
            </w:r>
          </w:p>
        </w:tc>
        <w:tc>
          <w:tcPr>
            <w:tcW w:w="360" w:type="dxa"/>
            <w:vAlign w:val="bottom"/>
          </w:tcPr>
          <w:p>
            <w:pPr>
              <w:spacing w:after="0"/>
              <w:rPr>
                <w:sz w:val="19"/>
                <w:szCs w:val="19"/>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7,227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5,278</w:t>
            </w:r>
          </w:p>
        </w:tc>
        <w:tc>
          <w:tcPr>
            <w:tcW w:w="0" w:type="dxa"/>
            <w:vAlign w:val="bottom"/>
          </w:tcPr>
          <w:p>
            <w:pPr>
              <w:spacing w:after="0"/>
              <w:rPr>
                <w:sz w:val="1"/>
                <w:szCs w:val="1"/>
                <w:color w:val="auto"/>
              </w:rPr>
            </w:pPr>
          </w:p>
        </w:tc>
      </w:tr>
      <w:tr>
        <w:trPr>
          <w:trHeight w:val="241"/>
        </w:trPr>
        <w:tc>
          <w:tcPr>
            <w:tcW w:w="8200" w:type="dxa"/>
            <w:vAlign w:val="bottom"/>
            <w:shd w:val="clear" w:color="auto" w:fill="CCFFCC"/>
          </w:tcPr>
          <w:p>
            <w:pPr>
              <w:ind w:left="140"/>
              <w:spacing w:after="0"/>
              <w:rPr>
                <w:sz w:val="20"/>
                <w:szCs w:val="20"/>
                <w:color w:val="auto"/>
              </w:rPr>
            </w:pPr>
            <w:r>
              <w:rPr>
                <w:rFonts w:ascii="Arial" w:cs="Arial" w:eastAsia="Arial" w:hAnsi="Arial"/>
                <w:sz w:val="13"/>
                <w:szCs w:val="13"/>
                <w:color w:val="auto"/>
              </w:rPr>
              <w:t>Changes in fair value of contingent consideration</w:t>
            </w:r>
          </w:p>
        </w:tc>
        <w:tc>
          <w:tcPr>
            <w:tcW w:w="360" w:type="dxa"/>
            <w:vAlign w:val="bottom"/>
            <w:shd w:val="clear" w:color="auto" w:fill="CCFFCC"/>
          </w:tcPr>
          <w:p>
            <w:pPr>
              <w:spacing w:after="0"/>
              <w:rPr>
                <w:sz w:val="20"/>
                <w:szCs w:val="20"/>
                <w:color w:val="auto"/>
              </w:rPr>
            </w:pPr>
          </w:p>
        </w:tc>
        <w:tc>
          <w:tcPr>
            <w:tcW w:w="114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(263)</w:t>
            </w: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3"/>
                <w:szCs w:val="13"/>
                <w:color w:val="auto"/>
              </w:rPr>
              <w:t>Provision for doubtful accounts</w:t>
            </w:r>
          </w:p>
        </w:tc>
        <w:tc>
          <w:tcPr>
            <w:tcW w:w="360" w:type="dxa"/>
            <w:vAlign w:val="bottom"/>
          </w:tcPr>
          <w:p>
            <w:pPr>
              <w:spacing w:after="0"/>
              <w:rPr>
                <w:sz w:val="19"/>
                <w:szCs w:val="19"/>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2,627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1,570</w:t>
            </w:r>
          </w:p>
        </w:tc>
        <w:tc>
          <w:tcPr>
            <w:tcW w:w="0" w:type="dxa"/>
            <w:vAlign w:val="bottom"/>
          </w:tcPr>
          <w:p>
            <w:pPr>
              <w:spacing w:after="0"/>
              <w:rPr>
                <w:sz w:val="1"/>
                <w:szCs w:val="1"/>
                <w:color w:val="auto"/>
              </w:rPr>
            </w:pPr>
          </w:p>
        </w:tc>
      </w:tr>
      <w:tr>
        <w:trPr>
          <w:trHeight w:val="241"/>
        </w:trPr>
        <w:tc>
          <w:tcPr>
            <w:tcW w:w="8200" w:type="dxa"/>
            <w:vAlign w:val="bottom"/>
            <w:shd w:val="clear" w:color="auto" w:fill="CCFFCC"/>
          </w:tcPr>
          <w:p>
            <w:pPr>
              <w:ind w:left="140"/>
              <w:spacing w:after="0"/>
              <w:rPr>
                <w:sz w:val="20"/>
                <w:szCs w:val="20"/>
                <w:color w:val="auto"/>
              </w:rPr>
            </w:pPr>
            <w:r>
              <w:rPr>
                <w:rFonts w:ascii="Arial" w:cs="Arial" w:eastAsia="Arial" w:hAnsi="Arial"/>
                <w:sz w:val="13"/>
                <w:szCs w:val="13"/>
                <w:color w:val="auto"/>
              </w:rPr>
              <w:t>Deferred income taxes</w:t>
            </w:r>
          </w:p>
        </w:tc>
        <w:tc>
          <w:tcPr>
            <w:tcW w:w="360" w:type="dxa"/>
            <w:vAlign w:val="bottom"/>
            <w:shd w:val="clear" w:color="auto" w:fill="CCFFCC"/>
          </w:tcPr>
          <w:p>
            <w:pPr>
              <w:spacing w:after="0"/>
              <w:rPr>
                <w:sz w:val="20"/>
                <w:szCs w:val="20"/>
                <w:color w:val="auto"/>
              </w:rPr>
            </w:pPr>
          </w:p>
        </w:tc>
        <w:tc>
          <w:tcPr>
            <w:tcW w:w="1140" w:type="dxa"/>
            <w:vAlign w:val="bottom"/>
            <w:shd w:val="clear" w:color="auto" w:fill="CCFFCC"/>
          </w:tcPr>
          <w:p>
            <w:pPr>
              <w:jc w:val="right"/>
              <w:ind w:right="57"/>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235"/>
        </w:trPr>
        <w:tc>
          <w:tcPr>
            <w:tcW w:w="8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200" w:type="dxa"/>
            <w:vAlign w:val="bottom"/>
            <w:shd w:val="clear" w:color="auto" w:fill="CCFFCC"/>
          </w:tcPr>
          <w:p>
            <w:pPr>
              <w:ind w:left="140"/>
              <w:spacing w:after="0"/>
              <w:rPr>
                <w:sz w:val="20"/>
                <w:szCs w:val="20"/>
                <w:color w:val="auto"/>
              </w:rPr>
            </w:pPr>
            <w:r>
              <w:rPr>
                <w:rFonts w:ascii="Arial" w:cs="Arial" w:eastAsia="Arial" w:hAnsi="Arial"/>
                <w:sz w:val="13"/>
                <w:szCs w:val="13"/>
                <w:color w:val="auto"/>
              </w:rPr>
              <w:t>Changes in operating assets and liabilities:</w:t>
            </w:r>
          </w:p>
        </w:tc>
        <w:tc>
          <w:tcPr>
            <w:tcW w:w="3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320"/>
              <w:spacing w:after="0"/>
              <w:rPr>
                <w:sz w:val="20"/>
                <w:szCs w:val="20"/>
                <w:color w:val="auto"/>
              </w:rPr>
            </w:pPr>
            <w:r>
              <w:rPr>
                <w:rFonts w:ascii="Arial" w:cs="Arial" w:eastAsia="Arial" w:hAnsi="Arial"/>
                <w:sz w:val="13"/>
                <w:szCs w:val="13"/>
                <w:color w:val="auto"/>
              </w:rPr>
              <w:t>Accounts receivable</w:t>
            </w:r>
          </w:p>
        </w:tc>
        <w:tc>
          <w:tcPr>
            <w:tcW w:w="360" w:type="dxa"/>
            <w:vAlign w:val="bottom"/>
          </w:tcPr>
          <w:p>
            <w:pPr>
              <w:spacing w:after="0"/>
              <w:rPr>
                <w:sz w:val="19"/>
                <w:szCs w:val="19"/>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19,231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(9,334)</w:t>
            </w:r>
          </w:p>
        </w:tc>
        <w:tc>
          <w:tcPr>
            <w:tcW w:w="0" w:type="dxa"/>
            <w:vAlign w:val="bottom"/>
          </w:tcPr>
          <w:p>
            <w:pPr>
              <w:spacing w:after="0"/>
              <w:rPr>
                <w:sz w:val="1"/>
                <w:szCs w:val="1"/>
                <w:color w:val="auto"/>
              </w:rPr>
            </w:pPr>
          </w:p>
        </w:tc>
      </w:tr>
      <w:tr>
        <w:trPr>
          <w:trHeight w:val="241"/>
        </w:trPr>
        <w:tc>
          <w:tcPr>
            <w:tcW w:w="8200" w:type="dxa"/>
            <w:vAlign w:val="bottom"/>
            <w:shd w:val="clear" w:color="auto" w:fill="CCFFCC"/>
          </w:tcPr>
          <w:p>
            <w:pPr>
              <w:ind w:left="320"/>
              <w:spacing w:after="0"/>
              <w:rPr>
                <w:sz w:val="20"/>
                <w:szCs w:val="20"/>
                <w:color w:val="auto"/>
              </w:rPr>
            </w:pPr>
            <w:r>
              <w:rPr>
                <w:rFonts w:ascii="Arial" w:cs="Arial" w:eastAsia="Arial" w:hAnsi="Arial"/>
                <w:sz w:val="13"/>
                <w:szCs w:val="13"/>
                <w:color w:val="auto"/>
              </w:rPr>
              <w:t>Prepaid expenses and other current assets</w:t>
            </w:r>
          </w:p>
        </w:tc>
        <w:tc>
          <w:tcPr>
            <w:tcW w:w="360" w:type="dxa"/>
            <w:vAlign w:val="bottom"/>
            <w:shd w:val="clear" w:color="auto" w:fill="CCFFCC"/>
          </w:tcPr>
          <w:p>
            <w:pPr>
              <w:spacing w:after="0"/>
              <w:rPr>
                <w:sz w:val="20"/>
                <w:szCs w:val="20"/>
                <w:color w:val="auto"/>
              </w:rPr>
            </w:pPr>
          </w:p>
        </w:tc>
        <w:tc>
          <w:tcPr>
            <w:tcW w:w="114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(6,055)</w:t>
            </w: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(7,880)</w:t>
            </w:r>
          </w:p>
        </w:tc>
        <w:tc>
          <w:tcPr>
            <w:tcW w:w="0" w:type="dxa"/>
            <w:vAlign w:val="bottom"/>
          </w:tcPr>
          <w:p>
            <w:pPr>
              <w:spacing w:after="0"/>
              <w:rPr>
                <w:sz w:val="1"/>
                <w:szCs w:val="1"/>
                <w:color w:val="auto"/>
              </w:rPr>
            </w:pPr>
          </w:p>
        </w:tc>
      </w:tr>
      <w:tr>
        <w:trPr>
          <w:trHeight w:val="230"/>
        </w:trPr>
        <w:tc>
          <w:tcPr>
            <w:tcW w:w="8200" w:type="dxa"/>
            <w:vAlign w:val="bottom"/>
          </w:tcPr>
          <w:p>
            <w:pPr>
              <w:ind w:left="320"/>
              <w:spacing w:after="0"/>
              <w:rPr>
                <w:sz w:val="20"/>
                <w:szCs w:val="20"/>
                <w:color w:val="auto"/>
              </w:rPr>
            </w:pPr>
            <w:r>
              <w:rPr>
                <w:rFonts w:ascii="Arial" w:cs="Arial" w:eastAsia="Arial" w:hAnsi="Arial"/>
                <w:sz w:val="13"/>
                <w:szCs w:val="13"/>
                <w:color w:val="auto"/>
              </w:rPr>
              <w:t>Contract acquisition costs noncurrent</w:t>
            </w:r>
          </w:p>
        </w:tc>
        <w:tc>
          <w:tcPr>
            <w:tcW w:w="36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(8,156)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(11,312)</w:t>
            </w:r>
          </w:p>
        </w:tc>
        <w:tc>
          <w:tcPr>
            <w:tcW w:w="0" w:type="dxa"/>
            <w:vAlign w:val="bottom"/>
          </w:tcPr>
          <w:p>
            <w:pPr>
              <w:spacing w:after="0"/>
              <w:rPr>
                <w:sz w:val="1"/>
                <w:szCs w:val="1"/>
                <w:color w:val="auto"/>
              </w:rPr>
            </w:pPr>
          </w:p>
        </w:tc>
      </w:tr>
      <w:tr>
        <w:trPr>
          <w:trHeight w:val="241"/>
        </w:trPr>
        <w:tc>
          <w:tcPr>
            <w:tcW w:w="8200" w:type="dxa"/>
            <w:vAlign w:val="bottom"/>
            <w:shd w:val="clear" w:color="auto" w:fill="CCFFCC"/>
          </w:tcPr>
          <w:p>
            <w:pPr>
              <w:ind w:left="320"/>
              <w:spacing w:after="0"/>
              <w:rPr>
                <w:sz w:val="20"/>
                <w:szCs w:val="20"/>
                <w:color w:val="auto"/>
              </w:rPr>
            </w:pPr>
            <w:r>
              <w:rPr>
                <w:rFonts w:ascii="Arial" w:cs="Arial" w:eastAsia="Arial" w:hAnsi="Arial"/>
                <w:sz w:val="13"/>
                <w:szCs w:val="13"/>
                <w:color w:val="auto"/>
              </w:rPr>
              <w:t>Other assets</w:t>
            </w:r>
          </w:p>
        </w:tc>
        <w:tc>
          <w:tcPr>
            <w:tcW w:w="360" w:type="dxa"/>
            <w:vAlign w:val="bottom"/>
            <w:shd w:val="clear" w:color="auto" w:fill="CCFFCC"/>
          </w:tcPr>
          <w:p>
            <w:pPr>
              <w:spacing w:after="0"/>
              <w:rPr>
                <w:sz w:val="20"/>
                <w:szCs w:val="20"/>
                <w:color w:val="auto"/>
              </w:rPr>
            </w:pPr>
          </w:p>
        </w:tc>
        <w:tc>
          <w:tcPr>
            <w:tcW w:w="114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230"/>
        </w:trPr>
        <w:tc>
          <w:tcPr>
            <w:tcW w:w="8200" w:type="dxa"/>
            <w:vAlign w:val="bottom"/>
          </w:tcPr>
          <w:p>
            <w:pPr>
              <w:ind w:left="320"/>
              <w:spacing w:after="0"/>
              <w:rPr>
                <w:sz w:val="20"/>
                <w:szCs w:val="20"/>
                <w:color w:val="auto"/>
              </w:rPr>
            </w:pPr>
            <w:r>
              <w:rPr>
                <w:rFonts w:ascii="Arial" w:cs="Arial" w:eastAsia="Arial" w:hAnsi="Arial"/>
                <w:sz w:val="13"/>
                <w:szCs w:val="13"/>
                <w:color w:val="auto"/>
              </w:rPr>
              <w:t>Accounts payable</w:t>
            </w:r>
          </w:p>
        </w:tc>
        <w:tc>
          <w:tcPr>
            <w:tcW w:w="36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(4,572)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241"/>
        </w:trPr>
        <w:tc>
          <w:tcPr>
            <w:tcW w:w="8200" w:type="dxa"/>
            <w:vAlign w:val="bottom"/>
            <w:shd w:val="clear" w:color="auto" w:fill="CCFFCC"/>
          </w:tcPr>
          <w:p>
            <w:pPr>
              <w:ind w:left="320"/>
              <w:spacing w:after="0"/>
              <w:rPr>
                <w:sz w:val="20"/>
                <w:szCs w:val="20"/>
                <w:color w:val="auto"/>
              </w:rPr>
            </w:pPr>
            <w:r>
              <w:rPr>
                <w:rFonts w:ascii="Arial" w:cs="Arial" w:eastAsia="Arial" w:hAnsi="Arial"/>
                <w:sz w:val="13"/>
                <w:szCs w:val="13"/>
                <w:color w:val="auto"/>
              </w:rPr>
              <w:t>Accrued expenses and other current liabilities</w:t>
            </w:r>
          </w:p>
        </w:tc>
        <w:tc>
          <w:tcPr>
            <w:tcW w:w="360" w:type="dxa"/>
            <w:vAlign w:val="bottom"/>
            <w:shd w:val="clear" w:color="auto" w:fill="CCFFCC"/>
          </w:tcPr>
          <w:p>
            <w:pPr>
              <w:spacing w:after="0"/>
              <w:rPr>
                <w:sz w:val="20"/>
                <w:szCs w:val="20"/>
                <w:color w:val="auto"/>
              </w:rPr>
            </w:pPr>
          </w:p>
        </w:tc>
        <w:tc>
          <w:tcPr>
            <w:tcW w:w="1140" w:type="dxa"/>
            <w:vAlign w:val="bottom"/>
            <w:shd w:val="clear" w:color="auto" w:fill="CCFFCC"/>
          </w:tcPr>
          <w:p>
            <w:pPr>
              <w:jc w:val="right"/>
              <w:ind w:right="57"/>
              <w:spacing w:after="0"/>
              <w:rPr>
                <w:sz w:val="20"/>
                <w:szCs w:val="20"/>
                <w:color w:val="auto"/>
              </w:rPr>
            </w:pPr>
            <w:r>
              <w:rPr>
                <w:rFonts w:ascii="Arial" w:cs="Arial" w:eastAsia="Arial" w:hAnsi="Arial"/>
                <w:sz w:val="13"/>
                <w:szCs w:val="13"/>
                <w:color w:val="auto"/>
              </w:rPr>
              <w:t>36,904</w:t>
            </w: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(7,300)</w:t>
            </w:r>
          </w:p>
        </w:tc>
        <w:tc>
          <w:tcPr>
            <w:tcW w:w="0" w:type="dxa"/>
            <w:vAlign w:val="bottom"/>
          </w:tcPr>
          <w:p>
            <w:pPr>
              <w:spacing w:after="0"/>
              <w:rPr>
                <w:sz w:val="1"/>
                <w:szCs w:val="1"/>
                <w:color w:val="auto"/>
              </w:rPr>
            </w:pPr>
          </w:p>
        </w:tc>
      </w:tr>
      <w:tr>
        <w:trPr>
          <w:trHeight w:val="230"/>
        </w:trPr>
        <w:tc>
          <w:tcPr>
            <w:tcW w:w="8200" w:type="dxa"/>
            <w:vAlign w:val="bottom"/>
          </w:tcPr>
          <w:p>
            <w:pPr>
              <w:ind w:left="320"/>
              <w:spacing w:after="0"/>
              <w:rPr>
                <w:sz w:val="20"/>
                <w:szCs w:val="20"/>
                <w:color w:val="auto"/>
              </w:rPr>
            </w:pPr>
            <w:r>
              <w:rPr>
                <w:rFonts w:ascii="Arial" w:cs="Arial" w:eastAsia="Arial" w:hAnsi="Arial"/>
                <w:sz w:val="13"/>
                <w:szCs w:val="13"/>
                <w:color w:val="auto"/>
              </w:rPr>
              <w:t>Deferred revenue</w:t>
            </w:r>
          </w:p>
        </w:tc>
        <w:tc>
          <w:tcPr>
            <w:tcW w:w="36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17,942</w:t>
            </w:r>
          </w:p>
        </w:tc>
        <w:tc>
          <w:tcPr>
            <w:tcW w:w="0" w:type="dxa"/>
            <w:vAlign w:val="bottom"/>
          </w:tcPr>
          <w:p>
            <w:pPr>
              <w:spacing w:after="0"/>
              <w:rPr>
                <w:sz w:val="1"/>
                <w:szCs w:val="1"/>
                <w:color w:val="auto"/>
              </w:rPr>
            </w:pPr>
          </w:p>
        </w:tc>
      </w:tr>
      <w:tr>
        <w:trPr>
          <w:trHeight w:val="171"/>
        </w:trPr>
        <w:tc>
          <w:tcPr>
            <w:tcW w:w="8200" w:type="dxa"/>
            <w:vAlign w:val="bottom"/>
            <w:shd w:val="clear" w:color="auto" w:fill="CCFFCC"/>
          </w:tcPr>
          <w:p>
            <w:pPr>
              <w:ind w:left="320"/>
              <w:spacing w:after="0"/>
              <w:rPr>
                <w:sz w:val="20"/>
                <w:szCs w:val="20"/>
                <w:color w:val="auto"/>
              </w:rPr>
            </w:pPr>
            <w:r>
              <w:rPr>
                <w:rFonts w:ascii="Arial" w:cs="Arial" w:eastAsia="Arial" w:hAnsi="Arial"/>
                <w:sz w:val="13"/>
                <w:szCs w:val="13"/>
                <w:color w:val="auto"/>
              </w:rPr>
              <w:t>Operating lease liabilities</w:t>
            </w:r>
          </w:p>
        </w:tc>
        <w:tc>
          <w:tcPr>
            <w:tcW w:w="360" w:type="dxa"/>
            <w:vAlign w:val="bottom"/>
            <w:shd w:val="clear" w:color="auto" w:fill="CCFFCC"/>
          </w:tcPr>
          <w:p>
            <w:pPr>
              <w:spacing w:after="0"/>
              <w:rPr>
                <w:sz w:val="14"/>
                <w:szCs w:val="14"/>
                <w:color w:val="auto"/>
              </w:rPr>
            </w:pPr>
          </w:p>
        </w:tc>
        <w:tc>
          <w:tcPr>
            <w:tcW w:w="1140" w:type="dxa"/>
            <w:vAlign w:val="bottom"/>
            <w:vMerge w:val="restart"/>
            <w:shd w:val="clear" w:color="auto" w:fill="CCFFCC"/>
          </w:tcPr>
          <w:p>
            <w:pPr>
              <w:jc w:val="right"/>
              <w:ind w:right="17"/>
              <w:spacing w:after="0"/>
              <w:rPr>
                <w:sz w:val="20"/>
                <w:szCs w:val="20"/>
                <w:color w:val="auto"/>
              </w:rPr>
            </w:pPr>
            <w:r>
              <w:rPr>
                <w:rFonts w:ascii="Arial" w:cs="Arial" w:eastAsia="Arial" w:hAnsi="Arial"/>
                <w:sz w:val="13"/>
                <w:szCs w:val="13"/>
                <w:color w:val="auto"/>
              </w:rPr>
              <w:t>(287)</w:t>
            </w:r>
          </w:p>
        </w:tc>
        <w:tc>
          <w:tcPr>
            <w:tcW w:w="10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1100" w:type="dxa"/>
            <w:vAlign w:val="bottom"/>
            <w:vMerge w:val="restart"/>
            <w:shd w:val="clear" w:color="auto" w:fill="CCFFC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820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1140" w:type="dxa"/>
            <w:vAlign w:val="bottom"/>
            <w:vMerge w:val="continue"/>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100" w:type="dxa"/>
            <w:vAlign w:val="bottom"/>
            <w:vMerge w:val="continue"/>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200" w:type="dxa"/>
            <w:vAlign w:val="bottom"/>
            <w:tcBorders>
              <w:bottom w:val="single" w:sz="8" w:color="CCFFCC"/>
            </w:tcBorders>
          </w:tcPr>
          <w:p>
            <w:pPr>
              <w:ind w:left="320"/>
              <w:spacing w:after="0"/>
              <w:rPr>
                <w:sz w:val="20"/>
                <w:szCs w:val="20"/>
                <w:color w:val="auto"/>
              </w:rPr>
            </w:pPr>
            <w:r>
              <w:rPr>
                <w:rFonts w:ascii="Arial" w:cs="Arial" w:eastAsia="Arial" w:hAnsi="Arial"/>
                <w:sz w:val="13"/>
                <w:szCs w:val="13"/>
                <w:color w:val="auto"/>
              </w:rPr>
              <w:t>Other liabilities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215"/>
        </w:trPr>
        <w:tc>
          <w:tcPr>
            <w:tcW w:w="8200" w:type="dxa"/>
            <w:vAlign w:val="bottom"/>
            <w:shd w:val="clear" w:color="auto" w:fill="CCFFCC"/>
          </w:tcPr>
          <w:p>
            <w:pPr>
              <w:ind w:left="520"/>
              <w:spacing w:after="0"/>
              <w:rPr>
                <w:sz w:val="20"/>
                <w:szCs w:val="20"/>
                <w:color w:val="auto"/>
              </w:rPr>
            </w:pPr>
            <w:r>
              <w:rPr>
                <w:rFonts w:ascii="Arial" w:cs="Arial" w:eastAsia="Arial" w:hAnsi="Arial"/>
                <w:sz w:val="13"/>
                <w:szCs w:val="13"/>
                <w:color w:val="auto"/>
              </w:rPr>
              <w:t>Net cash provided by (used in) operating activities</w:t>
            </w:r>
          </w:p>
        </w:tc>
        <w:tc>
          <w:tcPr>
            <w:tcW w:w="360" w:type="dxa"/>
            <w:vAlign w:val="bottom"/>
            <w:tcBorders>
              <w:bottom w:val="single" w:sz="8" w:color="auto"/>
            </w:tcBorders>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ind w:right="57"/>
              <w:spacing w:after="0"/>
              <w:rPr>
                <w:sz w:val="20"/>
                <w:szCs w:val="20"/>
                <w:color w:val="auto"/>
              </w:rPr>
            </w:pPr>
            <w:r>
              <w:rPr>
                <w:rFonts w:ascii="Arial" w:cs="Arial" w:eastAsia="Arial" w:hAnsi="Arial"/>
                <w:sz w:val="13"/>
                <w:szCs w:val="13"/>
                <w:color w:val="auto"/>
              </w:rPr>
              <w:t>37,655</w:t>
            </w:r>
          </w:p>
        </w:tc>
        <w:tc>
          <w:tcPr>
            <w:tcW w:w="1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(40,444)</w:t>
            </w:r>
          </w:p>
        </w:tc>
        <w:tc>
          <w:tcPr>
            <w:tcW w:w="0" w:type="dxa"/>
            <w:vAlign w:val="bottom"/>
          </w:tcPr>
          <w:p>
            <w:pPr>
              <w:spacing w:after="0"/>
              <w:rPr>
                <w:sz w:val="1"/>
                <w:szCs w:val="1"/>
                <w:color w:val="auto"/>
              </w:rPr>
            </w:pPr>
          </w:p>
        </w:tc>
      </w:tr>
      <w:tr>
        <w:trPr>
          <w:trHeight w:val="232"/>
        </w:trPr>
        <w:tc>
          <w:tcPr>
            <w:tcW w:w="8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200" w:type="dxa"/>
            <w:vAlign w:val="bottom"/>
            <w:shd w:val="clear" w:color="auto" w:fill="CCFFCC"/>
          </w:tcPr>
          <w:p>
            <w:pPr>
              <w:ind w:left="20"/>
              <w:spacing w:after="0"/>
              <w:rPr>
                <w:sz w:val="20"/>
                <w:szCs w:val="20"/>
                <w:color w:val="auto"/>
              </w:rPr>
            </w:pPr>
            <w:r>
              <w:rPr>
                <w:rFonts w:ascii="Arial" w:cs="Arial" w:eastAsia="Arial" w:hAnsi="Arial"/>
                <w:sz w:val="13"/>
                <w:szCs w:val="13"/>
                <w:color w:val="auto"/>
              </w:rPr>
              <w:t>INVESTING ACTIVITIES:</w:t>
            </w:r>
          </w:p>
        </w:tc>
        <w:tc>
          <w:tcPr>
            <w:tcW w:w="3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3"/>
                <w:szCs w:val="13"/>
                <w:color w:val="auto"/>
              </w:rPr>
              <w:t>Purchases of property and equipment, including capitalized software</w:t>
            </w:r>
          </w:p>
        </w:tc>
        <w:tc>
          <w:tcPr>
            <w:tcW w:w="36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(32,904)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(33,559)</w:t>
            </w:r>
          </w:p>
        </w:tc>
        <w:tc>
          <w:tcPr>
            <w:tcW w:w="0" w:type="dxa"/>
            <w:vAlign w:val="bottom"/>
          </w:tcPr>
          <w:p>
            <w:pPr>
              <w:spacing w:after="0"/>
              <w:rPr>
                <w:sz w:val="1"/>
                <w:szCs w:val="1"/>
                <w:color w:val="auto"/>
              </w:rPr>
            </w:pPr>
          </w:p>
        </w:tc>
      </w:tr>
      <w:tr>
        <w:trPr>
          <w:trHeight w:val="235"/>
        </w:trPr>
        <w:tc>
          <w:tcPr>
            <w:tcW w:w="8200" w:type="dxa"/>
            <w:vAlign w:val="bottom"/>
            <w:shd w:val="clear" w:color="auto" w:fill="CCFFCC"/>
          </w:tcPr>
          <w:p>
            <w:pPr>
              <w:ind w:left="140"/>
              <w:spacing w:after="0"/>
              <w:rPr>
                <w:sz w:val="20"/>
                <w:szCs w:val="20"/>
                <w:color w:val="auto"/>
              </w:rPr>
            </w:pPr>
            <w:r>
              <w:rPr>
                <w:rFonts w:ascii="Arial" w:cs="Arial" w:eastAsia="Arial" w:hAnsi="Arial"/>
                <w:sz w:val="13"/>
                <w:szCs w:val="13"/>
                <w:color w:val="auto"/>
              </w:rPr>
              <w:t>Payments for intangible assets</w:t>
            </w:r>
          </w:p>
        </w:tc>
        <w:tc>
          <w:tcPr>
            <w:tcW w:w="360" w:type="dxa"/>
            <w:vAlign w:val="bottom"/>
            <w:tcBorders>
              <w:bottom w:val="single" w:sz="8" w:color="auto"/>
            </w:tcBorders>
            <w:shd w:val="clear" w:color="auto" w:fill="CCFFCC"/>
          </w:tcPr>
          <w:p>
            <w:pPr>
              <w:spacing w:after="0"/>
              <w:rPr>
                <w:sz w:val="20"/>
                <w:szCs w:val="20"/>
                <w:color w:val="auto"/>
              </w:rPr>
            </w:pPr>
          </w:p>
        </w:tc>
        <w:tc>
          <w:tcPr>
            <w:tcW w:w="1140" w:type="dxa"/>
            <w:vAlign w:val="bottom"/>
            <w:tcBorders>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(1,259)</w:t>
            </w:r>
          </w:p>
        </w:tc>
        <w:tc>
          <w:tcPr>
            <w:tcW w:w="100" w:type="dxa"/>
            <w:vAlign w:val="bottom"/>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spacing w:after="0"/>
              <w:rPr>
                <w:sz w:val="20"/>
                <w:szCs w:val="20"/>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(695)</w:t>
            </w:r>
          </w:p>
        </w:tc>
        <w:tc>
          <w:tcPr>
            <w:tcW w:w="0" w:type="dxa"/>
            <w:vAlign w:val="bottom"/>
          </w:tcPr>
          <w:p>
            <w:pPr>
              <w:spacing w:after="0"/>
              <w:rPr>
                <w:sz w:val="1"/>
                <w:szCs w:val="1"/>
                <w:color w:val="auto"/>
              </w:rPr>
            </w:pPr>
          </w:p>
        </w:tc>
      </w:tr>
      <w:tr>
        <w:trPr>
          <w:trHeight w:val="215"/>
        </w:trPr>
        <w:tc>
          <w:tcPr>
            <w:tcW w:w="8200" w:type="dxa"/>
            <w:vAlign w:val="bottom"/>
            <w:tcBorders>
              <w:bottom w:val="single" w:sz="8" w:color="CCFFCC"/>
            </w:tcBorders>
          </w:tcPr>
          <w:p>
            <w:pPr>
              <w:ind w:left="520"/>
              <w:spacing w:after="0"/>
              <w:rPr>
                <w:sz w:val="20"/>
                <w:szCs w:val="20"/>
                <w:color w:val="auto"/>
              </w:rPr>
            </w:pPr>
            <w:r>
              <w:rPr>
                <w:rFonts w:ascii="Arial" w:cs="Arial" w:eastAsia="Arial" w:hAnsi="Arial"/>
                <w:sz w:val="13"/>
                <w:szCs w:val="13"/>
                <w:color w:val="auto"/>
              </w:rPr>
              <w:t>Net cash used in investing activities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(34,163)</w:t>
            </w:r>
          </w:p>
        </w:tc>
        <w:tc>
          <w:tcPr>
            <w:tcW w:w="1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(34,254)</w:t>
            </w:r>
          </w:p>
        </w:tc>
        <w:tc>
          <w:tcPr>
            <w:tcW w:w="0" w:type="dxa"/>
            <w:vAlign w:val="bottom"/>
          </w:tcPr>
          <w:p>
            <w:pPr>
              <w:spacing w:after="0"/>
              <w:rPr>
                <w:sz w:val="1"/>
                <w:szCs w:val="1"/>
                <w:color w:val="auto"/>
              </w:rPr>
            </w:pPr>
          </w:p>
        </w:tc>
      </w:tr>
      <w:tr>
        <w:trPr>
          <w:trHeight w:val="232"/>
        </w:trPr>
        <w:tc>
          <w:tcPr>
            <w:tcW w:w="820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3"/>
                <w:szCs w:val="13"/>
                <w:color w:val="auto"/>
              </w:rPr>
              <w:t>FINANCING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00" w:type="dxa"/>
            <w:vAlign w:val="bottom"/>
            <w:shd w:val="clear" w:color="auto" w:fill="CCFFCC"/>
          </w:tcPr>
          <w:p>
            <w:pPr>
              <w:ind w:left="140"/>
              <w:spacing w:after="0"/>
              <w:rPr>
                <w:sz w:val="20"/>
                <w:szCs w:val="20"/>
                <w:color w:val="auto"/>
              </w:rPr>
            </w:pPr>
            <w:r>
              <w:rPr>
                <w:rFonts w:ascii="Arial" w:cs="Arial" w:eastAsia="Arial" w:hAnsi="Arial"/>
                <w:sz w:val="13"/>
                <w:szCs w:val="13"/>
                <w:color w:val="auto"/>
              </w:rPr>
              <w:t>Repurchase of common stock</w:t>
            </w:r>
          </w:p>
        </w:tc>
        <w:tc>
          <w:tcPr>
            <w:tcW w:w="36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(709)</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3"/>
                <w:szCs w:val="13"/>
                <w:color w:val="auto"/>
              </w:rPr>
              <w:t>Proceeds from issuance of common stock in connection with the exercise of options and ESPP</w:t>
            </w:r>
          </w:p>
        </w:tc>
        <w:tc>
          <w:tcPr>
            <w:tcW w:w="360" w:type="dxa"/>
            <w:vAlign w:val="bottom"/>
          </w:tcPr>
          <w:p>
            <w:pPr>
              <w:spacing w:after="0"/>
              <w:rPr>
                <w:sz w:val="19"/>
                <w:szCs w:val="19"/>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17,147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17,761</w:t>
            </w:r>
          </w:p>
        </w:tc>
        <w:tc>
          <w:tcPr>
            <w:tcW w:w="0" w:type="dxa"/>
            <w:vAlign w:val="bottom"/>
          </w:tcPr>
          <w:p>
            <w:pPr>
              <w:spacing w:after="0"/>
              <w:rPr>
                <w:sz w:val="1"/>
                <w:szCs w:val="1"/>
                <w:color w:val="auto"/>
              </w:rPr>
            </w:pPr>
          </w:p>
        </w:tc>
      </w:tr>
      <w:tr>
        <w:trPr>
          <w:trHeight w:val="241"/>
        </w:trPr>
        <w:tc>
          <w:tcPr>
            <w:tcW w:w="8200" w:type="dxa"/>
            <w:vAlign w:val="bottom"/>
            <w:shd w:val="clear" w:color="auto" w:fill="CCFFCC"/>
          </w:tcPr>
          <w:p>
            <w:pPr>
              <w:ind w:left="140"/>
              <w:spacing w:after="0"/>
              <w:rPr>
                <w:sz w:val="20"/>
                <w:szCs w:val="20"/>
                <w:color w:val="auto"/>
              </w:rPr>
            </w:pPr>
            <w:r>
              <w:rPr>
                <w:rFonts w:ascii="Arial" w:cs="Arial" w:eastAsia="Arial" w:hAnsi="Arial"/>
                <w:sz w:val="13"/>
                <w:szCs w:val="13"/>
                <w:color w:val="auto"/>
              </w:rPr>
              <w:t>Proceeds from issuance of convertible senior notes</w:t>
            </w:r>
          </w:p>
        </w:tc>
        <w:tc>
          <w:tcPr>
            <w:tcW w:w="36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230,000</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3"/>
                <w:szCs w:val="13"/>
                <w:color w:val="auto"/>
              </w:rPr>
              <w:t>Payment of issuance costs in connection with convertible senior notes</w:t>
            </w:r>
          </w:p>
        </w:tc>
        <w:tc>
          <w:tcPr>
            <w:tcW w:w="3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(8,618)</w:t>
            </w:r>
          </w:p>
        </w:tc>
        <w:tc>
          <w:tcPr>
            <w:tcW w:w="0" w:type="dxa"/>
            <w:vAlign w:val="bottom"/>
          </w:tcPr>
          <w:p>
            <w:pPr>
              <w:spacing w:after="0"/>
              <w:rPr>
                <w:sz w:val="1"/>
                <w:szCs w:val="1"/>
                <w:color w:val="auto"/>
              </w:rPr>
            </w:pPr>
          </w:p>
        </w:tc>
      </w:tr>
      <w:tr>
        <w:trPr>
          <w:trHeight w:val="241"/>
        </w:trPr>
        <w:tc>
          <w:tcPr>
            <w:tcW w:w="8200" w:type="dxa"/>
            <w:vAlign w:val="bottom"/>
            <w:shd w:val="clear" w:color="auto" w:fill="CCFFCC"/>
          </w:tcPr>
          <w:p>
            <w:pPr>
              <w:ind w:left="140"/>
              <w:spacing w:after="0"/>
              <w:rPr>
                <w:sz w:val="20"/>
                <w:szCs w:val="20"/>
                <w:color w:val="auto"/>
              </w:rPr>
            </w:pPr>
            <w:r>
              <w:rPr>
                <w:rFonts w:ascii="Arial" w:cs="Arial" w:eastAsia="Arial" w:hAnsi="Arial"/>
                <w:sz w:val="13"/>
                <w:szCs w:val="13"/>
                <w:color w:val="auto"/>
              </w:rPr>
              <w:t>Payments related to contingent consideration</w:t>
            </w:r>
          </w:p>
        </w:tc>
        <w:tc>
          <w:tcPr>
            <w:tcW w:w="36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3"/>
                <w:szCs w:val="13"/>
                <w:color w:val="auto"/>
              </w:rPr>
              <w:t>Purchase of capped call option</w:t>
            </w:r>
          </w:p>
        </w:tc>
        <w:tc>
          <w:tcPr>
            <w:tcW w:w="3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(23,184)</w:t>
            </w:r>
          </w:p>
        </w:tc>
        <w:tc>
          <w:tcPr>
            <w:tcW w:w="0" w:type="dxa"/>
            <w:vAlign w:val="bottom"/>
          </w:tcPr>
          <w:p>
            <w:pPr>
              <w:spacing w:after="0"/>
              <w:rPr>
                <w:sz w:val="1"/>
                <w:szCs w:val="1"/>
                <w:color w:val="auto"/>
              </w:rPr>
            </w:pPr>
          </w:p>
        </w:tc>
      </w:tr>
      <w:tr>
        <w:trPr>
          <w:trHeight w:val="215"/>
        </w:trPr>
        <w:tc>
          <w:tcPr>
            <w:tcW w:w="8200" w:type="dxa"/>
            <w:vAlign w:val="bottom"/>
            <w:tcBorders>
              <w:top w:val="single" w:sz="8" w:color="CCFFCC"/>
            </w:tcBorders>
            <w:shd w:val="clear" w:color="auto" w:fill="CCFFCC"/>
          </w:tcPr>
          <w:p>
            <w:pPr>
              <w:ind w:left="520"/>
              <w:spacing w:after="0"/>
              <w:rPr>
                <w:sz w:val="20"/>
                <w:szCs w:val="20"/>
                <w:color w:val="auto"/>
              </w:rPr>
            </w:pPr>
            <w:r>
              <w:rPr>
                <w:rFonts w:ascii="Arial" w:cs="Arial" w:eastAsia="Arial" w:hAnsi="Arial"/>
                <w:sz w:val="13"/>
                <w:szCs w:val="13"/>
                <w:color w:val="auto"/>
              </w:rPr>
              <w:t>Net cash provided by financing activities</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ind w:right="57"/>
              <w:spacing w:after="0"/>
              <w:rPr>
                <w:sz w:val="20"/>
                <w:szCs w:val="20"/>
                <w:color w:val="auto"/>
              </w:rPr>
            </w:pPr>
            <w:r>
              <w:rPr>
                <w:rFonts w:ascii="Arial" w:cs="Arial" w:eastAsia="Arial" w:hAnsi="Arial"/>
                <w:sz w:val="13"/>
                <w:szCs w:val="13"/>
                <w:color w:val="auto"/>
              </w:rPr>
              <w:t>17,147</w:t>
            </w: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rPr>
              <w:t>214,763</w:t>
            </w:r>
          </w:p>
        </w:tc>
        <w:tc>
          <w:tcPr>
            <w:tcW w:w="0" w:type="dxa"/>
            <w:vAlign w:val="bottom"/>
          </w:tcPr>
          <w:p>
            <w:pPr>
              <w:spacing w:after="0"/>
              <w:rPr>
                <w:sz w:val="1"/>
                <w:szCs w:val="1"/>
                <w:color w:val="auto"/>
              </w:rPr>
            </w:pPr>
          </w:p>
        </w:tc>
      </w:tr>
      <w:tr>
        <w:trPr>
          <w:trHeight w:val="215"/>
        </w:trPr>
        <w:tc>
          <w:tcPr>
            <w:tcW w:w="8200" w:type="dxa"/>
            <w:vAlign w:val="bottom"/>
            <w:tcBorders>
              <w:bottom w:val="single" w:sz="8" w:color="CCFFCC"/>
            </w:tcBorders>
          </w:tcPr>
          <w:p>
            <w:pPr>
              <w:ind w:left="20"/>
              <w:spacing w:after="0"/>
              <w:rPr>
                <w:sz w:val="20"/>
                <w:szCs w:val="20"/>
                <w:color w:val="auto"/>
              </w:rPr>
            </w:pPr>
            <w:r>
              <w:rPr>
                <w:rFonts w:ascii="Arial" w:cs="Arial" w:eastAsia="Arial" w:hAnsi="Arial"/>
                <w:sz w:val="13"/>
                <w:szCs w:val="13"/>
                <w:color w:val="auto"/>
              </w:rPr>
              <w:t>EFFECT OF FOREIGN EXCHANGE RATE CHANGES ON CASH AND CASH EQUIVALENTS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1,532</w:t>
            </w:r>
          </w:p>
        </w:tc>
        <w:tc>
          <w:tcPr>
            <w:tcW w:w="1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(1,361)</w:t>
            </w:r>
          </w:p>
        </w:tc>
        <w:tc>
          <w:tcPr>
            <w:tcW w:w="0" w:type="dxa"/>
            <w:vAlign w:val="bottom"/>
          </w:tcPr>
          <w:p>
            <w:pPr>
              <w:spacing w:after="0"/>
              <w:rPr>
                <w:sz w:val="1"/>
                <w:szCs w:val="1"/>
                <w:color w:val="auto"/>
              </w:rPr>
            </w:pPr>
          </w:p>
        </w:tc>
      </w:tr>
      <w:tr>
        <w:trPr>
          <w:trHeight w:val="221"/>
        </w:trPr>
        <w:tc>
          <w:tcPr>
            <w:tcW w:w="8200" w:type="dxa"/>
            <w:vAlign w:val="bottom"/>
            <w:shd w:val="clear" w:color="auto" w:fill="CCFFCC"/>
          </w:tcPr>
          <w:p>
            <w:pPr>
              <w:ind w:left="20"/>
              <w:spacing w:after="0"/>
              <w:rPr>
                <w:sz w:val="20"/>
                <w:szCs w:val="20"/>
                <w:color w:val="auto"/>
              </w:rPr>
            </w:pPr>
            <w:r>
              <w:rPr>
                <w:rFonts w:ascii="Arial" w:cs="Arial" w:eastAsia="Arial" w:hAnsi="Arial"/>
                <w:sz w:val="13"/>
                <w:szCs w:val="13"/>
                <w:color w:val="auto"/>
              </w:rPr>
              <w:t>CHANGE IN CASH AND CASH EQUIVALENTS</w:t>
            </w:r>
          </w:p>
        </w:tc>
        <w:tc>
          <w:tcPr>
            <w:tcW w:w="360" w:type="dxa"/>
            <w:vAlign w:val="bottom"/>
            <w:shd w:val="clear" w:color="auto" w:fill="CCFFCC"/>
          </w:tcPr>
          <w:p>
            <w:pPr>
              <w:spacing w:after="0"/>
              <w:rPr>
                <w:sz w:val="19"/>
                <w:szCs w:val="19"/>
                <w:color w:val="auto"/>
              </w:rPr>
            </w:pPr>
          </w:p>
        </w:tc>
        <w:tc>
          <w:tcPr>
            <w:tcW w:w="1140" w:type="dxa"/>
            <w:vAlign w:val="bottom"/>
            <w:shd w:val="clear" w:color="auto" w:fill="CCFFCC"/>
          </w:tcPr>
          <w:p>
            <w:pPr>
              <w:jc w:val="right"/>
              <w:ind w:right="57"/>
              <w:spacing w:after="0"/>
              <w:rPr>
                <w:sz w:val="20"/>
                <w:szCs w:val="20"/>
                <w:color w:val="auto"/>
              </w:rPr>
            </w:pPr>
            <w:r>
              <w:rPr>
                <w:rFonts w:ascii="Arial" w:cs="Arial" w:eastAsia="Arial" w:hAnsi="Arial"/>
                <w:sz w:val="13"/>
                <w:szCs w:val="13"/>
                <w:color w:val="auto"/>
              </w:rPr>
              <w:t>22,171</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138,704</w:t>
            </w:r>
          </w:p>
        </w:tc>
        <w:tc>
          <w:tcPr>
            <w:tcW w:w="0" w:type="dxa"/>
            <w:vAlign w:val="bottom"/>
          </w:tcPr>
          <w:p>
            <w:pPr>
              <w:spacing w:after="0"/>
              <w:rPr>
                <w:sz w:val="1"/>
                <w:szCs w:val="1"/>
                <w:color w:val="auto"/>
              </w:rPr>
            </w:pPr>
          </w:p>
        </w:tc>
      </w:tr>
      <w:tr>
        <w:trPr>
          <w:trHeight w:val="230"/>
        </w:trPr>
        <w:tc>
          <w:tcPr>
            <w:tcW w:w="8200" w:type="dxa"/>
            <w:vAlign w:val="bottom"/>
            <w:tcBorders>
              <w:bottom w:val="single" w:sz="8" w:color="CCFFCC"/>
            </w:tcBorders>
          </w:tcPr>
          <w:p>
            <w:pPr>
              <w:ind w:left="20"/>
              <w:spacing w:after="0"/>
              <w:rPr>
                <w:sz w:val="20"/>
                <w:szCs w:val="20"/>
                <w:color w:val="auto"/>
              </w:rPr>
            </w:pPr>
            <w:r>
              <w:rPr>
                <w:rFonts w:ascii="Arial" w:cs="Arial" w:eastAsia="Arial" w:hAnsi="Arial"/>
                <w:sz w:val="13"/>
                <w:szCs w:val="13"/>
                <w:color w:val="auto"/>
              </w:rPr>
              <w:t>CASH AND CASH EQUIVALENTS - Beginning of the period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176,523</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66,449</w:t>
            </w:r>
          </w:p>
        </w:tc>
        <w:tc>
          <w:tcPr>
            <w:tcW w:w="0" w:type="dxa"/>
            <w:vAlign w:val="bottom"/>
          </w:tcPr>
          <w:p>
            <w:pPr>
              <w:spacing w:after="0"/>
              <w:rPr>
                <w:sz w:val="1"/>
                <w:szCs w:val="1"/>
                <w:color w:val="auto"/>
              </w:rPr>
            </w:pPr>
          </w:p>
        </w:tc>
      </w:tr>
      <w:tr>
        <w:trPr>
          <w:trHeight w:val="209"/>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3"/>
                <w:szCs w:val="13"/>
                <w:color w:val="auto"/>
              </w:rPr>
              <w:t>CASH AND CASH EQUIVALENTS - End of the period</w:t>
            </w:r>
          </w:p>
        </w:tc>
        <w:tc>
          <w:tcPr>
            <w:tcW w:w="360" w:type="dxa"/>
            <w:vAlign w:val="bottom"/>
            <w:tcBorders>
              <w:bottom w:val="single" w:sz="8" w:color="auto"/>
            </w:tcBorders>
            <w:shd w:val="clear" w:color="auto" w:fill="CCFFCC"/>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FFCC"/>
          </w:tcPr>
          <w:p>
            <w:pPr>
              <w:jc w:val="right"/>
              <w:ind w:right="57"/>
              <w:spacing w:after="0"/>
              <w:rPr>
                <w:sz w:val="20"/>
                <w:szCs w:val="20"/>
                <w:color w:val="auto"/>
              </w:rPr>
            </w:pPr>
            <w:r>
              <w:rPr>
                <w:rFonts w:ascii="Arial" w:cs="Arial" w:eastAsia="Arial" w:hAnsi="Arial"/>
                <w:sz w:val="13"/>
                <w:szCs w:val="13"/>
                <w:color w:val="auto"/>
              </w:rPr>
              <w:t>198,694</w:t>
            </w:r>
          </w:p>
        </w:tc>
        <w:tc>
          <w:tcPr>
            <w:tcW w:w="100" w:type="dxa"/>
            <w:vAlign w:val="bottom"/>
            <w:tcBorders>
              <w:bottom w:val="single" w:sz="8" w:color="CCFFCC"/>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rPr>
              <w:t>205,153</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20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5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LIVEPERSON, INC.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0" w:type="dxa"/>
            <w:vAlign w:val="bottom"/>
            <w:shd w:val="clear" w:color="auto" w:fill="CCFFCC"/>
          </w:tcPr>
          <w:p>
            <w:pPr>
              <w:ind w:left="20"/>
              <w:spacing w:after="0"/>
              <w:rPr>
                <w:sz w:val="20"/>
                <w:szCs w:val="20"/>
                <w:color w:val="auto"/>
              </w:rPr>
            </w:pPr>
            <w:r>
              <w:rPr>
                <w:rFonts w:ascii="Arial" w:cs="Arial" w:eastAsia="Arial" w:hAnsi="Arial"/>
                <w:sz w:val="13"/>
                <w:szCs w:val="13"/>
                <w:color w:val="auto"/>
              </w:rPr>
              <w:t>SUPPLEMENTAL DISCLOSURE OF OTHER CASH FLOW INFORMATION:</w:t>
            </w:r>
          </w:p>
        </w:tc>
        <w:tc>
          <w:tcPr>
            <w:tcW w:w="56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5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200" w:type="dxa"/>
            <w:vAlign w:val="bottom"/>
            <w:tcBorders>
              <w:bottom w:val="single" w:sz="8" w:color="CCFFCC"/>
            </w:tcBorders>
          </w:tcPr>
          <w:p>
            <w:pPr>
              <w:ind w:left="140"/>
              <w:spacing w:after="0"/>
              <w:rPr>
                <w:sz w:val="20"/>
                <w:szCs w:val="20"/>
                <w:color w:val="auto"/>
              </w:rPr>
            </w:pPr>
            <w:r>
              <w:rPr>
                <w:rFonts w:ascii="Arial" w:cs="Arial" w:eastAsia="Arial" w:hAnsi="Arial"/>
                <w:sz w:val="13"/>
                <w:szCs w:val="13"/>
                <w:color w:val="auto"/>
              </w:rPr>
              <w:t>Cash paid for income taxes</w:t>
            </w:r>
          </w:p>
        </w:tc>
        <w:tc>
          <w:tcPr>
            <w:tcW w:w="5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4,321</w:t>
            </w:r>
          </w:p>
        </w:tc>
        <w:tc>
          <w:tcPr>
            <w:tcW w:w="100" w:type="dxa"/>
            <w:vAlign w:val="bottom"/>
            <w:tcBorders>
              <w:bottom w:val="single" w:sz="8" w:color="CCFFCC"/>
            </w:tcBorders>
          </w:tcPr>
          <w:p>
            <w:pPr>
              <w:spacing w:after="0"/>
              <w:rPr>
                <w:sz w:val="22"/>
                <w:szCs w:val="22"/>
                <w:color w:val="auto"/>
              </w:rPr>
            </w:pPr>
          </w:p>
        </w:tc>
        <w:tc>
          <w:tcPr>
            <w:tcW w:w="56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2,126</w:t>
            </w:r>
          </w:p>
        </w:tc>
        <w:tc>
          <w:tcPr>
            <w:tcW w:w="0" w:type="dxa"/>
            <w:vAlign w:val="bottom"/>
          </w:tcPr>
          <w:p>
            <w:pPr>
              <w:spacing w:after="0"/>
              <w:rPr>
                <w:sz w:val="1"/>
                <w:szCs w:val="1"/>
                <w:color w:val="auto"/>
              </w:rPr>
            </w:pPr>
          </w:p>
        </w:tc>
      </w:tr>
      <w:tr>
        <w:trPr>
          <w:trHeight w:val="128"/>
        </w:trPr>
        <w:tc>
          <w:tcPr>
            <w:tcW w:w="8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3"/>
                <w:szCs w:val="13"/>
                <w:color w:val="auto"/>
              </w:rPr>
              <w:t>SUPPLEMENTAL DISCLOSURE OF NON-CASH INVESTING AND FINANCING ACTIVITIES: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00" w:type="dxa"/>
            <w:vAlign w:val="bottom"/>
            <w:shd w:val="clear" w:color="auto" w:fill="CCFFCC"/>
          </w:tcPr>
          <w:p>
            <w:pPr>
              <w:ind w:left="140"/>
              <w:spacing w:after="0"/>
              <w:rPr>
                <w:sz w:val="20"/>
                <w:szCs w:val="20"/>
                <w:color w:val="auto"/>
              </w:rPr>
            </w:pPr>
            <w:r>
              <w:rPr>
                <w:rFonts w:ascii="Arial" w:cs="Arial" w:eastAsia="Arial" w:hAnsi="Arial"/>
                <w:sz w:val="13"/>
                <w:szCs w:val="13"/>
                <w:color w:val="auto"/>
              </w:rPr>
              <w:t>Purchase of property and equipment recorded in accounts payable</w:t>
            </w:r>
          </w:p>
        </w:tc>
        <w:tc>
          <w:tcPr>
            <w:tcW w:w="560" w:type="dxa"/>
            <w:vAlign w:val="bottom"/>
            <w:shd w:val="clear" w:color="auto" w:fill="CCFFCC"/>
          </w:tcPr>
          <w:p>
            <w:pPr>
              <w:jc w:val="right"/>
              <w:ind w:right="39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FFCC"/>
          </w:tcPr>
          <w:p>
            <w:pPr>
              <w:jc w:val="right"/>
              <w:ind w:right="57"/>
              <w:spacing w:after="0"/>
              <w:rPr>
                <w:sz w:val="20"/>
                <w:szCs w:val="20"/>
                <w:color w:val="auto"/>
              </w:rPr>
            </w:pPr>
            <w:r>
              <w:rPr>
                <w:rFonts w:ascii="Arial" w:cs="Arial" w:eastAsia="Arial" w:hAnsi="Arial"/>
                <w:sz w:val="13"/>
                <w:szCs w:val="13"/>
                <w:color w:val="auto"/>
              </w:rPr>
              <w:t>1,273</w:t>
            </w:r>
          </w:p>
        </w:tc>
        <w:tc>
          <w:tcPr>
            <w:tcW w:w="100" w:type="dxa"/>
            <w:vAlign w:val="bottom"/>
            <w:shd w:val="clear" w:color="auto" w:fill="CCFFCC"/>
          </w:tcPr>
          <w:p>
            <w:pPr>
              <w:spacing w:after="0"/>
              <w:rPr>
                <w:sz w:val="20"/>
                <w:szCs w:val="20"/>
                <w:color w:val="auto"/>
              </w:rPr>
            </w:pPr>
          </w:p>
        </w:tc>
        <w:tc>
          <w:tcPr>
            <w:tcW w:w="560" w:type="dxa"/>
            <w:vAlign w:val="bottom"/>
            <w:shd w:val="clear" w:color="auto" w:fill="CCFFCC"/>
          </w:tcPr>
          <w:p>
            <w:pPr>
              <w:jc w:val="right"/>
              <w:ind w:right="41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1,694</w:t>
            </w:r>
          </w:p>
        </w:tc>
        <w:tc>
          <w:tcPr>
            <w:tcW w:w="0" w:type="dxa"/>
            <w:vAlign w:val="bottom"/>
          </w:tcPr>
          <w:p>
            <w:pPr>
              <w:spacing w:after="0"/>
              <w:rPr>
                <w:sz w:val="1"/>
                <w:szCs w:val="1"/>
                <w:color w:val="auto"/>
              </w:rPr>
            </w:pPr>
          </w:p>
        </w:tc>
      </w:tr>
      <w:tr>
        <w:trPr>
          <w:trHeight w:val="165"/>
        </w:trPr>
        <w:tc>
          <w:tcPr>
            <w:tcW w:w="8200" w:type="dxa"/>
            <w:vAlign w:val="bottom"/>
          </w:tcPr>
          <w:p>
            <w:pPr>
              <w:ind w:left="140"/>
              <w:spacing w:after="0"/>
              <w:rPr>
                <w:sz w:val="20"/>
                <w:szCs w:val="20"/>
                <w:color w:val="auto"/>
              </w:rPr>
            </w:pPr>
            <w:r>
              <w:rPr>
                <w:rFonts w:ascii="Arial" w:cs="Arial" w:eastAsia="Arial" w:hAnsi="Arial"/>
                <w:sz w:val="13"/>
                <w:szCs w:val="13"/>
                <w:color w:val="auto"/>
              </w:rPr>
              <w:t>Issuance of 11,508 shares of common stock as earnout payment in connection with AdvantageTec Inc.</w:t>
            </w:r>
          </w:p>
        </w:tc>
        <w:tc>
          <w:tcPr>
            <w:tcW w:w="560" w:type="dxa"/>
            <w:vAlign w:val="bottom"/>
            <w:vMerge w:val="restart"/>
          </w:tcPr>
          <w:p>
            <w:pPr>
              <w:jc w:val="right"/>
              <w:ind w:right="39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4"/>
                <w:szCs w:val="14"/>
                <w:color w:val="auto"/>
              </w:rPr>
            </w:pPr>
          </w:p>
        </w:tc>
        <w:tc>
          <w:tcPr>
            <w:tcW w:w="560" w:type="dxa"/>
            <w:vAlign w:val="bottom"/>
            <w:vMerge w:val="restart"/>
          </w:tcPr>
          <w:p>
            <w:pPr>
              <w:jc w:val="right"/>
              <w:ind w:right="417"/>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82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8200" w:type="dxa"/>
            <w:vAlign w:val="bottom"/>
            <w:shd w:val="clear" w:color="auto" w:fill="CCFFCC"/>
          </w:tcPr>
          <w:p>
            <w:pPr>
              <w:ind w:left="140"/>
              <w:spacing w:after="0"/>
              <w:rPr>
                <w:sz w:val="20"/>
                <w:szCs w:val="20"/>
                <w:color w:val="auto"/>
              </w:rPr>
            </w:pPr>
            <w:r>
              <w:rPr>
                <w:rFonts w:ascii="Arial" w:cs="Arial" w:eastAsia="Arial" w:hAnsi="Arial"/>
                <w:sz w:val="13"/>
                <w:szCs w:val="13"/>
                <w:color w:val="auto"/>
              </w:rPr>
              <w:t>Issuance of 991,905 shares of common stock to settle cash awards</w:t>
            </w:r>
          </w:p>
        </w:tc>
        <w:tc>
          <w:tcPr>
            <w:tcW w:w="560" w:type="dxa"/>
            <w:vAlign w:val="bottom"/>
            <w:shd w:val="clear" w:color="auto" w:fill="CCFFCC"/>
          </w:tcPr>
          <w:p>
            <w:pPr>
              <w:jc w:val="right"/>
              <w:ind w:right="39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FFCC"/>
          </w:tcPr>
          <w:p>
            <w:pPr>
              <w:jc w:val="right"/>
              <w:ind w:right="57"/>
              <w:spacing w:after="0"/>
              <w:rPr>
                <w:sz w:val="20"/>
                <w:szCs w:val="20"/>
                <w:color w:val="auto"/>
              </w:rPr>
            </w:pPr>
            <w:r>
              <w:rPr>
                <w:rFonts w:ascii="Arial" w:cs="Arial" w:eastAsia="Arial" w:hAnsi="Arial"/>
                <w:sz w:val="13"/>
                <w:szCs w:val="13"/>
                <w:color w:val="auto"/>
              </w:rPr>
              <w:t>24,656</w:t>
            </w:r>
          </w:p>
        </w:tc>
        <w:tc>
          <w:tcPr>
            <w:tcW w:w="100" w:type="dxa"/>
            <w:vAlign w:val="bottom"/>
            <w:shd w:val="clear" w:color="auto" w:fill="CCFFCC"/>
          </w:tcPr>
          <w:p>
            <w:pPr>
              <w:spacing w:after="0"/>
              <w:rPr>
                <w:sz w:val="20"/>
                <w:szCs w:val="20"/>
                <w:color w:val="auto"/>
              </w:rPr>
            </w:pPr>
          </w:p>
        </w:tc>
        <w:tc>
          <w:tcPr>
            <w:tcW w:w="560" w:type="dxa"/>
            <w:vAlign w:val="bottom"/>
            <w:shd w:val="clear" w:color="auto" w:fill="CCFFCC"/>
          </w:tcPr>
          <w:p>
            <w:pPr>
              <w:jc w:val="right"/>
              <w:ind w:right="41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3"/>
                <w:szCs w:val="13"/>
                <w:color w:val="auto"/>
              </w:rPr>
              <w:t>Debt offering costs, accrued but not paid</w:t>
            </w:r>
          </w:p>
        </w:tc>
        <w:tc>
          <w:tcPr>
            <w:tcW w:w="56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4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52"/>
        </w:trPr>
        <w:tc>
          <w:tcPr>
            <w:tcW w:w="82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664" w:right="339" w:bottom="1440" w:gutter="0" w:footer="0" w:header="0"/>
        </w:sectPr>
      </w:pPr>
    </w:p>
    <w:bookmarkStart w:id="11" w:name="page12"/>
    <w:bookmarkEnd w:id="11"/>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6" w:hanging="586"/>
        <w:spacing w:after="0"/>
        <w:tabs>
          <w:tab w:leader="none" w:pos="586"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Description of Business and Basis of Presentation</w:t>
      </w:r>
    </w:p>
    <w:p>
      <w:pPr>
        <w:spacing w:after="0" w:line="196" w:lineRule="exact"/>
        <w:rPr>
          <w:sz w:val="20"/>
          <w:szCs w:val="20"/>
          <w:color w:val="auto"/>
        </w:rPr>
      </w:pPr>
    </w:p>
    <w:p>
      <w:pPr>
        <w:jc w:val="both"/>
        <w:ind w:left="6" w:firstLine="564"/>
        <w:spacing w:after="0" w:line="267" w:lineRule="auto"/>
        <w:rPr>
          <w:sz w:val="20"/>
          <w:szCs w:val="20"/>
          <w:color w:val="auto"/>
        </w:rPr>
      </w:pPr>
      <w:r>
        <w:rPr>
          <w:rFonts w:ascii="Arial" w:cs="Arial" w:eastAsia="Arial" w:hAnsi="Arial"/>
          <w:sz w:val="15"/>
          <w:szCs w:val="15"/>
          <w:color w:val="auto"/>
        </w:rPr>
        <w:t>LivePerson, Inc. (the “Company” or “LivePerson”) makes life easier for people and brands everywhere through messaging powered by AI making Conversational Commerce possible, and humans. During the past decade, the consumers have made the mobile device the center of their digital lives, and they have made mobile messaging the center of communication with friends, family and peers. The Company’s 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social and brick and mortar engagements. For example, consumers can look up product info like ratings, images and pricing, search for stores, see product inventory, schedule appointments, apply for credit, approve repairs, make purchases or payments - all without ever leaving the messaging channel. These AI and human-assisted conversational experiences constitute the Conversational Space.</w:t>
      </w:r>
    </w:p>
    <w:p>
      <w:pPr>
        <w:spacing w:after="0" w:line="63" w:lineRule="exact"/>
        <w:rPr>
          <w:sz w:val="20"/>
          <w:szCs w:val="20"/>
          <w:color w:val="auto"/>
        </w:rPr>
      </w:pPr>
    </w:p>
    <w:p>
      <w:pPr>
        <w:jc w:val="both"/>
        <w:ind w:left="6" w:firstLine="564"/>
        <w:spacing w:after="0" w:line="317" w:lineRule="auto"/>
        <w:rPr>
          <w:sz w:val="20"/>
          <w:szCs w:val="20"/>
          <w:color w:val="auto"/>
        </w:rPr>
      </w:pPr>
      <w:r>
        <w:rPr>
          <w:rFonts w:ascii="Arial" w:cs="Arial" w:eastAsia="Arial" w:hAnsi="Arial"/>
          <w:sz w:val="13"/>
          <w:szCs w:val="13"/>
          <w:color w:val="auto"/>
        </w:rPr>
        <w:t>The Conversational Cloud (formerly "LiveEngage"), the Company’s enterprise-class cloud-based platform, enables businesses to become conversational by securely deploying messaging, coupled with bots and AI, at scale for brands with tens of millions of customers and many thousands of customer care agents. The Conversational Cloud powers conversations across each of a brand’s primary digital channels, including mobile apps, mobile and desktop web browsers, short message service (SMS), social media and third-party consumer messaging platforms. Brands can also use Conversational Cloud to message consumers when they dial a 1-800 number instead of forcing them to navigate interactive voice response systems (IVRs) and wait on hold. Similarly, Conversational Cloud can receive traditional emails and convert them into messaging conversations, or embed messaging conversations directly into web advertisements, rather than redirect consumers to static website landing pages.</w:t>
      </w:r>
    </w:p>
    <w:p>
      <w:pPr>
        <w:spacing w:after="0" w:line="38" w:lineRule="exact"/>
        <w:rPr>
          <w:sz w:val="20"/>
          <w:szCs w:val="20"/>
          <w:color w:val="auto"/>
        </w:rPr>
      </w:pPr>
    </w:p>
    <w:p>
      <w:pPr>
        <w:jc w:val="both"/>
        <w:ind w:left="6" w:firstLine="564"/>
        <w:spacing w:after="0" w:line="317" w:lineRule="auto"/>
        <w:rPr>
          <w:sz w:val="20"/>
          <w:szCs w:val="20"/>
          <w:color w:val="auto"/>
        </w:rPr>
      </w:pPr>
      <w:r>
        <w:rPr>
          <w:rFonts w:ascii="Arial" w:cs="Arial" w:eastAsia="Arial" w:hAnsi="Arial"/>
          <w:sz w:val="13"/>
          <w:szCs w:val="13"/>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With Conversational Cloud, agents can manage all conversations with consumers through a single console interface, regardless of which disparate messaging endpoints the consumers originate from -- i.e., WhatsApp, Line, Apple Business Chat, IVR, social, email, Alexa, or WeChat.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Conversational Cloud.</w:t>
      </w:r>
    </w:p>
    <w:p>
      <w:pPr>
        <w:spacing w:after="0" w:line="38" w:lineRule="exact"/>
        <w:rPr>
          <w:sz w:val="20"/>
          <w:szCs w:val="20"/>
          <w:color w:val="auto"/>
        </w:rPr>
      </w:pPr>
    </w:p>
    <w:p>
      <w:pPr>
        <w:jc w:val="both"/>
        <w:ind w:left="6" w:firstLine="564"/>
        <w:spacing w:after="0" w:line="269" w:lineRule="auto"/>
        <w:rPr>
          <w:sz w:val="20"/>
          <w:szCs w:val="20"/>
          <w:color w:val="auto"/>
        </w:rPr>
      </w:pPr>
      <w:r>
        <w:rPr>
          <w:rFonts w:ascii="Arial" w:cs="Arial" w:eastAsia="Arial" w:hAnsi="Arial"/>
          <w:sz w:val="15"/>
          <w:szCs w:val="15"/>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the Company’s proprietary Conversational AI, as well as third-party bots, Conversational Cloud offers brands a comprehensive approach to scaling automations across their millions of customer conversations.</w:t>
      </w:r>
    </w:p>
    <w:p>
      <w:pPr>
        <w:spacing w:after="0" w:line="62" w:lineRule="exact"/>
        <w:rPr>
          <w:sz w:val="20"/>
          <w:szCs w:val="20"/>
          <w:color w:val="auto"/>
        </w:rPr>
      </w:pPr>
    </w:p>
    <w:p>
      <w:pPr>
        <w:jc w:val="both"/>
        <w:ind w:left="6" w:firstLine="564"/>
        <w:spacing w:after="0" w:line="250" w:lineRule="auto"/>
        <w:rPr>
          <w:sz w:val="20"/>
          <w:szCs w:val="20"/>
          <w:color w:val="auto"/>
        </w:rPr>
      </w:pPr>
      <w:r>
        <w:rPr>
          <w:rFonts w:ascii="Arial" w:cs="Arial" w:eastAsia="Arial" w:hAnsi="Arial"/>
          <w:sz w:val="16"/>
          <w:szCs w:val="16"/>
          <w:color w:val="auto"/>
        </w:rPr>
        <w:t>Complementing the Company’s proprietary messaging and Conversational AI offerings are teams of technical, solutions and consulting professionals that have developed deep domain expertise in the implementation and optimization of conversational services across industries and messaging endpoints. LivePerson is a leading authority in the Conversational Space. LivePerson’s products, coupled with the Company’s domain knowledge, industry expertise and professional services, have been proven to maximize the effectiveness of the Conversational Space and deliver measurable return on investment. Certain of the Company’s customers have achieved the following advantages from the Company’s offerings:</w:t>
      </w:r>
    </w:p>
    <w:p>
      <w:pPr>
        <w:spacing w:after="0" w:line="76" w:lineRule="exact"/>
        <w:rPr>
          <w:sz w:val="20"/>
          <w:szCs w:val="20"/>
          <w:color w:val="auto"/>
        </w:rPr>
      </w:pPr>
    </w:p>
    <w:p>
      <w:pPr>
        <w:ind w:left="566" w:hanging="284"/>
        <w:spacing w:after="0" w:line="265" w:lineRule="auto"/>
        <w:tabs>
          <w:tab w:leader="none" w:pos="566"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spacing w:after="0" w:line="63" w:lineRule="exact"/>
        <w:rPr>
          <w:rFonts w:ascii="Arial" w:cs="Arial" w:eastAsia="Arial" w:hAnsi="Arial"/>
          <w:sz w:val="16"/>
          <w:szCs w:val="16"/>
          <w:color w:val="auto"/>
        </w:rPr>
      </w:pPr>
    </w:p>
    <w:p>
      <w:pPr>
        <w:ind w:left="566" w:hanging="284"/>
        <w:spacing w:after="0"/>
        <w:tabs>
          <w:tab w:leader="none" w:pos="566" w:val="left"/>
        </w:tabs>
        <w:numPr>
          <w:ilvl w:val="0"/>
          <w:numId w:val="4"/>
        </w:numPr>
        <w:rPr>
          <w:rFonts w:ascii="Arial" w:cs="Arial" w:eastAsia="Arial" w:hAnsi="Arial"/>
          <w:sz w:val="16"/>
          <w:szCs w:val="16"/>
          <w:color w:val="auto"/>
        </w:rPr>
      </w:pPr>
      <w:r>
        <w:rPr>
          <w:rFonts w:ascii="Arial" w:cs="Arial" w:eastAsia="Arial" w:hAnsi="Arial"/>
          <w:sz w:val="16"/>
          <w:szCs w:val="16"/>
          <w:color w:val="auto"/>
        </w:rPr>
        <w:t>labor efficiency gains of at least two times that of a voice agents, effectively cutting labor costs by at least 50%;</w:t>
      </w:r>
    </w:p>
    <w:p>
      <w:pPr>
        <w:spacing w:after="0" w:line="98" w:lineRule="exact"/>
        <w:rPr>
          <w:rFonts w:ascii="Arial" w:cs="Arial" w:eastAsia="Arial" w:hAnsi="Arial"/>
          <w:sz w:val="16"/>
          <w:szCs w:val="16"/>
          <w:color w:val="auto"/>
        </w:rPr>
      </w:pPr>
    </w:p>
    <w:p>
      <w:pPr>
        <w:ind w:left="566" w:hanging="284"/>
        <w:spacing w:after="0"/>
        <w:tabs>
          <w:tab w:leader="none" w:pos="566" w:val="left"/>
        </w:tabs>
        <w:numPr>
          <w:ilvl w:val="0"/>
          <w:numId w:val="4"/>
        </w:numPr>
        <w:rPr>
          <w:rFonts w:ascii="Arial" w:cs="Arial" w:eastAsia="Arial" w:hAnsi="Arial"/>
          <w:sz w:val="15"/>
          <w:szCs w:val="15"/>
          <w:color w:val="auto"/>
        </w:rPr>
      </w:pPr>
      <w:r>
        <w:rPr>
          <w:rFonts w:ascii="Arial" w:cs="Arial" w:eastAsia="Arial" w:hAnsi="Arial"/>
          <w:sz w:val="15"/>
          <w:szCs w:val="15"/>
          <w:color w:val="auto"/>
        </w:rPr>
        <w:t>improving the overall customer experience, thereby fueling customer satisfaction increases of up to 20 percentage points, and enhancing retention and loyalty;</w:t>
      </w:r>
    </w:p>
    <w:p>
      <w:pPr>
        <w:spacing w:after="0" w:line="109" w:lineRule="exact"/>
        <w:rPr>
          <w:rFonts w:ascii="Arial" w:cs="Arial" w:eastAsia="Arial" w:hAnsi="Arial"/>
          <w:sz w:val="15"/>
          <w:szCs w:val="15"/>
          <w:color w:val="auto"/>
        </w:rPr>
      </w:pPr>
    </w:p>
    <w:p>
      <w:pPr>
        <w:ind w:left="566" w:hanging="284"/>
        <w:spacing w:after="0"/>
        <w:tabs>
          <w:tab w:leader="none" w:pos="566" w:val="left"/>
        </w:tabs>
        <w:numPr>
          <w:ilvl w:val="0"/>
          <w:numId w:val="4"/>
        </w:numPr>
        <w:rPr>
          <w:rFonts w:ascii="Arial" w:cs="Arial" w:eastAsia="Arial" w:hAnsi="Arial"/>
          <w:sz w:val="13"/>
          <w:szCs w:val="13"/>
          <w:color w:val="auto"/>
        </w:rPr>
      </w:pPr>
      <w:r>
        <w:rPr>
          <w:rFonts w:ascii="Arial" w:cs="Arial" w:eastAsia="Arial" w:hAnsi="Arial"/>
          <w:sz w:val="13"/>
          <w:szCs w:val="13"/>
          <w:color w:val="auto"/>
        </w:rPr>
        <w:t>more convenient, personalized and content-rich conversations that increase sales conversion by up to 20%, increase average order value and reduce abandonment;</w:t>
      </w:r>
    </w:p>
    <w:p>
      <w:pPr>
        <w:spacing w:after="0" w:line="32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6"/>
          </w:cols>
          <w:pgMar w:left="314" w:top="170"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560" w:hanging="284"/>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more satisfied contact center agents, thereby reducing agent churn by up to 50%;</w:t>
      </w:r>
    </w:p>
    <w:p>
      <w:pPr>
        <w:spacing w:after="0" w:line="98" w:lineRule="exact"/>
        <w:rPr>
          <w:rFonts w:ascii="Arial" w:cs="Arial" w:eastAsia="Arial" w:hAnsi="Arial"/>
          <w:sz w:val="16"/>
          <w:szCs w:val="16"/>
          <w:color w:val="auto"/>
        </w:rPr>
      </w:pPr>
    </w:p>
    <w:p>
      <w:pPr>
        <w:ind w:left="560" w:hanging="284"/>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maintain a valued connection with consumers via mobile devices, either through native applications, websites, text messages, or third-party messaging platforms;</w:t>
      </w:r>
    </w:p>
    <w:p>
      <w:pPr>
        <w:spacing w:after="0" w:line="109" w:lineRule="exact"/>
        <w:rPr>
          <w:rFonts w:ascii="Arial" w:cs="Arial" w:eastAsia="Arial" w:hAnsi="Arial"/>
          <w:sz w:val="15"/>
          <w:szCs w:val="15"/>
          <w:color w:val="auto"/>
        </w:rPr>
      </w:pPr>
    </w:p>
    <w:p>
      <w:pPr>
        <w:ind w:left="560" w:hanging="284"/>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leverage spending that drives visitor traffic by increasing visitor conversions;</w:t>
      </w:r>
    </w:p>
    <w:p>
      <w:pPr>
        <w:spacing w:after="0" w:line="98" w:lineRule="exact"/>
        <w:rPr>
          <w:rFonts w:ascii="Arial" w:cs="Arial" w:eastAsia="Arial" w:hAnsi="Arial"/>
          <w:sz w:val="16"/>
          <w:szCs w:val="16"/>
          <w:color w:val="auto"/>
        </w:rPr>
      </w:pPr>
    </w:p>
    <w:p>
      <w:pPr>
        <w:ind w:left="560" w:hanging="284"/>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refine and improve performance by understanding which initiatives deliver the highest rate of return; and</w:t>
      </w:r>
    </w:p>
    <w:p>
      <w:pPr>
        <w:spacing w:after="0" w:line="98" w:lineRule="exact"/>
        <w:rPr>
          <w:rFonts w:ascii="Arial" w:cs="Arial" w:eastAsia="Arial" w:hAnsi="Arial"/>
          <w:sz w:val="16"/>
          <w:szCs w:val="16"/>
          <w:color w:val="auto"/>
        </w:rPr>
      </w:pPr>
    </w:p>
    <w:p>
      <w:pPr>
        <w:ind w:left="560" w:hanging="284"/>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increase lead generation by providing a single platform that engages consumers through advertisements and listings on branded and third-party websites.</w:t>
      </w:r>
    </w:p>
    <w:p>
      <w:pPr>
        <w:spacing w:after="0" w:line="392"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74" w:lineRule="exact"/>
        <w:rPr>
          <w:sz w:val="20"/>
          <w:szCs w:val="20"/>
          <w:color w:val="auto"/>
        </w:rPr>
      </w:pPr>
    </w:p>
    <w:p>
      <w:pPr>
        <w:jc w:val="both"/>
        <w:ind w:right="20" w:firstLine="564"/>
        <w:spacing w:after="0" w:line="255" w:lineRule="auto"/>
        <w:rPr>
          <w:sz w:val="20"/>
          <w:szCs w:val="20"/>
          <w:color w:val="auto"/>
        </w:rPr>
      </w:pPr>
      <w:r>
        <w:rPr>
          <w:rFonts w:ascii="Arial" w:cs="Arial" w:eastAsia="Arial" w:hAnsi="Arial"/>
          <w:sz w:val="16"/>
          <w:szCs w:val="16"/>
          <w:color w:val="auto"/>
        </w:rPr>
        <w:t>To further enhance our platform, in September 2020 we signed a partnership with Infosys, a leader in next-generation digital services and consulting. We will work with Infosys to transform our technology infrastructure on the public cloud, to build integrated solutions and a global practice around our Conversational Cloud to sell into their channels and global enterprise customer base, and to redefine how the world's top brands communicate.</w:t>
      </w:r>
    </w:p>
    <w:p>
      <w:pPr>
        <w:spacing w:after="0" w:line="7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More than 18,000 businesses, including HSBC, Orange, The Home Depot, and GM Financial use our conversational solutions to orchestrate humans and AI, at scale, and create a convenient, deeply personal relationship with their customers.</w:t>
      </w:r>
    </w:p>
    <w:p>
      <w:pPr>
        <w:spacing w:after="0" w:line="158" w:lineRule="exact"/>
        <w:rPr>
          <w:sz w:val="20"/>
          <w:szCs w:val="20"/>
          <w:color w:val="auto"/>
        </w:rPr>
      </w:pPr>
    </w:p>
    <w:p>
      <w:pPr>
        <w:jc w:val="both"/>
        <w:ind w:right="20" w:firstLine="564"/>
        <w:spacing w:after="0" w:line="255" w:lineRule="auto"/>
        <w:rPr>
          <w:sz w:val="20"/>
          <w:szCs w:val="20"/>
          <w:color w:val="auto"/>
        </w:rPr>
      </w:pPr>
      <w:r>
        <w:rPr>
          <w:rFonts w:ascii="Arial" w:cs="Arial" w:eastAsia="Arial" w:hAnsi="Arial"/>
          <w:sz w:val="16"/>
          <w:szCs w:val="16"/>
          <w:color w:val="auto"/>
        </w:rPr>
        <w:t>LivePerson's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72"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and maintains a globally distributed, remote workforce. In 2020, due to health concerns related to the global novel coronavirus disease ("COVID-19") pandemic, the Company vacated its physical offices around the world, and began transitioning to a work-from-anywhere model, leveraging its expertise in AI and asynchronous communication to support operations, culture and productivity in this new environment.</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98"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The accompanying condensed consolidated financial statements as of September 30, 2020 and for the three and nine months ended September 30, 2020 and 2019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September 30, 2020, and the consolidated results of operations, comprehensive loss and cash flows for the interim periods ended September 30, 2020 and 2019.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2019 has been derived from audited consolidated financial statements at that date.</w:t>
      </w:r>
    </w:p>
    <w:p>
      <w:pPr>
        <w:spacing w:after="0" w:line="67" w:lineRule="exact"/>
        <w:rPr>
          <w:sz w:val="20"/>
          <w:szCs w:val="20"/>
          <w:color w:val="auto"/>
        </w:rPr>
      </w:pPr>
    </w:p>
    <w:p>
      <w:pPr>
        <w:jc w:val="both"/>
        <w:ind w:right="20" w:firstLine="564"/>
        <w:spacing w:after="0" w:line="274" w:lineRule="auto"/>
        <w:rPr>
          <w:sz w:val="20"/>
          <w:szCs w:val="20"/>
          <w:color w:val="auto"/>
        </w:rPr>
      </w:pPr>
      <w:r>
        <w:rPr>
          <w:rFonts w:ascii="Arial" w:cs="Arial" w:eastAsia="Arial" w:hAnsi="Arial"/>
          <w:sz w:val="15"/>
          <w:szCs w:val="15"/>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2019 included in the Company’s Annual Report on Form 10-K filed with the SEC on March 2, 2020.</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Principles of Consolidation</w:t>
      </w:r>
    </w:p>
    <w:p>
      <w:pPr>
        <w:spacing w:after="0" w:line="98"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The condensed consolidated financial statements include the Company and its wholly-owned subsidiaries. All intercompany balances and transactions have been eliminated.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60"/>
          </w:cols>
          <w:pgMar w:left="320" w:top="170" w:right="319" w:bottom="1440" w:gutter="0" w:footer="0" w:header="0"/>
        </w:sectPr>
      </w:pPr>
    </w:p>
    <w:bookmarkStart w:id="13" w:name="page14"/>
    <w:bookmarkEnd w:id="13"/>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Use of Estimates</w:t>
      </w:r>
    </w:p>
    <w:p>
      <w:pPr>
        <w:spacing w:after="0" w:line="98" w:lineRule="exact"/>
        <w:rPr>
          <w:sz w:val="20"/>
          <w:szCs w:val="20"/>
          <w:color w:val="auto"/>
        </w:rPr>
      </w:pPr>
    </w:p>
    <w:p>
      <w:pPr>
        <w:jc w:val="both"/>
        <w:ind w:left="6" w:right="20" w:firstLine="564"/>
        <w:spacing w:after="0" w:line="252"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74" w:lineRule="exact"/>
        <w:rPr>
          <w:sz w:val="20"/>
          <w:szCs w:val="20"/>
          <w:color w:val="auto"/>
        </w:rPr>
      </w:pPr>
    </w:p>
    <w:p>
      <w:pPr>
        <w:jc w:val="both"/>
        <w:ind w:left="6" w:right="20" w:firstLine="564"/>
        <w:spacing w:after="0" w:line="382" w:lineRule="auto"/>
        <w:rPr>
          <w:sz w:val="20"/>
          <w:szCs w:val="20"/>
          <w:color w:val="auto"/>
        </w:rPr>
      </w:pPr>
      <w:r>
        <w:rPr>
          <w:rFonts w:ascii="Arial" w:cs="Arial" w:eastAsia="Arial" w:hAnsi="Arial"/>
          <w:sz w:val="13"/>
          <w:szCs w:val="13"/>
          <w:color w:val="auto"/>
        </w:rPr>
        <w:t>Many of our estimates require increased judgment due to the significant volatility, uncertainty and economic disruption of the COVID-19 pandemic. We will continue to monitor the effects of the COVID-19 pandemic, and our estimates and judgments may change materially as new events occur or additional information becomes available to us.</w:t>
      </w:r>
    </w:p>
    <w:p>
      <w:pPr>
        <w:spacing w:after="0" w:line="276"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Recently Issued Accounting Standards</w:t>
      </w:r>
    </w:p>
    <w:p>
      <w:pPr>
        <w:spacing w:after="0" w:line="98" w:lineRule="exact"/>
        <w:rPr>
          <w:sz w:val="20"/>
          <w:szCs w:val="20"/>
          <w:color w:val="auto"/>
        </w:rPr>
      </w:pPr>
    </w:p>
    <w:p>
      <w:pPr>
        <w:jc w:val="both"/>
        <w:ind w:left="6" w:right="20" w:firstLine="564"/>
        <w:spacing w:after="0" w:line="269" w:lineRule="auto"/>
        <w:rPr>
          <w:sz w:val="20"/>
          <w:szCs w:val="20"/>
          <w:color w:val="auto"/>
        </w:rPr>
      </w:pPr>
      <w:r>
        <w:rPr>
          <w:rFonts w:ascii="Arial" w:cs="Arial" w:eastAsia="Arial" w:hAnsi="Arial"/>
          <w:sz w:val="15"/>
          <w:szCs w:val="15"/>
          <w:color w:val="auto"/>
        </w:rPr>
        <w:t>In August 2020, the Financial Accounting Standards Board (“FASB”) issued ASU 2020-06, “Debt - Debt with Conversion and Other Options (Subtopic 470-20) and Derivatives and Hedging - Contracts in Entity's Own Equity (Subtopic 815-40): Accounting for Convertible Instruments and Contracts in an Entity's Own Equity”, which simplifies the accounting for convertible instruments by eliminating existing accounting models that require separation of a cash conversion or beneficial conversion feature from the host contract. Accordingly, a convertible debt instrument will be accounted as a single liability measured at its amortized cost and a convertible preferred stock will be accounted as a single equity instrument measured at its historical cost, as long as no other embedded features require bifurcation as derivatives and the convertible debt was not issued at a substantial premium. The ASU also simplifies the derivative scope exception for accounting for contracts in an entity's own equity by:</w:t>
      </w:r>
    </w:p>
    <w:p>
      <w:pPr>
        <w:spacing w:after="0" w:line="156" w:lineRule="exact"/>
        <w:rPr>
          <w:sz w:val="20"/>
          <w:szCs w:val="20"/>
          <w:color w:val="auto"/>
        </w:rPr>
      </w:pPr>
    </w:p>
    <w:p>
      <w:pPr>
        <w:ind w:left="86" w:hanging="86"/>
        <w:spacing w:after="0"/>
        <w:tabs>
          <w:tab w:leader="none" w:pos="86" w:val="left"/>
        </w:tabs>
        <w:numPr>
          <w:ilvl w:val="0"/>
          <w:numId w:val="6"/>
        </w:numPr>
        <w:rPr>
          <w:rFonts w:ascii="Arial" w:cs="Arial" w:eastAsia="Arial" w:hAnsi="Arial"/>
          <w:sz w:val="16"/>
          <w:szCs w:val="16"/>
          <w:color w:val="auto"/>
        </w:rPr>
      </w:pPr>
      <w:r>
        <w:rPr>
          <w:rFonts w:ascii="Arial" w:cs="Arial" w:eastAsia="Arial" w:hAnsi="Arial"/>
          <w:sz w:val="16"/>
          <w:szCs w:val="16"/>
          <w:color w:val="auto"/>
        </w:rPr>
        <w:t>Removing certain conditions required to meet the settlement criterion</w:t>
      </w:r>
    </w:p>
    <w:p>
      <w:pPr>
        <w:spacing w:after="0" w:line="15" w:lineRule="exact"/>
        <w:rPr>
          <w:rFonts w:ascii="Arial" w:cs="Arial" w:eastAsia="Arial" w:hAnsi="Arial"/>
          <w:sz w:val="16"/>
          <w:szCs w:val="16"/>
          <w:color w:val="auto"/>
        </w:rPr>
      </w:pPr>
    </w:p>
    <w:p>
      <w:pPr>
        <w:ind w:left="86" w:hanging="86"/>
        <w:spacing w:after="0"/>
        <w:tabs>
          <w:tab w:leader="none" w:pos="86" w:val="left"/>
        </w:tabs>
        <w:numPr>
          <w:ilvl w:val="0"/>
          <w:numId w:val="6"/>
        </w:numPr>
        <w:rPr>
          <w:rFonts w:ascii="Arial" w:cs="Arial" w:eastAsia="Arial" w:hAnsi="Arial"/>
          <w:sz w:val="16"/>
          <w:szCs w:val="16"/>
          <w:color w:val="auto"/>
        </w:rPr>
      </w:pPr>
      <w:r>
        <w:rPr>
          <w:rFonts w:ascii="Arial" w:cs="Arial" w:eastAsia="Arial" w:hAnsi="Arial"/>
          <w:sz w:val="16"/>
          <w:szCs w:val="16"/>
          <w:color w:val="auto"/>
        </w:rPr>
        <w:t>Clarifying that Instruments that are not indexed to the issuer's own stock must be remeasured at fair value through earnings at each reporting period</w:t>
      </w:r>
    </w:p>
    <w:p>
      <w:pPr>
        <w:spacing w:after="0" w:line="4" w:lineRule="exact"/>
        <w:rPr>
          <w:rFonts w:ascii="Arial" w:cs="Arial" w:eastAsia="Arial" w:hAnsi="Arial"/>
          <w:sz w:val="16"/>
          <w:szCs w:val="16"/>
          <w:color w:val="auto"/>
        </w:rPr>
      </w:pPr>
    </w:p>
    <w:p>
      <w:pPr>
        <w:ind w:left="6" w:right="200" w:hanging="6"/>
        <w:spacing w:after="0" w:line="250" w:lineRule="auto"/>
        <w:tabs>
          <w:tab w:leader="none" w:pos="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Clarifying the scope of reassessment guidance and disclosure requirements in Subtopic 815-40. The ASU also makes targeted improvements to the disclosure requirements for convertible instruments and earnings-per-share guidance.</w:t>
      </w:r>
    </w:p>
    <w:p>
      <w:pPr>
        <w:spacing w:after="0" w:line="169" w:lineRule="exact"/>
        <w:rPr>
          <w:sz w:val="20"/>
          <w:szCs w:val="20"/>
          <w:color w:val="auto"/>
        </w:rPr>
      </w:pPr>
    </w:p>
    <w:p>
      <w:pPr>
        <w:ind w:left="6" w:right="160"/>
        <w:spacing w:after="0" w:line="255" w:lineRule="auto"/>
        <w:rPr>
          <w:sz w:val="20"/>
          <w:szCs w:val="20"/>
          <w:color w:val="auto"/>
        </w:rPr>
      </w:pPr>
      <w:r>
        <w:rPr>
          <w:rFonts w:ascii="Arial" w:cs="Arial" w:eastAsia="Arial" w:hAnsi="Arial"/>
          <w:sz w:val="16"/>
          <w:szCs w:val="16"/>
          <w:color w:val="auto"/>
        </w:rPr>
        <w:t>For SEC filers, excluding smaller reporting companies, the ASU is effective for fiscal years beginning after December 15, 2021, including interim periods within those fiscal years. The ASU specifies that the guidance should be adopted as of the beginning of the annual fiscal year. The Company is assessing what impact ASU 2020-06 will have on its condensed consolidated financial statements.</w:t>
      </w:r>
    </w:p>
    <w:p>
      <w:pPr>
        <w:spacing w:after="0" w:line="166" w:lineRule="exact"/>
        <w:rPr>
          <w:sz w:val="20"/>
          <w:szCs w:val="20"/>
          <w:color w:val="auto"/>
        </w:rPr>
      </w:pPr>
    </w:p>
    <w:p>
      <w:pPr>
        <w:jc w:val="both"/>
        <w:ind w:left="6" w:right="20" w:firstLine="564"/>
        <w:spacing w:after="0" w:line="250"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The new guidance is intended to simplify the accounting for income taxes by removing certain exceptions and by updating accounting requirements around franchise taxes, goodwill recognized for tax purposes, the allocation of current and deferred tax expense among legal entities, among other minor changes. The ASU is effective for fiscal years beginning after December 15, 2020, including interim periods within those fiscal years. Early adoption is permitted. The Company is assessing what impact ASU 2019-12 will have on its condensed consolidated financial statements.</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98" w:lineRule="exact"/>
        <w:rPr>
          <w:sz w:val="20"/>
          <w:szCs w:val="20"/>
          <w:color w:val="auto"/>
        </w:rPr>
      </w:pPr>
    </w:p>
    <w:p>
      <w:pPr>
        <w:jc w:val="both"/>
        <w:ind w:left="6" w:firstLine="564"/>
        <w:spacing w:after="0" w:line="267" w:lineRule="auto"/>
        <w:rPr>
          <w:sz w:val="20"/>
          <w:szCs w:val="20"/>
          <w:color w:val="auto"/>
        </w:rPr>
      </w:pPr>
      <w:r>
        <w:rPr>
          <w:rFonts w:ascii="Arial" w:cs="Arial" w:eastAsia="Arial" w:hAnsi="Arial"/>
          <w:sz w:val="15"/>
          <w:szCs w:val="15"/>
          <w:color w:val="auto"/>
        </w:rPr>
        <w:t>In June 2016, the FASB issued Accounting Standards Update ASU 2016-13, “Financial Instruments-Credit Losses (Topic 326)”, in order to improve financial reporting of expected credit losses on financial instruments and other commitments to extend credit. ASU 2016-13 requires that an entity measure and recognize expected credit losses for financial assets held at amortized cost and replaces the incurred loss impairment methodology in prior GAAP with a methodology that requires consideration of a broader range of information to estimate credit losses. Such required disclosures include, but are not limited to, the Company's methodology for estimating its allowance for credit losses. The Company adopted ASU 2016-13 effective January 1, 2020 and applied the guidance using a modified retrospective approach requiring that the Company recognize the cumulative effect of initially applying the impairment standard as an adjustment to opening accumulated deficit for the incremental increase in its allowance for credit losses as of January 1, 2020 over its allowance for bad debts as of December, 31, 2019, which amounted to $0.7 million. The Company will continue to actively monitor the impact of the recent COVID-19 pandemic on expected credit losses.</w:t>
      </w:r>
    </w:p>
    <w:p>
      <w:pPr>
        <w:spacing w:after="0" w:line="157" w:lineRule="exact"/>
        <w:rPr>
          <w:sz w:val="20"/>
          <w:szCs w:val="20"/>
          <w:color w:val="auto"/>
        </w:rPr>
      </w:pPr>
    </w:p>
    <w:p>
      <w:pPr>
        <w:jc w:val="both"/>
        <w:ind w:left="6" w:firstLine="564"/>
        <w:spacing w:after="0" w:line="342" w:lineRule="auto"/>
        <w:rPr>
          <w:sz w:val="20"/>
          <w:szCs w:val="20"/>
          <w:color w:val="auto"/>
        </w:rPr>
      </w:pPr>
      <w:r>
        <w:rPr>
          <w:rFonts w:ascii="Arial" w:cs="Arial" w:eastAsia="Arial" w:hAnsi="Arial"/>
          <w:sz w:val="13"/>
          <w:szCs w:val="13"/>
          <w:color w:val="auto"/>
        </w:rPr>
        <w:t>In January 2017, the FASB issued Accounting Standards Update ASU 2017-04, “Simplifying the Test for Goodwill Impairment”, which eliminates the computation of the implied fair value of goodwill to measure a goodwill impairment charge. Instead, entities will record a goodwill impairment charge based on the excess of a reporting unit’s carrying amount over its fair value. The guidance is effective for interim and annual reporting periods beginning after December 15, 2019, with early adoption</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66"/>
          </w:cols>
          <w:pgMar w:left="314" w:top="170" w:right="319" w:bottom="1440" w:gutter="0" w:footer="0" w:header="0"/>
        </w:sectPr>
      </w:pPr>
    </w:p>
    <w:bookmarkStart w:id="14" w:name="page15"/>
    <w:bookmarkEnd w:id="14"/>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ind w:left="6" w:right="20"/>
        <w:spacing w:after="0" w:line="265" w:lineRule="auto"/>
        <w:rPr>
          <w:sz w:val="20"/>
          <w:szCs w:val="20"/>
          <w:color w:val="auto"/>
        </w:rPr>
      </w:pPr>
      <w:r>
        <w:rPr>
          <w:rFonts w:ascii="Arial" w:cs="Arial" w:eastAsia="Arial" w:hAnsi="Arial"/>
          <w:sz w:val="16"/>
          <w:szCs w:val="16"/>
          <w:color w:val="auto"/>
        </w:rPr>
        <w:t>permitted. The Company adopted ASU 2017-04 in the first quarter of 2020 which reduced the complexity surrounding the evaluation of goodwill for impairment. The adoption of this guidance did not have a material impact on the Company’s condensed consolidated financial statements.</w:t>
      </w:r>
    </w:p>
    <w:p>
      <w:pPr>
        <w:spacing w:after="0" w:line="158" w:lineRule="exact"/>
        <w:rPr>
          <w:sz w:val="20"/>
          <w:szCs w:val="20"/>
          <w:color w:val="auto"/>
        </w:rPr>
      </w:pPr>
    </w:p>
    <w:p>
      <w:pPr>
        <w:jc w:val="both"/>
        <w:ind w:left="6" w:firstLine="564"/>
        <w:spacing w:after="0" w:line="248" w:lineRule="auto"/>
        <w:rPr>
          <w:sz w:val="20"/>
          <w:szCs w:val="20"/>
          <w:color w:val="auto"/>
        </w:rPr>
      </w:pPr>
      <w:r>
        <w:rPr>
          <w:rFonts w:ascii="Arial" w:cs="Arial" w:eastAsia="Arial" w:hAnsi="Arial"/>
          <w:sz w:val="16"/>
          <w:szCs w:val="16"/>
          <w:color w:val="auto"/>
        </w:rPr>
        <w:t>In August 2018, the FASB issued ASU 2018-15, “Customer’s Accounting for Implementation Costs Incurred in a Cloud Computing Arrangement That Is a Service Contract,” which clarifies the accounting for implementation costs in cloud computing arrangements. The new standard aligns the treatment of implementation costs incurred by customers in cloud computing arrangements that are service contracts with the treatment of similar costs incurred to develop or obtain internal-use software. Under the new standard, implementation costs are deferred and presented in the same financial statement caption on the condensed consolidated balance sheet as a prepayment of related arrangement fees. The deferred costs are recognized over the term of the arrangement in the same financial statement caption in the condensed consolidated income statement as the related fees of the arrangement. The Company adopted ASU 2018-15 in the first quarter of 2020 and the impact of the adoption was not material to the Company's condensed consolidated financial statements.</w:t>
      </w:r>
    </w:p>
    <w:p>
      <w:pPr>
        <w:spacing w:after="0" w:line="358" w:lineRule="exact"/>
        <w:rPr>
          <w:sz w:val="20"/>
          <w:szCs w:val="20"/>
          <w:color w:val="auto"/>
        </w:rPr>
      </w:pPr>
    </w:p>
    <w:p>
      <w:pPr>
        <w:ind w:left="286" w:hanging="286"/>
        <w:spacing w:after="0"/>
        <w:tabs>
          <w:tab w:leader="none" w:pos="28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w:t>
      </w:r>
    </w:p>
    <w:p>
      <w:pPr>
        <w:spacing w:after="0" w:line="196" w:lineRule="exact"/>
        <w:rPr>
          <w:sz w:val="20"/>
          <w:szCs w:val="20"/>
          <w:color w:val="auto"/>
        </w:rPr>
      </w:pPr>
    </w:p>
    <w:p>
      <w:pPr>
        <w:jc w:val="both"/>
        <w:ind w:left="6" w:firstLine="564"/>
        <w:spacing w:after="0" w:line="342" w:lineRule="auto"/>
        <w:rPr>
          <w:sz w:val="20"/>
          <w:szCs w:val="20"/>
          <w:color w:val="auto"/>
        </w:rPr>
      </w:pPr>
      <w:r>
        <w:rPr>
          <w:rFonts w:ascii="Arial" w:cs="Arial" w:eastAsia="Arial" w:hAnsi="Arial"/>
          <w:sz w:val="13"/>
          <w:szCs w:val="13"/>
          <w:color w:val="auto"/>
        </w:rPr>
        <w:t>The majority of the Company’s revenue is generated from monthly service revenues and related professional services from the sale of the LivePerson services. Revenues are recognized when control of these services is transferred to the Company's customers, in an amount that reflects the consideration the Company expects to be entitled to in exchange for those services. No single customer accounted for or exceeded 10% of our total revenue for the three and nine months ended September 30, 2020.</w:t>
      </w:r>
    </w:p>
    <w:p>
      <w:pPr>
        <w:spacing w:after="0" w:line="113" w:lineRule="exact"/>
        <w:rPr>
          <w:sz w:val="20"/>
          <w:szCs w:val="20"/>
          <w:color w:val="auto"/>
        </w:rPr>
      </w:pPr>
    </w:p>
    <w:p>
      <w:pPr>
        <w:ind w:left="566"/>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98" w:lineRule="exact"/>
        <w:rPr>
          <w:sz w:val="20"/>
          <w:szCs w:val="20"/>
          <w:color w:val="auto"/>
        </w:rPr>
      </w:pPr>
    </w:p>
    <w:p>
      <w:pPr>
        <w:ind w:left="1166" w:hanging="167"/>
        <w:spacing w:after="0"/>
        <w:tabs>
          <w:tab w:leader="none" w:pos="1166" w:val="left"/>
        </w:tabs>
        <w:numPr>
          <w:ilvl w:val="0"/>
          <w:numId w:val="8"/>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51" w:lineRule="exact"/>
        <w:rPr>
          <w:rFonts w:ascii="Arial" w:cs="Arial" w:eastAsia="Arial" w:hAnsi="Arial"/>
          <w:sz w:val="16"/>
          <w:szCs w:val="16"/>
          <w:color w:val="auto"/>
        </w:rPr>
      </w:pPr>
    </w:p>
    <w:p>
      <w:pPr>
        <w:ind w:left="1166" w:hanging="167"/>
        <w:spacing w:after="0"/>
        <w:tabs>
          <w:tab w:leader="none" w:pos="1166" w:val="left"/>
        </w:tabs>
        <w:numPr>
          <w:ilvl w:val="0"/>
          <w:numId w:val="8"/>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1" w:lineRule="exact"/>
        <w:rPr>
          <w:rFonts w:ascii="Arial" w:cs="Arial" w:eastAsia="Arial" w:hAnsi="Arial"/>
          <w:sz w:val="16"/>
          <w:szCs w:val="16"/>
          <w:color w:val="auto"/>
        </w:rPr>
      </w:pPr>
    </w:p>
    <w:p>
      <w:pPr>
        <w:ind w:left="1166" w:hanging="167"/>
        <w:spacing w:after="0"/>
        <w:tabs>
          <w:tab w:leader="none" w:pos="1166" w:val="left"/>
        </w:tabs>
        <w:numPr>
          <w:ilvl w:val="0"/>
          <w:numId w:val="8"/>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1" w:lineRule="exact"/>
        <w:rPr>
          <w:rFonts w:ascii="Arial" w:cs="Arial" w:eastAsia="Arial" w:hAnsi="Arial"/>
          <w:sz w:val="16"/>
          <w:szCs w:val="16"/>
          <w:color w:val="auto"/>
        </w:rPr>
      </w:pPr>
    </w:p>
    <w:p>
      <w:pPr>
        <w:ind w:left="1166" w:hanging="167"/>
        <w:spacing w:after="0"/>
        <w:tabs>
          <w:tab w:leader="none" w:pos="1166"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1" w:lineRule="exact"/>
        <w:rPr>
          <w:rFonts w:ascii="Arial" w:cs="Arial" w:eastAsia="Arial" w:hAnsi="Arial"/>
          <w:sz w:val="16"/>
          <w:szCs w:val="16"/>
          <w:color w:val="auto"/>
        </w:rPr>
      </w:pPr>
    </w:p>
    <w:p>
      <w:pPr>
        <w:ind w:left="1166" w:hanging="167"/>
        <w:spacing w:after="0"/>
        <w:tabs>
          <w:tab w:leader="none" w:pos="1166"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192" w:lineRule="exact"/>
        <w:rPr>
          <w:sz w:val="20"/>
          <w:szCs w:val="20"/>
          <w:color w:val="auto"/>
        </w:rPr>
      </w:pPr>
    </w:p>
    <w:p>
      <w:pPr>
        <w:jc w:val="both"/>
        <w:ind w:left="6" w:right="20" w:firstLine="564"/>
        <w:spacing w:after="0" w:line="265" w:lineRule="auto"/>
        <w:rPr>
          <w:sz w:val="20"/>
          <w:szCs w:val="20"/>
          <w:color w:val="auto"/>
        </w:rPr>
      </w:pPr>
      <w:r>
        <w:rPr>
          <w:rFonts w:ascii="Arial" w:cs="Arial" w:eastAsia="Arial" w:hAnsi="Arial"/>
          <w:sz w:val="16"/>
          <w:szCs w:val="16"/>
          <w:color w:val="212529"/>
        </w:rPr>
        <w:t>Total revenue of $94.8 million and $75.2 million was recognized during the three months ended September 30, 2020 and 2019, respectively, and $264.5 million and $212.5 million was recognized during the nine months ended September 30, 2020 and 2019, respectively.</w:t>
      </w:r>
    </w:p>
    <w:p>
      <w:pPr>
        <w:spacing w:after="0" w:line="158" w:lineRule="exact"/>
        <w:rPr>
          <w:sz w:val="20"/>
          <w:szCs w:val="20"/>
          <w:color w:val="auto"/>
        </w:rPr>
      </w:pPr>
    </w:p>
    <w:p>
      <w:pPr>
        <w:jc w:val="both"/>
        <w:ind w:left="6" w:firstLine="564"/>
        <w:spacing w:after="0" w:line="250" w:lineRule="auto"/>
        <w:rPr>
          <w:sz w:val="20"/>
          <w:szCs w:val="20"/>
          <w:color w:val="auto"/>
        </w:rPr>
      </w:pPr>
      <w:r>
        <w:rPr>
          <w:rFonts w:ascii="Arial" w:cs="Arial" w:eastAsia="Arial" w:hAnsi="Arial"/>
          <w:sz w:val="16"/>
          <w:szCs w:val="16"/>
          <w:color w:val="auto"/>
        </w:rPr>
        <w:t>Under Topic 606, the Company defers all incremental commission costs (contract acquisition costs) to obtain the contract. The contract acquisition costs, which are comprised of prepaid sales commissions, have balances at September 30, 2020 and December 31, 2019 of $41.1 million and $32.0 million, respectively. The Company amortizes these costs over the related period of benefit using the customers expected life that the Company determines to be three to five years, which is consistent with the transfer to the customer of the services to which the asset relates. The Company classifies contract acquisition costs as long-term unless they have an original amortization period of one year or less.</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Hosted Services- Business Revenue</w:t>
      </w:r>
    </w:p>
    <w:p>
      <w:pPr>
        <w:spacing w:after="0" w:line="192" w:lineRule="exact"/>
        <w:rPr>
          <w:sz w:val="20"/>
          <w:szCs w:val="20"/>
          <w:color w:val="auto"/>
        </w:rPr>
      </w:pPr>
    </w:p>
    <w:p>
      <w:pPr>
        <w:jc w:val="both"/>
        <w:ind w:left="6" w:firstLine="564"/>
        <w:spacing w:after="0" w:line="265" w:lineRule="auto"/>
        <w:rPr>
          <w:sz w:val="20"/>
          <w:szCs w:val="20"/>
          <w:color w:val="auto"/>
        </w:rPr>
      </w:pPr>
      <w:r>
        <w:rPr>
          <w:rFonts w:ascii="Arial" w:cs="Arial" w:eastAsia="Arial" w:hAnsi="Arial"/>
          <w:sz w:val="15"/>
          <w:szCs w:val="15"/>
          <w:color w:val="auto"/>
        </w:rPr>
        <w:t>Hosted Services Business revenue is reported at the amount that reflects the ultimate consideration expected to be received and primarily consist of fees that provide customers access to Conversational Cloud, the Company’s enterprise-class, cloud-based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 There is no significant variable consideration related to these arrangements. Additionally, 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Gainshare (formerly Pay for Performance) arrangements in accordance with ASC-606, “Principal Agent Considerations,” the Company acts as a principal in a transaction if it controls the specified goods or services before they are transferred to the customer.</w:t>
      </w:r>
    </w:p>
    <w:p>
      <w:pPr>
        <w:spacing w:after="0" w:line="16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66"/>
          </w:cols>
          <w:pgMar w:left="314" w:top="170"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Professional Services Revenues</w:t>
      </w:r>
    </w:p>
    <w:p>
      <w:pPr>
        <w:spacing w:after="0" w:line="192" w:lineRule="exact"/>
        <w:rPr>
          <w:sz w:val="20"/>
          <w:szCs w:val="20"/>
          <w:color w:val="auto"/>
        </w:rPr>
      </w:pPr>
    </w:p>
    <w:p>
      <w:pPr>
        <w:jc w:val="both"/>
        <w:ind w:firstLine="564"/>
        <w:spacing w:after="0" w:line="313" w:lineRule="auto"/>
        <w:rPr>
          <w:sz w:val="20"/>
          <w:szCs w:val="20"/>
          <w:color w:val="auto"/>
        </w:rPr>
      </w:pPr>
      <w:r>
        <w:rPr>
          <w:rFonts w:ascii="Arial" w:cs="Arial" w:eastAsia="Arial" w:hAnsi="Arial"/>
          <w:sz w:val="13"/>
          <w:szCs w:val="13"/>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the Company expects to receive in exchange for such services. Control for the majority of the Company's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Remaining Performance Obligation</w:t>
      </w:r>
    </w:p>
    <w:p>
      <w:pPr>
        <w:spacing w:after="0" w:line="192"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As of September 30, 2020, the aggregate amount of the total transaction price allocated in contracts with original duration of greater than one year to the remaining performance obligations was $237.3 million. Approximately 90%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cancelable by the customer, amounts associated with optional renewal periods, and any amounts related to performance obligations, which are billed and recognized as they are delivered. The Company has elected the optional exemption, which allows for the exclusion of the amounts for remaining performance obligations that are part of contracts with an original expected duration of one year or less. Such remaining performance obligations represent unsatisfied or partially unsatisfied performance obligation pursuant to ASC 606.</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Multiple Performance Obligations</w:t>
      </w:r>
    </w:p>
    <w:p>
      <w:pPr>
        <w:spacing w:after="0" w:line="192"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The Company determines the standalone selling prices based on its overall pricing objectives, taking into consideration market conditions and other factors, including the value of its contracts, the cloud applications sold, and the number and types of users within its contracts.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Hosted Services- Consumer Revenue</w:t>
      </w:r>
    </w:p>
    <w:p>
      <w:pPr>
        <w:spacing w:after="0" w:line="192"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For revenue from the Company's Consumer segment generated from online transactions between Experts and Users, revenue is recognized at an amount net of Expert fees in accordance with ASC 606,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consumer and retains a portion of the fee, and then remits the balance to the Expert. Revenue from these transactions is recognized at the point in time when the transaction is complete and no significant performance obligations remain.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Revenues</w:t>
      </w:r>
    </w:p>
    <w:p>
      <w:pPr>
        <w:spacing w:after="0" w:line="19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Company records deferred revenues when cash payments are received or due in advance of the Company’s performance. The increase in the deferred revenue balance as of September 30, 2020 is primarily driven by cash payments received or due in advance of satisfying the Company’s performance obligations, partially offset by $84.9 million of revenues recognized that were included in the deferred revenue balance 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60"/>
          </w:cols>
          <w:pgMar w:left="320" w:top="170" w:right="319" w:bottom="1440" w:gutter="0" w:footer="0" w:header="0"/>
        </w:sectPr>
      </w:pPr>
    </w:p>
    <w:bookmarkStart w:id="16" w:name="page17"/>
    <w:bookmarkEnd w:id="16"/>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66"/>
        <w:spacing w:after="0"/>
        <w:rPr>
          <w:sz w:val="20"/>
          <w:szCs w:val="20"/>
          <w:color w:val="auto"/>
        </w:rPr>
      </w:pPr>
      <w:r>
        <w:rPr>
          <w:rFonts w:ascii="Arial" w:cs="Arial" w:eastAsia="Arial" w:hAnsi="Arial"/>
          <w:sz w:val="16"/>
          <w:szCs w:val="16"/>
          <w:color w:val="auto"/>
        </w:rPr>
        <w:t>The following table presents deferred revenue by revenue source (amounts in thousands):</w:t>
      </w:r>
    </w:p>
    <w:p>
      <w:pPr>
        <w:spacing w:after="0" w:line="338" w:lineRule="exact"/>
        <w:rPr>
          <w:sz w:val="20"/>
          <w:szCs w:val="20"/>
          <w:color w:val="auto"/>
        </w:rPr>
      </w:pPr>
    </w:p>
    <w:tbl>
      <w:tblPr>
        <w:tblLayout w:type="fixed"/>
        <w:tblInd w:w="6" w:type="dxa"/>
        <w:tblCellMar>
          <w:top w:w="0" w:type="dxa"/>
          <w:left w:w="0" w:type="dxa"/>
          <w:bottom w:w="0" w:type="dxa"/>
          <w:right w:w="0" w:type="dxa"/>
        </w:tblCellMar>
      </w:tblPr>
      <w:tr>
        <w:trPr>
          <w:trHeight w:val="167"/>
        </w:trPr>
        <w:tc>
          <w:tcPr>
            <w:tcW w:w="8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3"/>
                <w:szCs w:val="13"/>
                <w:b w:val="1"/>
                <w:bCs w:val="1"/>
                <w:color w:val="auto"/>
              </w:rPr>
              <w:t>Deferred Revenue</w:t>
            </w:r>
          </w:p>
        </w:tc>
        <w:tc>
          <w:tcPr>
            <w:tcW w:w="0" w:type="dxa"/>
            <w:vAlign w:val="bottom"/>
          </w:tcPr>
          <w:p>
            <w:pPr>
              <w:spacing w:after="0"/>
              <w:rPr>
                <w:sz w:val="1"/>
                <w:szCs w:val="1"/>
                <w:color w:val="auto"/>
              </w:rPr>
            </w:pPr>
          </w:p>
        </w:tc>
      </w:tr>
      <w:tr>
        <w:trPr>
          <w:trHeight w:val="130"/>
        </w:trPr>
        <w:tc>
          <w:tcPr>
            <w:tcW w:w="8320" w:type="dxa"/>
            <w:vAlign w:val="bottom"/>
          </w:tcPr>
          <w:p>
            <w:pPr>
              <w:spacing w:after="0"/>
              <w:rPr>
                <w:sz w:val="11"/>
                <w:szCs w:val="11"/>
                <w:color w:val="auto"/>
              </w:rPr>
            </w:pPr>
          </w:p>
        </w:tc>
        <w:tc>
          <w:tcPr>
            <w:tcW w:w="16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95"/>
              </w:rPr>
              <w:t>As of September 30, 2020</w:t>
            </w:r>
          </w:p>
        </w:tc>
        <w:tc>
          <w:tcPr>
            <w:tcW w:w="120" w:type="dxa"/>
            <w:vAlign w:val="bottom"/>
          </w:tcPr>
          <w:p>
            <w:pPr>
              <w:spacing w:after="0"/>
              <w:rPr>
                <w:sz w:val="11"/>
                <w:szCs w:val="11"/>
                <w:color w:val="auto"/>
              </w:rPr>
            </w:pPr>
          </w:p>
        </w:tc>
        <w:tc>
          <w:tcPr>
            <w:tcW w:w="1200" w:type="dxa"/>
            <w:vAlign w:val="bottom"/>
          </w:tcPr>
          <w:p>
            <w:pPr>
              <w:jc w:val="right"/>
              <w:ind w:right="71"/>
              <w:spacing w:after="0" w:line="131" w:lineRule="exact"/>
              <w:rPr>
                <w:sz w:val="20"/>
                <w:szCs w:val="20"/>
                <w:color w:val="auto"/>
              </w:rPr>
            </w:pPr>
            <w:r>
              <w:rPr>
                <w:rFonts w:ascii="Arial" w:cs="Arial" w:eastAsia="Arial" w:hAnsi="Arial"/>
                <w:sz w:val="13"/>
                <w:szCs w:val="13"/>
                <w:b w:val="1"/>
                <w:bCs w:val="1"/>
                <w:color w:val="auto"/>
                <w:w w:val="86"/>
              </w:rPr>
              <w:t>As of December 31,</w:t>
            </w:r>
          </w:p>
        </w:tc>
        <w:tc>
          <w:tcPr>
            <w:tcW w:w="0" w:type="dxa"/>
            <w:vAlign w:val="bottom"/>
          </w:tcPr>
          <w:p>
            <w:pPr>
              <w:spacing w:after="0"/>
              <w:rPr>
                <w:sz w:val="1"/>
                <w:szCs w:val="1"/>
                <w:color w:val="auto"/>
              </w:rPr>
            </w:pPr>
          </w:p>
        </w:tc>
      </w:tr>
      <w:tr>
        <w:trPr>
          <w:trHeight w:val="167"/>
        </w:trPr>
        <w:tc>
          <w:tcPr>
            <w:tcW w:w="832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471"/>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92"/>
        </w:trPr>
        <w:tc>
          <w:tcPr>
            <w:tcW w:w="8320" w:type="dxa"/>
            <w:vAlign w:val="bottom"/>
          </w:tcPr>
          <w:p>
            <w:pPr>
              <w:ind w:left="20"/>
              <w:spacing w:after="0"/>
              <w:rPr>
                <w:sz w:val="20"/>
                <w:szCs w:val="20"/>
                <w:color w:val="auto"/>
              </w:rPr>
            </w:pPr>
            <w:r>
              <w:rPr>
                <w:rFonts w:ascii="Arial" w:cs="Arial" w:eastAsia="Arial" w:hAnsi="Arial"/>
                <w:sz w:val="14"/>
                <w:szCs w:val="14"/>
                <w:color w:val="auto"/>
              </w:rPr>
              <w:t>Hosted services – Business</w:t>
            </w:r>
          </w:p>
        </w:tc>
        <w:tc>
          <w:tcPr>
            <w:tcW w:w="540" w:type="dxa"/>
            <w:vAlign w:val="bottom"/>
            <w:tcBorders>
              <w:top w:val="single" w:sz="8" w:color="auto"/>
            </w:tcBorders>
          </w:tcPr>
          <w:p>
            <w:pPr>
              <w:jc w:val="right"/>
              <w:ind w:right="371"/>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87,466</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82,892</w:t>
            </w:r>
          </w:p>
        </w:tc>
        <w:tc>
          <w:tcPr>
            <w:tcW w:w="0" w:type="dxa"/>
            <w:vAlign w:val="bottom"/>
          </w:tcPr>
          <w:p>
            <w:pPr>
              <w:spacing w:after="0"/>
              <w:rPr>
                <w:sz w:val="1"/>
                <w:szCs w:val="1"/>
                <w:color w:val="auto"/>
              </w:rPr>
            </w:pPr>
          </w:p>
        </w:tc>
      </w:tr>
      <w:tr>
        <w:trPr>
          <w:trHeight w:val="29"/>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Hosted services – Consumer</w:t>
            </w:r>
          </w:p>
        </w:tc>
        <w:tc>
          <w:tcPr>
            <w:tcW w:w="54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815</w:t>
            </w:r>
          </w:p>
        </w:tc>
        <w:tc>
          <w:tcPr>
            <w:tcW w:w="1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2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207"/>
        </w:trPr>
        <w:tc>
          <w:tcPr>
            <w:tcW w:w="8320" w:type="dxa"/>
            <w:vAlign w:val="bottom"/>
          </w:tcPr>
          <w:p>
            <w:pPr>
              <w:ind w:left="20"/>
              <w:spacing w:after="0"/>
              <w:rPr>
                <w:sz w:val="20"/>
                <w:szCs w:val="20"/>
                <w:color w:val="auto"/>
              </w:rPr>
            </w:pPr>
            <w:r>
              <w:rPr>
                <w:rFonts w:ascii="Arial" w:cs="Arial" w:eastAsia="Arial" w:hAnsi="Arial"/>
                <w:sz w:val="14"/>
                <w:szCs w:val="14"/>
                <w:color w:val="auto"/>
              </w:rPr>
              <w:t>Professional services – Business</w:t>
            </w:r>
          </w:p>
        </w:tc>
        <w:tc>
          <w:tcPr>
            <w:tcW w:w="540" w:type="dxa"/>
            <w:vAlign w:val="bottom"/>
          </w:tcPr>
          <w:p>
            <w:pPr>
              <w:spacing w:after="0"/>
              <w:rPr>
                <w:sz w:val="17"/>
                <w:szCs w:val="17"/>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2,078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5,172</w:t>
            </w:r>
          </w:p>
        </w:tc>
        <w:tc>
          <w:tcPr>
            <w:tcW w:w="0" w:type="dxa"/>
            <w:vAlign w:val="bottom"/>
          </w:tcPr>
          <w:p>
            <w:pPr>
              <w:spacing w:after="0"/>
              <w:rPr>
                <w:sz w:val="1"/>
                <w:szCs w:val="1"/>
                <w:color w:val="auto"/>
              </w:rPr>
            </w:pPr>
          </w:p>
        </w:tc>
      </w:tr>
      <w:tr>
        <w:trPr>
          <w:trHeight w:val="29"/>
        </w:trPr>
        <w:tc>
          <w:tcPr>
            <w:tcW w:w="832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32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Total deferred revenue - short term</w:t>
            </w:r>
          </w:p>
        </w:tc>
        <w:tc>
          <w:tcPr>
            <w:tcW w:w="540" w:type="dxa"/>
            <w:vAlign w:val="bottom"/>
            <w:tcBorders>
              <w:bottom w:val="single" w:sz="8" w:color="auto"/>
            </w:tcBorders>
            <w:shd w:val="clear" w:color="auto" w:fill="CCFFCC"/>
          </w:tcPr>
          <w:p>
            <w:pPr>
              <w:jc w:val="right"/>
              <w:ind w:right="37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4"/>
                <w:szCs w:val="14"/>
                <w:color w:val="auto"/>
              </w:rPr>
              <w:t>90,359</w:t>
            </w:r>
          </w:p>
        </w:tc>
        <w:tc>
          <w:tcPr>
            <w:tcW w:w="1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4"/>
                <w:szCs w:val="14"/>
                <w:color w:val="auto"/>
              </w:rPr>
              <w:t>88,751</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8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Hosted services – Business</w:t>
            </w:r>
          </w:p>
        </w:tc>
        <w:tc>
          <w:tcPr>
            <w:tcW w:w="540" w:type="dxa"/>
            <w:vAlign w:val="bottom"/>
            <w:tcBorders>
              <w:bottom w:val="single" w:sz="8" w:color="CCFFCC"/>
            </w:tcBorders>
            <w:shd w:val="clear" w:color="auto" w:fill="CCFFCC"/>
          </w:tcPr>
          <w:p>
            <w:pPr>
              <w:spacing w:after="0"/>
              <w:rPr>
                <w:sz w:val="18"/>
                <w:szCs w:val="18"/>
                <w:color w:val="auto"/>
              </w:rPr>
            </w:pPr>
          </w:p>
        </w:tc>
        <w:tc>
          <w:tcPr>
            <w:tcW w:w="10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8"/>
                <w:szCs w:val="18"/>
                <w:color w:val="auto"/>
              </w:rPr>
            </w:pPr>
          </w:p>
        </w:tc>
        <w:tc>
          <w:tcPr>
            <w:tcW w:w="12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320" w:type="dxa"/>
            <w:vAlign w:val="bottom"/>
          </w:tcPr>
          <w:p>
            <w:pPr>
              <w:ind w:left="20"/>
              <w:spacing w:after="0"/>
              <w:rPr>
                <w:sz w:val="20"/>
                <w:szCs w:val="20"/>
                <w:color w:val="auto"/>
              </w:rPr>
            </w:pPr>
            <w:r>
              <w:rPr>
                <w:rFonts w:ascii="Arial" w:cs="Arial" w:eastAsia="Arial" w:hAnsi="Arial"/>
                <w:sz w:val="14"/>
                <w:szCs w:val="14"/>
                <w:color w:val="auto"/>
              </w:rPr>
              <w:t>Professional services – Business</w:t>
            </w:r>
          </w:p>
        </w:tc>
        <w:tc>
          <w:tcPr>
            <w:tcW w:w="540" w:type="dxa"/>
            <w:vAlign w:val="bottom"/>
          </w:tcPr>
          <w:p>
            <w:pPr>
              <w:spacing w:after="0"/>
              <w:rPr>
                <w:sz w:val="17"/>
                <w:szCs w:val="17"/>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9"/>
        </w:trPr>
        <w:tc>
          <w:tcPr>
            <w:tcW w:w="832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32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Total deferred revenue - long term</w:t>
            </w:r>
          </w:p>
        </w:tc>
        <w:tc>
          <w:tcPr>
            <w:tcW w:w="540" w:type="dxa"/>
            <w:vAlign w:val="bottom"/>
            <w:tcBorders>
              <w:bottom w:val="single" w:sz="8" w:color="auto"/>
            </w:tcBorders>
            <w:shd w:val="clear" w:color="auto" w:fill="CCFFCC"/>
          </w:tcPr>
          <w:p>
            <w:pPr>
              <w:jc w:val="right"/>
              <w:ind w:right="37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Disaggregated Revenue</w:t>
      </w:r>
    </w:p>
    <w:p>
      <w:pPr>
        <w:spacing w:after="0" w:line="192" w:lineRule="exact"/>
        <w:rPr>
          <w:sz w:val="20"/>
          <w:szCs w:val="20"/>
          <w:color w:val="auto"/>
        </w:rPr>
      </w:pPr>
    </w:p>
    <w:p>
      <w:pPr>
        <w:ind w:left="566"/>
        <w:spacing w:after="0"/>
        <w:rPr>
          <w:sz w:val="20"/>
          <w:szCs w:val="20"/>
          <w:color w:val="auto"/>
        </w:rPr>
      </w:pPr>
      <w:r>
        <w:rPr>
          <w:rFonts w:ascii="Arial" w:cs="Arial" w:eastAsia="Arial" w:hAnsi="Arial"/>
          <w:sz w:val="16"/>
          <w:szCs w:val="16"/>
          <w:color w:val="auto"/>
        </w:rPr>
        <w:t>The following table presents the Company's revenues disaggregated by revenue source (amounts in thousands):</w:t>
      </w:r>
    </w:p>
    <w:p>
      <w:pPr>
        <w:spacing w:after="0" w:line="197" w:lineRule="exact"/>
        <w:rPr>
          <w:sz w:val="20"/>
          <w:szCs w:val="20"/>
          <w:color w:val="auto"/>
        </w:rPr>
      </w:pPr>
    </w:p>
    <w:tbl>
      <w:tblPr>
        <w:tblLayout w:type="fixed"/>
        <w:tblInd w:w="6" w:type="dxa"/>
        <w:tblCellMar>
          <w:top w:w="0" w:type="dxa"/>
          <w:left w:w="0" w:type="dxa"/>
          <w:bottom w:w="0" w:type="dxa"/>
          <w:right w:w="0" w:type="dxa"/>
        </w:tblCellMar>
      </w:tblPr>
      <w:tr>
        <w:trPr>
          <w:trHeight w:val="167"/>
        </w:trPr>
        <w:tc>
          <w:tcPr>
            <w:tcW w:w="7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3"/>
                <w:szCs w:val="13"/>
                <w:b w:val="1"/>
                <w:bCs w:val="1"/>
                <w:color w:val="auto"/>
                <w:w w:val="88"/>
              </w:rPr>
              <w:t>Three Months Ended</w:t>
            </w: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3"/>
                <w:szCs w:val="13"/>
                <w:b w:val="1"/>
                <w:bCs w:val="1"/>
                <w:color w:val="auto"/>
              </w:rPr>
              <w:t>Nine Months Ended</w:t>
            </w:r>
          </w:p>
        </w:tc>
      </w:tr>
      <w:tr>
        <w:trPr>
          <w:trHeight w:val="227"/>
        </w:trPr>
        <w:tc>
          <w:tcPr>
            <w:tcW w:w="7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3"/>
                <w:szCs w:val="13"/>
                <w:b w:val="1"/>
                <w:bCs w:val="1"/>
                <w:color w:val="auto"/>
                <w:w w:val="85"/>
              </w:rPr>
              <w:t>September 30,</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3"/>
                <w:szCs w:val="13"/>
                <w:b w:val="1"/>
                <w:bCs w:val="1"/>
                <w:color w:val="auto"/>
              </w:rPr>
              <w:t>September 30,</w:t>
            </w:r>
          </w:p>
        </w:tc>
      </w:tr>
      <w:tr>
        <w:trPr>
          <w:trHeight w:val="227"/>
        </w:trPr>
        <w:tc>
          <w:tcPr>
            <w:tcW w:w="732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2019</w:t>
            </w:r>
          </w:p>
        </w:tc>
      </w:tr>
      <w:tr>
        <w:trPr>
          <w:trHeight w:val="212"/>
        </w:trPr>
        <w:tc>
          <w:tcPr>
            <w:tcW w:w="73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shd w:val="clear" w:color="auto" w:fill="CCFFCC"/>
              </w:rPr>
              <w:t>Revenue:</w:t>
            </w:r>
          </w:p>
        </w:tc>
        <w:tc>
          <w:tcPr>
            <w:tcW w:w="22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bottom w:val="single" w:sz="8" w:color="CCFFCC"/>
            </w:tcBorders>
            <w:shd w:val="clear" w:color="auto" w:fill="CCFFCC"/>
          </w:tcPr>
          <w:p>
            <w:pPr>
              <w:spacing w:after="0"/>
              <w:rPr>
                <w:sz w:val="18"/>
                <w:szCs w:val="18"/>
                <w:color w:val="auto"/>
              </w:rPr>
            </w:pPr>
          </w:p>
        </w:tc>
      </w:tr>
      <w:tr>
        <w:trPr>
          <w:trHeight w:val="207"/>
        </w:trPr>
        <w:tc>
          <w:tcPr>
            <w:tcW w:w="7320" w:type="dxa"/>
            <w:vAlign w:val="bottom"/>
          </w:tcPr>
          <w:p>
            <w:pPr>
              <w:ind w:left="140"/>
              <w:spacing w:after="0"/>
              <w:rPr>
                <w:sz w:val="20"/>
                <w:szCs w:val="20"/>
                <w:color w:val="auto"/>
              </w:rPr>
            </w:pPr>
            <w:r>
              <w:rPr>
                <w:rFonts w:ascii="Arial" w:cs="Arial" w:eastAsia="Arial" w:hAnsi="Arial"/>
                <w:sz w:val="14"/>
                <w:szCs w:val="14"/>
                <w:color w:val="auto"/>
              </w:rPr>
              <w:t>Hosted services – Business</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74,396</w:t>
            </w:r>
          </w:p>
        </w:tc>
        <w:tc>
          <w:tcPr>
            <w:tcW w:w="12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57,824</w:t>
            </w:r>
          </w:p>
        </w:tc>
        <w:tc>
          <w:tcPr>
            <w:tcW w:w="12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207,832</w:t>
            </w:r>
          </w:p>
        </w:tc>
        <w:tc>
          <w:tcPr>
            <w:tcW w:w="12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51"/>
              <w:spacing w:after="0"/>
              <w:rPr>
                <w:sz w:val="20"/>
                <w:szCs w:val="20"/>
                <w:color w:val="auto"/>
              </w:rPr>
            </w:pPr>
            <w:r>
              <w:rPr>
                <w:rFonts w:ascii="Arial" w:cs="Arial" w:eastAsia="Arial" w:hAnsi="Arial"/>
                <w:sz w:val="14"/>
                <w:szCs w:val="14"/>
                <w:color w:val="auto"/>
              </w:rPr>
              <w:t>163,033</w:t>
            </w:r>
          </w:p>
        </w:tc>
      </w:tr>
      <w:tr>
        <w:trPr>
          <w:trHeight w:val="29"/>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5"/>
        </w:trPr>
        <w:tc>
          <w:tcPr>
            <w:tcW w:w="73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shd w:val="clear" w:color="auto" w:fill="CCFFCC"/>
              </w:rPr>
              <w:t>Hosted services – Consumer</w:t>
            </w:r>
          </w:p>
        </w:tc>
        <w:tc>
          <w:tcPr>
            <w:tcW w:w="22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7,881</w:t>
            </w: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6,704</w:t>
            </w: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21,707</w:t>
            </w: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18,235</w:t>
            </w:r>
          </w:p>
        </w:tc>
      </w:tr>
      <w:tr>
        <w:trPr>
          <w:trHeight w:val="207"/>
        </w:trPr>
        <w:tc>
          <w:tcPr>
            <w:tcW w:w="7320" w:type="dxa"/>
            <w:vAlign w:val="bottom"/>
          </w:tcPr>
          <w:p>
            <w:pPr>
              <w:ind w:left="140"/>
              <w:spacing w:after="0"/>
              <w:rPr>
                <w:sz w:val="20"/>
                <w:szCs w:val="20"/>
                <w:color w:val="auto"/>
              </w:rPr>
            </w:pPr>
            <w:r>
              <w:rPr>
                <w:rFonts w:ascii="Arial" w:cs="Arial" w:eastAsia="Arial" w:hAnsi="Arial"/>
                <w:sz w:val="14"/>
                <w:szCs w:val="14"/>
                <w:color w:val="auto"/>
              </w:rPr>
              <w:t>Professional services</w:t>
            </w:r>
          </w:p>
        </w:tc>
        <w:tc>
          <w:tcPr>
            <w:tcW w:w="220" w:type="dxa"/>
            <w:vAlign w:val="bottom"/>
          </w:tcPr>
          <w:p>
            <w:pPr>
              <w:spacing w:after="0"/>
              <w:rPr>
                <w:sz w:val="17"/>
                <w:szCs w:val="17"/>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12,527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10,647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34,956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51"/>
              <w:spacing w:after="0"/>
              <w:rPr>
                <w:sz w:val="20"/>
                <w:szCs w:val="20"/>
                <w:color w:val="auto"/>
              </w:rPr>
            </w:pPr>
            <w:r>
              <w:rPr>
                <w:rFonts w:ascii="Arial" w:cs="Arial" w:eastAsia="Arial" w:hAnsi="Arial"/>
                <w:sz w:val="14"/>
                <w:szCs w:val="14"/>
                <w:color w:val="auto"/>
              </w:rPr>
              <w:t>31,268</w:t>
            </w:r>
          </w:p>
        </w:tc>
      </w:tr>
      <w:tr>
        <w:trPr>
          <w:trHeight w:val="29"/>
        </w:trPr>
        <w:tc>
          <w:tcPr>
            <w:tcW w:w="73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0"/>
        </w:trPr>
        <w:tc>
          <w:tcPr>
            <w:tcW w:w="73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shd w:val="clear" w:color="auto" w:fill="CCFFCC"/>
              </w:rPr>
              <w:t>Total revenue</w:t>
            </w:r>
          </w:p>
        </w:tc>
        <w:tc>
          <w:tcPr>
            <w:tcW w:w="22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94,804</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75,175</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264,495</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212,536</w:t>
            </w:r>
          </w:p>
        </w:tc>
      </w:tr>
      <w:tr>
        <w:trPr>
          <w:trHeight w:val="20"/>
        </w:trPr>
        <w:tc>
          <w:tcPr>
            <w:tcW w:w="73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r>
    </w:tbl>
    <w:p>
      <w:pPr>
        <w:spacing w:after="0" w:line="270"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Revenue by Geographic Location</w:t>
      </w:r>
    </w:p>
    <w:p>
      <w:pPr>
        <w:spacing w:after="0" w:line="192" w:lineRule="exact"/>
        <w:rPr>
          <w:sz w:val="20"/>
          <w:szCs w:val="20"/>
          <w:color w:val="auto"/>
        </w:rPr>
      </w:pPr>
    </w:p>
    <w:p>
      <w:pPr>
        <w:ind w:left="566"/>
        <w:spacing w:after="0"/>
        <w:rPr>
          <w:sz w:val="20"/>
          <w:szCs w:val="20"/>
          <w:color w:val="auto"/>
        </w:rPr>
      </w:pPr>
      <w:r>
        <w:rPr>
          <w:rFonts w:ascii="Arial" w:cs="Arial" w:eastAsia="Arial" w:hAnsi="Arial"/>
          <w:sz w:val="15"/>
          <w:szCs w:val="15"/>
          <w:color w:val="auto"/>
        </w:rPr>
        <w:t>The following table presents the Company’s revenues attributable to domestic and foreign operations for the periods presented (amounts in thousands):</w:t>
      </w:r>
    </w:p>
    <w:p>
      <w:pPr>
        <w:spacing w:after="0" w:line="302" w:lineRule="exact"/>
        <w:rPr>
          <w:sz w:val="20"/>
          <w:szCs w:val="20"/>
          <w:color w:val="auto"/>
        </w:rPr>
      </w:pPr>
    </w:p>
    <w:tbl>
      <w:tblPr>
        <w:tblLayout w:type="fixed"/>
        <w:tblInd w:w="6" w:type="dxa"/>
        <w:tblCellMar>
          <w:top w:w="0" w:type="dxa"/>
          <w:left w:w="0" w:type="dxa"/>
          <w:bottom w:w="0" w:type="dxa"/>
          <w:right w:w="0" w:type="dxa"/>
        </w:tblCellMar>
      </w:tblPr>
      <w:tr>
        <w:trPr>
          <w:trHeight w:val="167"/>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609"/>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669"/>
              <w:spacing w:after="0"/>
              <w:rPr>
                <w:sz w:val="20"/>
                <w:szCs w:val="20"/>
                <w:color w:val="auto"/>
              </w:rPr>
            </w:pPr>
            <w:r>
              <w:rPr>
                <w:rFonts w:ascii="Arial" w:cs="Arial" w:eastAsia="Arial" w:hAnsi="Arial"/>
                <w:sz w:val="13"/>
                <w:szCs w:val="13"/>
                <w:b w:val="1"/>
                <w:bCs w:val="1"/>
                <w:color w:val="auto"/>
              </w:rPr>
              <w:t>Nine Months Ended</w:t>
            </w:r>
          </w:p>
        </w:tc>
      </w:tr>
      <w:tr>
        <w:trPr>
          <w:trHeight w:val="227"/>
        </w:trPr>
        <w:tc>
          <w:tcPr>
            <w:tcW w:w="6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820" w:type="dxa"/>
            <w:vAlign w:val="bottom"/>
            <w:tcBorders>
              <w:bottom w:val="single" w:sz="8" w:color="auto"/>
            </w:tcBorders>
          </w:tcPr>
          <w:p>
            <w:pPr>
              <w:spacing w:after="0"/>
              <w:rPr>
                <w:sz w:val="19"/>
                <w:szCs w:val="19"/>
                <w:color w:val="auto"/>
              </w:rPr>
            </w:pPr>
          </w:p>
        </w:tc>
      </w:tr>
      <w:tr>
        <w:trPr>
          <w:trHeight w:val="204"/>
        </w:trPr>
        <w:tc>
          <w:tcPr>
            <w:tcW w:w="6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429"/>
              <w:spacing w:after="0"/>
              <w:rPr>
                <w:sz w:val="20"/>
                <w:szCs w:val="20"/>
                <w:color w:val="auto"/>
              </w:rPr>
            </w:pPr>
            <w:r>
              <w:rPr>
                <w:rFonts w:ascii="Arial" w:cs="Arial" w:eastAsia="Arial" w:hAnsi="Arial"/>
                <w:sz w:val="14"/>
                <w:szCs w:val="14"/>
                <w:b w:val="1"/>
                <w:bCs w:val="1"/>
                <w:color w:val="auto"/>
                <w:w w:val="96"/>
              </w:rPr>
              <w:t>2019</w:t>
            </w:r>
          </w:p>
        </w:tc>
        <w:tc>
          <w:tcPr>
            <w:tcW w:w="380" w:type="dxa"/>
            <w:vAlign w:val="bottom"/>
          </w:tcPr>
          <w:p>
            <w:pPr>
              <w:spacing w:after="0"/>
              <w:rPr>
                <w:sz w:val="17"/>
                <w:szCs w:val="17"/>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409"/>
              <w:spacing w:after="0"/>
              <w:rPr>
                <w:sz w:val="20"/>
                <w:szCs w:val="20"/>
                <w:color w:val="auto"/>
              </w:rPr>
            </w:pPr>
            <w:r>
              <w:rPr>
                <w:rFonts w:ascii="Arial" w:cs="Arial" w:eastAsia="Arial" w:hAnsi="Arial"/>
                <w:sz w:val="14"/>
                <w:szCs w:val="14"/>
                <w:b w:val="1"/>
                <w:bCs w:val="1"/>
                <w:color w:val="auto"/>
              </w:rPr>
              <w:t>2019</w:t>
            </w:r>
          </w:p>
        </w:tc>
      </w:tr>
      <w:tr>
        <w:trPr>
          <w:trHeight w:val="29"/>
        </w:trPr>
        <w:tc>
          <w:tcPr>
            <w:tcW w:w="608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7"/>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United States</w:t>
            </w:r>
          </w:p>
        </w:tc>
        <w:tc>
          <w:tcPr>
            <w:tcW w:w="260" w:type="dxa"/>
            <w:vAlign w:val="bottom"/>
            <w:tcBorders>
              <w:bottom w:val="single" w:sz="8" w:color="CCFFCC"/>
            </w:tcBorders>
            <w:shd w:val="clear" w:color="auto" w:fill="CCFFCC"/>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58,561</w:t>
            </w:r>
          </w:p>
        </w:tc>
        <w:tc>
          <w:tcPr>
            <w:tcW w:w="120" w:type="dxa"/>
            <w:vAlign w:val="bottom"/>
            <w:tcBorders>
              <w:bottom w:val="single" w:sz="8" w:color="CCFFCC"/>
            </w:tcBorders>
            <w:shd w:val="clear" w:color="auto" w:fill="CCFFCC"/>
          </w:tcPr>
          <w:p>
            <w:pPr>
              <w:spacing w:after="0"/>
              <w:rPr>
                <w:sz w:val="17"/>
                <w:szCs w:val="17"/>
                <w:color w:val="auto"/>
              </w:rPr>
            </w:pPr>
          </w:p>
        </w:tc>
        <w:tc>
          <w:tcPr>
            <w:tcW w:w="440" w:type="dxa"/>
            <w:vAlign w:val="bottom"/>
            <w:tcBorders>
              <w:bottom w:val="single" w:sz="8" w:color="CCFFCC"/>
            </w:tcBorders>
            <w:shd w:val="clear" w:color="auto" w:fill="CCFFCC"/>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44,130</w:t>
            </w:r>
          </w:p>
        </w:tc>
        <w:tc>
          <w:tcPr>
            <w:tcW w:w="380" w:type="dxa"/>
            <w:vAlign w:val="bottom"/>
            <w:tcBorders>
              <w:bottom w:val="single" w:sz="8" w:color="CCFFCC"/>
            </w:tcBorders>
            <w:shd w:val="clear" w:color="auto" w:fill="CCFFCC"/>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166,668</w:t>
            </w:r>
          </w:p>
        </w:tc>
        <w:tc>
          <w:tcPr>
            <w:tcW w:w="120" w:type="dxa"/>
            <w:vAlign w:val="bottom"/>
            <w:tcBorders>
              <w:bottom w:val="single" w:sz="8" w:color="CCFFCC"/>
            </w:tcBorders>
            <w:shd w:val="clear" w:color="auto" w:fill="CCFFCC"/>
          </w:tcPr>
          <w:p>
            <w:pPr>
              <w:spacing w:after="0"/>
              <w:rPr>
                <w:sz w:val="17"/>
                <w:szCs w:val="17"/>
                <w:color w:val="auto"/>
              </w:rPr>
            </w:pPr>
          </w:p>
        </w:tc>
        <w:tc>
          <w:tcPr>
            <w:tcW w:w="400" w:type="dxa"/>
            <w:vAlign w:val="bottom"/>
            <w:tcBorders>
              <w:bottom w:val="single" w:sz="8" w:color="CCFFCC"/>
            </w:tcBorders>
            <w:shd w:val="clear" w:color="auto" w:fill="CCFFCC"/>
          </w:tcPr>
          <w:p>
            <w:pPr>
              <w:jc w:val="right"/>
              <w:ind w:right="24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124,034</w:t>
            </w:r>
          </w:p>
        </w:tc>
      </w:tr>
      <w:tr>
        <w:trPr>
          <w:trHeight w:val="235"/>
        </w:trPr>
        <w:tc>
          <w:tcPr>
            <w:tcW w:w="6080" w:type="dxa"/>
            <w:vAlign w:val="bottom"/>
            <w:tcBorders>
              <w:bottom w:val="single" w:sz="8" w:color="CCFFCC"/>
            </w:tcBorders>
          </w:tcPr>
          <w:p>
            <w:pPr>
              <w:ind w:left="20"/>
              <w:spacing w:after="0"/>
              <w:rPr>
                <w:sz w:val="20"/>
                <w:szCs w:val="20"/>
                <w:color w:val="auto"/>
              </w:rPr>
            </w:pPr>
            <w:r>
              <w:rPr>
                <w:rFonts w:ascii="Arial" w:cs="Arial" w:eastAsia="Arial" w:hAnsi="Arial"/>
                <w:sz w:val="14"/>
                <w:szCs w:val="14"/>
                <w:color w:val="auto"/>
              </w:rPr>
              <w:t xml:space="preserve">Other Americas </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3,979</w:t>
            </w:r>
          </w:p>
        </w:tc>
        <w:tc>
          <w:tcPr>
            <w:tcW w:w="120" w:type="dxa"/>
            <w:vAlign w:val="bottom"/>
            <w:tcBorders>
              <w:bottom w:val="single" w:sz="8" w:color="CCFFC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3,814</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9,047</w:t>
            </w:r>
          </w:p>
        </w:tc>
        <w:tc>
          <w:tcPr>
            <w:tcW w:w="120" w:type="dxa"/>
            <w:vAlign w:val="bottom"/>
            <w:tcBorders>
              <w:bottom w:val="single" w:sz="8" w:color="CCFFC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8,466</w:t>
            </w:r>
          </w:p>
        </w:tc>
      </w:tr>
      <w:tr>
        <w:trPr>
          <w:trHeight w:val="207"/>
        </w:trPr>
        <w:tc>
          <w:tcPr>
            <w:tcW w:w="608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Total Americas</w:t>
            </w:r>
          </w:p>
        </w:tc>
        <w:tc>
          <w:tcPr>
            <w:tcW w:w="26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62,540</w:t>
            </w:r>
          </w:p>
        </w:tc>
        <w:tc>
          <w:tcPr>
            <w:tcW w:w="120" w:type="dxa"/>
            <w:vAlign w:val="bottom"/>
            <w:tcBorders>
              <w:bottom w:val="single" w:sz="8" w:color="CCFFCC"/>
            </w:tcBorders>
            <w:shd w:val="clear" w:color="auto" w:fill="CCFFCC"/>
          </w:tcPr>
          <w:p>
            <w:pPr>
              <w:spacing w:after="0"/>
              <w:rPr>
                <w:sz w:val="17"/>
                <w:szCs w:val="17"/>
                <w:color w:val="auto"/>
              </w:rPr>
            </w:pPr>
          </w:p>
        </w:tc>
        <w:tc>
          <w:tcPr>
            <w:tcW w:w="440" w:type="dxa"/>
            <w:vAlign w:val="bottom"/>
            <w:tcBorders>
              <w:bottom w:val="single" w:sz="8" w:color="CCFFCC"/>
            </w:tcBorders>
            <w:shd w:val="clear" w:color="auto" w:fill="CCFFCC"/>
          </w:tcPr>
          <w:p>
            <w:pPr>
              <w:spacing w:after="0"/>
              <w:rPr>
                <w:sz w:val="17"/>
                <w:szCs w:val="17"/>
                <w:color w:val="auto"/>
              </w:rPr>
            </w:pPr>
          </w:p>
        </w:tc>
        <w:tc>
          <w:tcPr>
            <w:tcW w:w="82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47,944</w:t>
            </w:r>
          </w:p>
        </w:tc>
        <w:tc>
          <w:tcPr>
            <w:tcW w:w="380" w:type="dxa"/>
            <w:vAlign w:val="bottom"/>
            <w:tcBorders>
              <w:bottom w:val="single" w:sz="8" w:color="CCFFCC"/>
            </w:tcBorders>
            <w:shd w:val="clear" w:color="auto" w:fill="CCFFCC"/>
          </w:tcPr>
          <w:p>
            <w:pPr>
              <w:spacing w:after="0"/>
              <w:rPr>
                <w:sz w:val="17"/>
                <w:szCs w:val="17"/>
                <w:color w:val="auto"/>
              </w:rPr>
            </w:pPr>
          </w:p>
        </w:tc>
        <w:tc>
          <w:tcPr>
            <w:tcW w:w="9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175,715</w:t>
            </w:r>
          </w:p>
        </w:tc>
        <w:tc>
          <w:tcPr>
            <w:tcW w:w="120" w:type="dxa"/>
            <w:vAlign w:val="bottom"/>
            <w:tcBorders>
              <w:bottom w:val="single" w:sz="8" w:color="CCFFCC"/>
            </w:tcBorders>
            <w:shd w:val="clear" w:color="auto" w:fill="CCFFCC"/>
          </w:tcPr>
          <w:p>
            <w:pPr>
              <w:spacing w:after="0"/>
              <w:rPr>
                <w:sz w:val="17"/>
                <w:szCs w:val="17"/>
                <w:color w:val="auto"/>
              </w:rPr>
            </w:pPr>
          </w:p>
        </w:tc>
        <w:tc>
          <w:tcPr>
            <w:tcW w:w="400" w:type="dxa"/>
            <w:vAlign w:val="bottom"/>
            <w:tcBorders>
              <w:bottom w:val="single" w:sz="8" w:color="CCFFCC"/>
            </w:tcBorders>
            <w:shd w:val="clear" w:color="auto" w:fill="CCFFCC"/>
          </w:tcPr>
          <w:p>
            <w:pPr>
              <w:spacing w:after="0"/>
              <w:rPr>
                <w:sz w:val="17"/>
                <w:szCs w:val="17"/>
                <w:color w:val="auto"/>
              </w:rPr>
            </w:pPr>
          </w:p>
        </w:tc>
        <w:tc>
          <w:tcPr>
            <w:tcW w:w="82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132,500</w:t>
            </w:r>
          </w:p>
        </w:tc>
      </w:tr>
      <w:tr>
        <w:trPr>
          <w:trHeight w:val="235"/>
        </w:trPr>
        <w:tc>
          <w:tcPr>
            <w:tcW w:w="6080" w:type="dxa"/>
            <w:vAlign w:val="bottom"/>
          </w:tcPr>
          <w:p>
            <w:pPr>
              <w:ind w:left="20"/>
              <w:spacing w:after="0" w:line="235" w:lineRule="exact"/>
              <w:rPr>
                <w:sz w:val="20"/>
                <w:szCs w:val="20"/>
                <w:color w:val="auto"/>
              </w:rPr>
            </w:pPr>
            <w:r>
              <w:rPr>
                <w:rFonts w:ascii="Arial" w:cs="Arial" w:eastAsia="Arial" w:hAnsi="Arial"/>
                <w:sz w:val="27"/>
                <w:szCs w:val="27"/>
                <w:color w:val="auto"/>
                <w:vertAlign w:val="subscript"/>
              </w:rPr>
              <w:t>EMEA</w:t>
            </w:r>
            <w:r>
              <w:rPr>
                <w:rFonts w:ascii="Arial" w:cs="Arial" w:eastAsia="Arial" w:hAnsi="Arial"/>
                <w:sz w:val="9"/>
                <w:szCs w:val="9"/>
                <w:color w:val="auto"/>
              </w:rPr>
              <w:t xml:space="preserve"> (2) (4)</w:t>
            </w:r>
          </w:p>
        </w:tc>
        <w:tc>
          <w:tcPr>
            <w:tcW w:w="26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22,290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19,308</w:t>
            </w:r>
          </w:p>
        </w:tc>
        <w:tc>
          <w:tcPr>
            <w:tcW w:w="38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61,473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57,332</w:t>
            </w:r>
          </w:p>
        </w:tc>
      </w:tr>
      <w:tr>
        <w:trPr>
          <w:trHeight w:val="235"/>
        </w:trPr>
        <w:tc>
          <w:tcPr>
            <w:tcW w:w="6080" w:type="dxa"/>
            <w:vAlign w:val="bottom"/>
            <w:shd w:val="clear" w:color="auto" w:fill="CCFFCC"/>
          </w:tcPr>
          <w:p>
            <w:pPr>
              <w:ind w:left="20"/>
              <w:spacing w:after="0"/>
              <w:rPr>
                <w:sz w:val="20"/>
                <w:szCs w:val="20"/>
                <w:color w:val="auto"/>
              </w:rPr>
            </w:pPr>
            <w:r>
              <w:rPr>
                <w:rFonts w:ascii="Arial" w:cs="Arial" w:eastAsia="Arial" w:hAnsi="Arial"/>
                <w:sz w:val="14"/>
                <w:szCs w:val="14"/>
                <w:color w:val="auto"/>
              </w:rPr>
              <w:t xml:space="preserve">APAC </w:t>
            </w:r>
            <w:r>
              <w:rPr>
                <w:rFonts w:ascii="Arial" w:cs="Arial" w:eastAsia="Arial" w:hAnsi="Arial"/>
                <w:sz w:val="18"/>
                <w:szCs w:val="18"/>
                <w:color w:val="auto"/>
                <w:vertAlign w:val="superscript"/>
              </w:rPr>
              <w:t>(3)</w:t>
            </w:r>
          </w:p>
        </w:tc>
        <w:tc>
          <w:tcPr>
            <w:tcW w:w="260" w:type="dxa"/>
            <w:vAlign w:val="bottom"/>
            <w:tcBorders>
              <w:bottom w:val="single" w:sz="8" w:color="auto"/>
            </w:tcBorders>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jc w:val="right"/>
              <w:ind w:right="51"/>
              <w:spacing w:after="0"/>
              <w:rPr>
                <w:sz w:val="20"/>
                <w:szCs w:val="20"/>
                <w:color w:val="auto"/>
              </w:rPr>
            </w:pPr>
            <w:r>
              <w:rPr>
                <w:rFonts w:ascii="Arial" w:cs="Arial" w:eastAsia="Arial" w:hAnsi="Arial"/>
                <w:sz w:val="14"/>
                <w:szCs w:val="14"/>
                <w:color w:val="auto"/>
              </w:rPr>
              <w:t>9,974</w:t>
            </w:r>
          </w:p>
        </w:tc>
        <w:tc>
          <w:tcPr>
            <w:tcW w:w="120" w:type="dxa"/>
            <w:vAlign w:val="bottom"/>
            <w:shd w:val="clear" w:color="auto" w:fill="CCFFCC"/>
          </w:tcPr>
          <w:p>
            <w:pPr>
              <w:spacing w:after="0"/>
              <w:rPr>
                <w:sz w:val="20"/>
                <w:szCs w:val="20"/>
                <w:color w:val="auto"/>
              </w:rPr>
            </w:pPr>
          </w:p>
        </w:tc>
        <w:tc>
          <w:tcPr>
            <w:tcW w:w="44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shd w:val="clear" w:color="auto" w:fill="CCFFCC"/>
          </w:tcPr>
          <w:p>
            <w:pPr>
              <w:jc w:val="right"/>
              <w:ind w:right="49"/>
              <w:spacing w:after="0"/>
              <w:rPr>
                <w:sz w:val="20"/>
                <w:szCs w:val="20"/>
                <w:color w:val="auto"/>
              </w:rPr>
            </w:pPr>
            <w:r>
              <w:rPr>
                <w:rFonts w:ascii="Arial" w:cs="Arial" w:eastAsia="Arial" w:hAnsi="Arial"/>
                <w:sz w:val="14"/>
                <w:szCs w:val="14"/>
                <w:color w:val="auto"/>
              </w:rPr>
              <w:t>7,923</w:t>
            </w:r>
          </w:p>
        </w:tc>
        <w:tc>
          <w:tcPr>
            <w:tcW w:w="380" w:type="dxa"/>
            <w:vAlign w:val="bottom"/>
            <w:tcBorders>
              <w:bottom w:val="single" w:sz="8" w:color="auto"/>
            </w:tcBorders>
            <w:shd w:val="clear" w:color="auto" w:fill="CCFFCC"/>
          </w:tcPr>
          <w:p>
            <w:pPr>
              <w:spacing w:after="0"/>
              <w:rPr>
                <w:sz w:val="20"/>
                <w:szCs w:val="20"/>
                <w:color w:val="auto"/>
              </w:rPr>
            </w:pPr>
          </w:p>
        </w:tc>
        <w:tc>
          <w:tcPr>
            <w:tcW w:w="9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4"/>
                <w:szCs w:val="14"/>
                <w:color w:val="auto"/>
              </w:rPr>
              <w:t>27,307</w:t>
            </w:r>
          </w:p>
        </w:tc>
        <w:tc>
          <w:tcPr>
            <w:tcW w:w="120" w:type="dxa"/>
            <w:vAlign w:val="bottom"/>
            <w:shd w:val="clear" w:color="auto" w:fill="CCFFCC"/>
          </w:tcPr>
          <w:p>
            <w:pPr>
              <w:spacing w:after="0"/>
              <w:rPr>
                <w:sz w:val="20"/>
                <w:szCs w:val="20"/>
                <w:color w:val="auto"/>
              </w:rPr>
            </w:pPr>
          </w:p>
        </w:tc>
        <w:tc>
          <w:tcPr>
            <w:tcW w:w="40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shd w:val="clear" w:color="auto" w:fill="CCFFCC"/>
          </w:tcPr>
          <w:p>
            <w:pPr>
              <w:jc w:val="right"/>
              <w:ind w:right="49"/>
              <w:spacing w:after="0"/>
              <w:rPr>
                <w:sz w:val="20"/>
                <w:szCs w:val="20"/>
                <w:color w:val="auto"/>
              </w:rPr>
            </w:pPr>
            <w:r>
              <w:rPr>
                <w:rFonts w:ascii="Arial" w:cs="Arial" w:eastAsia="Arial" w:hAnsi="Arial"/>
                <w:sz w:val="14"/>
                <w:szCs w:val="14"/>
                <w:color w:val="auto"/>
              </w:rPr>
              <w:t>22,704</w:t>
            </w:r>
          </w:p>
        </w:tc>
      </w:tr>
      <w:tr>
        <w:trPr>
          <w:trHeight w:val="219"/>
        </w:trPr>
        <w:tc>
          <w:tcPr>
            <w:tcW w:w="6080" w:type="dxa"/>
            <w:vAlign w:val="bottom"/>
          </w:tcPr>
          <w:p>
            <w:pPr>
              <w:ind w:left="220"/>
              <w:spacing w:after="0"/>
              <w:rPr>
                <w:sz w:val="20"/>
                <w:szCs w:val="20"/>
                <w:color w:val="auto"/>
              </w:rPr>
            </w:pPr>
            <w:r>
              <w:rPr>
                <w:rFonts w:ascii="Arial" w:cs="Arial" w:eastAsia="Arial" w:hAnsi="Arial"/>
                <w:sz w:val="14"/>
                <w:szCs w:val="14"/>
                <w:color w:val="auto"/>
              </w:rPr>
              <w:t>Total revenue</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94,804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75,175</w:t>
            </w:r>
          </w:p>
        </w:tc>
        <w:tc>
          <w:tcPr>
            <w:tcW w:w="3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264,495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212,536</w:t>
            </w: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46" w:hanging="146"/>
        <w:spacing w:after="0"/>
        <w:tabs>
          <w:tab w:leader="none" w:pos="146"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Canada, Latin America and South America</w:t>
      </w:r>
    </w:p>
    <w:p>
      <w:pPr>
        <w:ind w:left="146" w:hanging="146"/>
        <w:spacing w:after="0" w:line="202" w:lineRule="auto"/>
        <w:tabs>
          <w:tab w:leader="none" w:pos="146"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Europe, the Middle East and Africa (“EMEA”)</w:t>
      </w:r>
    </w:p>
    <w:p>
      <w:pPr>
        <w:ind w:left="146" w:hanging="146"/>
        <w:spacing w:after="0" w:line="202" w:lineRule="auto"/>
        <w:tabs>
          <w:tab w:leader="none" w:pos="146"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Asia-Pacific (“APAC”)</w:t>
      </w:r>
    </w:p>
    <w:p>
      <w:pPr>
        <w:jc w:val="both"/>
        <w:ind w:left="6" w:right="220" w:hanging="6"/>
        <w:spacing w:after="0" w:line="235" w:lineRule="auto"/>
        <w:tabs>
          <w:tab w:leader="none" w:pos="151"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Includes revenues from the United Kingdom of $14.6 million and $12.3 million for the three months ended September 30, 2020 and 2019, respectively, and from the Netherlands of $0.6 million and $2.4 million for the three months ended September 30, 2020 and 2019, respectively. Includes revenues from the United Kingdom of $39.7 million and $36.9 million for the nine months ended September 30, 2020 and 2019, respectively, and from Netherlands of $2.5 million and $7.5 million for the nine months ended September 30, 2020 and 2019, respectively.</w:t>
      </w:r>
    </w:p>
    <w:p>
      <w:pPr>
        <w:spacing w:after="0" w:line="200" w:lineRule="exact"/>
        <w:rPr>
          <w:sz w:val="20"/>
          <w:szCs w:val="20"/>
          <w:color w:val="auto"/>
        </w:rPr>
      </w:pPr>
    </w:p>
    <w:p>
      <w:pPr>
        <w:spacing w:after="0" w:line="29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66"/>
          </w:cols>
          <w:pgMar w:left="314" w:top="170" w:right="319" w:bottom="1440" w:gutter="0" w:footer="0" w:header="0"/>
        </w:sectPr>
      </w:pPr>
    </w:p>
    <w:bookmarkStart w:id="17" w:name="page18"/>
    <w:bookmarkEnd w:id="17"/>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Information about Contract Balances</w:t>
      </w:r>
    </w:p>
    <w:p>
      <w:pPr>
        <w:spacing w:after="0" w:line="192" w:lineRule="exact"/>
        <w:rPr>
          <w:sz w:val="20"/>
          <w:szCs w:val="20"/>
          <w:color w:val="auto"/>
        </w:rPr>
      </w:pPr>
    </w:p>
    <w:p>
      <w:pPr>
        <w:jc w:val="both"/>
        <w:ind w:left="6" w:right="20" w:firstLine="564"/>
        <w:spacing w:after="0" w:line="265" w:lineRule="auto"/>
        <w:rPr>
          <w:sz w:val="20"/>
          <w:szCs w:val="20"/>
          <w:color w:val="auto"/>
        </w:rPr>
      </w:pPr>
      <w:r>
        <w:rPr>
          <w:rFonts w:ascii="Arial" w:cs="Arial" w:eastAsia="Arial" w:hAnsi="Arial"/>
          <w:sz w:val="16"/>
          <w:szCs w:val="16"/>
          <w:color w:val="auto"/>
        </w:rPr>
        <w:t xml:space="preserve">Amounts collected in advance of services being provided are accounted for as deferred revenue. Nearly all of the Company's deferred revenue balance is related to </w:t>
      </w:r>
      <w:r>
        <w:rPr>
          <w:rFonts w:ascii="Arial" w:cs="Arial" w:eastAsia="Arial" w:hAnsi="Arial"/>
          <w:sz w:val="16"/>
          <w:szCs w:val="16"/>
          <w:i w:val="1"/>
          <w:iCs w:val="1"/>
          <w:color w:val="auto"/>
        </w:rPr>
        <w:t>Hosted</w:t>
      </w:r>
      <w:r>
        <w:rPr>
          <w:rFonts w:ascii="Arial" w:cs="Arial" w:eastAsia="Arial" w:hAnsi="Arial"/>
          <w:sz w:val="16"/>
          <w:szCs w:val="16"/>
          <w:color w:val="auto"/>
        </w:rPr>
        <w:t xml:space="preserve"> </w:t>
      </w:r>
      <w:r>
        <w:rPr>
          <w:rFonts w:ascii="Arial" w:cs="Arial" w:eastAsia="Arial" w:hAnsi="Arial"/>
          <w:sz w:val="16"/>
          <w:szCs w:val="16"/>
          <w:i w:val="1"/>
          <w:iCs w:val="1"/>
          <w:color w:val="auto"/>
        </w:rPr>
        <w:t>Services - Business Revenue.</w:t>
      </w:r>
    </w:p>
    <w:p>
      <w:pPr>
        <w:spacing w:after="0" w:line="64" w:lineRule="exact"/>
        <w:rPr>
          <w:sz w:val="20"/>
          <w:szCs w:val="20"/>
          <w:color w:val="auto"/>
        </w:rPr>
      </w:pPr>
    </w:p>
    <w:p>
      <w:pPr>
        <w:jc w:val="both"/>
        <w:ind w:left="6" w:firstLine="564"/>
        <w:spacing w:after="0" w:line="328" w:lineRule="auto"/>
        <w:rPr>
          <w:sz w:val="20"/>
          <w:szCs w:val="20"/>
          <w:color w:val="auto"/>
        </w:rPr>
      </w:pPr>
      <w:r>
        <w:rPr>
          <w:rFonts w:ascii="Arial" w:cs="Arial" w:eastAsia="Arial" w:hAnsi="Arial"/>
          <w:sz w:val="13"/>
          <w:szCs w:val="13"/>
          <w:color w:val="auto"/>
        </w:rPr>
        <w:t>In some arrangements, the Company allows customers to pay for access to the Conversational Cloud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condensed consolidated balance sheet. Contract acquisition costs represent prepaid sales commissions. The opening and closing balances of the Company's accounts receivable, unbilled receivables, contract acquisition costs and deferred revenues are as follows (amounts in thousands):</w:t>
      </w:r>
    </w:p>
    <w:p>
      <w:pPr>
        <w:spacing w:after="0" w:line="143"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96"/>
              </w:rPr>
              <w:t xml:space="preserve">Accounts Receivable </w:t>
            </w:r>
            <w:r>
              <w:rPr>
                <w:rFonts w:ascii="Arial" w:cs="Arial" w:eastAsia="Arial" w:hAnsi="Arial"/>
                <w:sz w:val="7"/>
                <w:szCs w:val="7"/>
                <w:b w:val="1"/>
                <w:bCs w:val="1"/>
                <w:color w:val="auto"/>
                <w:w w:val="96"/>
              </w:rPr>
              <w:t>(1)</w:t>
            </w:r>
          </w:p>
        </w:tc>
        <w:tc>
          <w:tcPr>
            <w:tcW w:w="150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 xml:space="preserve">Unbilled Receivable </w:t>
            </w:r>
            <w:r>
              <w:rPr>
                <w:rFonts w:ascii="Arial" w:cs="Arial" w:eastAsia="Arial" w:hAnsi="Arial"/>
                <w:sz w:val="7"/>
                <w:szCs w:val="7"/>
                <w:b w:val="1"/>
                <w:bCs w:val="1"/>
                <w:color w:val="auto"/>
              </w:rPr>
              <w:t>(1)</w:t>
            </w:r>
          </w:p>
        </w:tc>
        <w:tc>
          <w:tcPr>
            <w:tcW w:w="100" w:type="dxa"/>
            <w:vAlign w:val="bottom"/>
          </w:tcPr>
          <w:p>
            <w:pPr>
              <w:spacing w:after="0"/>
              <w:rPr>
                <w:sz w:val="13"/>
                <w:szCs w:val="13"/>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b w:val="1"/>
                <w:bCs w:val="1"/>
                <w:color w:val="auto"/>
                <w:w w:val="87"/>
              </w:rPr>
              <w:t>Contract Acquisition</w:t>
            </w:r>
          </w:p>
        </w:tc>
        <w:tc>
          <w:tcPr>
            <w:tcW w:w="24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Deferred Revenue</w:t>
            </w:r>
          </w:p>
        </w:tc>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w w:val="87"/>
              </w:rPr>
              <w:t>Deferred Revenue (long</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153"/>
              <w:spacing w:after="0"/>
              <w:rPr>
                <w:sz w:val="20"/>
                <w:szCs w:val="20"/>
                <w:color w:val="auto"/>
              </w:rPr>
            </w:pPr>
            <w:r>
              <w:rPr>
                <w:rFonts w:ascii="Arial" w:cs="Arial" w:eastAsia="Arial" w:hAnsi="Arial"/>
                <w:sz w:val="13"/>
                <w:szCs w:val="13"/>
                <w:b w:val="1"/>
                <w:bCs w:val="1"/>
                <w:color w:val="auto"/>
                <w:w w:val="94"/>
              </w:rPr>
              <w:t>Costs noncurrent</w:t>
            </w:r>
          </w:p>
        </w:tc>
        <w:tc>
          <w:tcPr>
            <w:tcW w:w="2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(current)</w:t>
            </w:r>
          </w:p>
        </w:tc>
        <w:tc>
          <w:tcPr>
            <w:tcW w:w="320" w:type="dxa"/>
            <w:vAlign w:val="bottom"/>
          </w:tcPr>
          <w:p>
            <w:pPr>
              <w:spacing w:after="0"/>
              <w:rPr>
                <w:sz w:val="14"/>
                <w:szCs w:val="14"/>
                <w:color w:val="auto"/>
              </w:rPr>
            </w:pPr>
          </w:p>
        </w:tc>
        <w:tc>
          <w:tcPr>
            <w:tcW w:w="1020" w:type="dxa"/>
            <w:vAlign w:val="bottom"/>
          </w:tcPr>
          <w:p>
            <w:pPr>
              <w:jc w:val="right"/>
              <w:ind w:right="451"/>
              <w:spacing w:after="0"/>
              <w:rPr>
                <w:sz w:val="20"/>
                <w:szCs w:val="20"/>
                <w:color w:val="auto"/>
              </w:rPr>
            </w:pPr>
            <w:r>
              <w:rPr>
                <w:rFonts w:ascii="Arial" w:cs="Arial" w:eastAsia="Arial" w:hAnsi="Arial"/>
                <w:sz w:val="13"/>
                <w:szCs w:val="13"/>
                <w:b w:val="1"/>
                <w:bCs w:val="1"/>
                <w:color w:val="auto"/>
              </w:rPr>
              <w:t>term)</w:t>
            </w:r>
          </w:p>
        </w:tc>
        <w:tc>
          <w:tcPr>
            <w:tcW w:w="0" w:type="dxa"/>
            <w:vAlign w:val="bottom"/>
          </w:tcPr>
          <w:p>
            <w:pPr>
              <w:spacing w:after="0"/>
              <w:rPr>
                <w:sz w:val="1"/>
                <w:szCs w:val="1"/>
                <w:color w:val="auto"/>
              </w:rPr>
            </w:pPr>
          </w:p>
        </w:tc>
      </w:tr>
      <w:tr>
        <w:trPr>
          <w:trHeight w:val="212"/>
        </w:trPr>
        <w:tc>
          <w:tcPr>
            <w:tcW w:w="40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Opening Balance as of December 31, 2019</w:t>
            </w:r>
          </w:p>
        </w:tc>
        <w:tc>
          <w:tcPr>
            <w:tcW w:w="460" w:type="dxa"/>
            <w:vAlign w:val="bottom"/>
            <w:tcBorders>
              <w:top w:val="single" w:sz="8" w:color="auto"/>
              <w:bottom w:val="single" w:sz="8" w:color="CCFFCC"/>
            </w:tcBorders>
            <w:shd w:val="clear" w:color="auto" w:fill="CCFFCC"/>
          </w:tcPr>
          <w:p>
            <w:pPr>
              <w:jc w:val="right"/>
              <w:ind w:right="292"/>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70,318</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480" w:type="dxa"/>
            <w:vAlign w:val="bottom"/>
            <w:tcBorders>
              <w:top w:val="single" w:sz="8" w:color="auto"/>
              <w:bottom w:val="single" w:sz="8" w:color="CCFFCC"/>
            </w:tcBorders>
            <w:shd w:val="clear" w:color="auto" w:fill="CCFFCC"/>
          </w:tcPr>
          <w:p>
            <w:pPr>
              <w:jc w:val="right"/>
              <w:ind w:right="312"/>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17,302</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31,965</w:t>
            </w:r>
          </w:p>
        </w:tc>
        <w:tc>
          <w:tcPr>
            <w:tcW w:w="2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88,751</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7"/>
        </w:trPr>
        <w:tc>
          <w:tcPr>
            <w:tcW w:w="4040" w:type="dxa"/>
            <w:vAlign w:val="bottom"/>
          </w:tcPr>
          <w:p>
            <w:pPr>
              <w:ind w:left="140"/>
              <w:spacing w:after="0"/>
              <w:rPr>
                <w:sz w:val="20"/>
                <w:szCs w:val="20"/>
                <w:color w:val="auto"/>
              </w:rPr>
            </w:pPr>
            <w:r>
              <w:rPr>
                <w:rFonts w:ascii="Arial" w:cs="Arial" w:eastAsia="Arial" w:hAnsi="Arial"/>
                <w:sz w:val="14"/>
                <w:szCs w:val="14"/>
                <w:color w:val="auto"/>
              </w:rPr>
              <w:t>(Decrease) Increase, net</w:t>
            </w:r>
          </w:p>
        </w:tc>
        <w:tc>
          <w:tcPr>
            <w:tcW w:w="460" w:type="dxa"/>
            <w:vAlign w:val="bottom"/>
          </w:tcPr>
          <w:p>
            <w:pPr>
              <w:spacing w:after="0"/>
              <w:rPr>
                <w:sz w:val="17"/>
                <w:szCs w:val="17"/>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(15,461)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(5,676)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53"/>
              <w:spacing w:after="0"/>
              <w:rPr>
                <w:sz w:val="20"/>
                <w:szCs w:val="20"/>
                <w:color w:val="auto"/>
              </w:rPr>
            </w:pPr>
            <w:r>
              <w:rPr>
                <w:rFonts w:ascii="Arial" w:cs="Arial" w:eastAsia="Arial" w:hAnsi="Arial"/>
                <w:sz w:val="14"/>
                <w:szCs w:val="14"/>
                <w:color w:val="auto"/>
              </w:rPr>
              <w:t>9,130</w:t>
            </w:r>
          </w:p>
        </w:tc>
        <w:tc>
          <w:tcPr>
            <w:tcW w:w="240" w:type="dxa"/>
            <w:vAlign w:val="bottom"/>
          </w:tcPr>
          <w:p>
            <w:pPr>
              <w:spacing w:after="0"/>
              <w:rPr>
                <w:sz w:val="17"/>
                <w:szCs w:val="17"/>
                <w:color w:val="auto"/>
              </w:rPr>
            </w:pPr>
          </w:p>
        </w:tc>
        <w:tc>
          <w:tcPr>
            <w:tcW w:w="1200" w:type="dxa"/>
            <w:vAlign w:val="bottom"/>
          </w:tcPr>
          <w:p>
            <w:pPr>
              <w:jc w:val="right"/>
              <w:ind w:right="33"/>
              <w:spacing w:after="0"/>
              <w:rPr>
                <w:sz w:val="20"/>
                <w:szCs w:val="20"/>
                <w:color w:val="auto"/>
              </w:rPr>
            </w:pPr>
            <w:r>
              <w:rPr>
                <w:rFonts w:ascii="Arial" w:cs="Arial" w:eastAsia="Arial" w:hAnsi="Arial"/>
                <w:sz w:val="14"/>
                <w:szCs w:val="14"/>
                <w:color w:val="auto"/>
              </w:rPr>
              <w:t>1,608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9"/>
        </w:trPr>
        <w:tc>
          <w:tcPr>
            <w:tcW w:w="404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0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Ending Balance as of September 30, 2020</w:t>
            </w:r>
          </w:p>
        </w:tc>
        <w:tc>
          <w:tcPr>
            <w:tcW w:w="460" w:type="dxa"/>
            <w:vAlign w:val="bottom"/>
            <w:tcBorders>
              <w:bottom w:val="single" w:sz="8" w:color="auto"/>
            </w:tcBorders>
            <w:shd w:val="clear" w:color="auto" w:fill="CCFFCC"/>
          </w:tcPr>
          <w:p>
            <w:pPr>
              <w:jc w:val="right"/>
              <w:ind w:right="29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FFCC"/>
          </w:tcPr>
          <w:p>
            <w:pPr>
              <w:jc w:val="right"/>
              <w:ind w:right="49"/>
              <w:spacing w:after="0"/>
              <w:rPr>
                <w:sz w:val="20"/>
                <w:szCs w:val="20"/>
                <w:color w:val="auto"/>
              </w:rPr>
            </w:pPr>
            <w:r>
              <w:rPr>
                <w:rFonts w:ascii="Arial" w:cs="Arial" w:eastAsia="Arial" w:hAnsi="Arial"/>
                <w:sz w:val="14"/>
                <w:szCs w:val="14"/>
                <w:color w:val="auto"/>
              </w:rPr>
              <w:t>54,857</w:t>
            </w:r>
          </w:p>
        </w:tc>
        <w:tc>
          <w:tcPr>
            <w:tcW w:w="100" w:type="dxa"/>
            <w:vAlign w:val="bottom"/>
            <w:tcBorders>
              <w:bottom w:val="single" w:sz="8" w:color="CCFFCC"/>
            </w:tcBorders>
            <w:shd w:val="clear" w:color="auto" w:fill="CCFFCC"/>
          </w:tcPr>
          <w:p>
            <w:pPr>
              <w:spacing w:after="0"/>
              <w:rPr>
                <w:sz w:val="19"/>
                <w:szCs w:val="19"/>
                <w:color w:val="auto"/>
              </w:rPr>
            </w:pPr>
          </w:p>
        </w:tc>
        <w:tc>
          <w:tcPr>
            <w:tcW w:w="480" w:type="dxa"/>
            <w:vAlign w:val="bottom"/>
            <w:tcBorders>
              <w:bottom w:val="single" w:sz="8" w:color="auto"/>
            </w:tcBorders>
            <w:shd w:val="clear" w:color="auto" w:fill="CCFFCC"/>
          </w:tcPr>
          <w:p>
            <w:pPr>
              <w:jc w:val="right"/>
              <w:ind w:right="31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FFCC"/>
          </w:tcPr>
          <w:p>
            <w:pPr>
              <w:jc w:val="right"/>
              <w:ind w:right="49"/>
              <w:spacing w:after="0"/>
              <w:rPr>
                <w:sz w:val="20"/>
                <w:szCs w:val="20"/>
                <w:color w:val="auto"/>
              </w:rPr>
            </w:pPr>
            <w:r>
              <w:rPr>
                <w:rFonts w:ascii="Arial" w:cs="Arial" w:eastAsia="Arial" w:hAnsi="Arial"/>
                <w:sz w:val="14"/>
                <w:szCs w:val="14"/>
                <w:color w:val="auto"/>
              </w:rPr>
              <w:t>11,626</w:t>
            </w:r>
          </w:p>
        </w:tc>
        <w:tc>
          <w:tcPr>
            <w:tcW w:w="1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FFCC"/>
          </w:tcPr>
          <w:p>
            <w:pPr>
              <w:jc w:val="right"/>
              <w:ind w:right="53"/>
              <w:spacing w:after="0"/>
              <w:rPr>
                <w:sz w:val="20"/>
                <w:szCs w:val="20"/>
                <w:color w:val="auto"/>
              </w:rPr>
            </w:pPr>
            <w:r>
              <w:rPr>
                <w:rFonts w:ascii="Arial" w:cs="Arial" w:eastAsia="Arial" w:hAnsi="Arial"/>
                <w:sz w:val="14"/>
                <w:szCs w:val="14"/>
                <w:color w:val="auto"/>
              </w:rPr>
              <w:t>41,095</w:t>
            </w:r>
          </w:p>
        </w:tc>
        <w:tc>
          <w:tcPr>
            <w:tcW w:w="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FFCC"/>
          </w:tcPr>
          <w:p>
            <w:pPr>
              <w:jc w:val="right"/>
              <w:ind w:right="33"/>
              <w:spacing w:after="0"/>
              <w:rPr>
                <w:sz w:val="20"/>
                <w:szCs w:val="20"/>
                <w:color w:val="auto"/>
              </w:rPr>
            </w:pPr>
            <w:r>
              <w:rPr>
                <w:rFonts w:ascii="Arial" w:cs="Arial" w:eastAsia="Arial" w:hAnsi="Arial"/>
                <w:sz w:val="14"/>
                <w:szCs w:val="14"/>
                <w:color w:val="auto"/>
              </w:rPr>
              <w:t>90,359</w:t>
            </w:r>
          </w:p>
        </w:tc>
        <w:tc>
          <w:tcPr>
            <w:tcW w:w="100" w:type="dxa"/>
            <w:vAlign w:val="bottom"/>
            <w:tcBorders>
              <w:bottom w:val="single" w:sz="8" w:color="CCFFCC"/>
            </w:tcBorders>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FFCC"/>
          </w:tcPr>
          <w:p>
            <w:pPr>
              <w:jc w:val="right"/>
              <w:ind w:right="51"/>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106" w:hanging="106"/>
        <w:spacing w:after="0"/>
        <w:tabs>
          <w:tab w:leader="none" w:pos="106" w:val="left"/>
        </w:tabs>
        <w:numPr>
          <w:ilvl w:val="0"/>
          <w:numId w:val="10"/>
        </w:numPr>
        <w:rPr>
          <w:rFonts w:ascii="Arial" w:cs="Arial" w:eastAsia="Arial" w:hAnsi="Arial"/>
          <w:sz w:val="13"/>
          <w:szCs w:val="13"/>
          <w:b w:val="1"/>
          <w:bCs w:val="1"/>
          <w:color w:val="auto"/>
          <w:vertAlign w:val="superscript"/>
        </w:rPr>
      </w:pPr>
      <w:r>
        <w:rPr>
          <w:rFonts w:ascii="Arial" w:cs="Arial" w:eastAsia="Arial" w:hAnsi="Arial"/>
          <w:sz w:val="13"/>
          <w:szCs w:val="13"/>
          <w:color w:val="auto"/>
        </w:rPr>
        <w:t>These accounts include the $0.7 million adjustment in connection with the adoption of ASU 2016-13 (Topic 326).</w:t>
      </w:r>
    </w:p>
    <w:p>
      <w:pPr>
        <w:spacing w:after="0" w:line="227"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Accounts Receivable, Net</w:t>
      </w:r>
    </w:p>
    <w:p>
      <w:pPr>
        <w:spacing w:after="0" w:line="192" w:lineRule="exact"/>
        <w:rPr>
          <w:sz w:val="20"/>
          <w:szCs w:val="20"/>
          <w:color w:val="auto"/>
        </w:rPr>
      </w:pPr>
    </w:p>
    <w:p>
      <w:pPr>
        <w:jc w:val="both"/>
        <w:ind w:left="6" w:firstLine="564"/>
        <w:spacing w:after="0" w:line="271" w:lineRule="auto"/>
        <w:rPr>
          <w:sz w:val="20"/>
          <w:szCs w:val="20"/>
          <w:color w:val="auto"/>
        </w:rPr>
      </w:pPr>
      <w:r>
        <w:rPr>
          <w:rFonts w:ascii="Arial" w:cs="Arial" w:eastAsia="Arial" w:hAnsi="Arial"/>
          <w:sz w:val="15"/>
          <w:szCs w:val="15"/>
          <w:color w:val="auto"/>
        </w:rPr>
        <w:t>The timing of revenue recognition, billings and cash collections results in billed accounts receivable, unbilled receivables (contract assets), and customer advances and deposits (contract liabilities, which are included in accrued liabilities and other long-term liabilities) on the condensed consolidated balance sheet. Under the typical payment terms of our over time contracts, the customer pays us either performance-based payments or progress payments. Amounts billed and due from our customers are classified as receivables on the condensed consolidated balance sheet. Accounts receivable is presented net of an allowance for doubtful accounts and sales reserve of $5.0 million and $4.0 million at September 30, 2020, respectively and $3.1 million and $1.1 million at December 31, 2019, respectively.</w:t>
      </w:r>
    </w:p>
    <w:p>
      <w:pPr>
        <w:spacing w:after="0" w:line="61" w:lineRule="exact"/>
        <w:rPr>
          <w:sz w:val="20"/>
          <w:szCs w:val="20"/>
          <w:color w:val="auto"/>
        </w:rPr>
      </w:pPr>
    </w:p>
    <w:p>
      <w:pPr>
        <w:jc w:val="both"/>
        <w:ind w:left="6" w:firstLine="564"/>
        <w:spacing w:after="0" w:line="269" w:lineRule="auto"/>
        <w:rPr>
          <w:sz w:val="20"/>
          <w:szCs w:val="20"/>
          <w:color w:val="auto"/>
        </w:rPr>
      </w:pPr>
      <w:r>
        <w:rPr>
          <w:rFonts w:ascii="Arial" w:cs="Arial" w:eastAsia="Arial" w:hAnsi="Arial"/>
          <w:sz w:val="15"/>
          <w:szCs w:val="15"/>
          <w:color w:val="auto"/>
        </w:rPr>
        <w:t>An allowance for doubtful accounts is established to recognize expected credit losses on accounts receivable balances. Judgment is required in the estimation of the allowance and the Company evaluates the collectability of its accounts receivable based on a combination of factors. If the Company becomes aware of a customer’s inability to meet its financial obligations, a specific allowance is recorded to reduce the net receivable to the amount reasonably believed to be collectible from the customer. For all other customers, the Company uses an aging schedule and recognize allowances for doubtful accounts based on the creditworthiness of the debtor, the age and status of outstanding receivables, the current business environment and its historical collection experience adjusted for current expectations for the customers or industry. Accounts receivable are written off against the allowance for uncollectible accounts when the Company determines amounts are no longer collectible.</w:t>
      </w:r>
    </w:p>
    <w:p>
      <w:pPr>
        <w:spacing w:after="0" w:line="270" w:lineRule="exact"/>
        <w:rPr>
          <w:sz w:val="20"/>
          <w:szCs w:val="20"/>
          <w:color w:val="auto"/>
        </w:rPr>
      </w:pPr>
    </w:p>
    <w:tbl>
      <w:tblPr>
        <w:tblLayout w:type="fixed"/>
        <w:tblInd w:w="6"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Allowance for doubtful accounts (in thousands):</w:t>
            </w:r>
          </w:p>
        </w:tc>
        <w:tc>
          <w:tcPr>
            <w:tcW w:w="6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51"/>
              <w:spacing w:after="0"/>
              <w:rPr>
                <w:sz w:val="20"/>
                <w:szCs w:val="20"/>
                <w:color w:val="auto"/>
              </w:rPr>
            </w:pPr>
            <w:r>
              <w:rPr>
                <w:rFonts w:ascii="Arial" w:cs="Arial" w:eastAsia="Arial" w:hAnsi="Arial"/>
                <w:sz w:val="13"/>
                <w:szCs w:val="13"/>
                <w:b w:val="1"/>
                <w:bCs w:val="1"/>
                <w:color w:val="auto"/>
                <w:w w:val="85"/>
              </w:rPr>
              <w:t>As of September 30, 2020</w:t>
            </w:r>
          </w:p>
        </w:tc>
      </w:tr>
      <w:tr>
        <w:trPr>
          <w:trHeight w:val="39"/>
        </w:trPr>
        <w:tc>
          <w:tcPr>
            <w:tcW w:w="20" w:type="dxa"/>
            <w:vAlign w:val="bottom"/>
            <w:tcBorders>
              <w:bottom w:val="single" w:sz="8" w:color="CCFFCC"/>
            </w:tcBorders>
          </w:tcPr>
          <w:p>
            <w:pPr>
              <w:spacing w:after="0"/>
              <w:rPr>
                <w:sz w:val="3"/>
                <w:szCs w:val="3"/>
                <w:color w:val="auto"/>
              </w:rPr>
            </w:pPr>
          </w:p>
        </w:tc>
        <w:tc>
          <w:tcPr>
            <w:tcW w:w="2900" w:type="dxa"/>
            <w:vAlign w:val="bottom"/>
            <w:tcBorders>
              <w:bottom w:val="single" w:sz="8" w:color="CCFFCC"/>
            </w:tcBorders>
          </w:tcPr>
          <w:p>
            <w:pPr>
              <w:spacing w:after="0"/>
              <w:rPr>
                <w:sz w:val="3"/>
                <w:szCs w:val="3"/>
                <w:color w:val="auto"/>
              </w:rPr>
            </w:pPr>
          </w:p>
        </w:tc>
        <w:tc>
          <w:tcPr>
            <w:tcW w:w="6760" w:type="dxa"/>
            <w:vAlign w:val="bottom"/>
            <w:tcBorders>
              <w:bottom w:val="single" w:sz="8" w:color="CCFFC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95"/>
        </w:trPr>
        <w:tc>
          <w:tcPr>
            <w:tcW w:w="20" w:type="dxa"/>
            <w:vAlign w:val="bottom"/>
            <w:tcBorders>
              <w:bottom w:val="single" w:sz="8" w:color="CCFFCC"/>
            </w:tcBorders>
            <w:shd w:val="clear" w:color="auto" w:fill="CCFFCC"/>
          </w:tcPr>
          <w:p>
            <w:pPr>
              <w:spacing w:after="0"/>
              <w:rPr>
                <w:sz w:val="16"/>
                <w:szCs w:val="16"/>
                <w:color w:val="auto"/>
              </w:rPr>
            </w:pPr>
          </w:p>
        </w:tc>
        <w:tc>
          <w:tcPr>
            <w:tcW w:w="96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4"/>
                <w:szCs w:val="14"/>
                <w:color w:val="auto"/>
              </w:rPr>
              <w:t>Balance at beginning of year, as adjusted for the adoption of ASU 2016-13 (Topic 326)</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3,799</w:t>
            </w:r>
          </w:p>
        </w:tc>
      </w:tr>
      <w:tr>
        <w:trPr>
          <w:trHeight w:val="195"/>
        </w:trPr>
        <w:tc>
          <w:tcPr>
            <w:tcW w:w="20" w:type="dxa"/>
            <w:vAlign w:val="bottom"/>
          </w:tcPr>
          <w:p>
            <w:pPr>
              <w:spacing w:after="0"/>
              <w:rPr>
                <w:sz w:val="16"/>
                <w:szCs w:val="16"/>
                <w:color w:val="auto"/>
              </w:rPr>
            </w:pPr>
          </w:p>
        </w:tc>
        <w:tc>
          <w:tcPr>
            <w:tcW w:w="9660" w:type="dxa"/>
            <w:vAlign w:val="bottom"/>
            <w:gridSpan w:val="2"/>
          </w:tcPr>
          <w:p>
            <w:pPr>
              <w:ind w:left="120"/>
              <w:spacing w:after="0"/>
              <w:rPr>
                <w:sz w:val="20"/>
                <w:szCs w:val="20"/>
                <w:color w:val="auto"/>
              </w:rPr>
            </w:pPr>
            <w:r>
              <w:rPr>
                <w:rFonts w:ascii="Arial" w:cs="Arial" w:eastAsia="Arial" w:hAnsi="Arial"/>
                <w:sz w:val="14"/>
                <w:szCs w:val="14"/>
                <w:color w:val="auto"/>
              </w:rPr>
              <w:t>Accruals for credit loss charged to expense, net</w:t>
            </w:r>
          </w:p>
        </w:tc>
        <w:tc>
          <w:tcPr>
            <w:tcW w:w="100" w:type="dxa"/>
            <w:vAlign w:val="bottom"/>
          </w:tcPr>
          <w:p>
            <w:pPr>
              <w:spacing w:after="0"/>
              <w:rPr>
                <w:sz w:val="16"/>
                <w:szCs w:val="16"/>
                <w:color w:val="auto"/>
              </w:rPr>
            </w:pPr>
          </w:p>
        </w:tc>
        <w:tc>
          <w:tcPr>
            <w:tcW w:w="1480" w:type="dxa"/>
            <w:vAlign w:val="bottom"/>
          </w:tcPr>
          <w:p>
            <w:pPr>
              <w:jc w:val="right"/>
              <w:ind w:right="51"/>
              <w:spacing w:after="0"/>
              <w:rPr>
                <w:sz w:val="20"/>
                <w:szCs w:val="20"/>
                <w:color w:val="auto"/>
              </w:rPr>
            </w:pPr>
            <w:r>
              <w:rPr>
                <w:rFonts w:ascii="Arial" w:cs="Arial" w:eastAsia="Arial" w:hAnsi="Arial"/>
                <w:sz w:val="14"/>
                <w:szCs w:val="14"/>
                <w:color w:val="auto"/>
              </w:rPr>
              <w:t>1,154</w:t>
            </w:r>
          </w:p>
        </w:tc>
      </w:tr>
      <w:tr>
        <w:trPr>
          <w:trHeight w:val="29"/>
        </w:trPr>
        <w:tc>
          <w:tcPr>
            <w:tcW w:w="20" w:type="dxa"/>
            <w:vAlign w:val="bottom"/>
            <w:tcBorders>
              <w:bottom w:val="single" w:sz="8" w:color="CCFFCC"/>
            </w:tcBorders>
          </w:tcPr>
          <w:p>
            <w:pPr>
              <w:spacing w:after="0"/>
              <w:rPr>
                <w:sz w:val="2"/>
                <w:szCs w:val="2"/>
                <w:color w:val="auto"/>
              </w:rPr>
            </w:pPr>
          </w:p>
        </w:tc>
        <w:tc>
          <w:tcPr>
            <w:tcW w:w="2900" w:type="dxa"/>
            <w:vAlign w:val="bottom"/>
            <w:tcBorders>
              <w:bottom w:val="single" w:sz="8" w:color="CCFFCC"/>
            </w:tcBorders>
          </w:tcPr>
          <w:p>
            <w:pPr>
              <w:spacing w:after="0"/>
              <w:rPr>
                <w:sz w:val="2"/>
                <w:szCs w:val="2"/>
                <w:color w:val="auto"/>
              </w:rPr>
            </w:pPr>
          </w:p>
        </w:tc>
        <w:tc>
          <w:tcPr>
            <w:tcW w:w="676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7"/>
        </w:trPr>
        <w:tc>
          <w:tcPr>
            <w:tcW w:w="20" w:type="dxa"/>
            <w:vAlign w:val="bottom"/>
            <w:tcBorders>
              <w:bottom w:val="single" w:sz="8" w:color="CCFFCC"/>
            </w:tcBorders>
            <w:shd w:val="clear" w:color="auto" w:fill="CCFFCC"/>
          </w:tcPr>
          <w:p>
            <w:pPr>
              <w:spacing w:after="0"/>
              <w:rPr>
                <w:sz w:val="17"/>
                <w:szCs w:val="17"/>
                <w:color w:val="auto"/>
              </w:rPr>
            </w:pPr>
          </w:p>
        </w:tc>
        <w:tc>
          <w:tcPr>
            <w:tcW w:w="96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4"/>
                <w:szCs w:val="14"/>
                <w:color w:val="auto"/>
              </w:rPr>
              <w:t>Balance at end of period</w:t>
            </w: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FFCC"/>
          </w:tcPr>
          <w:p>
            <w:pPr>
              <w:jc w:val="right"/>
              <w:ind w:right="51"/>
              <w:spacing w:after="0"/>
              <w:rPr>
                <w:sz w:val="20"/>
                <w:szCs w:val="20"/>
                <w:color w:val="auto"/>
              </w:rPr>
            </w:pPr>
            <w:r>
              <w:rPr>
                <w:rFonts w:ascii="Arial" w:cs="Arial" w:eastAsia="Arial" w:hAnsi="Arial"/>
                <w:sz w:val="14"/>
                <w:szCs w:val="14"/>
                <w:color w:val="auto"/>
              </w:rPr>
              <w:t>4,953</w:t>
            </w: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3. Net Loss Per Share</w:t>
      </w:r>
    </w:p>
    <w:p>
      <w:pPr>
        <w:spacing w:after="0" w:line="196" w:lineRule="exact"/>
        <w:rPr>
          <w:sz w:val="20"/>
          <w:szCs w:val="20"/>
          <w:color w:val="auto"/>
        </w:rPr>
      </w:pPr>
    </w:p>
    <w:p>
      <w:pPr>
        <w:jc w:val="both"/>
        <w:ind w:left="6" w:firstLine="564"/>
        <w:spacing w:after="0" w:line="271" w:lineRule="auto"/>
        <w:rPr>
          <w:sz w:val="20"/>
          <w:szCs w:val="20"/>
          <w:color w:val="auto"/>
        </w:rPr>
      </w:pPr>
      <w:r>
        <w:rPr>
          <w:rFonts w:ascii="Arial" w:cs="Arial" w:eastAsia="Arial" w:hAnsi="Arial"/>
          <w:sz w:val="15"/>
          <w:szCs w:val="15"/>
          <w:color w:val="auto"/>
        </w:rPr>
        <w:t>The Company calculates earnings per share (“EPS”) in accordance with the provisions of ASC 260-10. Under the guidance,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24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6"/>
          </w:cols>
          <w:pgMar w:left="314" w:top="170"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Diluted net loss per common share for the three and nine months ended September 30, 2020 does not include the effect of 8,061,415 outstanding common stock awards, as the effect of their inclusion is anti-dilutive. Diluted net loss per common share for the three and nine months ended September 30, 2019 does not include the effect of 8,905,707 outstanding common stock awards, as the effect of their inclusion is anti-dilutive.</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reconciliation of shares used in calculating basic and diluted net loss per share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2480" w:type="dxa"/>
            <w:vAlign w:val="bottom"/>
            <w:gridSpan w:val="4"/>
          </w:tcPr>
          <w:p>
            <w:pPr>
              <w:jc w:val="center"/>
              <w:ind w:right="71"/>
              <w:spacing w:after="0"/>
              <w:rPr>
                <w:sz w:val="20"/>
                <w:szCs w:val="20"/>
                <w:color w:val="auto"/>
              </w:rPr>
            </w:pPr>
            <w:r>
              <w:rPr>
                <w:rFonts w:ascii="Arial" w:cs="Arial" w:eastAsia="Arial" w:hAnsi="Arial"/>
                <w:sz w:val="13"/>
                <w:szCs w:val="13"/>
                <w:b w:val="1"/>
                <w:bCs w:val="1"/>
                <w:color w:val="auto"/>
                <w:w w:val="88"/>
              </w:rPr>
              <w:t>Three Months Ended</w:t>
            </w:r>
          </w:p>
        </w:tc>
        <w:tc>
          <w:tcPr>
            <w:tcW w:w="22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Nine Months Ended</w:t>
            </w:r>
          </w:p>
        </w:tc>
      </w:tr>
      <w:tr>
        <w:trPr>
          <w:trHeight w:val="241"/>
        </w:trPr>
        <w:tc>
          <w:tcPr>
            <w:tcW w:w="622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733"/>
              <w:spacing w:after="0"/>
              <w:rPr>
                <w:sz w:val="20"/>
                <w:szCs w:val="20"/>
                <w:color w:val="auto"/>
              </w:rPr>
            </w:pPr>
            <w:r>
              <w:rPr>
                <w:rFonts w:ascii="Arial" w:cs="Arial" w:eastAsia="Arial" w:hAnsi="Arial"/>
                <w:sz w:val="13"/>
                <w:szCs w:val="13"/>
                <w:b w:val="1"/>
                <w:bCs w:val="1"/>
                <w:color w:val="auto"/>
                <w:w w:val="85"/>
              </w:rPr>
              <w:t>September 30,</w:t>
            </w:r>
          </w:p>
        </w:tc>
        <w:tc>
          <w:tcPr>
            <w:tcW w:w="9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633"/>
              <w:spacing w:after="0"/>
              <w:rPr>
                <w:sz w:val="20"/>
                <w:szCs w:val="20"/>
                <w:color w:val="auto"/>
              </w:rPr>
            </w:pPr>
            <w:r>
              <w:rPr>
                <w:rFonts w:ascii="Arial" w:cs="Arial" w:eastAsia="Arial" w:hAnsi="Arial"/>
                <w:sz w:val="13"/>
                <w:szCs w:val="13"/>
                <w:b w:val="1"/>
                <w:bCs w:val="1"/>
                <w:color w:val="auto"/>
                <w:w w:val="87"/>
              </w:rPr>
              <w:t>September 30,</w:t>
            </w:r>
          </w:p>
        </w:tc>
        <w:tc>
          <w:tcPr>
            <w:tcW w:w="740" w:type="dxa"/>
            <w:vAlign w:val="bottom"/>
            <w:tcBorders>
              <w:bottom w:val="single" w:sz="8" w:color="auto"/>
            </w:tcBorders>
          </w:tcPr>
          <w:p>
            <w:pPr>
              <w:spacing w:after="0"/>
              <w:rPr>
                <w:sz w:val="20"/>
                <w:szCs w:val="20"/>
                <w:color w:val="auto"/>
              </w:rPr>
            </w:pPr>
          </w:p>
        </w:tc>
      </w:tr>
      <w:tr>
        <w:trPr>
          <w:trHeight w:val="227"/>
        </w:trPr>
        <w:tc>
          <w:tcPr>
            <w:tcW w:w="622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3"/>
                <w:szCs w:val="13"/>
                <w:b w:val="1"/>
                <w:bCs w:val="1"/>
                <w:color w:val="auto"/>
              </w:rPr>
              <w:t>2019</w:t>
            </w: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2019</w:t>
            </w:r>
          </w:p>
        </w:tc>
      </w:tr>
      <w:tr>
        <w:trPr>
          <w:trHeight w:val="212"/>
        </w:trPr>
        <w:tc>
          <w:tcPr>
            <w:tcW w:w="6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Basic</w:t>
            </w:r>
          </w:p>
        </w:tc>
        <w:tc>
          <w:tcPr>
            <w:tcW w:w="110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66,451,414</w:t>
            </w:r>
          </w:p>
        </w:tc>
        <w:tc>
          <w:tcPr>
            <w:tcW w:w="120" w:type="dxa"/>
            <w:vAlign w:val="bottom"/>
            <w:tcBorders>
              <w:bottom w:val="single" w:sz="8" w:color="CCFFCC"/>
            </w:tcBorders>
            <w:shd w:val="clear" w:color="auto" w:fill="CCFFCC"/>
          </w:tcPr>
          <w:p>
            <w:pPr>
              <w:spacing w:after="0"/>
              <w:rPr>
                <w:sz w:val="18"/>
                <w:szCs w:val="18"/>
                <w:color w:val="auto"/>
              </w:rPr>
            </w:pPr>
          </w:p>
        </w:tc>
        <w:tc>
          <w:tcPr>
            <w:tcW w:w="34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jc w:val="right"/>
              <w:ind w:right="191"/>
              <w:spacing w:after="0"/>
              <w:rPr>
                <w:sz w:val="20"/>
                <w:szCs w:val="20"/>
                <w:color w:val="auto"/>
              </w:rPr>
            </w:pPr>
            <w:r>
              <w:rPr>
                <w:rFonts w:ascii="Arial" w:cs="Arial" w:eastAsia="Arial" w:hAnsi="Arial"/>
                <w:sz w:val="14"/>
                <w:szCs w:val="14"/>
                <w:color w:val="auto"/>
                <w:w w:val="91"/>
              </w:rPr>
              <w:t>63,014,802</w:t>
            </w:r>
          </w:p>
        </w:tc>
        <w:tc>
          <w:tcPr>
            <w:tcW w:w="102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65,504,571</w:t>
            </w:r>
          </w:p>
        </w:tc>
        <w:tc>
          <w:tcPr>
            <w:tcW w:w="120" w:type="dxa"/>
            <w:vAlign w:val="bottom"/>
            <w:tcBorders>
              <w:bottom w:val="single" w:sz="8" w:color="CCFFCC"/>
            </w:tcBorders>
            <w:shd w:val="clear" w:color="auto" w:fill="CCFFCC"/>
          </w:tcPr>
          <w:p>
            <w:pPr>
              <w:spacing w:after="0"/>
              <w:rPr>
                <w:sz w:val="18"/>
                <w:szCs w:val="18"/>
                <w:color w:val="auto"/>
              </w:rPr>
            </w:pPr>
          </w:p>
        </w:tc>
        <w:tc>
          <w:tcPr>
            <w:tcW w:w="34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w w:val="85"/>
              </w:rPr>
              <w:t>62,268,439</w:t>
            </w:r>
          </w:p>
        </w:tc>
      </w:tr>
      <w:tr>
        <w:trPr>
          <w:trHeight w:val="207"/>
        </w:trPr>
        <w:tc>
          <w:tcPr>
            <w:tcW w:w="6220" w:type="dxa"/>
            <w:vAlign w:val="bottom"/>
          </w:tcPr>
          <w:p>
            <w:pPr>
              <w:ind w:left="20"/>
              <w:spacing w:after="0"/>
              <w:rPr>
                <w:sz w:val="20"/>
                <w:szCs w:val="20"/>
                <w:color w:val="auto"/>
              </w:rPr>
            </w:pPr>
            <w:r>
              <w:rPr>
                <w:rFonts w:ascii="Arial" w:cs="Arial" w:eastAsia="Arial" w:hAnsi="Arial"/>
                <w:sz w:val="14"/>
                <w:szCs w:val="14"/>
                <w:color w:val="auto"/>
              </w:rPr>
              <w:t>Effect of assumed exercised options</w:t>
            </w:r>
          </w:p>
        </w:tc>
        <w:tc>
          <w:tcPr>
            <w:tcW w:w="156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w:t>
            </w:r>
          </w:p>
        </w:tc>
      </w:tr>
      <w:tr>
        <w:trPr>
          <w:trHeight w:val="29"/>
        </w:trPr>
        <w:tc>
          <w:tcPr>
            <w:tcW w:w="6220" w:type="dxa"/>
            <w:vAlign w:val="bottom"/>
            <w:tcBorders>
              <w:bottom w:val="single" w:sz="8" w:color="CCFFC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9"/>
        </w:trPr>
        <w:tc>
          <w:tcPr>
            <w:tcW w:w="6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Diluted</w:t>
            </w:r>
          </w:p>
        </w:tc>
        <w:tc>
          <w:tcPr>
            <w:tcW w:w="1100" w:type="dxa"/>
            <w:vAlign w:val="bottom"/>
            <w:tcBorders>
              <w:bottom w:val="single" w:sz="8" w:color="auto"/>
            </w:tcBorders>
            <w:shd w:val="clear" w:color="auto" w:fill="CCFFCC"/>
          </w:tcPr>
          <w:p>
            <w:pPr>
              <w:jc w:val="right"/>
              <w:ind w:right="33"/>
              <w:spacing w:after="0"/>
              <w:rPr>
                <w:sz w:val="20"/>
                <w:szCs w:val="20"/>
                <w:color w:val="auto"/>
              </w:rPr>
            </w:pPr>
            <w:r>
              <w:rPr>
                <w:rFonts w:ascii="Arial" w:cs="Arial" w:eastAsia="Arial" w:hAnsi="Arial"/>
                <w:sz w:val="14"/>
                <w:szCs w:val="14"/>
                <w:color w:val="auto"/>
              </w:rPr>
              <w:t>66,451,414</w:t>
            </w:r>
          </w:p>
        </w:tc>
        <w:tc>
          <w:tcPr>
            <w:tcW w:w="120" w:type="dxa"/>
            <w:vAlign w:val="bottom"/>
            <w:tcBorders>
              <w:bottom w:val="single" w:sz="8" w:color="CCFFCC"/>
            </w:tcBorders>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ind w:right="191"/>
              <w:spacing w:after="0"/>
              <w:rPr>
                <w:sz w:val="20"/>
                <w:szCs w:val="20"/>
                <w:color w:val="auto"/>
              </w:rPr>
            </w:pPr>
            <w:r>
              <w:rPr>
                <w:rFonts w:ascii="Arial" w:cs="Arial" w:eastAsia="Arial" w:hAnsi="Arial"/>
                <w:sz w:val="14"/>
                <w:szCs w:val="14"/>
                <w:color w:val="auto"/>
                <w:w w:val="91"/>
              </w:rPr>
              <w:t>63,014,802</w:t>
            </w:r>
          </w:p>
        </w:tc>
        <w:tc>
          <w:tcPr>
            <w:tcW w:w="1020" w:type="dxa"/>
            <w:vAlign w:val="bottom"/>
            <w:tcBorders>
              <w:bottom w:val="single" w:sz="8" w:color="auto"/>
            </w:tcBorders>
            <w:shd w:val="clear" w:color="auto" w:fill="CCFFCC"/>
          </w:tcPr>
          <w:p>
            <w:pPr>
              <w:jc w:val="right"/>
              <w:ind w:right="33"/>
              <w:spacing w:after="0"/>
              <w:rPr>
                <w:sz w:val="20"/>
                <w:szCs w:val="20"/>
                <w:color w:val="auto"/>
              </w:rPr>
            </w:pPr>
            <w:r>
              <w:rPr>
                <w:rFonts w:ascii="Arial" w:cs="Arial" w:eastAsia="Arial" w:hAnsi="Arial"/>
                <w:sz w:val="14"/>
                <w:szCs w:val="14"/>
                <w:color w:val="auto"/>
              </w:rPr>
              <w:t>65,504,571</w:t>
            </w:r>
          </w:p>
        </w:tc>
        <w:tc>
          <w:tcPr>
            <w:tcW w:w="120" w:type="dxa"/>
            <w:vAlign w:val="bottom"/>
            <w:tcBorders>
              <w:bottom w:val="single" w:sz="8" w:color="CCFFCC"/>
            </w:tcBorders>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740" w:type="dxa"/>
            <w:vAlign w:val="bottom"/>
            <w:tcBorders>
              <w:bottom w:val="single" w:sz="8" w:color="auto"/>
            </w:tcBorders>
            <w:shd w:val="clear" w:color="auto" w:fill="CCFFCC"/>
          </w:tcPr>
          <w:p>
            <w:pPr>
              <w:jc w:val="right"/>
              <w:ind w:right="51"/>
              <w:spacing w:after="0"/>
              <w:rPr>
                <w:sz w:val="20"/>
                <w:szCs w:val="20"/>
                <w:color w:val="auto"/>
              </w:rPr>
            </w:pPr>
            <w:r>
              <w:rPr>
                <w:rFonts w:ascii="Arial" w:cs="Arial" w:eastAsia="Arial" w:hAnsi="Arial"/>
                <w:sz w:val="14"/>
                <w:szCs w:val="14"/>
                <w:color w:val="auto"/>
                <w:w w:val="85"/>
              </w:rPr>
              <w:t>62,268,439</w:t>
            </w:r>
          </w:p>
        </w:tc>
      </w:tr>
      <w:tr>
        <w:trPr>
          <w:trHeight w:val="20"/>
        </w:trPr>
        <w:tc>
          <w:tcPr>
            <w:tcW w:w="6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60" w:firstLine="564"/>
        <w:spacing w:after="0" w:line="307" w:lineRule="auto"/>
        <w:rPr>
          <w:sz w:val="20"/>
          <w:szCs w:val="20"/>
          <w:color w:val="auto"/>
        </w:rPr>
      </w:pPr>
      <w:r>
        <w:rPr>
          <w:rFonts w:ascii="Arial" w:cs="Arial" w:eastAsia="Arial" w:hAnsi="Arial"/>
          <w:sz w:val="13"/>
          <w:szCs w:val="13"/>
          <w:color w:val="auto"/>
        </w:rPr>
        <w:t>In March 2019, the Company issued $230.0 million aggregate principal amount of 0.750% Convertible Senior Notes due 2024 in a private placement, which amount includes $30.0 million aggregate principal amount of such Notes pursuant to the exercise in full of the over-allotment options of the initial purchasers (collectively, the “Notes”). The Company expects to settle the principal amount of its outstanding Notes in cash and any excess in shares of the Company’s common stock. The Company uses the treasury stock method for calculating any potential dilutive effect of the conversion spread on diluted net income per share, if applicable. The conversion spread will have a dilutive impact on diluted net income per share of common stock when the average market price of the Company’s common stock for a given period exceeds the initial conversion price of 130% of $38.58 per share for the Notes. The conversion rate is subject to adjustment upon the occurrence of certain specified events but will not be adjusted for any accrued and unpaid interest. Holders of the Notes may convert their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Notes on each applicable trading day as determined by the Company; (2) during the five business day period after any five consecutive trading day period (the “measurement period”) in which the “trading price” (as defined in the indenture governing the Notes) per $1,000 principal amount of Notes for each trading day of the measurement period was less than 98% of the product of the last reported sale price of the Company’s common stock and the conversion rate for the Notes on each such trading day; or (3) upon the occurrence of specified corporate events. On or after November 1, 2023, holders may convert all or any portion of their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 See Note 8 of the Notes to condensed consolidated financial statements for a full description of the Notes.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60"/>
          </w:cols>
          <w:pgMar w:left="320" w:top="170" w:right="319" w:bottom="1440" w:gutter="0" w:footer="0" w:header="0"/>
        </w:sectPr>
      </w:pPr>
    </w:p>
    <w:bookmarkStart w:id="19" w:name="page20"/>
    <w:bookmarkEnd w:id="19"/>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86" w:hanging="286"/>
        <w:spacing w:after="0"/>
        <w:tabs>
          <w:tab w:leader="none" w:pos="286"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Segment Information</w:t>
      </w:r>
    </w:p>
    <w:p>
      <w:pPr>
        <w:spacing w:after="0" w:line="196" w:lineRule="exact"/>
        <w:rPr>
          <w:sz w:val="20"/>
          <w:szCs w:val="20"/>
          <w:color w:val="auto"/>
        </w:rPr>
      </w:pPr>
    </w:p>
    <w:p>
      <w:pPr>
        <w:jc w:val="both"/>
        <w:ind w:left="6" w:firstLine="564"/>
        <w:spacing w:after="0" w:line="310" w:lineRule="auto"/>
        <w:rPr>
          <w:sz w:val="20"/>
          <w:szCs w:val="20"/>
          <w:color w:val="auto"/>
        </w:rPr>
      </w:pPr>
      <w:r>
        <w:rPr>
          <w:rFonts w:ascii="Arial" w:cs="Arial" w:eastAsia="Arial" w:hAnsi="Arial"/>
          <w:sz w:val="13"/>
          <w:szCs w:val="13"/>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enables brands to leverage Conversational Cloud’s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Critical Accounting Policies and Estimates.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232" w:lineRule="exact"/>
        <w:rPr>
          <w:sz w:val="20"/>
          <w:szCs w:val="20"/>
          <w:color w:val="auto"/>
        </w:rPr>
      </w:pPr>
    </w:p>
    <w:p>
      <w:pPr>
        <w:ind w:left="566"/>
        <w:spacing w:after="0"/>
        <w:rPr>
          <w:sz w:val="20"/>
          <w:szCs w:val="20"/>
          <w:color w:val="auto"/>
        </w:rPr>
      </w:pPr>
      <w:r>
        <w:rPr>
          <w:rFonts w:ascii="Arial" w:cs="Arial" w:eastAsia="Arial" w:hAnsi="Arial"/>
          <w:sz w:val="13"/>
          <w:szCs w:val="13"/>
          <w:color w:val="auto"/>
        </w:rPr>
        <w:t>Summarized financial information by segment for the three months ended September 30, 2020, based on the Company’s internal financial reporting system utilized by the</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6"/>
          <w:szCs w:val="16"/>
          <w:color w:val="auto"/>
        </w:rPr>
        <w:t>Company’s chief operating decision maker, follows (amounts in thousands):</w:t>
      </w:r>
    </w:p>
    <w:p>
      <w:pPr>
        <w:spacing w:after="0" w:line="279" w:lineRule="exact"/>
        <w:rPr>
          <w:sz w:val="20"/>
          <w:szCs w:val="20"/>
          <w:color w:val="auto"/>
        </w:rPr>
      </w:pPr>
    </w:p>
    <w:tbl>
      <w:tblPr>
        <w:tblLayout w:type="fixed"/>
        <w:tblInd w:w="6" w:type="dxa"/>
        <w:tblCellMar>
          <w:top w:w="0" w:type="dxa"/>
          <w:left w:w="0" w:type="dxa"/>
          <w:bottom w:w="0" w:type="dxa"/>
          <w:right w:w="0" w:type="dxa"/>
        </w:tblCellMar>
      </w:tblPr>
      <w:tr>
        <w:trPr>
          <w:trHeight w:val="167"/>
        </w:trPr>
        <w:tc>
          <w:tcPr>
            <w:tcW w:w="6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Business</w:t>
            </w:r>
          </w:p>
        </w:tc>
        <w:tc>
          <w:tcPr>
            <w:tcW w:w="22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Consumer</w:t>
            </w: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rPr>
              <w:t>Corporate</w:t>
            </w:r>
          </w:p>
        </w:tc>
        <w:tc>
          <w:tcPr>
            <w:tcW w:w="160" w:type="dxa"/>
            <w:vAlign w:val="bottom"/>
          </w:tcPr>
          <w:p>
            <w:pPr>
              <w:spacing w:after="0"/>
              <w:rPr>
                <w:sz w:val="14"/>
                <w:szCs w:val="14"/>
                <w:color w:val="auto"/>
              </w:rPr>
            </w:pPr>
          </w:p>
        </w:tc>
        <w:tc>
          <w:tcPr>
            <w:tcW w:w="960" w:type="dxa"/>
            <w:vAlign w:val="bottom"/>
          </w:tcPr>
          <w:p>
            <w:pPr>
              <w:jc w:val="right"/>
              <w:ind w:right="150"/>
              <w:spacing w:after="0"/>
              <w:rPr>
                <w:sz w:val="20"/>
                <w:szCs w:val="20"/>
                <w:color w:val="auto"/>
              </w:rPr>
            </w:pPr>
            <w:r>
              <w:rPr>
                <w:rFonts w:ascii="Arial" w:cs="Arial" w:eastAsia="Arial" w:hAnsi="Arial"/>
                <w:sz w:val="13"/>
                <w:szCs w:val="13"/>
                <w:b w:val="1"/>
                <w:bCs w:val="1"/>
                <w:color w:val="auto"/>
                <w:w w:val="87"/>
              </w:rPr>
              <w:t>Consolidated</w:t>
            </w:r>
          </w:p>
        </w:tc>
      </w:tr>
      <w:tr>
        <w:trPr>
          <w:trHeight w:val="212"/>
        </w:trPr>
        <w:tc>
          <w:tcPr>
            <w:tcW w:w="608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bottom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CCFFCC"/>
            </w:tcBorders>
            <w:shd w:val="clear" w:color="auto" w:fill="CCFFCC"/>
          </w:tcPr>
          <w:p>
            <w:pPr>
              <w:spacing w:after="0"/>
              <w:rPr>
                <w:sz w:val="18"/>
                <w:szCs w:val="18"/>
                <w:color w:val="auto"/>
              </w:rPr>
            </w:pPr>
          </w:p>
        </w:tc>
        <w:tc>
          <w:tcPr>
            <w:tcW w:w="1040" w:type="dxa"/>
            <w:vAlign w:val="bottom"/>
            <w:tcBorders>
              <w:top w:val="single" w:sz="8" w:color="auto"/>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CCFFCC"/>
            </w:tcBorders>
            <w:shd w:val="clear" w:color="auto" w:fill="CCFFCC"/>
          </w:tcPr>
          <w:p>
            <w:pPr>
              <w:spacing w:after="0"/>
              <w:rPr>
                <w:sz w:val="18"/>
                <w:szCs w:val="18"/>
                <w:color w:val="auto"/>
              </w:rPr>
            </w:pPr>
          </w:p>
        </w:tc>
        <w:tc>
          <w:tcPr>
            <w:tcW w:w="960" w:type="dxa"/>
            <w:vAlign w:val="bottom"/>
            <w:tcBorders>
              <w:top w:val="single" w:sz="8" w:color="auto"/>
              <w:bottom w:val="single" w:sz="8" w:color="CCFFCC"/>
            </w:tcBorders>
            <w:shd w:val="clear" w:color="auto" w:fill="CCFFCC"/>
          </w:tcPr>
          <w:p>
            <w:pPr>
              <w:spacing w:after="0"/>
              <w:rPr>
                <w:sz w:val="18"/>
                <w:szCs w:val="18"/>
                <w:color w:val="auto"/>
              </w:rPr>
            </w:pPr>
          </w:p>
        </w:tc>
      </w:tr>
      <w:tr>
        <w:trPr>
          <w:trHeight w:val="207"/>
        </w:trPr>
        <w:tc>
          <w:tcPr>
            <w:tcW w:w="6080" w:type="dxa"/>
            <w:vAlign w:val="bottom"/>
          </w:tcPr>
          <w:p>
            <w:pPr>
              <w:ind w:left="140"/>
              <w:spacing w:after="0"/>
              <w:rPr>
                <w:sz w:val="20"/>
                <w:szCs w:val="20"/>
                <w:color w:val="auto"/>
              </w:rPr>
            </w:pPr>
            <w:r>
              <w:rPr>
                <w:rFonts w:ascii="Arial" w:cs="Arial" w:eastAsia="Arial" w:hAnsi="Arial"/>
                <w:sz w:val="14"/>
                <w:szCs w:val="14"/>
                <w:color w:val="auto"/>
              </w:rPr>
              <w:t>Hosted services – Business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74,396</w:t>
            </w:r>
          </w:p>
        </w:tc>
        <w:tc>
          <w:tcPr>
            <w:tcW w:w="12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74,396</w:t>
            </w:r>
          </w:p>
        </w:tc>
      </w:tr>
      <w:tr>
        <w:trPr>
          <w:trHeight w:val="29"/>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5"/>
        </w:trPr>
        <w:tc>
          <w:tcPr>
            <w:tcW w:w="608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Hosted services – Consumer</w:t>
            </w:r>
          </w:p>
        </w:tc>
        <w:tc>
          <w:tcPr>
            <w:tcW w:w="24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7,881</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7,881</w:t>
            </w:r>
          </w:p>
        </w:tc>
      </w:tr>
      <w:tr>
        <w:trPr>
          <w:trHeight w:val="207"/>
        </w:trPr>
        <w:tc>
          <w:tcPr>
            <w:tcW w:w="6080" w:type="dxa"/>
            <w:vAlign w:val="bottom"/>
          </w:tcPr>
          <w:p>
            <w:pPr>
              <w:ind w:left="140"/>
              <w:spacing w:after="0"/>
              <w:rPr>
                <w:sz w:val="20"/>
                <w:szCs w:val="20"/>
                <w:color w:val="auto"/>
              </w:rPr>
            </w:pPr>
            <w:r>
              <w:rPr>
                <w:rFonts w:ascii="Arial" w:cs="Arial" w:eastAsia="Arial" w:hAnsi="Arial"/>
                <w:sz w:val="14"/>
                <w:szCs w:val="14"/>
                <w:color w:val="auto"/>
              </w:rPr>
              <w:t>Professional services</w:t>
            </w:r>
          </w:p>
        </w:tc>
        <w:tc>
          <w:tcPr>
            <w:tcW w:w="240" w:type="dxa"/>
            <w:vAlign w:val="bottom"/>
          </w:tcPr>
          <w:p>
            <w:pPr>
              <w:spacing w:after="0"/>
              <w:rPr>
                <w:sz w:val="17"/>
                <w:szCs w:val="17"/>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12,527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12,527</w:t>
            </w:r>
          </w:p>
        </w:tc>
      </w:tr>
      <w:tr>
        <w:trPr>
          <w:trHeight w:val="29"/>
        </w:trPr>
        <w:tc>
          <w:tcPr>
            <w:tcW w:w="608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5"/>
        </w:trPr>
        <w:tc>
          <w:tcPr>
            <w:tcW w:w="608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Total revenue</w:t>
            </w:r>
          </w:p>
        </w:tc>
        <w:tc>
          <w:tcPr>
            <w:tcW w:w="24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86,923</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7,881</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94,804</w:t>
            </w:r>
          </w:p>
        </w:tc>
      </w:tr>
      <w:tr>
        <w:trPr>
          <w:trHeight w:val="187"/>
        </w:trPr>
        <w:tc>
          <w:tcPr>
            <w:tcW w:w="608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25,862</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27,692</w:t>
            </w:r>
          </w:p>
        </w:tc>
      </w:tr>
      <w:tr>
        <w:trPr>
          <w:trHeight w:val="29"/>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5"/>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Sales and marketing</w:t>
            </w:r>
          </w:p>
        </w:tc>
        <w:tc>
          <w:tcPr>
            <w:tcW w:w="24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27,525</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5,250</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32,775</w:t>
            </w:r>
          </w:p>
        </w:tc>
      </w:tr>
      <w:tr>
        <w:trPr>
          <w:trHeight w:val="207"/>
        </w:trPr>
        <w:tc>
          <w:tcPr>
            <w:tcW w:w="6080" w:type="dxa"/>
            <w:vAlign w:val="bottom"/>
          </w:tcPr>
          <w:p>
            <w:pPr>
              <w:ind w:left="20"/>
              <w:spacing w:after="0"/>
              <w:rPr>
                <w:sz w:val="20"/>
                <w:szCs w:val="20"/>
                <w:color w:val="auto"/>
              </w:rPr>
            </w:pPr>
            <w:r>
              <w:rPr>
                <w:rFonts w:ascii="Arial" w:cs="Arial" w:eastAsia="Arial" w:hAnsi="Arial"/>
                <w:sz w:val="14"/>
                <w:szCs w:val="14"/>
                <w:color w:val="auto"/>
              </w:rPr>
              <w:t>Amortization of purchased intangibles</w:t>
            </w:r>
          </w:p>
        </w:tc>
        <w:tc>
          <w:tcPr>
            <w:tcW w:w="240" w:type="dxa"/>
            <w:vAlign w:val="bottom"/>
          </w:tcPr>
          <w:p>
            <w:pPr>
              <w:spacing w:after="0"/>
              <w:rPr>
                <w:sz w:val="17"/>
                <w:szCs w:val="17"/>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411</w:t>
            </w:r>
          </w:p>
        </w:tc>
      </w:tr>
      <w:tr>
        <w:trPr>
          <w:trHeight w:val="29"/>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5"/>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Unallocated corporate expenses</w:t>
            </w:r>
          </w:p>
        </w:tc>
        <w:tc>
          <w:tcPr>
            <w:tcW w:w="24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69,069</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69,069</w:t>
            </w:r>
          </w:p>
        </w:tc>
      </w:tr>
      <w:tr>
        <w:trPr>
          <w:trHeight w:val="207"/>
        </w:trPr>
        <w:tc>
          <w:tcPr>
            <w:tcW w:w="6080" w:type="dxa"/>
            <w:vAlign w:val="bottom"/>
          </w:tcPr>
          <w:p>
            <w:pPr>
              <w:ind w:left="220"/>
              <w:spacing w:after="0"/>
              <w:rPr>
                <w:sz w:val="20"/>
                <w:szCs w:val="20"/>
                <w:color w:val="auto"/>
              </w:rPr>
            </w:pPr>
            <w:r>
              <w:rPr>
                <w:rFonts w:ascii="Arial" w:cs="Arial" w:eastAsia="Arial" w:hAnsi="Arial"/>
                <w:sz w:val="14"/>
                <w:szCs w:val="14"/>
                <w:color w:val="auto"/>
              </w:rPr>
              <w:t>Operating income (loss)</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33,125</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(69,069)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(35,143)</w:t>
            </w: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566"/>
        <w:spacing w:after="0"/>
        <w:rPr>
          <w:sz w:val="20"/>
          <w:szCs w:val="20"/>
          <w:color w:val="auto"/>
        </w:rPr>
      </w:pPr>
      <w:r>
        <w:rPr>
          <w:rFonts w:ascii="Arial" w:cs="Arial" w:eastAsia="Arial" w:hAnsi="Arial"/>
          <w:sz w:val="13"/>
          <w:szCs w:val="13"/>
          <w:color w:val="auto"/>
        </w:rPr>
        <w:t>Summarized financial information by segment for the three months ended September 30, 2019, based on the Company’s internal financial reporting system utilized by the</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6"/>
          <w:szCs w:val="16"/>
          <w:color w:val="auto"/>
        </w:rPr>
        <w:t>Company’s chief operating decision maker, follows (amounts in thousands):</w:t>
      </w:r>
    </w:p>
    <w:p>
      <w:pPr>
        <w:spacing w:after="0" w:line="279" w:lineRule="exact"/>
        <w:rPr>
          <w:sz w:val="20"/>
          <w:szCs w:val="20"/>
          <w:color w:val="auto"/>
        </w:rPr>
      </w:pPr>
    </w:p>
    <w:tbl>
      <w:tblPr>
        <w:tblLayout w:type="fixed"/>
        <w:tblInd w:w="6" w:type="dxa"/>
        <w:tblCellMar>
          <w:top w:w="0" w:type="dxa"/>
          <w:left w:w="0" w:type="dxa"/>
          <w:bottom w:w="0" w:type="dxa"/>
          <w:right w:w="0" w:type="dxa"/>
        </w:tblCellMar>
      </w:tblPr>
      <w:tr>
        <w:trPr>
          <w:trHeight w:val="167"/>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Business</w:t>
            </w:r>
          </w:p>
        </w:tc>
        <w:tc>
          <w:tcPr>
            <w:tcW w:w="22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Consumer</w:t>
            </w: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rPr>
              <w:t>Corporate</w:t>
            </w:r>
          </w:p>
        </w:tc>
        <w:tc>
          <w:tcPr>
            <w:tcW w:w="180" w:type="dxa"/>
            <w:vAlign w:val="bottom"/>
          </w:tcPr>
          <w:p>
            <w:pPr>
              <w:spacing w:after="0"/>
              <w:rPr>
                <w:sz w:val="14"/>
                <w:szCs w:val="14"/>
                <w:color w:val="auto"/>
              </w:rPr>
            </w:pPr>
          </w:p>
        </w:tc>
        <w:tc>
          <w:tcPr>
            <w:tcW w:w="1060" w:type="dxa"/>
            <w:vAlign w:val="bottom"/>
          </w:tcPr>
          <w:p>
            <w:pPr>
              <w:jc w:val="right"/>
              <w:ind w:right="190"/>
              <w:spacing w:after="0"/>
              <w:rPr>
                <w:sz w:val="20"/>
                <w:szCs w:val="20"/>
                <w:color w:val="auto"/>
              </w:rPr>
            </w:pPr>
            <w:r>
              <w:rPr>
                <w:rFonts w:ascii="Arial" w:cs="Arial" w:eastAsia="Arial" w:hAnsi="Arial"/>
                <w:sz w:val="13"/>
                <w:szCs w:val="13"/>
                <w:b w:val="1"/>
                <w:bCs w:val="1"/>
                <w:color w:val="auto"/>
                <w:w w:val="94"/>
              </w:rPr>
              <w:t>Consolidated</w:t>
            </w:r>
          </w:p>
        </w:tc>
      </w:tr>
      <w:tr>
        <w:trPr>
          <w:trHeight w:val="212"/>
        </w:trPr>
        <w:tc>
          <w:tcPr>
            <w:tcW w:w="59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bottom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CCFFCC"/>
            </w:tcBorders>
            <w:shd w:val="clear" w:color="auto" w:fill="CCFFCC"/>
          </w:tcPr>
          <w:p>
            <w:pPr>
              <w:spacing w:after="0"/>
              <w:rPr>
                <w:sz w:val="18"/>
                <w:szCs w:val="18"/>
                <w:color w:val="auto"/>
              </w:rPr>
            </w:pPr>
          </w:p>
        </w:tc>
        <w:tc>
          <w:tcPr>
            <w:tcW w:w="1040" w:type="dxa"/>
            <w:vAlign w:val="bottom"/>
            <w:tcBorders>
              <w:top w:val="single" w:sz="8" w:color="auto"/>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CCFFCC"/>
            </w:tcBorders>
            <w:shd w:val="clear" w:color="auto" w:fill="CCFFCC"/>
          </w:tcPr>
          <w:p>
            <w:pPr>
              <w:spacing w:after="0"/>
              <w:rPr>
                <w:sz w:val="18"/>
                <w:szCs w:val="18"/>
                <w:color w:val="auto"/>
              </w:rPr>
            </w:pPr>
          </w:p>
        </w:tc>
        <w:tc>
          <w:tcPr>
            <w:tcW w:w="1060" w:type="dxa"/>
            <w:vAlign w:val="bottom"/>
            <w:tcBorders>
              <w:top w:val="single" w:sz="8" w:color="auto"/>
              <w:bottom w:val="single" w:sz="8" w:color="CCFFCC"/>
            </w:tcBorders>
            <w:shd w:val="clear" w:color="auto" w:fill="CCFFCC"/>
          </w:tcPr>
          <w:p>
            <w:pPr>
              <w:spacing w:after="0"/>
              <w:rPr>
                <w:sz w:val="18"/>
                <w:szCs w:val="18"/>
                <w:color w:val="auto"/>
              </w:rPr>
            </w:pPr>
          </w:p>
        </w:tc>
      </w:tr>
      <w:tr>
        <w:trPr>
          <w:trHeight w:val="207"/>
        </w:trPr>
        <w:tc>
          <w:tcPr>
            <w:tcW w:w="5960" w:type="dxa"/>
            <w:vAlign w:val="bottom"/>
          </w:tcPr>
          <w:p>
            <w:pPr>
              <w:ind w:left="140"/>
              <w:spacing w:after="0"/>
              <w:rPr>
                <w:sz w:val="20"/>
                <w:szCs w:val="20"/>
                <w:color w:val="auto"/>
              </w:rPr>
            </w:pPr>
            <w:r>
              <w:rPr>
                <w:rFonts w:ascii="Arial" w:cs="Arial" w:eastAsia="Arial" w:hAnsi="Arial"/>
                <w:sz w:val="14"/>
                <w:szCs w:val="14"/>
                <w:color w:val="auto"/>
              </w:rPr>
              <w:t>Hosted services – Business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57,824</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57,824</w:t>
            </w:r>
          </w:p>
        </w:tc>
      </w:tr>
      <w:tr>
        <w:trPr>
          <w:trHeight w:val="29"/>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5"/>
        </w:trPr>
        <w:tc>
          <w:tcPr>
            <w:tcW w:w="596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Hosted services – Consumer</w:t>
            </w:r>
          </w:p>
        </w:tc>
        <w:tc>
          <w:tcPr>
            <w:tcW w:w="24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6,704</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FFCC"/>
            </w:tcBorders>
            <w:shd w:val="clear" w:color="auto" w:fill="CCFFCC"/>
          </w:tcPr>
          <w:p>
            <w:pPr>
              <w:spacing w:after="0"/>
              <w:rPr>
                <w:sz w:val="18"/>
                <w:szCs w:val="18"/>
                <w:color w:val="auto"/>
              </w:rPr>
            </w:pPr>
          </w:p>
        </w:tc>
        <w:tc>
          <w:tcPr>
            <w:tcW w:w="10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6,704</w:t>
            </w:r>
          </w:p>
        </w:tc>
      </w:tr>
      <w:tr>
        <w:trPr>
          <w:trHeight w:val="207"/>
        </w:trPr>
        <w:tc>
          <w:tcPr>
            <w:tcW w:w="5960" w:type="dxa"/>
            <w:vAlign w:val="bottom"/>
          </w:tcPr>
          <w:p>
            <w:pPr>
              <w:ind w:left="140"/>
              <w:spacing w:after="0"/>
              <w:rPr>
                <w:sz w:val="20"/>
                <w:szCs w:val="20"/>
                <w:color w:val="auto"/>
              </w:rPr>
            </w:pPr>
            <w:r>
              <w:rPr>
                <w:rFonts w:ascii="Arial" w:cs="Arial" w:eastAsia="Arial" w:hAnsi="Arial"/>
                <w:sz w:val="14"/>
                <w:szCs w:val="14"/>
                <w:color w:val="auto"/>
              </w:rPr>
              <w:t>Professional services</w:t>
            </w:r>
          </w:p>
        </w:tc>
        <w:tc>
          <w:tcPr>
            <w:tcW w:w="240" w:type="dxa"/>
            <w:vAlign w:val="bottom"/>
          </w:tcPr>
          <w:p>
            <w:pPr>
              <w:spacing w:after="0"/>
              <w:rPr>
                <w:sz w:val="17"/>
                <w:szCs w:val="17"/>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10,647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10,647</w:t>
            </w:r>
          </w:p>
        </w:tc>
      </w:tr>
      <w:tr>
        <w:trPr>
          <w:trHeight w:val="29"/>
        </w:trPr>
        <w:tc>
          <w:tcPr>
            <w:tcW w:w="59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5"/>
        </w:trPr>
        <w:tc>
          <w:tcPr>
            <w:tcW w:w="596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Total revenue</w:t>
            </w:r>
          </w:p>
        </w:tc>
        <w:tc>
          <w:tcPr>
            <w:tcW w:w="24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68,471</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6,704</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FFCC"/>
            </w:tcBorders>
            <w:shd w:val="clear" w:color="auto" w:fill="CCFFCC"/>
          </w:tcPr>
          <w:p>
            <w:pPr>
              <w:spacing w:after="0"/>
              <w:rPr>
                <w:sz w:val="18"/>
                <w:szCs w:val="18"/>
                <w:color w:val="auto"/>
              </w:rPr>
            </w:pPr>
          </w:p>
        </w:tc>
        <w:tc>
          <w:tcPr>
            <w:tcW w:w="10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75,175</w:t>
            </w:r>
          </w:p>
        </w:tc>
      </w:tr>
      <w:tr>
        <w:trPr>
          <w:trHeight w:val="187"/>
        </w:trPr>
        <w:tc>
          <w:tcPr>
            <w:tcW w:w="596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18,950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1,170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20,120</w:t>
            </w:r>
          </w:p>
        </w:tc>
      </w:tr>
      <w:tr>
        <w:trPr>
          <w:trHeight w:val="29"/>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5"/>
        </w:trPr>
        <w:tc>
          <w:tcPr>
            <w:tcW w:w="59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Sales and marketing</w:t>
            </w:r>
          </w:p>
        </w:tc>
        <w:tc>
          <w:tcPr>
            <w:tcW w:w="24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37,512</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4,262</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FFCC"/>
            </w:tcBorders>
            <w:shd w:val="clear" w:color="auto" w:fill="CCFFCC"/>
          </w:tcPr>
          <w:p>
            <w:pPr>
              <w:spacing w:after="0"/>
              <w:rPr>
                <w:sz w:val="18"/>
                <w:szCs w:val="18"/>
                <w:color w:val="auto"/>
              </w:rPr>
            </w:pPr>
          </w:p>
        </w:tc>
        <w:tc>
          <w:tcPr>
            <w:tcW w:w="10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41,774</w:t>
            </w:r>
          </w:p>
        </w:tc>
      </w:tr>
      <w:tr>
        <w:trPr>
          <w:trHeight w:val="207"/>
        </w:trPr>
        <w:tc>
          <w:tcPr>
            <w:tcW w:w="5960" w:type="dxa"/>
            <w:vAlign w:val="bottom"/>
          </w:tcPr>
          <w:p>
            <w:pPr>
              <w:ind w:left="20"/>
              <w:spacing w:after="0"/>
              <w:rPr>
                <w:sz w:val="20"/>
                <w:szCs w:val="20"/>
                <w:color w:val="auto"/>
              </w:rPr>
            </w:pPr>
            <w:r>
              <w:rPr>
                <w:rFonts w:ascii="Arial" w:cs="Arial" w:eastAsia="Arial" w:hAnsi="Arial"/>
                <w:sz w:val="14"/>
                <w:szCs w:val="14"/>
                <w:color w:val="auto"/>
              </w:rPr>
              <w:t>Amortization of purchased intangibles</w:t>
            </w:r>
          </w:p>
        </w:tc>
        <w:tc>
          <w:tcPr>
            <w:tcW w:w="240" w:type="dxa"/>
            <w:vAlign w:val="bottom"/>
          </w:tcPr>
          <w:p>
            <w:pPr>
              <w:spacing w:after="0"/>
              <w:rPr>
                <w:sz w:val="17"/>
                <w:szCs w:val="17"/>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447</w:t>
            </w:r>
          </w:p>
        </w:tc>
      </w:tr>
      <w:tr>
        <w:trPr>
          <w:trHeight w:val="29"/>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5"/>
        </w:trPr>
        <w:tc>
          <w:tcPr>
            <w:tcW w:w="59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Unallocated corporate expenses</w:t>
            </w:r>
          </w:p>
        </w:tc>
        <w:tc>
          <w:tcPr>
            <w:tcW w:w="24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35,960</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35,960</w:t>
            </w:r>
          </w:p>
        </w:tc>
      </w:tr>
      <w:tr>
        <w:trPr>
          <w:trHeight w:val="207"/>
        </w:trPr>
        <w:tc>
          <w:tcPr>
            <w:tcW w:w="5960" w:type="dxa"/>
            <w:vAlign w:val="bottom"/>
          </w:tcPr>
          <w:p>
            <w:pPr>
              <w:ind w:left="220"/>
              <w:spacing w:after="0"/>
              <w:rPr>
                <w:sz w:val="20"/>
                <w:szCs w:val="20"/>
                <w:color w:val="auto"/>
              </w:rPr>
            </w:pPr>
            <w:r>
              <w:rPr>
                <w:rFonts w:ascii="Arial" w:cs="Arial" w:eastAsia="Arial" w:hAnsi="Arial"/>
                <w:sz w:val="14"/>
                <w:szCs w:val="14"/>
                <w:color w:val="auto"/>
              </w:rPr>
              <w:t>Operating income (loss)</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11,562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1,272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(35,960)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(23,126)</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66"/>
          </w:cols>
          <w:pgMar w:left="314" w:top="170" w:right="319" w:bottom="1440" w:gutter="0" w:footer="0" w:header="0"/>
        </w:sectPr>
      </w:pPr>
    </w:p>
    <w:bookmarkStart w:id="20" w:name="page21"/>
    <w:bookmarkEnd w:id="20"/>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566"/>
        <w:spacing w:after="0"/>
        <w:rPr>
          <w:sz w:val="20"/>
          <w:szCs w:val="20"/>
          <w:color w:val="auto"/>
        </w:rPr>
      </w:pPr>
      <w:r>
        <w:rPr>
          <w:rFonts w:ascii="Arial" w:cs="Arial" w:eastAsia="Arial" w:hAnsi="Arial"/>
          <w:sz w:val="13"/>
          <w:szCs w:val="13"/>
          <w:color w:val="auto"/>
        </w:rPr>
        <w:t>Summarized financial information by segment for the nine months ended September 30, 2020, based on the Company’s internal financial reporting system utilized by the</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6"/>
          <w:szCs w:val="16"/>
          <w:color w:val="auto"/>
        </w:rPr>
        <w:t>Company’s chief operating decision maker, follows (amounts in thousands):</w:t>
      </w:r>
    </w:p>
    <w:p>
      <w:pPr>
        <w:spacing w:after="0" w:line="279" w:lineRule="exact"/>
        <w:rPr>
          <w:sz w:val="20"/>
          <w:szCs w:val="20"/>
          <w:color w:val="auto"/>
        </w:rPr>
      </w:pPr>
    </w:p>
    <w:tbl>
      <w:tblPr>
        <w:tblLayout w:type="fixed"/>
        <w:tblInd w:w="6" w:type="dxa"/>
        <w:tblCellMar>
          <w:top w:w="0" w:type="dxa"/>
          <w:left w:w="0" w:type="dxa"/>
          <w:bottom w:w="0" w:type="dxa"/>
          <w:right w:w="0" w:type="dxa"/>
        </w:tblCellMar>
      </w:tblPr>
      <w:tr>
        <w:trPr>
          <w:trHeight w:val="167"/>
        </w:trPr>
        <w:tc>
          <w:tcPr>
            <w:tcW w:w="6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Business</w:t>
            </w:r>
          </w:p>
        </w:tc>
        <w:tc>
          <w:tcPr>
            <w:tcW w:w="22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Consumer</w:t>
            </w: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rPr>
              <w:t>Corporate</w:t>
            </w:r>
          </w:p>
        </w:tc>
        <w:tc>
          <w:tcPr>
            <w:tcW w:w="160" w:type="dxa"/>
            <w:vAlign w:val="bottom"/>
          </w:tcPr>
          <w:p>
            <w:pPr>
              <w:spacing w:after="0"/>
              <w:rPr>
                <w:sz w:val="14"/>
                <w:szCs w:val="14"/>
                <w:color w:val="auto"/>
              </w:rPr>
            </w:pPr>
          </w:p>
        </w:tc>
        <w:tc>
          <w:tcPr>
            <w:tcW w:w="960" w:type="dxa"/>
            <w:vAlign w:val="bottom"/>
          </w:tcPr>
          <w:p>
            <w:pPr>
              <w:jc w:val="right"/>
              <w:ind w:right="150"/>
              <w:spacing w:after="0"/>
              <w:rPr>
                <w:sz w:val="20"/>
                <w:szCs w:val="20"/>
                <w:color w:val="auto"/>
              </w:rPr>
            </w:pPr>
            <w:r>
              <w:rPr>
                <w:rFonts w:ascii="Arial" w:cs="Arial" w:eastAsia="Arial" w:hAnsi="Arial"/>
                <w:sz w:val="13"/>
                <w:szCs w:val="13"/>
                <w:b w:val="1"/>
                <w:bCs w:val="1"/>
                <w:color w:val="auto"/>
                <w:w w:val="87"/>
              </w:rPr>
              <w:t>Consolidated</w:t>
            </w:r>
          </w:p>
        </w:tc>
      </w:tr>
      <w:tr>
        <w:trPr>
          <w:trHeight w:val="212"/>
        </w:trPr>
        <w:tc>
          <w:tcPr>
            <w:tcW w:w="608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bottom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CCFFCC"/>
            </w:tcBorders>
            <w:shd w:val="clear" w:color="auto" w:fill="CCFFCC"/>
          </w:tcPr>
          <w:p>
            <w:pPr>
              <w:spacing w:after="0"/>
              <w:rPr>
                <w:sz w:val="18"/>
                <w:szCs w:val="18"/>
                <w:color w:val="auto"/>
              </w:rPr>
            </w:pPr>
          </w:p>
        </w:tc>
        <w:tc>
          <w:tcPr>
            <w:tcW w:w="1040" w:type="dxa"/>
            <w:vAlign w:val="bottom"/>
            <w:tcBorders>
              <w:top w:val="single" w:sz="8" w:color="auto"/>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CCFFCC"/>
            </w:tcBorders>
            <w:shd w:val="clear" w:color="auto" w:fill="CCFFCC"/>
          </w:tcPr>
          <w:p>
            <w:pPr>
              <w:spacing w:after="0"/>
              <w:rPr>
                <w:sz w:val="18"/>
                <w:szCs w:val="18"/>
                <w:color w:val="auto"/>
              </w:rPr>
            </w:pPr>
          </w:p>
        </w:tc>
        <w:tc>
          <w:tcPr>
            <w:tcW w:w="960" w:type="dxa"/>
            <w:vAlign w:val="bottom"/>
            <w:tcBorders>
              <w:top w:val="single" w:sz="8" w:color="auto"/>
              <w:bottom w:val="single" w:sz="8" w:color="CCFFCC"/>
            </w:tcBorders>
            <w:shd w:val="clear" w:color="auto" w:fill="CCFFCC"/>
          </w:tcPr>
          <w:p>
            <w:pPr>
              <w:spacing w:after="0"/>
              <w:rPr>
                <w:sz w:val="18"/>
                <w:szCs w:val="18"/>
                <w:color w:val="auto"/>
              </w:rPr>
            </w:pPr>
          </w:p>
        </w:tc>
      </w:tr>
      <w:tr>
        <w:trPr>
          <w:trHeight w:val="207"/>
        </w:trPr>
        <w:tc>
          <w:tcPr>
            <w:tcW w:w="6080" w:type="dxa"/>
            <w:vAlign w:val="bottom"/>
          </w:tcPr>
          <w:p>
            <w:pPr>
              <w:ind w:left="140"/>
              <w:spacing w:after="0"/>
              <w:rPr>
                <w:sz w:val="20"/>
                <w:szCs w:val="20"/>
                <w:color w:val="auto"/>
              </w:rPr>
            </w:pPr>
            <w:r>
              <w:rPr>
                <w:rFonts w:ascii="Arial" w:cs="Arial" w:eastAsia="Arial" w:hAnsi="Arial"/>
                <w:sz w:val="14"/>
                <w:szCs w:val="14"/>
                <w:color w:val="auto"/>
              </w:rPr>
              <w:t>Hosted services – Business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207,832</w:t>
            </w:r>
          </w:p>
        </w:tc>
        <w:tc>
          <w:tcPr>
            <w:tcW w:w="12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207,832</w:t>
            </w:r>
          </w:p>
        </w:tc>
      </w:tr>
      <w:tr>
        <w:trPr>
          <w:trHeight w:val="29"/>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5"/>
        </w:trPr>
        <w:tc>
          <w:tcPr>
            <w:tcW w:w="608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Hosted services – Consumer</w:t>
            </w:r>
          </w:p>
        </w:tc>
        <w:tc>
          <w:tcPr>
            <w:tcW w:w="24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21,707</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21,707</w:t>
            </w:r>
          </w:p>
        </w:tc>
      </w:tr>
      <w:tr>
        <w:trPr>
          <w:trHeight w:val="207"/>
        </w:trPr>
        <w:tc>
          <w:tcPr>
            <w:tcW w:w="6080" w:type="dxa"/>
            <w:vAlign w:val="bottom"/>
          </w:tcPr>
          <w:p>
            <w:pPr>
              <w:ind w:left="140"/>
              <w:spacing w:after="0"/>
              <w:rPr>
                <w:sz w:val="20"/>
                <w:szCs w:val="20"/>
                <w:color w:val="auto"/>
              </w:rPr>
            </w:pPr>
            <w:r>
              <w:rPr>
                <w:rFonts w:ascii="Arial" w:cs="Arial" w:eastAsia="Arial" w:hAnsi="Arial"/>
                <w:sz w:val="14"/>
                <w:szCs w:val="14"/>
                <w:color w:val="auto"/>
              </w:rPr>
              <w:t>Professional services</w:t>
            </w:r>
          </w:p>
        </w:tc>
        <w:tc>
          <w:tcPr>
            <w:tcW w:w="240" w:type="dxa"/>
            <w:vAlign w:val="bottom"/>
          </w:tcPr>
          <w:p>
            <w:pPr>
              <w:spacing w:after="0"/>
              <w:rPr>
                <w:sz w:val="17"/>
                <w:szCs w:val="17"/>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34,956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34,956</w:t>
            </w:r>
          </w:p>
        </w:tc>
      </w:tr>
      <w:tr>
        <w:trPr>
          <w:trHeight w:val="29"/>
        </w:trPr>
        <w:tc>
          <w:tcPr>
            <w:tcW w:w="608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5"/>
        </w:trPr>
        <w:tc>
          <w:tcPr>
            <w:tcW w:w="608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Total revenue</w:t>
            </w:r>
          </w:p>
        </w:tc>
        <w:tc>
          <w:tcPr>
            <w:tcW w:w="24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242,788</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21,707</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264,495</w:t>
            </w:r>
          </w:p>
        </w:tc>
      </w:tr>
      <w:tr>
        <w:trPr>
          <w:trHeight w:val="187"/>
        </w:trPr>
        <w:tc>
          <w:tcPr>
            <w:tcW w:w="608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73,291</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4,927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78,218</w:t>
            </w:r>
          </w:p>
        </w:tc>
      </w:tr>
      <w:tr>
        <w:trPr>
          <w:trHeight w:val="29"/>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5"/>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Sales and marketing</w:t>
            </w:r>
          </w:p>
        </w:tc>
        <w:tc>
          <w:tcPr>
            <w:tcW w:w="24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93,920</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16,153</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110,073</w:t>
            </w:r>
          </w:p>
        </w:tc>
      </w:tr>
      <w:tr>
        <w:trPr>
          <w:trHeight w:val="207"/>
        </w:trPr>
        <w:tc>
          <w:tcPr>
            <w:tcW w:w="6080" w:type="dxa"/>
            <w:vAlign w:val="bottom"/>
          </w:tcPr>
          <w:p>
            <w:pPr>
              <w:ind w:left="20"/>
              <w:spacing w:after="0"/>
              <w:rPr>
                <w:sz w:val="20"/>
                <w:szCs w:val="20"/>
                <w:color w:val="auto"/>
              </w:rPr>
            </w:pPr>
            <w:r>
              <w:rPr>
                <w:rFonts w:ascii="Arial" w:cs="Arial" w:eastAsia="Arial" w:hAnsi="Arial"/>
                <w:sz w:val="14"/>
                <w:szCs w:val="14"/>
                <w:color w:val="auto"/>
              </w:rPr>
              <w:t>Amortization of purchased intangibles</w:t>
            </w:r>
          </w:p>
        </w:tc>
        <w:tc>
          <w:tcPr>
            <w:tcW w:w="240" w:type="dxa"/>
            <w:vAlign w:val="bottom"/>
          </w:tcPr>
          <w:p>
            <w:pPr>
              <w:spacing w:after="0"/>
              <w:rPr>
                <w:sz w:val="17"/>
                <w:szCs w:val="17"/>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1,219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1,219</w:t>
            </w:r>
          </w:p>
        </w:tc>
      </w:tr>
      <w:tr>
        <w:trPr>
          <w:trHeight w:val="29"/>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5"/>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Unallocated corporate expenses</w:t>
            </w:r>
          </w:p>
        </w:tc>
        <w:tc>
          <w:tcPr>
            <w:tcW w:w="24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157,765</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157,765</w:t>
            </w:r>
          </w:p>
        </w:tc>
      </w:tr>
      <w:tr>
        <w:trPr>
          <w:trHeight w:val="207"/>
        </w:trPr>
        <w:tc>
          <w:tcPr>
            <w:tcW w:w="6080" w:type="dxa"/>
            <w:vAlign w:val="bottom"/>
          </w:tcPr>
          <w:p>
            <w:pPr>
              <w:ind w:left="220"/>
              <w:spacing w:after="0"/>
              <w:rPr>
                <w:sz w:val="20"/>
                <w:szCs w:val="20"/>
                <w:color w:val="auto"/>
              </w:rPr>
            </w:pPr>
            <w:r>
              <w:rPr>
                <w:rFonts w:ascii="Arial" w:cs="Arial" w:eastAsia="Arial" w:hAnsi="Arial"/>
                <w:sz w:val="14"/>
                <w:szCs w:val="14"/>
                <w:color w:val="auto"/>
              </w:rPr>
              <w:t>Operating income (loss)</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74,358</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(157,765)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(82,780)</w:t>
            </w: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66"/>
        <w:spacing w:after="0"/>
        <w:rPr>
          <w:sz w:val="20"/>
          <w:szCs w:val="20"/>
          <w:color w:val="auto"/>
        </w:rPr>
      </w:pPr>
      <w:r>
        <w:rPr>
          <w:rFonts w:ascii="Arial" w:cs="Arial" w:eastAsia="Arial" w:hAnsi="Arial"/>
          <w:sz w:val="13"/>
          <w:szCs w:val="13"/>
          <w:color w:val="auto"/>
        </w:rPr>
        <w:t>Summarized financial information by segment for the nine months ended September 30, 2019, based on the Company’s internal financial reporting system utilized by the</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6"/>
          <w:szCs w:val="16"/>
          <w:color w:val="auto"/>
        </w:rPr>
        <w:t>Company’s chief operating decision maker, follows (amounts in thousands):</w:t>
      </w:r>
    </w:p>
    <w:p>
      <w:pPr>
        <w:spacing w:after="0" w:line="279" w:lineRule="exact"/>
        <w:rPr>
          <w:sz w:val="20"/>
          <w:szCs w:val="20"/>
          <w:color w:val="auto"/>
        </w:rPr>
      </w:pPr>
    </w:p>
    <w:tbl>
      <w:tblPr>
        <w:tblLayout w:type="fixed"/>
        <w:tblInd w:w="6" w:type="dxa"/>
        <w:tblCellMar>
          <w:top w:w="0" w:type="dxa"/>
          <w:left w:w="0" w:type="dxa"/>
          <w:bottom w:w="0" w:type="dxa"/>
          <w:right w:w="0" w:type="dxa"/>
        </w:tblCellMar>
      </w:tblPr>
      <w:tr>
        <w:trPr>
          <w:trHeight w:val="167"/>
        </w:trPr>
        <w:tc>
          <w:tcPr>
            <w:tcW w:w="6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Business</w:t>
            </w:r>
          </w:p>
        </w:tc>
        <w:tc>
          <w:tcPr>
            <w:tcW w:w="22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Consumer</w:t>
            </w: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rPr>
              <w:t>Corporate</w:t>
            </w:r>
          </w:p>
        </w:tc>
        <w:tc>
          <w:tcPr>
            <w:tcW w:w="160" w:type="dxa"/>
            <w:vAlign w:val="bottom"/>
          </w:tcPr>
          <w:p>
            <w:pPr>
              <w:spacing w:after="0"/>
              <w:rPr>
                <w:sz w:val="14"/>
                <w:szCs w:val="14"/>
                <w:color w:val="auto"/>
              </w:rPr>
            </w:pPr>
          </w:p>
        </w:tc>
        <w:tc>
          <w:tcPr>
            <w:tcW w:w="960" w:type="dxa"/>
            <w:vAlign w:val="bottom"/>
          </w:tcPr>
          <w:p>
            <w:pPr>
              <w:jc w:val="right"/>
              <w:ind w:right="150"/>
              <w:spacing w:after="0"/>
              <w:rPr>
                <w:sz w:val="20"/>
                <w:szCs w:val="20"/>
                <w:color w:val="auto"/>
              </w:rPr>
            </w:pPr>
            <w:r>
              <w:rPr>
                <w:rFonts w:ascii="Arial" w:cs="Arial" w:eastAsia="Arial" w:hAnsi="Arial"/>
                <w:sz w:val="13"/>
                <w:szCs w:val="13"/>
                <w:b w:val="1"/>
                <w:bCs w:val="1"/>
                <w:color w:val="auto"/>
                <w:w w:val="87"/>
              </w:rPr>
              <w:t>Consolidated</w:t>
            </w:r>
          </w:p>
        </w:tc>
      </w:tr>
      <w:tr>
        <w:trPr>
          <w:trHeight w:val="212"/>
        </w:trPr>
        <w:tc>
          <w:tcPr>
            <w:tcW w:w="608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bottom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CCFFCC"/>
            </w:tcBorders>
            <w:shd w:val="clear" w:color="auto" w:fill="CCFFCC"/>
          </w:tcPr>
          <w:p>
            <w:pPr>
              <w:spacing w:after="0"/>
              <w:rPr>
                <w:sz w:val="18"/>
                <w:szCs w:val="18"/>
                <w:color w:val="auto"/>
              </w:rPr>
            </w:pPr>
          </w:p>
        </w:tc>
        <w:tc>
          <w:tcPr>
            <w:tcW w:w="1040" w:type="dxa"/>
            <w:vAlign w:val="bottom"/>
            <w:tcBorders>
              <w:top w:val="single" w:sz="8" w:color="auto"/>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CCFFCC"/>
            </w:tcBorders>
            <w:shd w:val="clear" w:color="auto" w:fill="CCFFCC"/>
          </w:tcPr>
          <w:p>
            <w:pPr>
              <w:spacing w:after="0"/>
              <w:rPr>
                <w:sz w:val="18"/>
                <w:szCs w:val="18"/>
                <w:color w:val="auto"/>
              </w:rPr>
            </w:pPr>
          </w:p>
        </w:tc>
        <w:tc>
          <w:tcPr>
            <w:tcW w:w="960" w:type="dxa"/>
            <w:vAlign w:val="bottom"/>
            <w:tcBorders>
              <w:top w:val="single" w:sz="8" w:color="auto"/>
              <w:bottom w:val="single" w:sz="8" w:color="CCFFCC"/>
            </w:tcBorders>
            <w:shd w:val="clear" w:color="auto" w:fill="CCFFCC"/>
          </w:tcPr>
          <w:p>
            <w:pPr>
              <w:spacing w:after="0"/>
              <w:rPr>
                <w:sz w:val="18"/>
                <w:szCs w:val="18"/>
                <w:color w:val="auto"/>
              </w:rPr>
            </w:pPr>
          </w:p>
        </w:tc>
      </w:tr>
      <w:tr>
        <w:trPr>
          <w:trHeight w:val="207"/>
        </w:trPr>
        <w:tc>
          <w:tcPr>
            <w:tcW w:w="6080" w:type="dxa"/>
            <w:vAlign w:val="bottom"/>
          </w:tcPr>
          <w:p>
            <w:pPr>
              <w:ind w:left="140"/>
              <w:spacing w:after="0"/>
              <w:rPr>
                <w:sz w:val="20"/>
                <w:szCs w:val="20"/>
                <w:color w:val="auto"/>
              </w:rPr>
            </w:pPr>
            <w:r>
              <w:rPr>
                <w:rFonts w:ascii="Arial" w:cs="Arial" w:eastAsia="Arial" w:hAnsi="Arial"/>
                <w:sz w:val="14"/>
                <w:szCs w:val="14"/>
                <w:color w:val="auto"/>
              </w:rPr>
              <w:t>Hosted services – Business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163,033</w:t>
            </w:r>
          </w:p>
        </w:tc>
        <w:tc>
          <w:tcPr>
            <w:tcW w:w="12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163,033</w:t>
            </w:r>
          </w:p>
        </w:tc>
      </w:tr>
      <w:tr>
        <w:trPr>
          <w:trHeight w:val="29"/>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5"/>
        </w:trPr>
        <w:tc>
          <w:tcPr>
            <w:tcW w:w="608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Hosted services – Consumer</w:t>
            </w:r>
          </w:p>
        </w:tc>
        <w:tc>
          <w:tcPr>
            <w:tcW w:w="24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18,235</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18,235</w:t>
            </w:r>
          </w:p>
        </w:tc>
      </w:tr>
      <w:tr>
        <w:trPr>
          <w:trHeight w:val="207"/>
        </w:trPr>
        <w:tc>
          <w:tcPr>
            <w:tcW w:w="6080" w:type="dxa"/>
            <w:vAlign w:val="bottom"/>
          </w:tcPr>
          <w:p>
            <w:pPr>
              <w:ind w:left="140"/>
              <w:spacing w:after="0"/>
              <w:rPr>
                <w:sz w:val="20"/>
                <w:szCs w:val="20"/>
                <w:color w:val="auto"/>
              </w:rPr>
            </w:pPr>
            <w:r>
              <w:rPr>
                <w:rFonts w:ascii="Arial" w:cs="Arial" w:eastAsia="Arial" w:hAnsi="Arial"/>
                <w:sz w:val="14"/>
                <w:szCs w:val="14"/>
                <w:color w:val="auto"/>
              </w:rPr>
              <w:t>Professional services</w:t>
            </w:r>
          </w:p>
        </w:tc>
        <w:tc>
          <w:tcPr>
            <w:tcW w:w="240" w:type="dxa"/>
            <w:vAlign w:val="bottom"/>
          </w:tcPr>
          <w:p>
            <w:pPr>
              <w:spacing w:after="0"/>
              <w:rPr>
                <w:sz w:val="17"/>
                <w:szCs w:val="17"/>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31,268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31,268</w:t>
            </w:r>
          </w:p>
        </w:tc>
      </w:tr>
      <w:tr>
        <w:trPr>
          <w:trHeight w:val="29"/>
        </w:trPr>
        <w:tc>
          <w:tcPr>
            <w:tcW w:w="608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5"/>
        </w:trPr>
        <w:tc>
          <w:tcPr>
            <w:tcW w:w="608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Total revenue</w:t>
            </w:r>
          </w:p>
        </w:tc>
        <w:tc>
          <w:tcPr>
            <w:tcW w:w="24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194,301</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18,235</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212,536</w:t>
            </w:r>
          </w:p>
        </w:tc>
      </w:tr>
      <w:tr>
        <w:trPr>
          <w:trHeight w:val="187"/>
        </w:trPr>
        <w:tc>
          <w:tcPr>
            <w:tcW w:w="608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53,572</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3,246</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56,818</w:t>
            </w:r>
          </w:p>
        </w:tc>
      </w:tr>
      <w:tr>
        <w:trPr>
          <w:trHeight w:val="29"/>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5"/>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Sales and marketing</w:t>
            </w:r>
          </w:p>
        </w:tc>
        <w:tc>
          <w:tcPr>
            <w:tcW w:w="24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103,171</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10,982</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114,153</w:t>
            </w:r>
          </w:p>
        </w:tc>
      </w:tr>
      <w:tr>
        <w:trPr>
          <w:trHeight w:val="207"/>
        </w:trPr>
        <w:tc>
          <w:tcPr>
            <w:tcW w:w="6080" w:type="dxa"/>
            <w:vAlign w:val="bottom"/>
          </w:tcPr>
          <w:p>
            <w:pPr>
              <w:ind w:left="20"/>
              <w:spacing w:after="0"/>
              <w:rPr>
                <w:sz w:val="20"/>
                <w:szCs w:val="20"/>
                <w:color w:val="auto"/>
              </w:rPr>
            </w:pPr>
            <w:r>
              <w:rPr>
                <w:rFonts w:ascii="Arial" w:cs="Arial" w:eastAsia="Arial" w:hAnsi="Arial"/>
                <w:sz w:val="14"/>
                <w:szCs w:val="14"/>
                <w:color w:val="auto"/>
              </w:rPr>
              <w:t>Amortization of purchased intangibles</w:t>
            </w:r>
          </w:p>
        </w:tc>
        <w:tc>
          <w:tcPr>
            <w:tcW w:w="240" w:type="dxa"/>
            <w:vAlign w:val="bottom"/>
          </w:tcPr>
          <w:p>
            <w:pPr>
              <w:spacing w:after="0"/>
              <w:rPr>
                <w:sz w:val="17"/>
                <w:szCs w:val="17"/>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1,346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1,346</w:t>
            </w:r>
          </w:p>
        </w:tc>
      </w:tr>
      <w:tr>
        <w:trPr>
          <w:trHeight w:val="29"/>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5"/>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Unallocated corporate expenses</w:t>
            </w:r>
          </w:p>
        </w:tc>
        <w:tc>
          <w:tcPr>
            <w:tcW w:w="24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102,730</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102,730</w:t>
            </w:r>
          </w:p>
        </w:tc>
      </w:tr>
      <w:tr>
        <w:trPr>
          <w:trHeight w:val="207"/>
        </w:trPr>
        <w:tc>
          <w:tcPr>
            <w:tcW w:w="6080" w:type="dxa"/>
            <w:vAlign w:val="bottom"/>
          </w:tcPr>
          <w:p>
            <w:pPr>
              <w:ind w:left="220"/>
              <w:spacing w:after="0"/>
              <w:rPr>
                <w:sz w:val="20"/>
                <w:szCs w:val="20"/>
                <w:color w:val="auto"/>
              </w:rPr>
            </w:pPr>
            <w:r>
              <w:rPr>
                <w:rFonts w:ascii="Arial" w:cs="Arial" w:eastAsia="Arial" w:hAnsi="Arial"/>
                <w:sz w:val="14"/>
                <w:szCs w:val="14"/>
                <w:color w:val="auto"/>
              </w:rPr>
              <w:t>Operating income (loss)</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36,212</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4,007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(102,730)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(62,511)</w:t>
            </w: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Geographic Information</w:t>
      </w:r>
    </w:p>
    <w:p>
      <w:pPr>
        <w:spacing w:after="0" w:line="98" w:lineRule="exact"/>
        <w:rPr>
          <w:sz w:val="20"/>
          <w:szCs w:val="20"/>
          <w:color w:val="auto"/>
        </w:rPr>
      </w:pPr>
    </w:p>
    <w:p>
      <w:pPr>
        <w:jc w:val="both"/>
        <w:ind w:left="6" w:firstLine="564"/>
        <w:spacing w:after="0" w:line="255" w:lineRule="auto"/>
        <w:rPr>
          <w:sz w:val="20"/>
          <w:szCs w:val="20"/>
          <w:color w:val="auto"/>
        </w:rPr>
      </w:pPr>
      <w:r>
        <w:rPr>
          <w:rFonts w:ascii="Arial" w:cs="Arial" w:eastAsia="Arial" w:hAnsi="Arial"/>
          <w:sz w:val="16"/>
          <w:szCs w:val="16"/>
          <w:color w:val="auto"/>
        </w:rPr>
        <w:t>The Company is domiciled in the United States and has international operations in Israel, the United Kingdom, Asia-Pacific and Australia, Latin America and Western Europe, particularly France, Germany and the Netherlands. The following table presents the Company’s long-lived assets by geographic region as of the dates presented (amounts in thousands):</w:t>
      </w:r>
    </w:p>
    <w:p>
      <w:pPr>
        <w:spacing w:after="0" w:line="264"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4"/>
                <w:szCs w:val="14"/>
                <w:color w:val="auto"/>
              </w:rPr>
            </w:pPr>
          </w:p>
        </w:tc>
        <w:tc>
          <w:tcPr>
            <w:tcW w:w="1220" w:type="dxa"/>
            <w:vAlign w:val="bottom"/>
          </w:tcPr>
          <w:p>
            <w:pPr>
              <w:jc w:val="right"/>
              <w:ind w:right="291"/>
              <w:spacing w:after="0"/>
              <w:rPr>
                <w:sz w:val="20"/>
                <w:szCs w:val="20"/>
                <w:color w:val="auto"/>
              </w:rPr>
            </w:pPr>
            <w:r>
              <w:rPr>
                <w:rFonts w:ascii="Arial" w:cs="Arial" w:eastAsia="Arial" w:hAnsi="Arial"/>
                <w:sz w:val="13"/>
                <w:szCs w:val="13"/>
                <w:b w:val="1"/>
                <w:bCs w:val="1"/>
                <w:color w:val="auto"/>
                <w:w w:val="99"/>
              </w:rPr>
              <w:t>December 31,</w:t>
            </w:r>
          </w:p>
        </w:tc>
      </w:tr>
      <w:tr>
        <w:trPr>
          <w:trHeight w:val="241"/>
        </w:trPr>
        <w:tc>
          <w:tcPr>
            <w:tcW w:w="820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3"/>
                <w:szCs w:val="13"/>
                <w:b w:val="1"/>
                <w:bCs w:val="1"/>
                <w:color w:val="auto"/>
              </w:rPr>
              <w:t>2019</w:t>
            </w:r>
          </w:p>
        </w:tc>
      </w:tr>
      <w:tr>
        <w:trPr>
          <w:trHeight w:val="201"/>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United States</w:t>
            </w:r>
          </w:p>
        </w:tc>
        <w:tc>
          <w:tcPr>
            <w:tcW w:w="22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184,210</w:t>
            </w:r>
          </w:p>
        </w:tc>
        <w:tc>
          <w:tcPr>
            <w:tcW w:w="10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jc w:val="right"/>
              <w:ind w:right="6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177,776</w:t>
            </w:r>
          </w:p>
        </w:tc>
      </w:tr>
      <w:tr>
        <w:trPr>
          <w:trHeight w:val="207"/>
        </w:trPr>
        <w:tc>
          <w:tcPr>
            <w:tcW w:w="8200" w:type="dxa"/>
            <w:vAlign w:val="bottom"/>
          </w:tcPr>
          <w:p>
            <w:pPr>
              <w:ind w:left="20"/>
              <w:spacing w:after="0"/>
              <w:rPr>
                <w:sz w:val="20"/>
                <w:szCs w:val="20"/>
                <w:color w:val="auto"/>
              </w:rPr>
            </w:pPr>
            <w:r>
              <w:rPr>
                <w:rFonts w:ascii="Arial" w:cs="Arial" w:eastAsia="Arial" w:hAnsi="Arial"/>
                <w:sz w:val="14"/>
                <w:szCs w:val="14"/>
                <w:color w:val="auto"/>
              </w:rPr>
              <w:t>Israel</w:t>
            </w:r>
          </w:p>
        </w:tc>
        <w:tc>
          <w:tcPr>
            <w:tcW w:w="22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16,631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1"/>
              <w:spacing w:after="0"/>
              <w:rPr>
                <w:sz w:val="20"/>
                <w:szCs w:val="20"/>
                <w:color w:val="auto"/>
              </w:rPr>
            </w:pPr>
            <w:r>
              <w:rPr>
                <w:rFonts w:ascii="Arial" w:cs="Arial" w:eastAsia="Arial" w:hAnsi="Arial"/>
                <w:sz w:val="14"/>
                <w:szCs w:val="14"/>
                <w:color w:val="auto"/>
              </w:rPr>
              <w:t>16,680</w:t>
            </w:r>
          </w:p>
        </w:tc>
      </w:tr>
      <w:tr>
        <w:trPr>
          <w:trHeight w:val="29"/>
        </w:trPr>
        <w:tc>
          <w:tcPr>
            <w:tcW w:w="8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5"/>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Australia</w:t>
            </w:r>
          </w:p>
        </w:tc>
        <w:tc>
          <w:tcPr>
            <w:tcW w:w="22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13,030</w:t>
            </w:r>
          </w:p>
        </w:tc>
        <w:tc>
          <w:tcPr>
            <w:tcW w:w="10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12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13,765</w:t>
            </w:r>
          </w:p>
        </w:tc>
      </w:tr>
      <w:tr>
        <w:trPr>
          <w:trHeight w:val="207"/>
        </w:trPr>
        <w:tc>
          <w:tcPr>
            <w:tcW w:w="8200" w:type="dxa"/>
            <w:vAlign w:val="bottom"/>
          </w:tcPr>
          <w:p>
            <w:pPr>
              <w:ind w:left="20"/>
              <w:spacing w:after="0"/>
              <w:rPr>
                <w:sz w:val="20"/>
                <w:szCs w:val="20"/>
                <w:color w:val="auto"/>
              </w:rPr>
            </w:pPr>
            <w:r>
              <w:rPr>
                <w:rFonts w:ascii="Arial" w:cs="Arial" w:eastAsia="Arial" w:hAnsi="Arial"/>
                <w:sz w:val="14"/>
                <w:szCs w:val="14"/>
                <w:color w:val="auto"/>
              </w:rPr>
              <w:t>Netherlands</w:t>
            </w:r>
          </w:p>
        </w:tc>
        <w:tc>
          <w:tcPr>
            <w:tcW w:w="22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8,267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1"/>
              <w:spacing w:after="0"/>
              <w:rPr>
                <w:sz w:val="20"/>
                <w:szCs w:val="20"/>
                <w:color w:val="auto"/>
              </w:rPr>
            </w:pPr>
            <w:r>
              <w:rPr>
                <w:rFonts w:ascii="Arial" w:cs="Arial" w:eastAsia="Arial" w:hAnsi="Arial"/>
                <w:sz w:val="14"/>
                <w:szCs w:val="14"/>
                <w:color w:val="auto"/>
              </w:rPr>
              <w:t>7,705</w:t>
            </w:r>
          </w:p>
        </w:tc>
      </w:tr>
      <w:tr>
        <w:trPr>
          <w:trHeight w:val="29"/>
        </w:trPr>
        <w:tc>
          <w:tcPr>
            <w:tcW w:w="8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5"/>
        </w:trPr>
        <w:tc>
          <w:tcPr>
            <w:tcW w:w="8200" w:type="dxa"/>
            <w:vAlign w:val="bottom"/>
            <w:shd w:val="clear" w:color="auto" w:fill="CCFFCC"/>
          </w:tcPr>
          <w:p>
            <w:pPr>
              <w:ind w:left="2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(1)</w:t>
            </w:r>
          </w:p>
        </w:tc>
        <w:tc>
          <w:tcPr>
            <w:tcW w:w="220" w:type="dxa"/>
            <w:vAlign w:val="bottom"/>
            <w:tcBorders>
              <w:bottom w:val="single" w:sz="8" w:color="auto"/>
            </w:tcBorders>
            <w:shd w:val="clear" w:color="auto" w:fill="CCFFCC"/>
          </w:tcPr>
          <w:p>
            <w:pPr>
              <w:spacing w:after="0"/>
              <w:rPr>
                <w:sz w:val="20"/>
                <w:szCs w:val="20"/>
                <w:color w:val="auto"/>
              </w:rPr>
            </w:pPr>
          </w:p>
        </w:tc>
        <w:tc>
          <w:tcPr>
            <w:tcW w:w="1260" w:type="dxa"/>
            <w:vAlign w:val="bottom"/>
            <w:tcBorders>
              <w:bottom w:val="single" w:sz="8" w:color="auto"/>
            </w:tcBorders>
            <w:shd w:val="clear" w:color="auto" w:fill="CCFFCC"/>
          </w:tcPr>
          <w:p>
            <w:pPr>
              <w:jc w:val="right"/>
              <w:ind w:right="51"/>
              <w:spacing w:after="0"/>
              <w:rPr>
                <w:sz w:val="20"/>
                <w:szCs w:val="20"/>
                <w:color w:val="auto"/>
              </w:rPr>
            </w:pPr>
            <w:r>
              <w:rPr>
                <w:rFonts w:ascii="Arial" w:cs="Arial" w:eastAsia="Arial" w:hAnsi="Arial"/>
                <w:sz w:val="14"/>
                <w:szCs w:val="14"/>
                <w:color w:val="auto"/>
              </w:rPr>
              <w:t>20,898</w:t>
            </w:r>
          </w:p>
        </w:tc>
        <w:tc>
          <w:tcPr>
            <w:tcW w:w="100" w:type="dxa"/>
            <w:vAlign w:val="bottom"/>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spacing w:after="0"/>
              <w:rPr>
                <w:sz w:val="20"/>
                <w:szCs w:val="20"/>
                <w:color w:val="auto"/>
              </w:rPr>
            </w:pPr>
          </w:p>
        </w:tc>
        <w:tc>
          <w:tcPr>
            <w:tcW w:w="1220" w:type="dxa"/>
            <w:vAlign w:val="bottom"/>
            <w:tcBorders>
              <w:bottom w:val="single" w:sz="8" w:color="auto"/>
            </w:tcBorders>
            <w:shd w:val="clear" w:color="auto" w:fill="CCFFCC"/>
          </w:tcPr>
          <w:p>
            <w:pPr>
              <w:jc w:val="right"/>
              <w:ind w:right="51"/>
              <w:spacing w:after="0"/>
              <w:rPr>
                <w:sz w:val="20"/>
                <w:szCs w:val="20"/>
                <w:color w:val="auto"/>
              </w:rPr>
            </w:pPr>
            <w:r>
              <w:rPr>
                <w:rFonts w:ascii="Arial" w:cs="Arial" w:eastAsia="Arial" w:hAnsi="Arial"/>
                <w:sz w:val="14"/>
                <w:szCs w:val="14"/>
                <w:color w:val="auto"/>
              </w:rPr>
              <w:t>18,677</w:t>
            </w:r>
          </w:p>
        </w:tc>
      </w:tr>
      <w:tr>
        <w:trPr>
          <w:trHeight w:val="207"/>
        </w:trPr>
        <w:tc>
          <w:tcPr>
            <w:tcW w:w="8200" w:type="dxa"/>
            <w:vAlign w:val="bottom"/>
          </w:tcPr>
          <w:p>
            <w:pPr>
              <w:ind w:left="220"/>
              <w:spacing w:after="0"/>
              <w:rPr>
                <w:sz w:val="20"/>
                <w:szCs w:val="20"/>
                <w:color w:val="auto"/>
              </w:rPr>
            </w:pPr>
            <w:r>
              <w:rPr>
                <w:rFonts w:ascii="Arial" w:cs="Arial" w:eastAsia="Arial" w:hAnsi="Arial"/>
                <w:sz w:val="14"/>
                <w:szCs w:val="14"/>
                <w:color w:val="auto"/>
              </w:rPr>
              <w:t>Total long-lived assets</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243,036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234,603</w:t>
            </w: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146" w:hanging="146"/>
        <w:spacing w:after="0"/>
        <w:tabs>
          <w:tab w:leader="none" w:pos="146"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United Kingdom, Germany, Japan, France and Italy</w:t>
      </w:r>
    </w:p>
    <w:p>
      <w:pPr>
        <w:spacing w:after="0" w:line="200" w:lineRule="exact"/>
        <w:rPr>
          <w:sz w:val="20"/>
          <w:szCs w:val="20"/>
          <w:color w:val="auto"/>
        </w:rPr>
      </w:pPr>
    </w:p>
    <w:p>
      <w:pPr>
        <w:spacing w:after="0" w:line="39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6"/>
          </w:cols>
          <w:pgMar w:left="314" w:top="17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3"/>
          <w:szCs w:val="13"/>
          <w:b w:val="1"/>
          <w:bCs w:val="1"/>
          <w:color w:val="auto"/>
        </w:rPr>
        <w:t>Goodwill and Intangible Assets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changes in the carrying amount of goodwill for the nine months ended September 30, 2020 are as follows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4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Business</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CCFFCC"/>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Consumer</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w w:val="99"/>
              </w:rPr>
              <w:t>Consolidated</w:t>
            </w:r>
          </w:p>
        </w:tc>
      </w:tr>
      <w:tr>
        <w:trPr>
          <w:trHeight w:val="201"/>
        </w:trPr>
        <w:tc>
          <w:tcPr>
            <w:tcW w:w="66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Balance as of December 31, 2019</w:t>
            </w:r>
          </w:p>
        </w:tc>
        <w:tc>
          <w:tcPr>
            <w:tcW w:w="960" w:type="dxa"/>
            <w:vAlign w:val="bottom"/>
            <w:tcBorders>
              <w:bottom w:val="single" w:sz="8" w:color="CCFFCC"/>
            </w:tcBorders>
            <w:shd w:val="clear" w:color="auto" w:fill="CCFFCC"/>
          </w:tcPr>
          <w:p>
            <w:pPr>
              <w:jc w:val="right"/>
              <w:ind w:right="812"/>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w w:val="88"/>
              </w:rPr>
              <w:t>86,963</w:t>
            </w:r>
          </w:p>
        </w:tc>
        <w:tc>
          <w:tcPr>
            <w:tcW w:w="1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jc w:val="right"/>
              <w:ind w:right="852"/>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FFCC"/>
            </w:tcBorders>
            <w:shd w:val="clear" w:color="auto" w:fill="CCFFCC"/>
          </w:tcPr>
          <w:p>
            <w:pPr>
              <w:jc w:val="right"/>
              <w:ind w:right="29"/>
              <w:spacing w:after="0"/>
              <w:rPr>
                <w:sz w:val="20"/>
                <w:szCs w:val="20"/>
                <w:color w:val="auto"/>
              </w:rPr>
            </w:pPr>
            <w:r>
              <w:rPr>
                <w:rFonts w:ascii="Arial" w:cs="Arial" w:eastAsia="Arial" w:hAnsi="Arial"/>
                <w:sz w:val="14"/>
                <w:szCs w:val="14"/>
                <w:color w:val="auto"/>
                <w:w w:val="91"/>
              </w:rPr>
              <w:t>8,024</w:t>
            </w:r>
          </w:p>
        </w:tc>
        <w:tc>
          <w:tcPr>
            <w:tcW w:w="10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jc w:val="right"/>
              <w:ind w:right="6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94,987</w:t>
            </w:r>
          </w:p>
        </w:tc>
      </w:tr>
      <w:tr>
        <w:trPr>
          <w:trHeight w:val="207"/>
        </w:trPr>
        <w:tc>
          <w:tcPr>
            <w:tcW w:w="6640" w:type="dxa"/>
            <w:vAlign w:val="bottom"/>
          </w:tcPr>
          <w:p>
            <w:pPr>
              <w:ind w:left="140"/>
              <w:spacing w:after="0"/>
              <w:rPr>
                <w:sz w:val="20"/>
                <w:szCs w:val="20"/>
                <w:color w:val="auto"/>
              </w:rPr>
            </w:pPr>
            <w:r>
              <w:rPr>
                <w:rFonts w:ascii="Arial" w:cs="Arial" w:eastAsia="Arial" w:hAnsi="Arial"/>
                <w:sz w:val="14"/>
                <w:szCs w:val="14"/>
                <w:color w:val="auto"/>
              </w:rPr>
              <w:t>Adjustments to goodwill:</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9"/>
        </w:trPr>
        <w:tc>
          <w:tcPr>
            <w:tcW w:w="6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5"/>
        </w:trPr>
        <w:tc>
          <w:tcPr>
            <w:tcW w:w="664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Foreign exchange adjustment</w:t>
            </w:r>
          </w:p>
        </w:tc>
        <w:tc>
          <w:tcPr>
            <w:tcW w:w="960" w:type="dxa"/>
            <w:vAlign w:val="bottom"/>
            <w:tcBorders>
              <w:bottom w:val="single" w:sz="8" w:color="CCFFCC"/>
            </w:tcBorders>
            <w:shd w:val="clear" w:color="auto" w:fill="CCFFCC"/>
          </w:tcPr>
          <w:p>
            <w:pPr>
              <w:spacing w:after="0"/>
              <w:rPr>
                <w:sz w:val="20"/>
                <w:szCs w:val="20"/>
                <w:color w:val="auto"/>
              </w:rPr>
            </w:pPr>
          </w:p>
        </w:tc>
        <w:tc>
          <w:tcPr>
            <w:tcW w:w="52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spacing w:after="0"/>
              <w:rPr>
                <w:sz w:val="20"/>
                <w:szCs w:val="20"/>
                <w:color w:val="auto"/>
              </w:rPr>
            </w:pPr>
          </w:p>
        </w:tc>
        <w:tc>
          <w:tcPr>
            <w:tcW w:w="5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FFCC"/>
            </w:tcBorders>
            <w:shd w:val="clear" w:color="auto" w:fill="CCFFCC"/>
          </w:tcPr>
          <w:p>
            <w:pPr>
              <w:spacing w:after="0"/>
              <w:rPr>
                <w:sz w:val="20"/>
                <w:szCs w:val="20"/>
                <w:color w:val="auto"/>
              </w:rPr>
            </w:pPr>
          </w:p>
        </w:tc>
        <w:tc>
          <w:tcPr>
            <w:tcW w:w="12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99</w:t>
            </w:r>
          </w:p>
        </w:tc>
      </w:tr>
      <w:tr>
        <w:trPr>
          <w:trHeight w:val="207"/>
        </w:trPr>
        <w:tc>
          <w:tcPr>
            <w:tcW w:w="6640" w:type="dxa"/>
            <w:vAlign w:val="bottom"/>
          </w:tcPr>
          <w:p>
            <w:pPr>
              <w:ind w:left="20"/>
              <w:spacing w:after="0"/>
              <w:rPr>
                <w:sz w:val="20"/>
                <w:szCs w:val="20"/>
                <w:color w:val="auto"/>
              </w:rPr>
            </w:pPr>
            <w:r>
              <w:rPr>
                <w:rFonts w:ascii="Arial" w:cs="Arial" w:eastAsia="Arial" w:hAnsi="Arial"/>
                <w:sz w:val="14"/>
                <w:szCs w:val="14"/>
                <w:color w:val="auto"/>
              </w:rPr>
              <w:t>Balance as of September 30, 2020</w:t>
            </w:r>
          </w:p>
        </w:tc>
        <w:tc>
          <w:tcPr>
            <w:tcW w:w="960" w:type="dxa"/>
            <w:vAlign w:val="bottom"/>
            <w:tcBorders>
              <w:top w:val="single" w:sz="8" w:color="auto"/>
              <w:bottom w:val="single" w:sz="8" w:color="auto"/>
            </w:tcBorders>
          </w:tcPr>
          <w:p>
            <w:pPr>
              <w:jc w:val="right"/>
              <w:ind w:right="812"/>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88"/>
              </w:rPr>
              <w:t>87,062</w:t>
            </w:r>
          </w:p>
        </w:tc>
        <w:tc>
          <w:tcPr>
            <w:tcW w:w="1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52"/>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91"/>
              </w:rPr>
              <w:t>8,024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95,086</w:t>
            </w:r>
          </w:p>
        </w:tc>
      </w:tr>
      <w:tr>
        <w:trPr>
          <w:trHeight w:val="20"/>
        </w:trPr>
        <w:tc>
          <w:tcPr>
            <w:tcW w:w="6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Intangible assets are summarized as follows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3"/>
                <w:szCs w:val="13"/>
                <w:b w:val="1"/>
                <w:bCs w:val="1"/>
                <w:color w:val="auto"/>
              </w:rPr>
              <w:t>As of September 30, 2020</w:t>
            </w: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5"/>
              </w:rPr>
              <w:t>Weighted</w:t>
            </w:r>
          </w:p>
        </w:tc>
        <w:tc>
          <w:tcPr>
            <w:tcW w:w="0" w:type="dxa"/>
            <w:vAlign w:val="bottom"/>
          </w:tcPr>
          <w:p>
            <w:pPr>
              <w:spacing w:after="0"/>
              <w:rPr>
                <w:sz w:val="1"/>
                <w:szCs w:val="1"/>
                <w:color w:val="auto"/>
              </w:rPr>
            </w:pPr>
          </w:p>
        </w:tc>
      </w:tr>
      <w:tr>
        <w:trPr>
          <w:trHeight w:val="129"/>
        </w:trPr>
        <w:tc>
          <w:tcPr>
            <w:tcW w:w="6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Net Carrying</w:t>
            </w:r>
          </w:p>
        </w:tc>
        <w:tc>
          <w:tcPr>
            <w:tcW w:w="12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29"/>
        </w:trPr>
        <w:tc>
          <w:tcPr>
            <w:tcW w:w="6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89"/>
              </w:rPr>
              <w:t>Carrying</w:t>
            </w: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0"/>
              </w:rPr>
              <w:t>Amortization</w:t>
            </w:r>
          </w:p>
        </w:tc>
        <w:tc>
          <w:tcPr>
            <w:tcW w:w="0" w:type="dxa"/>
            <w:vAlign w:val="bottom"/>
          </w:tcPr>
          <w:p>
            <w:pPr>
              <w:spacing w:after="0"/>
              <w:rPr>
                <w:sz w:val="1"/>
                <w:szCs w:val="1"/>
                <w:color w:val="auto"/>
              </w:rPr>
            </w:pPr>
          </w:p>
        </w:tc>
      </w:tr>
      <w:tr>
        <w:trPr>
          <w:trHeight w:val="167"/>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4"/>
                <w:szCs w:val="14"/>
                <w:color w:val="auto"/>
              </w:rPr>
            </w:pPr>
          </w:p>
        </w:tc>
        <w:tc>
          <w:tcPr>
            <w:tcW w:w="720" w:type="dxa"/>
            <w:vAlign w:val="bottom"/>
          </w:tcPr>
          <w:p>
            <w:pPr>
              <w:jc w:val="center"/>
              <w:ind w:right="91"/>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3"/>
              </w:rPr>
              <w:t>Period</w:t>
            </w:r>
          </w:p>
        </w:tc>
        <w:tc>
          <w:tcPr>
            <w:tcW w:w="0" w:type="dxa"/>
            <w:vAlign w:val="bottom"/>
          </w:tcPr>
          <w:p>
            <w:pPr>
              <w:spacing w:after="0"/>
              <w:rPr>
                <w:sz w:val="1"/>
                <w:szCs w:val="1"/>
                <w:color w:val="auto"/>
              </w:rPr>
            </w:pPr>
          </w:p>
        </w:tc>
      </w:tr>
      <w:tr>
        <w:trPr>
          <w:trHeight w:val="212"/>
        </w:trPr>
        <w:tc>
          <w:tcPr>
            <w:tcW w:w="67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Amortizing intangible assets:</w:t>
            </w:r>
          </w:p>
        </w:tc>
        <w:tc>
          <w:tcPr>
            <w:tcW w:w="160" w:type="dxa"/>
            <w:vAlign w:val="bottom"/>
            <w:tcBorders>
              <w:top w:val="single" w:sz="8" w:color="auto"/>
              <w:bottom w:val="single" w:sz="8" w:color="CCFFCC"/>
            </w:tcBorders>
            <w:shd w:val="clear" w:color="auto" w:fill="CCFFCC"/>
          </w:tcPr>
          <w:p>
            <w:pPr>
              <w:spacing w:after="0"/>
              <w:rPr>
                <w:sz w:val="18"/>
                <w:szCs w:val="18"/>
                <w:color w:val="auto"/>
              </w:rPr>
            </w:pPr>
          </w:p>
        </w:tc>
        <w:tc>
          <w:tcPr>
            <w:tcW w:w="76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CCFFCC"/>
            </w:tcBorders>
            <w:shd w:val="clear" w:color="auto" w:fill="CCFFCC"/>
          </w:tcPr>
          <w:p>
            <w:pPr>
              <w:spacing w:after="0"/>
              <w:rPr>
                <w:sz w:val="18"/>
                <w:szCs w:val="18"/>
                <w:color w:val="auto"/>
              </w:rPr>
            </w:pPr>
          </w:p>
        </w:tc>
        <w:tc>
          <w:tcPr>
            <w:tcW w:w="1060" w:type="dxa"/>
            <w:vAlign w:val="bottom"/>
            <w:tcBorders>
              <w:top w:val="single" w:sz="8" w:color="auto"/>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CCFFCC"/>
            </w:tcBorders>
            <w:shd w:val="clear" w:color="auto" w:fill="CCFFCC"/>
          </w:tcPr>
          <w:p>
            <w:pPr>
              <w:spacing w:after="0"/>
              <w:rPr>
                <w:sz w:val="18"/>
                <w:szCs w:val="18"/>
                <w:color w:val="auto"/>
              </w:rPr>
            </w:pPr>
          </w:p>
        </w:tc>
        <w:tc>
          <w:tcPr>
            <w:tcW w:w="72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40" w:type="dxa"/>
            <w:vAlign w:val="bottom"/>
          </w:tcPr>
          <w:p>
            <w:pPr>
              <w:ind w:left="140"/>
              <w:spacing w:after="0"/>
              <w:rPr>
                <w:sz w:val="20"/>
                <w:szCs w:val="20"/>
                <w:color w:val="auto"/>
              </w:rPr>
            </w:pPr>
            <w:r>
              <w:rPr>
                <w:rFonts w:ascii="Arial" w:cs="Arial" w:eastAsia="Arial" w:hAnsi="Arial"/>
                <w:sz w:val="14"/>
                <w:szCs w:val="14"/>
                <w:color w:val="auto"/>
              </w:rPr>
              <w:t>Technology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30,451</w:t>
            </w:r>
          </w:p>
        </w:tc>
        <w:tc>
          <w:tcPr>
            <w:tcW w:w="12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(26,391)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4,060</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 years</w:t>
            </w:r>
          </w:p>
        </w:tc>
        <w:tc>
          <w:tcPr>
            <w:tcW w:w="0" w:type="dxa"/>
            <w:vAlign w:val="bottom"/>
          </w:tcPr>
          <w:p>
            <w:pPr>
              <w:spacing w:after="0"/>
              <w:rPr>
                <w:sz w:val="1"/>
                <w:szCs w:val="1"/>
                <w:color w:val="auto"/>
              </w:rPr>
            </w:pPr>
          </w:p>
        </w:tc>
      </w:tr>
      <w:tr>
        <w:trPr>
          <w:trHeight w:val="29"/>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74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Customer relationships</w:t>
            </w:r>
          </w:p>
        </w:tc>
        <w:tc>
          <w:tcPr>
            <w:tcW w:w="1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16,973</w:t>
            </w:r>
          </w:p>
        </w:tc>
        <w:tc>
          <w:tcPr>
            <w:tcW w:w="1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(13,722)</w:t>
            </w: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2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3,251</w:t>
            </w:r>
          </w:p>
        </w:tc>
        <w:tc>
          <w:tcPr>
            <w:tcW w:w="12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8.4 years</w:t>
            </w:r>
          </w:p>
        </w:tc>
        <w:tc>
          <w:tcPr>
            <w:tcW w:w="0" w:type="dxa"/>
            <w:vAlign w:val="bottom"/>
          </w:tcPr>
          <w:p>
            <w:pPr>
              <w:spacing w:after="0"/>
              <w:rPr>
                <w:sz w:val="1"/>
                <w:szCs w:val="1"/>
                <w:color w:val="auto"/>
              </w:rPr>
            </w:pPr>
          </w:p>
        </w:tc>
      </w:tr>
      <w:tr>
        <w:trPr>
          <w:trHeight w:val="207"/>
        </w:trPr>
        <w:tc>
          <w:tcPr>
            <w:tcW w:w="6740" w:type="dxa"/>
            <w:vAlign w:val="bottom"/>
          </w:tcPr>
          <w:p>
            <w:pPr>
              <w:ind w:left="140"/>
              <w:spacing w:after="0"/>
              <w:rPr>
                <w:sz w:val="20"/>
                <w:szCs w:val="20"/>
                <w:color w:val="auto"/>
              </w:rPr>
            </w:pPr>
            <w:r>
              <w:rPr>
                <w:rFonts w:ascii="Arial" w:cs="Arial" w:eastAsia="Arial" w:hAnsi="Arial"/>
                <w:sz w:val="14"/>
                <w:szCs w:val="14"/>
                <w:color w:val="auto"/>
              </w:rPr>
              <w:t>Patents</w:t>
            </w:r>
          </w:p>
        </w:tc>
        <w:tc>
          <w:tcPr>
            <w:tcW w:w="16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3,650</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13.1 years</w:t>
            </w:r>
          </w:p>
        </w:tc>
        <w:tc>
          <w:tcPr>
            <w:tcW w:w="0" w:type="dxa"/>
            <w:vAlign w:val="bottom"/>
          </w:tcPr>
          <w:p>
            <w:pPr>
              <w:spacing w:after="0"/>
              <w:rPr>
                <w:sz w:val="1"/>
                <w:szCs w:val="1"/>
                <w:color w:val="auto"/>
              </w:rPr>
            </w:pPr>
          </w:p>
        </w:tc>
      </w:tr>
      <w:tr>
        <w:trPr>
          <w:trHeight w:val="29"/>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74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314</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207"/>
        </w:trPr>
        <w:tc>
          <w:tcPr>
            <w:tcW w:w="6740" w:type="dxa"/>
            <w:vAlign w:val="bottom"/>
          </w:tcPr>
          <w:p>
            <w:pPr>
              <w:ind w:left="2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52,238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(41,198)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11,040</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6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3"/>
                <w:szCs w:val="13"/>
                <w:b w:val="1"/>
                <w:bCs w:val="1"/>
                <w:color w:val="auto"/>
              </w:rPr>
              <w:t>As of December 31, 2019</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6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5"/>
              </w:rPr>
              <w:t>Weighted</w:t>
            </w:r>
          </w:p>
        </w:tc>
        <w:tc>
          <w:tcPr>
            <w:tcW w:w="0" w:type="dxa"/>
            <w:vAlign w:val="bottom"/>
          </w:tcPr>
          <w:p>
            <w:pPr>
              <w:spacing w:after="0"/>
              <w:rPr>
                <w:sz w:val="1"/>
                <w:szCs w:val="1"/>
                <w:color w:val="auto"/>
              </w:rPr>
            </w:pPr>
          </w:p>
        </w:tc>
      </w:tr>
      <w:tr>
        <w:trPr>
          <w:trHeight w:val="129"/>
        </w:trPr>
        <w:tc>
          <w:tcPr>
            <w:tcW w:w="6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Net Carrying</w:t>
            </w:r>
          </w:p>
        </w:tc>
        <w:tc>
          <w:tcPr>
            <w:tcW w:w="12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29"/>
        </w:trPr>
        <w:tc>
          <w:tcPr>
            <w:tcW w:w="6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89"/>
              </w:rPr>
              <w:t>Carrying</w:t>
            </w: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0"/>
              </w:rPr>
              <w:t>Amortization</w:t>
            </w:r>
          </w:p>
        </w:tc>
        <w:tc>
          <w:tcPr>
            <w:tcW w:w="0" w:type="dxa"/>
            <w:vAlign w:val="bottom"/>
          </w:tcPr>
          <w:p>
            <w:pPr>
              <w:spacing w:after="0"/>
              <w:rPr>
                <w:sz w:val="1"/>
                <w:szCs w:val="1"/>
                <w:color w:val="auto"/>
              </w:rPr>
            </w:pPr>
          </w:p>
        </w:tc>
      </w:tr>
      <w:tr>
        <w:trPr>
          <w:trHeight w:val="167"/>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4"/>
                <w:szCs w:val="14"/>
                <w:color w:val="auto"/>
              </w:rPr>
            </w:pPr>
          </w:p>
        </w:tc>
        <w:tc>
          <w:tcPr>
            <w:tcW w:w="720" w:type="dxa"/>
            <w:vAlign w:val="bottom"/>
          </w:tcPr>
          <w:p>
            <w:pPr>
              <w:jc w:val="center"/>
              <w:ind w:right="91"/>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3"/>
              </w:rPr>
              <w:t>Period</w:t>
            </w:r>
          </w:p>
        </w:tc>
        <w:tc>
          <w:tcPr>
            <w:tcW w:w="0" w:type="dxa"/>
            <w:vAlign w:val="bottom"/>
          </w:tcPr>
          <w:p>
            <w:pPr>
              <w:spacing w:after="0"/>
              <w:rPr>
                <w:sz w:val="1"/>
                <w:szCs w:val="1"/>
                <w:color w:val="auto"/>
              </w:rPr>
            </w:pPr>
          </w:p>
        </w:tc>
      </w:tr>
      <w:tr>
        <w:trPr>
          <w:trHeight w:val="212"/>
        </w:trPr>
        <w:tc>
          <w:tcPr>
            <w:tcW w:w="67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Amortizing intangible assets:</w:t>
            </w:r>
          </w:p>
        </w:tc>
        <w:tc>
          <w:tcPr>
            <w:tcW w:w="160" w:type="dxa"/>
            <w:vAlign w:val="bottom"/>
            <w:tcBorders>
              <w:top w:val="single" w:sz="8" w:color="auto"/>
              <w:bottom w:val="single" w:sz="8" w:color="CCFFCC"/>
            </w:tcBorders>
            <w:shd w:val="clear" w:color="auto" w:fill="CCFFCC"/>
          </w:tcPr>
          <w:p>
            <w:pPr>
              <w:spacing w:after="0"/>
              <w:rPr>
                <w:sz w:val="18"/>
                <w:szCs w:val="18"/>
                <w:color w:val="auto"/>
              </w:rPr>
            </w:pPr>
          </w:p>
        </w:tc>
        <w:tc>
          <w:tcPr>
            <w:tcW w:w="76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CCFFCC"/>
            </w:tcBorders>
            <w:shd w:val="clear" w:color="auto" w:fill="CCFFCC"/>
          </w:tcPr>
          <w:p>
            <w:pPr>
              <w:spacing w:after="0"/>
              <w:rPr>
                <w:sz w:val="18"/>
                <w:szCs w:val="18"/>
                <w:color w:val="auto"/>
              </w:rPr>
            </w:pPr>
          </w:p>
        </w:tc>
        <w:tc>
          <w:tcPr>
            <w:tcW w:w="1060" w:type="dxa"/>
            <w:vAlign w:val="bottom"/>
            <w:tcBorders>
              <w:top w:val="single" w:sz="8" w:color="auto"/>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CCFFCC"/>
            </w:tcBorders>
            <w:shd w:val="clear" w:color="auto" w:fill="CCFFCC"/>
          </w:tcPr>
          <w:p>
            <w:pPr>
              <w:spacing w:after="0"/>
              <w:rPr>
                <w:sz w:val="18"/>
                <w:szCs w:val="18"/>
                <w:color w:val="auto"/>
              </w:rPr>
            </w:pPr>
          </w:p>
        </w:tc>
        <w:tc>
          <w:tcPr>
            <w:tcW w:w="72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40" w:type="dxa"/>
            <w:vAlign w:val="bottom"/>
          </w:tcPr>
          <w:p>
            <w:pPr>
              <w:ind w:left="140"/>
              <w:spacing w:after="0"/>
              <w:rPr>
                <w:sz w:val="20"/>
                <w:szCs w:val="20"/>
                <w:color w:val="auto"/>
              </w:rPr>
            </w:pPr>
            <w:r>
              <w:rPr>
                <w:rFonts w:ascii="Arial" w:cs="Arial" w:eastAsia="Arial" w:hAnsi="Arial"/>
                <w:sz w:val="14"/>
                <w:szCs w:val="14"/>
                <w:color w:val="auto"/>
              </w:rPr>
              <w:t>Technology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30,413</w:t>
            </w:r>
          </w:p>
        </w:tc>
        <w:tc>
          <w:tcPr>
            <w:tcW w:w="12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(25,187)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5,226</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 years</w:t>
            </w:r>
          </w:p>
        </w:tc>
        <w:tc>
          <w:tcPr>
            <w:tcW w:w="0" w:type="dxa"/>
            <w:vAlign w:val="bottom"/>
          </w:tcPr>
          <w:p>
            <w:pPr>
              <w:spacing w:after="0"/>
              <w:rPr>
                <w:sz w:val="1"/>
                <w:szCs w:val="1"/>
                <w:color w:val="auto"/>
              </w:rPr>
            </w:pPr>
          </w:p>
        </w:tc>
      </w:tr>
      <w:tr>
        <w:trPr>
          <w:trHeight w:val="29"/>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74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Customer relationships</w:t>
            </w:r>
          </w:p>
        </w:tc>
        <w:tc>
          <w:tcPr>
            <w:tcW w:w="1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16,964</w:t>
            </w:r>
          </w:p>
        </w:tc>
        <w:tc>
          <w:tcPr>
            <w:tcW w:w="1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(12,958)</w:t>
            </w: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2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4,006</w:t>
            </w:r>
          </w:p>
        </w:tc>
        <w:tc>
          <w:tcPr>
            <w:tcW w:w="12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8.4 years</w:t>
            </w:r>
          </w:p>
        </w:tc>
        <w:tc>
          <w:tcPr>
            <w:tcW w:w="0" w:type="dxa"/>
            <w:vAlign w:val="bottom"/>
          </w:tcPr>
          <w:p>
            <w:pPr>
              <w:spacing w:after="0"/>
              <w:rPr>
                <w:sz w:val="1"/>
                <w:szCs w:val="1"/>
                <w:color w:val="auto"/>
              </w:rPr>
            </w:pPr>
          </w:p>
        </w:tc>
      </w:tr>
      <w:tr>
        <w:trPr>
          <w:trHeight w:val="207"/>
        </w:trPr>
        <w:tc>
          <w:tcPr>
            <w:tcW w:w="6740" w:type="dxa"/>
            <w:vAlign w:val="bottom"/>
          </w:tcPr>
          <w:p>
            <w:pPr>
              <w:ind w:left="140"/>
              <w:spacing w:after="0"/>
              <w:rPr>
                <w:sz w:val="20"/>
                <w:szCs w:val="20"/>
                <w:color w:val="auto"/>
              </w:rPr>
            </w:pPr>
            <w:r>
              <w:rPr>
                <w:rFonts w:ascii="Arial" w:cs="Arial" w:eastAsia="Arial" w:hAnsi="Arial"/>
                <w:sz w:val="14"/>
                <w:szCs w:val="14"/>
                <w:color w:val="auto"/>
              </w:rPr>
              <w:t>Patents</w:t>
            </w:r>
          </w:p>
        </w:tc>
        <w:tc>
          <w:tcPr>
            <w:tcW w:w="160" w:type="dxa"/>
            <w:vAlign w:val="bottom"/>
          </w:tcPr>
          <w:p>
            <w:pPr>
              <w:spacing w:after="0"/>
              <w:rPr>
                <w:sz w:val="17"/>
                <w:szCs w:val="17"/>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3,267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2,553</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12.8 years</w:t>
            </w:r>
          </w:p>
        </w:tc>
        <w:tc>
          <w:tcPr>
            <w:tcW w:w="0" w:type="dxa"/>
            <w:vAlign w:val="bottom"/>
          </w:tcPr>
          <w:p>
            <w:pPr>
              <w:spacing w:after="0"/>
              <w:rPr>
                <w:sz w:val="1"/>
                <w:szCs w:val="1"/>
                <w:color w:val="auto"/>
              </w:rPr>
            </w:pPr>
          </w:p>
        </w:tc>
      </w:tr>
      <w:tr>
        <w:trPr>
          <w:trHeight w:val="29"/>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74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262</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2.7 years</w:t>
            </w:r>
          </w:p>
        </w:tc>
        <w:tc>
          <w:tcPr>
            <w:tcW w:w="0" w:type="dxa"/>
            <w:vAlign w:val="bottom"/>
          </w:tcPr>
          <w:p>
            <w:pPr>
              <w:spacing w:after="0"/>
              <w:rPr>
                <w:sz w:val="1"/>
                <w:szCs w:val="1"/>
                <w:color w:val="auto"/>
              </w:rPr>
            </w:pPr>
          </w:p>
        </w:tc>
      </w:tr>
      <w:tr>
        <w:trPr>
          <w:trHeight w:val="207"/>
        </w:trPr>
        <w:tc>
          <w:tcPr>
            <w:tcW w:w="6740" w:type="dxa"/>
            <w:vAlign w:val="bottom"/>
          </w:tcPr>
          <w:p>
            <w:pPr>
              <w:ind w:left="2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50,906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(39,094)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11,812</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70" w:right="339" w:bottom="1440" w:gutter="0" w:footer="0" w:header="0"/>
        </w:sectPr>
      </w:pPr>
    </w:p>
    <w:bookmarkStart w:id="22" w:name="page23"/>
    <w:bookmarkEnd w:id="22"/>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ind w:left="6" w:firstLine="564"/>
        <w:spacing w:after="0" w:line="252"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$0.7 million for the three months ended September 30, 2020 and 2019, respectively, and $2.1 million and $2.2 million for the nine months ended September 30, 2020 and 2019, respectively. For the three and nine months ended September 30, 2020 and 2019, respectively, a portion of this amortization is included in cost of revenue. Estimated amortization expense for the next five years is as follows (amounts in thousands):</w:t>
      </w:r>
    </w:p>
    <w:p>
      <w:pPr>
        <w:spacing w:after="0" w:line="266" w:lineRule="exact"/>
        <w:rPr>
          <w:sz w:val="20"/>
          <w:szCs w:val="20"/>
          <w:color w:val="auto"/>
        </w:rPr>
      </w:pPr>
    </w:p>
    <w:tbl>
      <w:tblPr>
        <w:tblLayout w:type="fixed"/>
        <w:tblInd w:w="6" w:type="dxa"/>
        <w:tblCellMar>
          <w:top w:w="0" w:type="dxa"/>
          <w:left w:w="0" w:type="dxa"/>
          <w:bottom w:w="0" w:type="dxa"/>
          <w:right w:w="0" w:type="dxa"/>
        </w:tblCellMar>
      </w:tblPr>
      <w:tr>
        <w:trPr>
          <w:trHeight w:val="167"/>
        </w:trPr>
        <w:tc>
          <w:tcPr>
            <w:tcW w:w="922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86"/>
              </w:rPr>
              <w:t>Estimated Amortization Expense</w:t>
            </w:r>
          </w:p>
        </w:tc>
      </w:tr>
      <w:tr>
        <w:trPr>
          <w:trHeight w:val="201"/>
        </w:trPr>
        <w:tc>
          <w:tcPr>
            <w:tcW w:w="9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Remaining 2020</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694</w:t>
            </w:r>
          </w:p>
        </w:tc>
      </w:tr>
      <w:tr>
        <w:trPr>
          <w:trHeight w:val="195"/>
        </w:trPr>
        <w:tc>
          <w:tcPr>
            <w:tcW w:w="9220" w:type="dxa"/>
            <w:vAlign w:val="bottom"/>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1900" w:type="dxa"/>
            <w:vAlign w:val="bottom"/>
          </w:tcPr>
          <w:p>
            <w:pPr>
              <w:jc w:val="right"/>
              <w:ind w:right="30"/>
              <w:spacing w:after="0"/>
              <w:rPr>
                <w:sz w:val="20"/>
                <w:szCs w:val="20"/>
                <w:color w:val="auto"/>
              </w:rPr>
            </w:pPr>
            <w:r>
              <w:rPr>
                <w:rFonts w:ascii="Arial" w:cs="Arial" w:eastAsia="Arial" w:hAnsi="Arial"/>
                <w:sz w:val="14"/>
                <w:szCs w:val="14"/>
                <w:color w:val="auto"/>
              </w:rPr>
              <w:t>2,563</w:t>
            </w:r>
          </w:p>
        </w:tc>
      </w:tr>
      <w:tr>
        <w:trPr>
          <w:trHeight w:val="29"/>
        </w:trPr>
        <w:tc>
          <w:tcPr>
            <w:tcW w:w="9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03"/>
        </w:trPr>
        <w:tc>
          <w:tcPr>
            <w:tcW w:w="9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FFCC"/>
            </w:tcBorders>
            <w:shd w:val="clear" w:color="auto" w:fill="CCFFCC"/>
          </w:tcPr>
          <w:p>
            <w:pPr>
              <w:spacing w:after="0"/>
              <w:rPr>
                <w:sz w:val="17"/>
                <w:szCs w:val="17"/>
                <w:color w:val="auto"/>
              </w:rPr>
            </w:pPr>
          </w:p>
        </w:tc>
        <w:tc>
          <w:tcPr>
            <w:tcW w:w="19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2,210</w:t>
            </w:r>
          </w:p>
        </w:tc>
      </w:tr>
      <w:tr>
        <w:trPr>
          <w:trHeight w:val="195"/>
        </w:trPr>
        <w:tc>
          <w:tcPr>
            <w:tcW w:w="9220" w:type="dxa"/>
            <w:vAlign w:val="bottom"/>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6"/>
                <w:szCs w:val="16"/>
                <w:color w:val="auto"/>
              </w:rPr>
            </w:pPr>
          </w:p>
        </w:tc>
        <w:tc>
          <w:tcPr>
            <w:tcW w:w="1900" w:type="dxa"/>
            <w:vAlign w:val="bottom"/>
          </w:tcPr>
          <w:p>
            <w:pPr>
              <w:jc w:val="right"/>
              <w:ind w:right="30"/>
              <w:spacing w:after="0"/>
              <w:rPr>
                <w:sz w:val="20"/>
                <w:szCs w:val="20"/>
                <w:color w:val="auto"/>
              </w:rPr>
            </w:pPr>
            <w:r>
              <w:rPr>
                <w:rFonts w:ascii="Arial" w:cs="Arial" w:eastAsia="Arial" w:hAnsi="Arial"/>
                <w:sz w:val="14"/>
                <w:szCs w:val="14"/>
                <w:color w:val="auto"/>
              </w:rPr>
              <w:t>929</w:t>
            </w:r>
          </w:p>
        </w:tc>
      </w:tr>
      <w:tr>
        <w:trPr>
          <w:trHeight w:val="29"/>
        </w:trPr>
        <w:tc>
          <w:tcPr>
            <w:tcW w:w="9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03"/>
        </w:trPr>
        <w:tc>
          <w:tcPr>
            <w:tcW w:w="9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CCFFCC"/>
            </w:tcBorders>
            <w:shd w:val="clear" w:color="auto" w:fill="CCFFCC"/>
          </w:tcPr>
          <w:p>
            <w:pPr>
              <w:spacing w:after="0"/>
              <w:rPr>
                <w:sz w:val="17"/>
                <w:szCs w:val="17"/>
                <w:color w:val="auto"/>
              </w:rPr>
            </w:pPr>
          </w:p>
        </w:tc>
        <w:tc>
          <w:tcPr>
            <w:tcW w:w="19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728</w:t>
            </w:r>
          </w:p>
        </w:tc>
      </w:tr>
      <w:tr>
        <w:trPr>
          <w:trHeight w:val="195"/>
        </w:trPr>
        <w:tc>
          <w:tcPr>
            <w:tcW w:w="922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120" w:type="dxa"/>
            <w:vAlign w:val="bottom"/>
          </w:tcPr>
          <w:p>
            <w:pPr>
              <w:spacing w:after="0"/>
              <w:rPr>
                <w:sz w:val="16"/>
                <w:szCs w:val="16"/>
                <w:color w:val="auto"/>
              </w:rPr>
            </w:pPr>
          </w:p>
        </w:tc>
        <w:tc>
          <w:tcPr>
            <w:tcW w:w="1900" w:type="dxa"/>
            <w:vAlign w:val="bottom"/>
          </w:tcPr>
          <w:p>
            <w:pPr>
              <w:jc w:val="right"/>
              <w:ind w:right="30"/>
              <w:spacing w:after="0"/>
              <w:rPr>
                <w:sz w:val="20"/>
                <w:szCs w:val="20"/>
                <w:color w:val="auto"/>
              </w:rPr>
            </w:pPr>
            <w:r>
              <w:rPr>
                <w:rFonts w:ascii="Arial" w:cs="Arial" w:eastAsia="Arial" w:hAnsi="Arial"/>
                <w:sz w:val="14"/>
                <w:szCs w:val="14"/>
                <w:color w:val="auto"/>
              </w:rPr>
              <w:t>3,916</w:t>
            </w:r>
          </w:p>
        </w:tc>
      </w:tr>
      <w:tr>
        <w:trPr>
          <w:trHeight w:val="29"/>
        </w:trPr>
        <w:tc>
          <w:tcPr>
            <w:tcW w:w="9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7"/>
        </w:trPr>
        <w:tc>
          <w:tcPr>
            <w:tcW w:w="922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4"/>
                <w:szCs w:val="14"/>
                <w:color w:val="auto"/>
              </w:rPr>
              <w:t>11,040</w:t>
            </w:r>
          </w:p>
        </w:tc>
      </w:tr>
      <w:tr>
        <w:trPr>
          <w:trHeight w:val="20"/>
        </w:trPr>
        <w:tc>
          <w:tcPr>
            <w:tcW w:w="9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
        <w:spacing w:after="0"/>
        <w:tabs>
          <w:tab w:leader="none" w:pos="266"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3"/>
          <w:szCs w:val="13"/>
          <w:b w:val="1"/>
          <w:bCs w:val="1"/>
          <w:color w:val="auto"/>
        </w:rPr>
        <w:t>Property and Equipment</w:t>
      </w:r>
    </w:p>
    <w:p>
      <w:pPr>
        <w:spacing w:after="0" w:line="196" w:lineRule="exact"/>
        <w:rPr>
          <w:sz w:val="20"/>
          <w:szCs w:val="20"/>
          <w:color w:val="auto"/>
        </w:rPr>
      </w:pPr>
    </w:p>
    <w:p>
      <w:pPr>
        <w:ind w:left="566"/>
        <w:spacing w:after="0"/>
        <w:rPr>
          <w:sz w:val="20"/>
          <w:szCs w:val="20"/>
          <w:color w:val="auto"/>
        </w:rPr>
      </w:pPr>
      <w:r>
        <w:rPr>
          <w:rFonts w:ascii="Arial" w:cs="Arial" w:eastAsia="Arial" w:hAnsi="Arial"/>
          <w:sz w:val="16"/>
          <w:szCs w:val="16"/>
          <w:color w:val="auto"/>
        </w:rPr>
        <w:t>The following table presents the detail of property and equipment for the periods presented (amounts in thousands):</w:t>
      </w:r>
    </w:p>
    <w:p>
      <w:pPr>
        <w:spacing w:after="0" w:line="212"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8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3"/>
                <w:szCs w:val="13"/>
                <w:color w:val="auto"/>
              </w:rPr>
            </w:pPr>
          </w:p>
        </w:tc>
        <w:tc>
          <w:tcPr>
            <w:tcW w:w="1240" w:type="dxa"/>
            <w:vAlign w:val="bottom"/>
          </w:tcPr>
          <w:p>
            <w:pPr>
              <w:jc w:val="right"/>
              <w:ind w:right="311"/>
              <w:spacing w:after="0"/>
              <w:rPr>
                <w:sz w:val="20"/>
                <w:szCs w:val="20"/>
                <w:color w:val="auto"/>
              </w:rPr>
            </w:pPr>
            <w:r>
              <w:rPr>
                <w:rFonts w:ascii="Arial" w:cs="Arial" w:eastAsia="Arial" w:hAnsi="Arial"/>
                <w:sz w:val="13"/>
                <w:szCs w:val="13"/>
                <w:b w:val="1"/>
                <w:bCs w:val="1"/>
                <w:color w:val="auto"/>
                <w:w w:val="99"/>
              </w:rPr>
              <w:t>December 31,</w:t>
            </w:r>
          </w:p>
        </w:tc>
      </w:tr>
      <w:tr>
        <w:trPr>
          <w:trHeight w:val="167"/>
        </w:trPr>
        <w:tc>
          <w:tcPr>
            <w:tcW w:w="820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3"/>
                <w:szCs w:val="13"/>
                <w:b w:val="1"/>
                <w:bCs w:val="1"/>
                <w:color w:val="auto"/>
              </w:rPr>
              <w:t>2019</w:t>
            </w:r>
          </w:p>
        </w:tc>
      </w:tr>
      <w:tr>
        <w:trPr>
          <w:trHeight w:val="201"/>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Computer equipment and software</w:t>
            </w:r>
          </w:p>
        </w:tc>
        <w:tc>
          <w:tcPr>
            <w:tcW w:w="22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103,443</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92,493</w:t>
            </w:r>
          </w:p>
        </w:tc>
      </w:tr>
      <w:tr>
        <w:trPr>
          <w:trHeight w:val="207"/>
        </w:trPr>
        <w:tc>
          <w:tcPr>
            <w:tcW w:w="8200" w:type="dxa"/>
            <w:vAlign w:val="bottom"/>
          </w:tcPr>
          <w:p>
            <w:pPr>
              <w:ind w:left="20"/>
              <w:spacing w:after="0"/>
              <w:rPr>
                <w:sz w:val="20"/>
                <w:szCs w:val="20"/>
                <w:color w:val="auto"/>
              </w:rPr>
            </w:pPr>
            <w:r>
              <w:rPr>
                <w:rFonts w:ascii="Arial" w:cs="Arial" w:eastAsia="Arial" w:hAnsi="Arial"/>
                <w:sz w:val="14"/>
                <w:szCs w:val="14"/>
                <w:color w:val="auto"/>
              </w:rPr>
              <w:t>Furniture, equipment and building improvements</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16,487</w:t>
            </w:r>
          </w:p>
        </w:tc>
      </w:tr>
      <w:tr>
        <w:trPr>
          <w:trHeight w:val="29"/>
        </w:trPr>
        <w:tc>
          <w:tcPr>
            <w:tcW w:w="8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5"/>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Internal-use software development costs</w:t>
            </w:r>
          </w:p>
        </w:tc>
        <w:tc>
          <w:tcPr>
            <w:tcW w:w="22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78,887</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52,544</w:t>
            </w:r>
          </w:p>
        </w:tc>
      </w:tr>
      <w:tr>
        <w:trPr>
          <w:trHeight w:val="187"/>
        </w:trPr>
        <w:tc>
          <w:tcPr>
            <w:tcW w:w="8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182,330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161,524</w:t>
            </w:r>
          </w:p>
        </w:tc>
      </w:tr>
      <w:tr>
        <w:trPr>
          <w:trHeight w:val="29"/>
        </w:trPr>
        <w:tc>
          <w:tcPr>
            <w:tcW w:w="8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5"/>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Less: accumulated depreciation</w:t>
            </w:r>
          </w:p>
        </w:tc>
        <w:tc>
          <w:tcPr>
            <w:tcW w:w="22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4"/>
                <w:szCs w:val="14"/>
                <w:color w:val="auto"/>
              </w:rPr>
              <w:t>(91,249)</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(85,288)</w:t>
            </w:r>
          </w:p>
        </w:tc>
      </w:tr>
      <w:tr>
        <w:trPr>
          <w:trHeight w:val="207"/>
        </w:trPr>
        <w:tc>
          <w:tcPr>
            <w:tcW w:w="8200" w:type="dxa"/>
            <w:vAlign w:val="bottom"/>
          </w:tcPr>
          <w:p>
            <w:pPr>
              <w:ind w:left="2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91,081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76,236</w:t>
            </w: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86" w:hanging="286"/>
        <w:spacing w:after="0"/>
        <w:tabs>
          <w:tab w:leader="none" w:pos="28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Accrued Expenses and Other Current Liabilities</w:t>
      </w:r>
    </w:p>
    <w:p>
      <w:pPr>
        <w:spacing w:after="0" w:line="196" w:lineRule="exact"/>
        <w:rPr>
          <w:sz w:val="20"/>
          <w:szCs w:val="20"/>
          <w:color w:val="auto"/>
        </w:rPr>
      </w:pPr>
    </w:p>
    <w:p>
      <w:pPr>
        <w:ind w:left="566"/>
        <w:spacing w:after="0"/>
        <w:rPr>
          <w:sz w:val="20"/>
          <w:szCs w:val="20"/>
          <w:color w:val="auto"/>
        </w:rPr>
      </w:pPr>
      <w:r>
        <w:rPr>
          <w:rFonts w:ascii="Arial" w:cs="Arial" w:eastAsia="Arial" w:hAnsi="Arial"/>
          <w:sz w:val="16"/>
          <w:szCs w:val="16"/>
          <w:color w:val="auto"/>
        </w:rPr>
        <w:t>The following table presents the detail of accrued expenses and other current liabilities for the periods presented (amounts in thousands):</w:t>
      </w:r>
    </w:p>
    <w:p>
      <w:pPr>
        <w:spacing w:after="0" w:line="212"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8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2"/>
                <w:szCs w:val="12"/>
                <w:color w:val="auto"/>
              </w:rPr>
            </w:pPr>
          </w:p>
        </w:tc>
        <w:tc>
          <w:tcPr>
            <w:tcW w:w="1240" w:type="dxa"/>
            <w:vAlign w:val="bottom"/>
          </w:tcPr>
          <w:p>
            <w:pPr>
              <w:jc w:val="right"/>
              <w:ind w:right="311"/>
              <w:spacing w:after="0"/>
              <w:rPr>
                <w:sz w:val="20"/>
                <w:szCs w:val="20"/>
                <w:color w:val="auto"/>
              </w:rPr>
            </w:pPr>
            <w:r>
              <w:rPr>
                <w:rFonts w:ascii="Arial" w:cs="Arial" w:eastAsia="Arial" w:hAnsi="Arial"/>
                <w:sz w:val="13"/>
                <w:szCs w:val="13"/>
                <w:b w:val="1"/>
                <w:bCs w:val="1"/>
                <w:color w:val="auto"/>
                <w:w w:val="99"/>
              </w:rPr>
              <w:t>December 31,</w:t>
            </w:r>
          </w:p>
        </w:tc>
      </w:tr>
      <w:tr>
        <w:trPr>
          <w:trHeight w:val="167"/>
        </w:trPr>
        <w:tc>
          <w:tcPr>
            <w:tcW w:w="820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3"/>
                <w:szCs w:val="13"/>
                <w:b w:val="1"/>
                <w:bCs w:val="1"/>
                <w:color w:val="auto"/>
              </w:rPr>
              <w:t>2019</w:t>
            </w:r>
          </w:p>
        </w:tc>
      </w:tr>
      <w:tr>
        <w:trPr>
          <w:trHeight w:val="201"/>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Payroll and other employee related costs</w:t>
            </w:r>
          </w:p>
        </w:tc>
        <w:tc>
          <w:tcPr>
            <w:tcW w:w="22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34,784</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27,920</w:t>
            </w:r>
          </w:p>
        </w:tc>
      </w:tr>
      <w:tr>
        <w:trPr>
          <w:trHeight w:val="207"/>
        </w:trPr>
        <w:tc>
          <w:tcPr>
            <w:tcW w:w="8200" w:type="dxa"/>
            <w:vAlign w:val="bottom"/>
          </w:tcPr>
          <w:p>
            <w:pPr>
              <w:ind w:left="20"/>
              <w:spacing w:after="0"/>
              <w:rPr>
                <w:sz w:val="20"/>
                <w:szCs w:val="20"/>
                <w:color w:val="auto"/>
              </w:rPr>
            </w:pPr>
            <w:r>
              <w:rPr>
                <w:rFonts w:ascii="Arial" w:cs="Arial" w:eastAsia="Arial" w:hAnsi="Arial"/>
                <w:sz w:val="14"/>
                <w:szCs w:val="14"/>
                <w:color w:val="auto"/>
              </w:rPr>
              <w:t>Professional services and consulting and other vendor fees</w:t>
            </w:r>
          </w:p>
        </w:tc>
        <w:tc>
          <w:tcPr>
            <w:tcW w:w="22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41,425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20,382</w:t>
            </w:r>
          </w:p>
        </w:tc>
      </w:tr>
      <w:tr>
        <w:trPr>
          <w:trHeight w:val="29"/>
        </w:trPr>
        <w:tc>
          <w:tcPr>
            <w:tcW w:w="8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5"/>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Unrecognized tax benefits</w:t>
            </w:r>
          </w:p>
        </w:tc>
        <w:tc>
          <w:tcPr>
            <w:tcW w:w="22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2,058</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2,053</w:t>
            </w:r>
          </w:p>
        </w:tc>
      </w:tr>
      <w:tr>
        <w:trPr>
          <w:trHeight w:val="207"/>
        </w:trPr>
        <w:tc>
          <w:tcPr>
            <w:tcW w:w="8200" w:type="dxa"/>
            <w:vAlign w:val="bottom"/>
          </w:tcPr>
          <w:p>
            <w:pPr>
              <w:ind w:left="20"/>
              <w:spacing w:after="0"/>
              <w:rPr>
                <w:sz w:val="20"/>
                <w:szCs w:val="20"/>
                <w:color w:val="auto"/>
              </w:rPr>
            </w:pPr>
            <w:r>
              <w:rPr>
                <w:rFonts w:ascii="Arial" w:cs="Arial" w:eastAsia="Arial" w:hAnsi="Arial"/>
                <w:sz w:val="14"/>
                <w:szCs w:val="14"/>
                <w:color w:val="auto"/>
              </w:rPr>
              <w:t>Sales commissions</w:t>
            </w:r>
          </w:p>
        </w:tc>
        <w:tc>
          <w:tcPr>
            <w:tcW w:w="22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9,642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9,654</w:t>
            </w:r>
          </w:p>
        </w:tc>
      </w:tr>
      <w:tr>
        <w:trPr>
          <w:trHeight w:val="29"/>
        </w:trPr>
        <w:tc>
          <w:tcPr>
            <w:tcW w:w="8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5"/>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Contingent earn-out (see Notes 9 and 10)</w:t>
            </w:r>
          </w:p>
        </w:tc>
        <w:tc>
          <w:tcPr>
            <w:tcW w:w="220" w:type="dxa"/>
            <w:vAlign w:val="bottom"/>
            <w:tcBorders>
              <w:bottom w:val="single" w:sz="8" w:color="CCFFCC"/>
            </w:tcBorders>
            <w:shd w:val="clear" w:color="auto" w:fill="CCFFCC"/>
          </w:tcPr>
          <w:p>
            <w:pPr>
              <w:spacing w:after="0"/>
              <w:rPr>
                <w:sz w:val="18"/>
                <w:szCs w:val="18"/>
                <w:color w:val="auto"/>
              </w:rPr>
            </w:pPr>
          </w:p>
        </w:tc>
        <w:tc>
          <w:tcPr>
            <w:tcW w:w="13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557</w:t>
            </w:r>
          </w:p>
        </w:tc>
      </w:tr>
      <w:tr>
        <w:trPr>
          <w:trHeight w:val="207"/>
        </w:trPr>
        <w:tc>
          <w:tcPr>
            <w:tcW w:w="8200" w:type="dxa"/>
            <w:vAlign w:val="bottom"/>
          </w:tcPr>
          <w:p>
            <w:pPr>
              <w:ind w:left="20"/>
              <w:spacing w:after="0"/>
              <w:rPr>
                <w:sz w:val="20"/>
                <w:szCs w:val="20"/>
                <w:color w:val="auto"/>
              </w:rPr>
            </w:pPr>
            <w:r>
              <w:rPr>
                <w:rFonts w:ascii="Arial" w:cs="Arial" w:eastAsia="Arial" w:hAnsi="Arial"/>
                <w:sz w:val="14"/>
                <w:szCs w:val="14"/>
                <w:color w:val="auto"/>
              </w:rPr>
              <w:t>Restructuring (see Note 13)</w:t>
            </w:r>
          </w:p>
        </w:tc>
        <w:tc>
          <w:tcPr>
            <w:tcW w:w="22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7,157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314</w:t>
            </w:r>
          </w:p>
        </w:tc>
      </w:tr>
      <w:tr>
        <w:trPr>
          <w:trHeight w:val="29"/>
        </w:trPr>
        <w:tc>
          <w:tcPr>
            <w:tcW w:w="8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5"/>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Sales tax liabilities</w:t>
            </w:r>
          </w:p>
        </w:tc>
        <w:tc>
          <w:tcPr>
            <w:tcW w:w="22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2,623</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w:t>
            </w:r>
          </w:p>
        </w:tc>
      </w:tr>
      <w:tr>
        <w:trPr>
          <w:trHeight w:val="207"/>
        </w:trPr>
        <w:tc>
          <w:tcPr>
            <w:tcW w:w="8200" w:type="dxa"/>
            <w:vAlign w:val="bottom"/>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2,449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1,898</w:t>
            </w:r>
          </w:p>
        </w:tc>
      </w:tr>
      <w:tr>
        <w:trPr>
          <w:trHeight w:val="29"/>
        </w:trPr>
        <w:tc>
          <w:tcPr>
            <w:tcW w:w="82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7"/>
        </w:trPr>
        <w:tc>
          <w:tcPr>
            <w:tcW w:w="820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FFCC"/>
          </w:tcPr>
          <w:p>
            <w:pPr>
              <w:jc w:val="right"/>
              <w:ind w:right="51"/>
              <w:spacing w:after="0"/>
              <w:rPr>
                <w:sz w:val="20"/>
                <w:szCs w:val="20"/>
                <w:color w:val="auto"/>
              </w:rPr>
            </w:pPr>
            <w:r>
              <w:rPr>
                <w:rFonts w:ascii="Arial" w:cs="Arial" w:eastAsia="Arial" w:hAnsi="Arial"/>
                <w:sz w:val="14"/>
                <w:szCs w:val="14"/>
                <w:color w:val="auto"/>
              </w:rPr>
              <w:t>100,138</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FFCC"/>
          </w:tcPr>
          <w:p>
            <w:pPr>
              <w:jc w:val="right"/>
              <w:ind w:right="51"/>
              <w:spacing w:after="0"/>
              <w:rPr>
                <w:sz w:val="20"/>
                <w:szCs w:val="20"/>
                <w:color w:val="auto"/>
              </w:rPr>
            </w:pPr>
            <w:r>
              <w:rPr>
                <w:rFonts w:ascii="Arial" w:cs="Arial" w:eastAsia="Arial" w:hAnsi="Arial"/>
                <w:sz w:val="14"/>
                <w:szCs w:val="14"/>
                <w:color w:val="auto"/>
              </w:rPr>
              <w:t>62,778</w:t>
            </w: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66"/>
          </w:cols>
          <w:pgMar w:left="314" w:top="170" w:right="319" w:bottom="1440" w:gutter="0" w:footer="0" w:header="0"/>
        </w:sectPr>
      </w:pPr>
    </w:p>
    <w:bookmarkStart w:id="23" w:name="page24"/>
    <w:bookmarkEnd w:id="23"/>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86" w:hanging="286"/>
        <w:spacing w:after="0"/>
        <w:tabs>
          <w:tab w:leader="none" w:pos="28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Convertible Senior Notes and Capped Call Transactions</w:t>
      </w:r>
    </w:p>
    <w:p>
      <w:pPr>
        <w:spacing w:after="0" w:line="196" w:lineRule="exact"/>
        <w:rPr>
          <w:sz w:val="20"/>
          <w:szCs w:val="20"/>
          <w:color w:val="auto"/>
        </w:rPr>
      </w:pPr>
    </w:p>
    <w:p>
      <w:pPr>
        <w:jc w:val="both"/>
        <w:ind w:left="6" w:right="20" w:firstLine="564"/>
        <w:spacing w:after="0" w:line="280" w:lineRule="auto"/>
        <w:rPr>
          <w:sz w:val="20"/>
          <w:szCs w:val="20"/>
          <w:color w:val="auto"/>
        </w:rPr>
      </w:pPr>
      <w:r>
        <w:rPr>
          <w:rFonts w:ascii="Arial" w:cs="Arial" w:eastAsia="Arial" w:hAnsi="Arial"/>
          <w:sz w:val="15"/>
          <w:szCs w:val="15"/>
          <w:color w:val="auto"/>
        </w:rPr>
        <w:t>In March 2019, the Company issued $230.0 million aggregate principal amount of 0.750% Convertible Senior Notes due 2024 in a private placement, which amount includes $30.0 million aggregate principal amount of such Notes pursuant to the exercise in full of the over-allotment options of the initial purchasers (collectively, the “Notes”). The interest on the Notes is payable semi-annually in arrears on March 1 and September 1 of each year, beginning on September 1, 2019.</w:t>
      </w:r>
    </w:p>
    <w:p>
      <w:pPr>
        <w:spacing w:after="0" w:line="55" w:lineRule="exact"/>
        <w:rPr>
          <w:sz w:val="20"/>
          <w:szCs w:val="20"/>
          <w:color w:val="auto"/>
        </w:rPr>
      </w:pPr>
    </w:p>
    <w:p>
      <w:pPr>
        <w:jc w:val="both"/>
        <w:ind w:left="6" w:right="20" w:firstLine="607"/>
        <w:spacing w:after="0" w:line="265" w:lineRule="auto"/>
        <w:rPr>
          <w:sz w:val="20"/>
          <w:szCs w:val="20"/>
          <w:color w:val="auto"/>
        </w:rPr>
      </w:pPr>
      <w:r>
        <w:rPr>
          <w:rFonts w:ascii="Arial" w:cs="Arial" w:eastAsia="Arial" w:hAnsi="Arial"/>
          <w:sz w:val="16"/>
          <w:szCs w:val="16"/>
          <w:color w:val="auto"/>
        </w:rPr>
        <w:t>The Notes will mature on March 1, 2024, unless earlier repurchased or redeemed by the Company or converted pursuant to their terms. The total net proceeds from the debt offering, after deducting debt issuance costs, paid or payable by us, was approximately $221.0 million.</w:t>
      </w:r>
    </w:p>
    <w:p>
      <w:pPr>
        <w:spacing w:after="0" w:line="64" w:lineRule="exact"/>
        <w:rPr>
          <w:sz w:val="20"/>
          <w:szCs w:val="20"/>
          <w:color w:val="auto"/>
        </w:rPr>
      </w:pPr>
    </w:p>
    <w:p>
      <w:pPr>
        <w:jc w:val="both"/>
        <w:ind w:left="6" w:firstLine="603"/>
        <w:spacing w:after="0" w:line="263" w:lineRule="auto"/>
        <w:rPr>
          <w:sz w:val="20"/>
          <w:szCs w:val="20"/>
          <w:color w:val="auto"/>
        </w:rPr>
      </w:pPr>
      <w:r>
        <w:rPr>
          <w:rFonts w:ascii="Arial" w:cs="Arial" w:eastAsia="Arial" w:hAnsi="Arial"/>
          <w:sz w:val="15"/>
          <w:szCs w:val="15"/>
          <w:color w:val="auto"/>
        </w:rPr>
        <w:t>Each $1,000 principal amount of the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Notes in connection with such a corporate event. The Notes are not redeemable prior to the maturity date of the Notes and no sinking fund is provided for the Notes. If we undergo a fundamental change (as defined in the indenture governing the Notes) prior to the maturity date, holders may require us to repurchase for cash all or any portion of their Notes in principal amounts of $1,000 or a multiple thereof at a fundamental change repurchase price equal to 100% of the principal amount of the Notes to be repurchased, plus accrued and unpaid interest to, but excluding, the fundamental change repurchase date.</w:t>
      </w:r>
    </w:p>
    <w:p>
      <w:pPr>
        <w:spacing w:after="0" w:line="5" w:lineRule="exact"/>
        <w:rPr>
          <w:sz w:val="20"/>
          <w:szCs w:val="20"/>
          <w:color w:val="auto"/>
        </w:rPr>
      </w:pPr>
    </w:p>
    <w:p>
      <w:pPr>
        <w:jc w:val="both"/>
        <w:ind w:left="6" w:right="20" w:firstLine="564"/>
        <w:spacing w:after="0" w:line="309" w:lineRule="auto"/>
        <w:rPr>
          <w:sz w:val="20"/>
          <w:szCs w:val="20"/>
          <w:color w:val="auto"/>
        </w:rPr>
      </w:pPr>
      <w:r>
        <w:rPr>
          <w:rFonts w:ascii="Arial" w:cs="Arial" w:eastAsia="Arial" w:hAnsi="Arial"/>
          <w:sz w:val="13"/>
          <w:szCs w:val="13"/>
          <w:color w:val="auto"/>
        </w:rPr>
        <w:t>Holders of the Notes may convert their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Notes on each applicable trading day as determined by the Company; (2) during the five business day period after any five consecutive trading day period (the “measurement period”) in which the “trading price” (as defined in the indenture governing the Notes) per $1,000 principal amount of Notes for each trading day of the measurement period was less than 98% of the product of the last reported sale price of the Company’s common stock and the conversion rate for the Notes on each such trading day; or (3) upon the occurrence of specified corporate events. On or after November 1, 2023, holders may convert all or any portion of their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231" w:lineRule="exact"/>
        <w:rPr>
          <w:sz w:val="20"/>
          <w:szCs w:val="20"/>
          <w:color w:val="auto"/>
        </w:rPr>
      </w:pPr>
    </w:p>
    <w:p>
      <w:pPr>
        <w:ind w:left="686"/>
        <w:spacing w:after="0"/>
        <w:rPr>
          <w:sz w:val="20"/>
          <w:szCs w:val="20"/>
          <w:color w:val="auto"/>
        </w:rPr>
      </w:pPr>
      <w:r>
        <w:rPr>
          <w:rFonts w:ascii="Arial" w:cs="Arial" w:eastAsia="Arial" w:hAnsi="Arial"/>
          <w:sz w:val="15"/>
          <w:szCs w:val="15"/>
          <w:color w:val="auto"/>
        </w:rPr>
        <w:t>It is the Company’s current intent to settle the principal amount of its outstanding Notes in cash and any excess in shares of the Company’s common stock.</w:t>
      </w:r>
    </w:p>
    <w:p>
      <w:pPr>
        <w:spacing w:after="0" w:line="110" w:lineRule="exact"/>
        <w:rPr>
          <w:sz w:val="20"/>
          <w:szCs w:val="20"/>
          <w:color w:val="auto"/>
        </w:rPr>
      </w:pPr>
    </w:p>
    <w:p>
      <w:pPr>
        <w:jc w:val="both"/>
        <w:ind w:left="6" w:firstLine="564"/>
        <w:spacing w:after="0" w:line="265" w:lineRule="auto"/>
        <w:rPr>
          <w:sz w:val="20"/>
          <w:szCs w:val="20"/>
          <w:color w:val="auto"/>
        </w:rPr>
      </w:pPr>
      <w:r>
        <w:rPr>
          <w:rFonts w:ascii="Arial" w:cs="Arial" w:eastAsia="Arial" w:hAnsi="Arial"/>
          <w:sz w:val="16"/>
          <w:szCs w:val="16"/>
          <w:color w:val="auto"/>
        </w:rPr>
        <w:t>During the quarter ended September 30, 2020, the conditions allowing holders of the Notes to convert were met and, thus, holders of the Notes maintain the option to convert their Notes during the quarter ending December 31, 2020.</w:t>
      </w:r>
    </w:p>
    <w:p>
      <w:pPr>
        <w:spacing w:after="0" w:line="64" w:lineRule="exact"/>
        <w:rPr>
          <w:sz w:val="20"/>
          <w:szCs w:val="20"/>
          <w:color w:val="auto"/>
        </w:rPr>
      </w:pPr>
    </w:p>
    <w:p>
      <w:pPr>
        <w:jc w:val="both"/>
        <w:ind w:left="6" w:firstLine="616"/>
        <w:spacing w:after="0" w:line="252" w:lineRule="auto"/>
        <w:rPr>
          <w:sz w:val="20"/>
          <w:szCs w:val="20"/>
          <w:color w:val="auto"/>
        </w:rPr>
      </w:pPr>
      <w:r>
        <w:rPr>
          <w:rFonts w:ascii="Arial" w:cs="Arial" w:eastAsia="Arial" w:hAnsi="Arial"/>
          <w:sz w:val="16"/>
          <w:szCs w:val="16"/>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74" w:lineRule="exact"/>
        <w:rPr>
          <w:sz w:val="20"/>
          <w:szCs w:val="20"/>
          <w:color w:val="auto"/>
        </w:rPr>
      </w:pPr>
    </w:p>
    <w:p>
      <w:pPr>
        <w:jc w:val="both"/>
        <w:ind w:left="6" w:right="20" w:firstLine="607"/>
        <w:spacing w:after="0" w:line="271" w:lineRule="auto"/>
        <w:rPr>
          <w:sz w:val="20"/>
          <w:szCs w:val="20"/>
          <w:color w:val="auto"/>
        </w:rPr>
      </w:pPr>
      <w:r>
        <w:rPr>
          <w:rFonts w:ascii="Arial" w:cs="Arial" w:eastAsia="Arial" w:hAnsi="Arial"/>
          <w:sz w:val="15"/>
          <w:szCs w:val="15"/>
          <w:color w:val="auto"/>
        </w:rPr>
        <w:t>In accounting for the issuance of the Notes, the Company separated the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$52.9 million and was determined by deducting the fair value of the liability component from the par value of the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terms of the Notes.</w:t>
      </w:r>
    </w:p>
    <w:p>
      <w:pPr>
        <w:spacing w:after="0" w:line="155" w:lineRule="exact"/>
        <w:rPr>
          <w:sz w:val="20"/>
          <w:szCs w:val="20"/>
          <w:color w:val="auto"/>
        </w:rPr>
      </w:pPr>
    </w:p>
    <w:p>
      <w:pPr>
        <w:jc w:val="both"/>
        <w:ind w:left="6" w:right="20" w:firstLine="564"/>
        <w:spacing w:after="0" w:line="342" w:lineRule="auto"/>
        <w:rPr>
          <w:sz w:val="20"/>
          <w:szCs w:val="20"/>
          <w:color w:val="auto"/>
        </w:rPr>
      </w:pPr>
      <w:r>
        <w:rPr>
          <w:rFonts w:ascii="Arial" w:cs="Arial" w:eastAsia="Arial" w:hAnsi="Arial"/>
          <w:sz w:val="13"/>
          <w:szCs w:val="13"/>
          <w:color w:val="auto"/>
        </w:rPr>
        <w:t>In accounting for the transaction costs related to the Notes, the Company allocated the total amount incurred of approximately $8.6 million to the liability and equity components of the Notes based on the proportion of the proceeds allocated to the debt and equity components. Issuance costs attributable to the liability component were approximately $6.6 million, were recorded as an additional debt discount and are amortized to interest expense using the effective interest method over the contractual</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66"/>
          </w:cols>
          <w:pgMar w:left="314" w:top="170" w:right="319" w:bottom="1440" w:gutter="0" w:footer="0" w:header="0"/>
        </w:sectPr>
      </w:pPr>
    </w:p>
    <w:bookmarkStart w:id="24" w:name="page25"/>
    <w:bookmarkEnd w:id="24"/>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jc w:val="both"/>
        <w:ind w:left="6"/>
        <w:spacing w:after="0" w:line="265" w:lineRule="auto"/>
        <w:rPr>
          <w:sz w:val="20"/>
          <w:szCs w:val="20"/>
          <w:color w:val="auto"/>
        </w:rPr>
      </w:pPr>
      <w:r>
        <w:rPr>
          <w:rFonts w:ascii="Arial" w:cs="Arial" w:eastAsia="Arial" w:hAnsi="Arial"/>
          <w:sz w:val="16"/>
          <w:szCs w:val="16"/>
          <w:color w:val="auto"/>
        </w:rPr>
        <w:t>terms of the Notes. Issuance costs attributable to the equity component were approximately $2.0 million and recorded as a reduction of additional paid in capital in stockholders’ equity.</w:t>
      </w:r>
    </w:p>
    <w:p>
      <w:pPr>
        <w:spacing w:after="0" w:line="64" w:lineRule="exact"/>
        <w:rPr>
          <w:sz w:val="20"/>
          <w:szCs w:val="20"/>
          <w:color w:val="auto"/>
        </w:rPr>
      </w:pPr>
    </w:p>
    <w:p>
      <w:pPr>
        <w:ind w:left="566"/>
        <w:spacing w:after="0"/>
        <w:rPr>
          <w:sz w:val="20"/>
          <w:szCs w:val="20"/>
          <w:color w:val="auto"/>
        </w:rPr>
      </w:pPr>
      <w:r>
        <w:rPr>
          <w:rFonts w:ascii="Arial" w:cs="Arial" w:eastAsia="Arial" w:hAnsi="Arial"/>
          <w:sz w:val="16"/>
          <w:szCs w:val="16"/>
          <w:color w:val="auto"/>
        </w:rPr>
        <w:t>The net carrying amount of the liability component of the Notes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85090</wp:posOffset>
            </wp:positionV>
            <wp:extent cx="24999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9995" cy="7620"/>
                    </a:xfrm>
                    <a:prstGeom prst="rect">
                      <a:avLst/>
                    </a:prstGeom>
                    <a:noFill/>
                  </pic:spPr>
                </pic:pic>
              </a:graphicData>
            </a:graphic>
          </wp:anchor>
        </w:drawing>
      </w:r>
    </w:p>
    <w:p>
      <w:pPr>
        <w:spacing w:after="0" w:line="177" w:lineRule="exact"/>
        <w:rPr>
          <w:sz w:val="20"/>
          <w:szCs w:val="20"/>
          <w:color w:val="auto"/>
        </w:rPr>
      </w:pPr>
    </w:p>
    <w:tbl>
      <w:tblPr>
        <w:tblLayout w:type="fixed"/>
        <w:tblInd w:w="6" w:type="dxa"/>
        <w:tblCellMar>
          <w:top w:w="0" w:type="dxa"/>
          <w:left w:w="0" w:type="dxa"/>
          <w:bottom w:w="0" w:type="dxa"/>
          <w:right w:w="0" w:type="dxa"/>
        </w:tblCellMar>
      </w:tblPr>
      <w:tr>
        <w:trPr>
          <w:trHeight w:val="167"/>
        </w:trPr>
        <w:tc>
          <w:tcPr>
            <w:tcW w:w="6080" w:type="dxa"/>
            <w:vAlign w:val="bottom"/>
            <w:tcBorders>
              <w:bottom w:val="single" w:sz="8" w:color="CCFFCC"/>
            </w:tcBorders>
          </w:tcPr>
          <w:p>
            <w:pPr>
              <w:spacing w:after="0"/>
              <w:rPr>
                <w:sz w:val="14"/>
                <w:szCs w:val="14"/>
                <w:color w:val="auto"/>
              </w:rPr>
            </w:pPr>
          </w:p>
        </w:tc>
        <w:tc>
          <w:tcPr>
            <w:tcW w:w="800" w:type="dxa"/>
            <w:vAlign w:val="bottom"/>
            <w:tcBorders>
              <w:bottom w:val="single" w:sz="8" w:color="CCFFCC"/>
            </w:tcBorders>
          </w:tcPr>
          <w:p>
            <w:pPr>
              <w:spacing w:after="0"/>
              <w:rPr>
                <w:sz w:val="14"/>
                <w:szCs w:val="14"/>
                <w:color w:val="auto"/>
              </w:rPr>
            </w:pPr>
          </w:p>
        </w:tc>
        <w:tc>
          <w:tcPr>
            <w:tcW w:w="440" w:type="dxa"/>
            <w:vAlign w:val="bottom"/>
            <w:tcBorders>
              <w:bottom w:val="single" w:sz="8" w:color="CCFFC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99"/>
              </w:rPr>
              <w:t>As of September 30, 2020</w:t>
            </w:r>
          </w:p>
        </w:tc>
        <w:tc>
          <w:tcPr>
            <w:tcW w:w="100" w:type="dxa"/>
            <w:vAlign w:val="bottom"/>
            <w:tcBorders>
              <w:bottom w:val="single" w:sz="8" w:color="CCFFCC"/>
            </w:tcBorders>
          </w:tcPr>
          <w:p>
            <w:pPr>
              <w:spacing w:after="0"/>
              <w:rPr>
                <w:sz w:val="14"/>
                <w:szCs w:val="14"/>
                <w:color w:val="auto"/>
              </w:rPr>
            </w:pPr>
          </w:p>
        </w:tc>
        <w:tc>
          <w:tcPr>
            <w:tcW w:w="202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3"/>
                <w:szCs w:val="13"/>
                <w:b w:val="1"/>
                <w:bCs w:val="1"/>
                <w:color w:val="auto"/>
              </w:rPr>
              <w:t>As of December 31, 2019</w:t>
            </w:r>
          </w:p>
        </w:tc>
        <w:tc>
          <w:tcPr>
            <w:tcW w:w="0" w:type="dxa"/>
            <w:vAlign w:val="bottom"/>
          </w:tcPr>
          <w:p>
            <w:pPr>
              <w:spacing w:after="0"/>
              <w:rPr>
                <w:sz w:val="1"/>
                <w:szCs w:val="1"/>
                <w:color w:val="auto"/>
              </w:rPr>
            </w:pPr>
          </w:p>
        </w:tc>
      </w:tr>
      <w:tr>
        <w:trPr>
          <w:trHeight w:val="201"/>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Principal</w:t>
            </w:r>
          </w:p>
        </w:tc>
        <w:tc>
          <w:tcPr>
            <w:tcW w:w="800" w:type="dxa"/>
            <w:vAlign w:val="bottom"/>
            <w:tcBorders>
              <w:bottom w:val="single" w:sz="8" w:color="CCFFCC"/>
            </w:tcBorders>
            <w:shd w:val="clear" w:color="auto" w:fill="CCFFCC"/>
          </w:tcPr>
          <w:p>
            <w:pPr>
              <w:spacing w:after="0"/>
              <w:rPr>
                <w:sz w:val="17"/>
                <w:szCs w:val="17"/>
                <w:color w:val="auto"/>
              </w:rPr>
            </w:pPr>
          </w:p>
        </w:tc>
        <w:tc>
          <w:tcPr>
            <w:tcW w:w="44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FFCC"/>
            </w:tcBorders>
            <w:shd w:val="clear" w:color="auto" w:fill="CCFFCC"/>
          </w:tcPr>
          <w:p>
            <w:pPr>
              <w:spacing w:after="0"/>
              <w:rPr>
                <w:sz w:val="17"/>
                <w:szCs w:val="17"/>
                <w:color w:val="auto"/>
              </w:rPr>
            </w:pPr>
          </w:p>
        </w:tc>
        <w:tc>
          <w:tcPr>
            <w:tcW w:w="960" w:type="dxa"/>
            <w:vAlign w:val="bottom"/>
            <w:tcBorders>
              <w:bottom w:val="single" w:sz="8" w:color="CCFFCC"/>
            </w:tcBorders>
            <w:shd w:val="clear" w:color="auto" w:fill="CCFFCC"/>
          </w:tcPr>
          <w:p>
            <w:pPr>
              <w:spacing w:after="0"/>
              <w:rPr>
                <w:sz w:val="17"/>
                <w:szCs w:val="17"/>
                <w:color w:val="auto"/>
              </w:rPr>
            </w:pPr>
          </w:p>
        </w:tc>
        <w:tc>
          <w:tcPr>
            <w:tcW w:w="600" w:type="dxa"/>
            <w:vAlign w:val="bottom"/>
            <w:tcBorders>
              <w:bottom w:val="single" w:sz="8" w:color="CCFFCC"/>
            </w:tcBorders>
            <w:gridSpan w:val="3"/>
            <w:shd w:val="clear" w:color="auto" w:fill="CCFFCC"/>
          </w:tcPr>
          <w:p>
            <w:pPr>
              <w:jc w:val="right"/>
              <w:ind w:right="33"/>
              <w:spacing w:after="0"/>
              <w:rPr>
                <w:sz w:val="20"/>
                <w:szCs w:val="20"/>
                <w:color w:val="auto"/>
              </w:rPr>
            </w:pPr>
            <w:r>
              <w:rPr>
                <w:rFonts w:ascii="Arial" w:cs="Arial" w:eastAsia="Arial" w:hAnsi="Arial"/>
                <w:sz w:val="14"/>
                <w:szCs w:val="14"/>
                <w:color w:val="auto"/>
                <w:w w:val="94"/>
              </w:rPr>
              <w:t>230,000</w:t>
            </w:r>
          </w:p>
        </w:tc>
        <w:tc>
          <w:tcPr>
            <w:tcW w:w="20" w:type="dxa"/>
            <w:vAlign w:val="bottom"/>
            <w:tcBorders>
              <w:bottom w:val="single" w:sz="8" w:color="CCFFCC"/>
            </w:tcBorders>
            <w:shd w:val="clear" w:color="auto" w:fill="CCFFCC"/>
          </w:tcPr>
          <w:p>
            <w:pPr>
              <w:spacing w:after="0"/>
              <w:rPr>
                <w:sz w:val="17"/>
                <w:szCs w:val="17"/>
                <w:color w:val="auto"/>
              </w:rPr>
            </w:pPr>
          </w:p>
        </w:tc>
        <w:tc>
          <w:tcPr>
            <w:tcW w:w="780" w:type="dxa"/>
            <w:vAlign w:val="bottom"/>
            <w:tcBorders>
              <w:bottom w:val="single" w:sz="8" w:color="CCFFCC"/>
            </w:tcBorders>
            <w:gridSpan w:val="2"/>
            <w:shd w:val="clear" w:color="auto" w:fill="CCFFCC"/>
          </w:tcPr>
          <w:p>
            <w:pPr>
              <w:jc w:val="center"/>
              <w:ind w:right="395"/>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CCFFCC"/>
            </w:tcBorders>
            <w:shd w:val="clear" w:color="auto" w:fill="CCFFCC"/>
          </w:tcPr>
          <w:p>
            <w:pPr>
              <w:spacing w:after="0"/>
              <w:rPr>
                <w:sz w:val="17"/>
                <w:szCs w:val="17"/>
                <w:color w:val="auto"/>
              </w:rPr>
            </w:pPr>
          </w:p>
        </w:tc>
        <w:tc>
          <w:tcPr>
            <w:tcW w:w="94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230,000</w:t>
            </w: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rPr>
                <w:sz w:val="20"/>
                <w:szCs w:val="20"/>
                <w:color w:val="auto"/>
              </w:rPr>
            </w:pPr>
            <w:r>
              <w:rPr>
                <w:rFonts w:ascii="Arial" w:cs="Arial" w:eastAsia="Arial" w:hAnsi="Arial"/>
                <w:sz w:val="14"/>
                <w:szCs w:val="14"/>
                <w:color w:val="auto"/>
              </w:rPr>
              <w:t>Unamortized discount</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9"/>
              </w:rPr>
              <w:t>(38,068)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(45,295)</w:t>
            </w:r>
          </w:p>
        </w:tc>
        <w:tc>
          <w:tcPr>
            <w:tcW w:w="0" w:type="dxa"/>
            <w:vAlign w:val="bottom"/>
          </w:tcPr>
          <w:p>
            <w:pPr>
              <w:spacing w:after="0"/>
              <w:rPr>
                <w:sz w:val="1"/>
                <w:szCs w:val="1"/>
                <w:color w:val="auto"/>
              </w:rPr>
            </w:pPr>
          </w:p>
        </w:tc>
      </w:tr>
      <w:tr>
        <w:trPr>
          <w:trHeight w:val="29"/>
        </w:trPr>
        <w:tc>
          <w:tcPr>
            <w:tcW w:w="6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Unamortized issuance costs</w:t>
            </w:r>
          </w:p>
        </w:tc>
        <w:tc>
          <w:tcPr>
            <w:tcW w:w="800" w:type="dxa"/>
            <w:vAlign w:val="bottom"/>
            <w:tcBorders>
              <w:bottom w:val="single" w:sz="8" w:color="CCFFCC"/>
            </w:tcBorders>
            <w:shd w:val="clear" w:color="auto" w:fill="CCFFCC"/>
          </w:tcPr>
          <w:p>
            <w:pPr>
              <w:spacing w:after="0"/>
              <w:rPr>
                <w:sz w:val="20"/>
                <w:szCs w:val="20"/>
                <w:color w:val="auto"/>
              </w:rPr>
            </w:pPr>
          </w:p>
        </w:tc>
        <w:tc>
          <w:tcPr>
            <w:tcW w:w="44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spacing w:after="0"/>
              <w:rPr>
                <w:sz w:val="20"/>
                <w:szCs w:val="20"/>
                <w:color w:val="auto"/>
              </w:rPr>
            </w:pPr>
          </w:p>
        </w:tc>
        <w:tc>
          <w:tcPr>
            <w:tcW w:w="600" w:type="dxa"/>
            <w:vAlign w:val="bottom"/>
            <w:tcBorders>
              <w:bottom w:val="single" w:sz="8" w:color="CCFFCC"/>
            </w:tcBorders>
            <w:gridSpan w:val="3"/>
            <w:shd w:val="clear" w:color="auto" w:fill="CCFFCC"/>
          </w:tcPr>
          <w:p>
            <w:pPr>
              <w:jc w:val="right"/>
              <w:spacing w:after="0"/>
              <w:rPr>
                <w:sz w:val="20"/>
                <w:szCs w:val="20"/>
                <w:color w:val="auto"/>
              </w:rPr>
            </w:pPr>
            <w:r>
              <w:rPr>
                <w:rFonts w:ascii="Arial" w:cs="Arial" w:eastAsia="Arial" w:hAnsi="Arial"/>
                <w:sz w:val="14"/>
                <w:szCs w:val="14"/>
                <w:color w:val="auto"/>
              </w:rPr>
              <w:t>(4,785)</w:t>
            </w:r>
          </w:p>
        </w:tc>
        <w:tc>
          <w:tcPr>
            <w:tcW w:w="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6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(5,693)</w:t>
            </w:r>
          </w:p>
        </w:tc>
        <w:tc>
          <w:tcPr>
            <w:tcW w:w="0" w:type="dxa"/>
            <w:vAlign w:val="bottom"/>
          </w:tcPr>
          <w:p>
            <w:pPr>
              <w:spacing w:after="0"/>
              <w:rPr>
                <w:sz w:val="1"/>
                <w:szCs w:val="1"/>
                <w:color w:val="auto"/>
              </w:rPr>
            </w:pPr>
          </w:p>
        </w:tc>
      </w:tr>
      <w:tr>
        <w:trPr>
          <w:trHeight w:val="207"/>
        </w:trPr>
        <w:tc>
          <w:tcPr>
            <w:tcW w:w="6080" w:type="dxa"/>
            <w:vAlign w:val="bottom"/>
          </w:tcPr>
          <w:p>
            <w:pPr>
              <w:ind w:left="220"/>
              <w:spacing w:after="0"/>
              <w:rPr>
                <w:sz w:val="20"/>
                <w:szCs w:val="20"/>
                <w:color w:val="auto"/>
              </w:rPr>
            </w:pPr>
            <w:r>
              <w:rPr>
                <w:rFonts w:ascii="Arial" w:cs="Arial" w:eastAsia="Arial" w:hAnsi="Arial"/>
                <w:sz w:val="14"/>
                <w:szCs w:val="14"/>
                <w:color w:val="auto"/>
              </w:rPr>
              <w:t>Net carrying amount</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3"/>
          </w:tcPr>
          <w:p>
            <w:pPr>
              <w:jc w:val="right"/>
              <w:ind w:right="33"/>
              <w:spacing w:after="0"/>
              <w:rPr>
                <w:sz w:val="20"/>
                <w:szCs w:val="20"/>
                <w:color w:val="auto"/>
              </w:rPr>
            </w:pPr>
            <w:r>
              <w:rPr>
                <w:rFonts w:ascii="Arial" w:cs="Arial" w:eastAsia="Arial" w:hAnsi="Arial"/>
                <w:sz w:val="14"/>
                <w:szCs w:val="14"/>
                <w:color w:val="auto"/>
                <w:w w:val="94"/>
              </w:rPr>
              <w:t>187,147</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center"/>
              <w:ind w:right="495"/>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179,012</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420"/>
              <w:spacing w:after="0"/>
              <w:rPr>
                <w:sz w:val="20"/>
                <w:szCs w:val="20"/>
                <w:color w:val="auto"/>
              </w:rPr>
            </w:pPr>
            <w:r>
              <w:rPr>
                <w:rFonts w:ascii="Arial" w:cs="Arial" w:eastAsia="Arial" w:hAnsi="Arial"/>
                <w:sz w:val="16"/>
                <w:szCs w:val="16"/>
                <w:color w:val="auto"/>
                <w:w w:val="97"/>
              </w:rPr>
              <w:t>The net carrying amount of the equity component of the Notes was as follows (in thousands):</w:t>
            </w: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88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6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CCFFCC"/>
            </w:tcBorders>
          </w:tcPr>
          <w:p>
            <w:pPr>
              <w:spacing w:after="0"/>
              <w:rPr>
                <w:sz w:val="18"/>
                <w:szCs w:val="18"/>
                <w:color w:val="auto"/>
              </w:rPr>
            </w:pPr>
          </w:p>
        </w:tc>
        <w:tc>
          <w:tcPr>
            <w:tcW w:w="800" w:type="dxa"/>
            <w:vAlign w:val="bottom"/>
            <w:tcBorders>
              <w:bottom w:val="single" w:sz="8" w:color="CCFFCC"/>
            </w:tcBorders>
          </w:tcPr>
          <w:p>
            <w:pPr>
              <w:spacing w:after="0"/>
              <w:rPr>
                <w:sz w:val="18"/>
                <w:szCs w:val="18"/>
                <w:color w:val="auto"/>
              </w:rPr>
            </w:pPr>
          </w:p>
        </w:tc>
        <w:tc>
          <w:tcPr>
            <w:tcW w:w="44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96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420" w:type="dxa"/>
            <w:vAlign w:val="bottom"/>
            <w:tcBorders>
              <w:bottom w:val="single" w:sz="8" w:color="CCFFC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329"/>
              <w:spacing w:after="0"/>
              <w:rPr>
                <w:sz w:val="20"/>
                <w:szCs w:val="20"/>
                <w:color w:val="auto"/>
              </w:rPr>
            </w:pPr>
            <w:r>
              <w:rPr>
                <w:rFonts w:ascii="Arial" w:cs="Arial" w:eastAsia="Arial" w:hAnsi="Arial"/>
                <w:sz w:val="13"/>
                <w:szCs w:val="13"/>
                <w:b w:val="1"/>
                <w:bCs w:val="1"/>
                <w:color w:val="auto"/>
              </w:rPr>
              <w:t>As of September 30, 2020</w:t>
            </w:r>
          </w:p>
        </w:tc>
        <w:tc>
          <w:tcPr>
            <w:tcW w:w="0" w:type="dxa"/>
            <w:vAlign w:val="bottom"/>
          </w:tcPr>
          <w:p>
            <w:pPr>
              <w:spacing w:after="0"/>
              <w:rPr>
                <w:sz w:val="1"/>
                <w:szCs w:val="1"/>
                <w:color w:val="auto"/>
              </w:rPr>
            </w:pPr>
          </w:p>
        </w:tc>
      </w:tr>
      <w:tr>
        <w:trPr>
          <w:trHeight w:val="201"/>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Proceeds allocated to the conversion options (debt discount)</w:t>
            </w:r>
          </w:p>
        </w:tc>
        <w:tc>
          <w:tcPr>
            <w:tcW w:w="800" w:type="dxa"/>
            <w:vAlign w:val="bottom"/>
            <w:tcBorders>
              <w:bottom w:val="single" w:sz="8" w:color="CCFFCC"/>
            </w:tcBorders>
            <w:shd w:val="clear" w:color="auto" w:fill="CCFFCC"/>
          </w:tcPr>
          <w:p>
            <w:pPr>
              <w:spacing w:after="0"/>
              <w:rPr>
                <w:sz w:val="17"/>
                <w:szCs w:val="17"/>
                <w:color w:val="auto"/>
              </w:rPr>
            </w:pPr>
          </w:p>
        </w:tc>
        <w:tc>
          <w:tcPr>
            <w:tcW w:w="44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9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42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CCFFCC"/>
            </w:tcBorders>
            <w:shd w:val="clear" w:color="auto" w:fill="CCFFCC"/>
          </w:tcPr>
          <w:p>
            <w:pPr>
              <w:spacing w:after="0"/>
              <w:rPr>
                <w:sz w:val="17"/>
                <w:szCs w:val="17"/>
                <w:color w:val="auto"/>
              </w:rPr>
            </w:pPr>
          </w:p>
        </w:tc>
        <w:tc>
          <w:tcPr>
            <w:tcW w:w="94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52,900</w:t>
            </w:r>
          </w:p>
        </w:tc>
        <w:tc>
          <w:tcPr>
            <w:tcW w:w="0" w:type="dxa"/>
            <w:vAlign w:val="bottom"/>
          </w:tcPr>
          <w:p>
            <w:pPr>
              <w:spacing w:after="0"/>
              <w:rPr>
                <w:sz w:val="1"/>
                <w:szCs w:val="1"/>
                <w:color w:val="auto"/>
              </w:rPr>
            </w:pPr>
          </w:p>
        </w:tc>
      </w:tr>
      <w:tr>
        <w:trPr>
          <w:trHeight w:val="195"/>
        </w:trPr>
        <w:tc>
          <w:tcPr>
            <w:tcW w:w="608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(1,986)</w:t>
            </w:r>
          </w:p>
        </w:tc>
        <w:tc>
          <w:tcPr>
            <w:tcW w:w="0" w:type="dxa"/>
            <w:vAlign w:val="bottom"/>
          </w:tcPr>
          <w:p>
            <w:pPr>
              <w:spacing w:after="0"/>
              <w:rPr>
                <w:sz w:val="1"/>
                <w:szCs w:val="1"/>
                <w:color w:val="auto"/>
              </w:rPr>
            </w:pPr>
          </w:p>
        </w:tc>
      </w:tr>
      <w:tr>
        <w:trPr>
          <w:trHeight w:val="29"/>
        </w:trPr>
        <w:tc>
          <w:tcPr>
            <w:tcW w:w="6080" w:type="dxa"/>
            <w:vAlign w:val="bottom"/>
            <w:tcBorders>
              <w:bottom w:val="single" w:sz="8" w:color="CCFFCC"/>
            </w:tcBorders>
          </w:tcPr>
          <w:p>
            <w:pPr>
              <w:spacing w:after="0"/>
              <w:rPr>
                <w:sz w:val="2"/>
                <w:szCs w:val="2"/>
                <w:color w:val="auto"/>
              </w:rPr>
            </w:pPr>
          </w:p>
        </w:tc>
        <w:tc>
          <w:tcPr>
            <w:tcW w:w="800" w:type="dxa"/>
            <w:vAlign w:val="bottom"/>
            <w:tcBorders>
              <w:bottom w:val="single" w:sz="8" w:color="CCFFCC"/>
            </w:tcBorders>
          </w:tcPr>
          <w:p>
            <w:pPr>
              <w:spacing w:after="0"/>
              <w:rPr>
                <w:sz w:val="2"/>
                <w:szCs w:val="2"/>
                <w:color w:val="auto"/>
              </w:rPr>
            </w:pPr>
          </w:p>
        </w:tc>
        <w:tc>
          <w:tcPr>
            <w:tcW w:w="440" w:type="dxa"/>
            <w:vAlign w:val="bottom"/>
            <w:tcBorders>
              <w:bottom w:val="single" w:sz="8" w:color="CCFFCC"/>
            </w:tcBorders>
          </w:tcPr>
          <w:p>
            <w:pPr>
              <w:spacing w:after="0"/>
              <w:rPr>
                <w:sz w:val="2"/>
                <w:szCs w:val="2"/>
                <w:color w:val="auto"/>
              </w:rPr>
            </w:pPr>
          </w:p>
        </w:tc>
        <w:tc>
          <w:tcPr>
            <w:tcW w:w="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960" w:type="dxa"/>
            <w:vAlign w:val="bottom"/>
            <w:tcBorders>
              <w:bottom w:val="single" w:sz="8" w:color="CCFFCC"/>
            </w:tcBorders>
          </w:tcPr>
          <w:p>
            <w:pPr>
              <w:spacing w:after="0"/>
              <w:rPr>
                <w:sz w:val="2"/>
                <w:szCs w:val="2"/>
                <w:color w:val="auto"/>
              </w:rPr>
            </w:pPr>
          </w:p>
        </w:tc>
        <w:tc>
          <w:tcPr>
            <w:tcW w:w="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20" w:type="dxa"/>
            <w:vAlign w:val="bottom"/>
            <w:tcBorders>
              <w:bottom w:val="single" w:sz="8" w:color="CCFFC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08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Net carrying amount</w:t>
            </w:r>
          </w:p>
        </w:tc>
        <w:tc>
          <w:tcPr>
            <w:tcW w:w="800" w:type="dxa"/>
            <w:vAlign w:val="bottom"/>
            <w:tcBorders>
              <w:bottom w:val="single" w:sz="8" w:color="CCFFCC"/>
            </w:tcBorders>
            <w:shd w:val="clear" w:color="auto" w:fill="CCFFCC"/>
          </w:tcPr>
          <w:p>
            <w:pPr>
              <w:spacing w:after="0"/>
              <w:rPr>
                <w:sz w:val="17"/>
                <w:szCs w:val="17"/>
                <w:color w:val="auto"/>
              </w:rPr>
            </w:pPr>
          </w:p>
        </w:tc>
        <w:tc>
          <w:tcPr>
            <w:tcW w:w="44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9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42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auto"/>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280" w:type="dxa"/>
            <w:vAlign w:val="bottom"/>
            <w:tcBorders>
              <w:bottom w:val="single" w:sz="8" w:color="auto"/>
            </w:tcBorders>
            <w:shd w:val="clear" w:color="auto" w:fill="CCFFCC"/>
          </w:tcPr>
          <w:p>
            <w:pPr>
              <w:spacing w:after="0"/>
              <w:rPr>
                <w:sz w:val="17"/>
                <w:szCs w:val="17"/>
                <w:color w:val="auto"/>
              </w:rPr>
            </w:pPr>
          </w:p>
        </w:tc>
        <w:tc>
          <w:tcPr>
            <w:tcW w:w="940" w:type="dxa"/>
            <w:vAlign w:val="bottom"/>
            <w:tcBorders>
              <w:bottom w:val="single" w:sz="8" w:color="auto"/>
            </w:tcBorders>
            <w:shd w:val="clear" w:color="auto" w:fill="CCFFCC"/>
          </w:tcPr>
          <w:p>
            <w:pPr>
              <w:jc w:val="right"/>
              <w:ind w:right="49"/>
              <w:spacing w:after="0"/>
              <w:rPr>
                <w:sz w:val="20"/>
                <w:szCs w:val="20"/>
                <w:color w:val="auto"/>
              </w:rPr>
            </w:pPr>
            <w:r>
              <w:rPr>
                <w:rFonts w:ascii="Arial" w:cs="Arial" w:eastAsia="Arial" w:hAnsi="Arial"/>
                <w:sz w:val="14"/>
                <w:szCs w:val="14"/>
                <w:color w:val="auto"/>
              </w:rPr>
              <w:t>50,914</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420"/>
              <w:spacing w:after="0"/>
              <w:rPr>
                <w:sz w:val="20"/>
                <w:szCs w:val="20"/>
                <w:color w:val="auto"/>
              </w:rPr>
            </w:pPr>
            <w:r>
              <w:rPr>
                <w:rFonts w:ascii="Arial" w:cs="Arial" w:eastAsia="Arial" w:hAnsi="Arial"/>
                <w:sz w:val="16"/>
                <w:szCs w:val="16"/>
                <w:color w:val="auto"/>
                <w:w w:val="93"/>
              </w:rPr>
              <w:t>The following table sets forth the interest expense recognized related to the Notes (in thousands):</w:t>
            </w: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88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8"/>
        </w:trPr>
        <w:tc>
          <w:tcPr>
            <w:tcW w:w="6080" w:type="dxa"/>
            <w:vAlign w:val="bottom"/>
            <w:tcBorders>
              <w:bottom w:val="single" w:sz="8" w:color="CCFFCC"/>
            </w:tcBorders>
          </w:tcPr>
          <w:p>
            <w:pPr>
              <w:spacing w:after="0"/>
              <w:rPr>
                <w:sz w:val="24"/>
                <w:szCs w:val="24"/>
                <w:color w:val="auto"/>
              </w:rPr>
            </w:pPr>
          </w:p>
        </w:tc>
        <w:tc>
          <w:tcPr>
            <w:tcW w:w="2440" w:type="dxa"/>
            <w:vAlign w:val="bottom"/>
            <w:tcBorders>
              <w:bottom w:val="single" w:sz="8" w:color="auto"/>
            </w:tcBorders>
            <w:gridSpan w:val="6"/>
          </w:tcPr>
          <w:p>
            <w:pPr>
              <w:jc w:val="right"/>
              <w:ind w:right="71"/>
              <w:spacing w:after="0"/>
              <w:rPr>
                <w:sz w:val="20"/>
                <w:szCs w:val="20"/>
                <w:color w:val="auto"/>
              </w:rPr>
            </w:pPr>
            <w:r>
              <w:rPr>
                <w:rFonts w:ascii="Arial" w:cs="Arial" w:eastAsia="Arial" w:hAnsi="Arial"/>
                <w:sz w:val="13"/>
                <w:szCs w:val="13"/>
                <w:b w:val="1"/>
                <w:bCs w:val="1"/>
                <w:color w:val="auto"/>
              </w:rPr>
              <w:t>Three Months Ended September 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right"/>
              <w:ind w:right="269"/>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232"/>
        </w:trPr>
        <w:tc>
          <w:tcPr>
            <w:tcW w:w="608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42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780" w:type="dxa"/>
            <w:vAlign w:val="bottom"/>
            <w:tcBorders>
              <w:bottom w:val="single" w:sz="8" w:color="CCFFCC"/>
            </w:tcBorders>
            <w:gridSpan w:val="2"/>
            <w:shd w:val="clear" w:color="auto" w:fill="CCFFCC"/>
          </w:tcPr>
          <w:p>
            <w:pPr>
              <w:jc w:val="center"/>
              <w:ind w:right="35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jc w:val="right"/>
              <w:ind w:right="40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7"/>
        </w:trPr>
        <w:tc>
          <w:tcPr>
            <w:tcW w:w="6080" w:type="dxa"/>
            <w:vAlign w:val="bottom"/>
          </w:tcPr>
          <w:p>
            <w:pPr>
              <w:ind w:left="20"/>
              <w:spacing w:after="0"/>
              <w:rPr>
                <w:sz w:val="20"/>
                <w:szCs w:val="20"/>
                <w:color w:val="auto"/>
              </w:rPr>
            </w:pPr>
            <w:r>
              <w:rPr>
                <w:rFonts w:ascii="Arial" w:cs="Arial" w:eastAsia="Arial" w:hAnsi="Arial"/>
                <w:sz w:val="14"/>
                <w:szCs w:val="14"/>
                <w:color w:val="auto"/>
              </w:rPr>
              <w:t>Contractual interest expense</w:t>
            </w:r>
          </w:p>
        </w:tc>
        <w:tc>
          <w:tcPr>
            <w:tcW w:w="800" w:type="dxa"/>
            <w:vAlign w:val="bottom"/>
            <w:tcBorders>
              <w:top w:val="single" w:sz="8" w:color="auto"/>
            </w:tcBorders>
          </w:tcPr>
          <w:p>
            <w:pPr>
              <w:jc w:val="right"/>
              <w:ind w:right="631"/>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431</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417</w:t>
            </w: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right"/>
              <w:ind w:right="35"/>
              <w:spacing w:after="0"/>
              <w:rPr>
                <w:sz w:val="20"/>
                <w:szCs w:val="20"/>
                <w:color w:val="auto"/>
              </w:rPr>
            </w:pPr>
            <w:r>
              <w:rPr>
                <w:rFonts w:ascii="Arial" w:cs="Arial" w:eastAsia="Arial" w:hAnsi="Arial"/>
                <w:sz w:val="14"/>
                <w:szCs w:val="14"/>
                <w:color w:val="auto"/>
              </w:rPr>
              <w:t>1,294</w:t>
            </w:r>
          </w:p>
        </w:tc>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29"/>
        </w:trPr>
        <w:tc>
          <w:tcPr>
            <w:tcW w:w="6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Amortization of issuance costs</w:t>
            </w:r>
          </w:p>
        </w:tc>
        <w:tc>
          <w:tcPr>
            <w:tcW w:w="80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CCFFCC"/>
            </w:tcBorders>
            <w:shd w:val="clear" w:color="auto" w:fill="CCFFCC"/>
          </w:tcPr>
          <w:p>
            <w:pPr>
              <w:jc w:val="right"/>
              <w:ind w:right="29"/>
              <w:spacing w:after="0"/>
              <w:rPr>
                <w:sz w:val="20"/>
                <w:szCs w:val="20"/>
                <w:color w:val="auto"/>
              </w:rPr>
            </w:pPr>
            <w:r>
              <w:rPr>
                <w:rFonts w:ascii="Arial" w:cs="Arial" w:eastAsia="Arial" w:hAnsi="Arial"/>
                <w:sz w:val="14"/>
                <w:szCs w:val="14"/>
                <w:color w:val="auto"/>
              </w:rPr>
              <w:t>308</w:t>
            </w:r>
          </w:p>
        </w:tc>
        <w:tc>
          <w:tcPr>
            <w:tcW w:w="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287</w:t>
            </w:r>
          </w:p>
        </w:tc>
        <w:tc>
          <w:tcPr>
            <w:tcW w:w="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4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gridSpan w:val="2"/>
            <w:shd w:val="clear" w:color="auto" w:fill="CCFFCC"/>
          </w:tcPr>
          <w:p>
            <w:pPr>
              <w:jc w:val="right"/>
              <w:ind w:right="35"/>
              <w:spacing w:after="0"/>
              <w:rPr>
                <w:sz w:val="20"/>
                <w:szCs w:val="20"/>
                <w:color w:val="auto"/>
              </w:rPr>
            </w:pPr>
            <w:r>
              <w:rPr>
                <w:rFonts w:ascii="Arial" w:cs="Arial" w:eastAsia="Arial" w:hAnsi="Arial"/>
                <w:sz w:val="14"/>
                <w:szCs w:val="14"/>
                <w:color w:val="auto"/>
              </w:rPr>
              <w:t>908</w:t>
            </w:r>
          </w:p>
        </w:tc>
        <w:tc>
          <w:tcPr>
            <w:tcW w:w="12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rPr>
                <w:sz w:val="20"/>
                <w:szCs w:val="20"/>
                <w:color w:val="auto"/>
              </w:rPr>
            </w:pPr>
            <w:r>
              <w:rPr>
                <w:rFonts w:ascii="Arial" w:cs="Arial" w:eastAsia="Arial" w:hAnsi="Arial"/>
                <w:sz w:val="14"/>
                <w:szCs w:val="14"/>
                <w:color w:val="auto"/>
              </w:rPr>
              <w:t>Amortization of debt discount</w:t>
            </w:r>
          </w:p>
        </w:tc>
        <w:tc>
          <w:tcPr>
            <w:tcW w:w="800" w:type="dxa"/>
            <w:vAlign w:val="bottom"/>
          </w:tcPr>
          <w:p>
            <w:pPr>
              <w:spacing w:after="0"/>
              <w:rPr>
                <w:sz w:val="17"/>
                <w:szCs w:val="17"/>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color w:val="auto"/>
                <w:w w:val="91"/>
              </w:rPr>
              <w:t>2,450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right"/>
              <w:ind w:right="35"/>
              <w:spacing w:after="0"/>
              <w:rPr>
                <w:sz w:val="20"/>
                <w:szCs w:val="20"/>
                <w:color w:val="auto"/>
              </w:rPr>
            </w:pPr>
            <w:r>
              <w:rPr>
                <w:rFonts w:ascii="Arial" w:cs="Arial" w:eastAsia="Arial" w:hAnsi="Arial"/>
                <w:sz w:val="14"/>
                <w:szCs w:val="14"/>
                <w:color w:val="auto"/>
              </w:rPr>
              <w:t>7,227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5,278</w:t>
            </w:r>
          </w:p>
        </w:tc>
        <w:tc>
          <w:tcPr>
            <w:tcW w:w="0" w:type="dxa"/>
            <w:vAlign w:val="bottom"/>
          </w:tcPr>
          <w:p>
            <w:pPr>
              <w:spacing w:after="0"/>
              <w:rPr>
                <w:sz w:val="1"/>
                <w:szCs w:val="1"/>
                <w:color w:val="auto"/>
              </w:rPr>
            </w:pPr>
          </w:p>
        </w:tc>
      </w:tr>
      <w:tr>
        <w:trPr>
          <w:trHeight w:val="29"/>
        </w:trPr>
        <w:tc>
          <w:tcPr>
            <w:tcW w:w="6080" w:type="dxa"/>
            <w:vAlign w:val="bottom"/>
            <w:tcBorders>
              <w:bottom w:val="single" w:sz="8" w:color="CCFFC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FFCC"/>
          </w:tcPr>
          <w:p>
            <w:pPr>
              <w:ind w:left="20"/>
              <w:spacing w:after="0"/>
              <w:rPr>
                <w:sz w:val="20"/>
                <w:szCs w:val="20"/>
                <w:color w:val="auto"/>
              </w:rPr>
            </w:pPr>
            <w:r>
              <w:rPr>
                <w:rFonts w:ascii="Arial" w:cs="Arial" w:eastAsia="Arial" w:hAnsi="Arial"/>
                <w:sz w:val="14"/>
                <w:szCs w:val="14"/>
                <w:color w:val="auto"/>
              </w:rPr>
              <w:t>Total interest expense</w:t>
            </w:r>
          </w:p>
        </w:tc>
        <w:tc>
          <w:tcPr>
            <w:tcW w:w="800" w:type="dxa"/>
            <w:vAlign w:val="bottom"/>
            <w:shd w:val="clear" w:color="auto" w:fill="CCFFCC"/>
          </w:tcPr>
          <w:p>
            <w:pPr>
              <w:jc w:val="right"/>
              <w:ind w:right="631"/>
              <w:spacing w:after="0"/>
              <w:rPr>
                <w:sz w:val="20"/>
                <w:szCs w:val="20"/>
                <w:color w:val="auto"/>
              </w:rPr>
            </w:pPr>
            <w:r>
              <w:rPr>
                <w:rFonts w:ascii="Arial" w:cs="Arial" w:eastAsia="Arial" w:hAnsi="Arial"/>
                <w:sz w:val="14"/>
                <w:szCs w:val="14"/>
                <w:color w:val="auto"/>
              </w:rPr>
              <w:t>$</w:t>
            </w:r>
          </w:p>
        </w:tc>
        <w:tc>
          <w:tcPr>
            <w:tcW w:w="440" w:type="dxa"/>
            <w:vAlign w:val="bottom"/>
            <w:shd w:val="clear" w:color="auto" w:fill="CCFFCC"/>
          </w:tcPr>
          <w:p>
            <w:pPr>
              <w:jc w:val="right"/>
              <w:ind w:right="29"/>
              <w:spacing w:after="0"/>
              <w:rPr>
                <w:sz w:val="20"/>
                <w:szCs w:val="20"/>
                <w:color w:val="auto"/>
              </w:rPr>
            </w:pPr>
            <w:r>
              <w:rPr>
                <w:rFonts w:ascii="Arial" w:cs="Arial" w:eastAsia="Arial" w:hAnsi="Arial"/>
                <w:sz w:val="14"/>
                <w:szCs w:val="14"/>
                <w:color w:val="auto"/>
                <w:w w:val="91"/>
              </w:rPr>
              <w:t>3,189</w:t>
            </w:r>
          </w:p>
        </w:tc>
        <w:tc>
          <w:tcPr>
            <w:tcW w:w="240" w:type="dxa"/>
            <w:vAlign w:val="bottom"/>
            <w:gridSpan w:val="3"/>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2,992</w:t>
            </w:r>
          </w:p>
        </w:tc>
        <w:tc>
          <w:tcPr>
            <w:tcW w:w="600" w:type="dxa"/>
            <w:vAlign w:val="bottom"/>
            <w:gridSpan w:val="3"/>
            <w:shd w:val="clear" w:color="auto" w:fill="CCFFCC"/>
          </w:tcPr>
          <w:p>
            <w:pPr>
              <w:jc w:val="right"/>
              <w:ind w:right="253"/>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9"/>
                <w:szCs w:val="19"/>
                <w:color w:val="auto"/>
              </w:rPr>
            </w:pPr>
          </w:p>
        </w:tc>
        <w:tc>
          <w:tcPr>
            <w:tcW w:w="780" w:type="dxa"/>
            <w:vAlign w:val="bottom"/>
            <w:gridSpan w:val="2"/>
            <w:shd w:val="clear" w:color="auto" w:fill="CCFFCC"/>
          </w:tcPr>
          <w:p>
            <w:pPr>
              <w:jc w:val="right"/>
              <w:ind w:right="35"/>
              <w:spacing w:after="0"/>
              <w:rPr>
                <w:sz w:val="20"/>
                <w:szCs w:val="20"/>
                <w:color w:val="auto"/>
              </w:rPr>
            </w:pPr>
            <w:r>
              <w:rPr>
                <w:rFonts w:ascii="Arial" w:cs="Arial" w:eastAsia="Arial" w:hAnsi="Arial"/>
                <w:sz w:val="14"/>
                <w:szCs w:val="14"/>
                <w:color w:val="auto"/>
              </w:rPr>
              <w:t>9,429</w:t>
            </w: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FFCC"/>
          </w:tcPr>
          <w:p>
            <w:pPr>
              <w:jc w:val="right"/>
              <w:ind w:right="49"/>
              <w:spacing w:after="0"/>
              <w:rPr>
                <w:sz w:val="20"/>
                <w:szCs w:val="20"/>
                <w:color w:val="auto"/>
              </w:rPr>
            </w:pPr>
            <w:r>
              <w:rPr>
                <w:rFonts w:ascii="Arial" w:cs="Arial" w:eastAsia="Arial" w:hAnsi="Arial"/>
                <w:sz w:val="14"/>
                <w:szCs w:val="14"/>
                <w:color w:val="auto"/>
              </w:rPr>
              <w:t>6,933</w:t>
            </w:r>
          </w:p>
        </w:tc>
        <w:tc>
          <w:tcPr>
            <w:tcW w:w="0" w:type="dxa"/>
            <w:vAlign w:val="bottom"/>
          </w:tcPr>
          <w:p>
            <w:pPr>
              <w:spacing w:after="0"/>
              <w:rPr>
                <w:sz w:val="1"/>
                <w:szCs w:val="1"/>
                <w:color w:val="auto"/>
              </w:rPr>
            </w:pPr>
          </w:p>
        </w:tc>
      </w:tr>
      <w:tr>
        <w:trPr>
          <w:trHeight w:val="20"/>
        </w:trPr>
        <w:tc>
          <w:tcPr>
            <w:tcW w:w="608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left="6" w:firstLine="564"/>
        <w:spacing w:after="0" w:line="342" w:lineRule="auto"/>
        <w:rPr>
          <w:sz w:val="20"/>
          <w:szCs w:val="20"/>
          <w:color w:val="auto"/>
        </w:rPr>
      </w:pPr>
      <w:r>
        <w:rPr>
          <w:rFonts w:ascii="Arial" w:cs="Arial" w:eastAsia="Arial" w:hAnsi="Arial"/>
          <w:sz w:val="13"/>
          <w:szCs w:val="13"/>
          <w:color w:val="auto"/>
        </w:rPr>
        <w:t>The remaining term over which the debt discount and debt issuance costs will be amortized is 3.4 years and 4.4 years as of September 30, 2020 and 2019, respectively. The effective interest rate on the debt was 4.97% and 6.18% for the periods September 30, 2020 and 2019, respectively. Interest expense is reflected as a component of interest (expense) income, net in the accompanying condensed consolidated statements of operations for the three and nine months ended September 30, 2020 and 2019.</w:t>
      </w:r>
    </w:p>
    <w:p>
      <w:pPr>
        <w:spacing w:after="0" w:line="19" w:lineRule="exact"/>
        <w:rPr>
          <w:sz w:val="20"/>
          <w:szCs w:val="20"/>
          <w:color w:val="auto"/>
        </w:rPr>
      </w:pPr>
    </w:p>
    <w:p>
      <w:pPr>
        <w:jc w:val="both"/>
        <w:ind w:left="6" w:firstLine="564"/>
        <w:spacing w:after="0" w:line="265" w:lineRule="auto"/>
        <w:rPr>
          <w:sz w:val="20"/>
          <w:szCs w:val="20"/>
          <w:color w:val="auto"/>
        </w:rPr>
      </w:pPr>
      <w:r>
        <w:rPr>
          <w:rFonts w:ascii="Arial" w:cs="Arial" w:eastAsia="Arial" w:hAnsi="Arial"/>
          <w:sz w:val="15"/>
          <w:szCs w:val="15"/>
          <w:color w:val="auto"/>
        </w:rPr>
        <w:t>In connection with the offering of the Notes, the Company entered into privately-negotiated capped call option transactions with certain counterparties (the “capped calls”). The capped calls each have an initial strike price of approximately $38.58 per share, subject to certain adjustments, which corresponds to the initial conversion price of the Notes. The capped calls have initial cap prices of $57.16 per share, subject to certain adjustment events. The capped calls cover, subject to anti-dilution adjustments, approximately 5.96 million shares of common stock. The capped calls are generally intended to reduce or offset the potential dilution to the common stock upon any conversion of the Notes with such reduction or offset, as the case may be, subject to a cap based on the cap price. The capped calls expire on March 1, 2024,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failure to deliver, and hedging disruptions. The capped calls are recorded in stockholders’ equity and are not accounted for as derivatives. The net cost of $23.2 million incurred to purchase the capped calls was recorded as a reduction to additional paid-in capital in the accompanying December 31, 2019 condensed consolidated balance sheet.</w:t>
      </w:r>
    </w:p>
    <w:p>
      <w:pPr>
        <w:spacing w:after="0" w:line="200" w:lineRule="exact"/>
        <w:rPr>
          <w:sz w:val="20"/>
          <w:szCs w:val="20"/>
          <w:color w:val="auto"/>
        </w:rPr>
      </w:pPr>
    </w:p>
    <w:p>
      <w:pPr>
        <w:spacing w:after="0" w:line="336" w:lineRule="exact"/>
        <w:rPr>
          <w:sz w:val="20"/>
          <w:szCs w:val="20"/>
          <w:color w:val="auto"/>
        </w:rPr>
      </w:pPr>
    </w:p>
    <w:p>
      <w:pPr>
        <w:ind w:left="286" w:hanging="286"/>
        <w:spacing w:after="0"/>
        <w:tabs>
          <w:tab w:leader="none" w:pos="286"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w:t>
      </w:r>
    </w:p>
    <w:p>
      <w:pPr>
        <w:spacing w:after="0" w:line="196"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AdvantageTec Inc.</w:t>
      </w:r>
    </w:p>
    <w:p>
      <w:pPr>
        <w:spacing w:after="0" w:line="98" w:lineRule="exact"/>
        <w:rPr>
          <w:sz w:val="20"/>
          <w:szCs w:val="20"/>
          <w:color w:val="auto"/>
        </w:rPr>
      </w:pPr>
    </w:p>
    <w:p>
      <w:pPr>
        <w:jc w:val="both"/>
        <w:ind w:left="6" w:firstLine="564"/>
        <w:spacing w:after="0" w:line="342" w:lineRule="auto"/>
        <w:rPr>
          <w:sz w:val="20"/>
          <w:szCs w:val="20"/>
          <w:color w:val="auto"/>
        </w:rPr>
      </w:pPr>
      <w:r>
        <w:rPr>
          <w:rFonts w:ascii="Arial" w:cs="Arial" w:eastAsia="Arial" w:hAnsi="Arial"/>
          <w:sz w:val="13"/>
          <w:szCs w:val="13"/>
          <w:color w:val="auto"/>
        </w:rPr>
        <w:t>In October 2018, the Company entered into a stock purchase agreement to acquire the outstanding equity interest of AdvantageTec Inc. (“AdvantageTec”), a leading provider of texting solutions for service departments of automotive dealerships that helps enable Conversational Commerce across the entire dealership, including both front end/variable operations (new and used vehicle sales) and back end/fixed operations (parts and services). The purchase agreement was for total consideration of</w:t>
      </w:r>
    </w:p>
    <w:p>
      <w:pPr>
        <w:spacing w:after="0" w:line="20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66"/>
          </w:cols>
          <w:pgMar w:left="314" w:top="170" w:right="31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ind w:right="20"/>
        <w:spacing w:after="0" w:line="269" w:lineRule="auto"/>
        <w:rPr>
          <w:sz w:val="20"/>
          <w:szCs w:val="20"/>
          <w:color w:val="auto"/>
        </w:rPr>
      </w:pPr>
      <w:r>
        <w:rPr>
          <w:rFonts w:ascii="Arial" w:cs="Arial" w:eastAsia="Arial" w:hAnsi="Arial"/>
          <w:sz w:val="15"/>
          <w:szCs w:val="15"/>
          <w:color w:val="auto"/>
        </w:rPr>
        <w:t>approximately $11.2 million, which included approximately $6.0 million in cash, approximately $4.3 million in shares of common stock, and approximately $0.9 million of potential earn-out consideration in cash and shares of common stock. The earn-out was contingent upon achieving certain targeted financial, strategic and integration objectives and milestones and is included as part of the purchase price. During 2019, the Company recorded a $0.2 million fair value re-measurement adjustment and made payments of $0.5 million in earn-out consideration. During the nine months ended September 30, 2020, the Company recorded a $0.3 million fair value re-measurement adjustment, which was recorded in loss from operations as a decrease in general and administrative expenses. The Company settled the remaining contingent earn-out of approximately $0.3 million in stock. As of September 30, 2020, there are no additional contingent earn-out payments.</w:t>
      </w:r>
    </w:p>
    <w:p>
      <w:pPr>
        <w:spacing w:after="0" w:line="62" w:lineRule="exact"/>
        <w:rPr>
          <w:sz w:val="20"/>
          <w:szCs w:val="20"/>
          <w:color w:val="auto"/>
        </w:rPr>
      </w:pPr>
    </w:p>
    <w:p>
      <w:pPr>
        <w:jc w:val="both"/>
        <w:ind w:right="20" w:firstLine="564"/>
        <w:spacing w:after="0" w:line="377" w:lineRule="auto"/>
        <w:rPr>
          <w:sz w:val="20"/>
          <w:szCs w:val="20"/>
          <w:color w:val="auto"/>
        </w:rPr>
      </w:pPr>
      <w:r>
        <w:rPr>
          <w:rFonts w:ascii="Arial" w:cs="Arial" w:eastAsia="Arial" w:hAnsi="Arial"/>
          <w:sz w:val="13"/>
          <w:szCs w:val="13"/>
          <w:color w:val="auto"/>
        </w:rPr>
        <w:t>The purchase price allocation resulted in approximately $9.1 million of goodwill and approximately $2.2 million of intangible assets. The goodwill will not be deductible for tax purposes. The intangible assets are being amortized over their expected period of benefit. A deferred tax liability for the identified intangibles has been recorded.</w:t>
      </w:r>
    </w:p>
    <w:p>
      <w:pPr>
        <w:ind w:left="140"/>
        <w:spacing w:after="0"/>
        <w:rPr>
          <w:sz w:val="20"/>
          <w:szCs w:val="20"/>
          <w:color w:val="auto"/>
        </w:rPr>
      </w:pPr>
      <w:r>
        <w:rPr>
          <w:rFonts w:ascii="Arial" w:cs="Arial" w:eastAsia="Arial" w:hAnsi="Arial"/>
          <w:sz w:val="16"/>
          <w:szCs w:val="16"/>
          <w:color w:val="auto"/>
        </w:rPr>
        <w:t>AdvantageTec Inc. enhances the Company’s messaging platform available for the automotive industry and is included in the Company's business segment.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Conversable, Inc.</w:t>
      </w:r>
    </w:p>
    <w:p>
      <w:pPr>
        <w:spacing w:after="0" w:line="98"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In September 2018, the Company acquired the employees and technology assets of Conversable, Inc. a SaaS based Artificial Intelligence powered conversational platform, headquartered in Austin, Texas, for an aggregate estimated purchase price of $5.7 million. The estimated purchase price consisted of $1.3 million in cash, approximately $2.9 million in shares of common stock of the Company, and a potential earn-out consideration of $1.5 million in cash, which was based on achieving certain targeted financial, strategic, and integration objectives and milestones and was included as part of the purchase price. During 2019, the Company recorded a $0.5 million fair value re-measurement adjustment and settled the remaining contingent earn-out in stock.</w:t>
      </w:r>
    </w:p>
    <w:p>
      <w:pPr>
        <w:spacing w:after="0" w:line="76" w:lineRule="exact"/>
        <w:rPr>
          <w:sz w:val="20"/>
          <w:szCs w:val="20"/>
          <w:color w:val="auto"/>
        </w:rPr>
      </w:pPr>
    </w:p>
    <w:p>
      <w:pPr>
        <w:jc w:val="both"/>
        <w:ind w:right="20" w:firstLine="564"/>
        <w:spacing w:after="0" w:line="342" w:lineRule="auto"/>
        <w:rPr>
          <w:sz w:val="20"/>
          <w:szCs w:val="20"/>
          <w:color w:val="auto"/>
        </w:rPr>
      </w:pPr>
      <w:r>
        <w:rPr>
          <w:rFonts w:ascii="Arial" w:cs="Arial" w:eastAsia="Arial" w:hAnsi="Arial"/>
          <w:sz w:val="13"/>
          <w:szCs w:val="13"/>
          <w:color w:val="auto"/>
        </w:rPr>
        <w:t>The purchase price allocation resulted in approximately $5.5 million of goodwill and approximately $0.5 million of intangible assets. The goodwill will be deductible for tax purposes. The intangible assets are being amortized over their expected period of benefit. The allocation of the purchase price to net book value of acquired assets and liabilities resulted in a net liability of $0.3 million, which includes accounts receivable, property and equipment, accrued expenses, and deferred revenue.</w:t>
      </w:r>
    </w:p>
    <w:p>
      <w:pPr>
        <w:spacing w:after="0" w:line="19" w:lineRule="exact"/>
        <w:rPr>
          <w:sz w:val="20"/>
          <w:szCs w:val="20"/>
          <w:color w:val="auto"/>
        </w:rPr>
      </w:pPr>
    </w:p>
    <w:p>
      <w:pPr>
        <w:jc w:val="both"/>
        <w:ind w:right="20" w:firstLine="564"/>
        <w:spacing w:after="0" w:line="255" w:lineRule="auto"/>
        <w:rPr>
          <w:sz w:val="20"/>
          <w:szCs w:val="20"/>
          <w:color w:val="auto"/>
        </w:rPr>
      </w:pPr>
      <w:r>
        <w:rPr>
          <w:rFonts w:ascii="Arial" w:cs="Arial" w:eastAsia="Arial" w:hAnsi="Arial"/>
          <w:sz w:val="16"/>
          <w:szCs w:val="16"/>
          <w:color w:val="auto"/>
        </w:rPr>
        <w:t>Conversable Inc.’s capabilities will accelerate the ongoing expansion of the Company's Conversational Commerce solutions and enhance the Company’s ability to deliver proactive and personalized content and services when and where the customer needs it, helping consumers find immediate service through messaging. Conversable, Inc. is included in the Company's business segment.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BotCentral, Inc.</w:t>
      </w:r>
    </w:p>
    <w:p>
      <w:pPr>
        <w:spacing w:after="0" w:line="286" w:lineRule="exact"/>
        <w:rPr>
          <w:sz w:val="20"/>
          <w:szCs w:val="20"/>
          <w:color w:val="auto"/>
        </w:rPr>
      </w:pPr>
    </w:p>
    <w:p>
      <w:pPr>
        <w:jc w:val="both"/>
        <w:ind w:firstLine="564"/>
        <w:spacing w:after="0" w:line="322" w:lineRule="auto"/>
        <w:rPr>
          <w:sz w:val="20"/>
          <w:szCs w:val="20"/>
          <w:color w:val="auto"/>
        </w:rPr>
      </w:pPr>
      <w:r>
        <w:rPr>
          <w:rFonts w:ascii="Arial" w:cs="Arial" w:eastAsia="Arial" w:hAnsi="Arial"/>
          <w:sz w:val="13"/>
          <w:szCs w:val="13"/>
          <w:color w:val="auto"/>
        </w:rPr>
        <w:t>In January 2018, the Company acquired the employees and technology assets of BotCentral, Inc., a Silicon Valley based startup, for a purchase price of approximately $1.0 million in common stock of the Company. The Company incurred an additional $0.2 million related to acquisition costs. This transaction was accounted for as an asset purchase. The aggregate amount of approximately $1.2 million is included in intangibles on the Company's consolidated balance sheet. With the BotCentral team's expertise and knowledge of the Conversational Cloud platform, the team is bringing valuable insight for the Company's customers and partners, and enabling the company to more rapidly optimize its bot deployment capabilities, and grow the ecosystem. BotCentral, Inc. is included in the Company's business segment.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Fair Value Measurements</w:t>
      </w:r>
    </w:p>
    <w:p>
      <w:pPr>
        <w:spacing w:after="0" w:line="196"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76" w:lineRule="exact"/>
        <w:rPr>
          <w:sz w:val="20"/>
          <w:szCs w:val="20"/>
          <w:color w:val="auto"/>
        </w:rPr>
      </w:pPr>
    </w:p>
    <w:p>
      <w:pPr>
        <w:ind w:left="980" w:hanging="281"/>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Level 1: Observable inputs that reflect quoted prices (unadjusted) for identical assets or liabilities in active markets.</w:t>
      </w:r>
    </w:p>
    <w:p>
      <w:pPr>
        <w:spacing w:after="0" w:line="98" w:lineRule="exact"/>
        <w:rPr>
          <w:rFonts w:ascii="Arial" w:cs="Arial" w:eastAsia="Arial" w:hAnsi="Arial"/>
          <w:sz w:val="16"/>
          <w:szCs w:val="16"/>
          <w:color w:val="auto"/>
        </w:rPr>
      </w:pPr>
    </w:p>
    <w:p>
      <w:pPr>
        <w:jc w:val="both"/>
        <w:ind w:left="980" w:right="20" w:hanging="281"/>
        <w:spacing w:after="0" w:line="255"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60"/>
          </w:cols>
          <w:pgMar w:left="320" w:top="170" w:right="31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980" w:hanging="281"/>
        <w:spacing w:after="0" w:line="265"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Assets and Liabilities</w:t>
      </w:r>
    </w:p>
    <w:p>
      <w:pPr>
        <w:spacing w:after="0" w:line="9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September 30, 2020 and December 31, 2019, are summarized as follows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5"/>
          </w:tcPr>
          <w:p>
            <w:pPr>
              <w:ind w:left="14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9"/>
        </w:trPr>
        <w:tc>
          <w:tcPr>
            <w:tcW w:w="3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600" w:type="dxa"/>
            <w:vAlign w:val="bottom"/>
          </w:tcPr>
          <w:p>
            <w:pPr>
              <w:jc w:val="right"/>
              <w:ind w:right="149"/>
              <w:spacing w:after="0"/>
              <w:rPr>
                <w:sz w:val="20"/>
                <w:szCs w:val="20"/>
                <w:color w:val="auto"/>
              </w:rPr>
            </w:pPr>
            <w:r>
              <w:rPr>
                <w:rFonts w:ascii="Arial" w:cs="Arial" w:eastAsia="Arial" w:hAnsi="Arial"/>
                <w:sz w:val="14"/>
                <w:szCs w:val="14"/>
                <w:b w:val="1"/>
                <w:bCs w:val="1"/>
                <w:color w:val="auto"/>
              </w:rPr>
              <w:t>Total</w:t>
            </w:r>
          </w:p>
        </w:tc>
      </w:tr>
      <w:tr>
        <w:trPr>
          <w:trHeight w:val="29"/>
        </w:trPr>
        <w:tc>
          <w:tcPr>
            <w:tcW w:w="384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7"/>
        </w:trPr>
        <w:tc>
          <w:tcPr>
            <w:tcW w:w="38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Assets:</w:t>
            </w:r>
          </w:p>
        </w:tc>
        <w:tc>
          <w:tcPr>
            <w:tcW w:w="14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76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72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64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64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600" w:type="dxa"/>
            <w:vAlign w:val="bottom"/>
            <w:tcBorders>
              <w:bottom w:val="single" w:sz="8" w:color="CCFFCC"/>
            </w:tcBorders>
            <w:shd w:val="clear" w:color="auto" w:fill="CCFFCC"/>
          </w:tcPr>
          <w:p>
            <w:pPr>
              <w:spacing w:after="0"/>
              <w:rPr>
                <w:sz w:val="17"/>
                <w:szCs w:val="17"/>
                <w:color w:val="auto"/>
              </w:rPr>
            </w:pPr>
          </w:p>
        </w:tc>
      </w:tr>
      <w:tr>
        <w:trPr>
          <w:trHeight w:val="207"/>
        </w:trPr>
        <w:tc>
          <w:tcPr>
            <w:tcW w:w="384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9"/>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5"/>
        </w:trPr>
        <w:tc>
          <w:tcPr>
            <w:tcW w:w="38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Money market funds</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3,195</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FFCC"/>
            </w:tcBorders>
            <w:gridSpan w:val="2"/>
            <w:shd w:val="clear" w:color="auto" w:fill="CCFFCC"/>
          </w:tcPr>
          <w:p>
            <w:pPr>
              <w:ind w:left="5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FFCC"/>
            </w:tcBorders>
            <w:shd w:val="clear" w:color="auto" w:fill="CCFFCC"/>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3,195</w:t>
            </w:r>
          </w:p>
        </w:tc>
        <w:tc>
          <w:tcPr>
            <w:tcW w:w="24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2,899</w:t>
            </w:r>
          </w:p>
        </w:tc>
        <w:tc>
          <w:tcPr>
            <w:tcW w:w="1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FFCC"/>
            </w:tcBorders>
            <w:shd w:val="clear" w:color="auto" w:fill="CCFFCC"/>
          </w:tcPr>
          <w:p>
            <w:pPr>
              <w:jc w:val="right"/>
              <w:ind w:right="29"/>
              <w:spacing w:after="0"/>
              <w:rPr>
                <w:sz w:val="20"/>
                <w:szCs w:val="20"/>
                <w:color w:val="auto"/>
              </w:rPr>
            </w:pPr>
            <w:r>
              <w:rPr>
                <w:rFonts w:ascii="Arial" w:cs="Arial" w:eastAsia="Arial" w:hAnsi="Arial"/>
                <w:sz w:val="14"/>
                <w:szCs w:val="14"/>
                <w:color w:val="auto"/>
              </w:rPr>
              <w:t>2,899</w:t>
            </w:r>
          </w:p>
        </w:tc>
      </w:tr>
      <w:tr>
        <w:trPr>
          <w:trHeight w:val="247"/>
        </w:trPr>
        <w:tc>
          <w:tcPr>
            <w:tcW w:w="3840" w:type="dxa"/>
            <w:vAlign w:val="bottom"/>
            <w:tcBorders>
              <w:bottom w:val="single" w:sz="8" w:color="CCFFCC"/>
            </w:tcBorders>
          </w:tcPr>
          <w:p>
            <w:pPr>
              <w:ind w:left="24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3,195</w:t>
            </w:r>
          </w:p>
        </w:tc>
        <w:tc>
          <w:tcPr>
            <w:tcW w:w="120" w:type="dxa"/>
            <w:vAlign w:val="bottom"/>
            <w:tcBorders>
              <w:bottom w:val="single" w:sz="8" w:color="CCFFC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FFC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3,195</w:t>
            </w:r>
          </w:p>
        </w:tc>
        <w:tc>
          <w:tcPr>
            <w:tcW w:w="240" w:type="dxa"/>
            <w:vAlign w:val="bottom"/>
            <w:tcBorders>
              <w:bottom w:val="single" w:sz="8" w:color="CCFFC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2,899</w:t>
            </w:r>
          </w:p>
        </w:tc>
        <w:tc>
          <w:tcPr>
            <w:tcW w:w="100" w:type="dxa"/>
            <w:vAlign w:val="bottom"/>
            <w:tcBorders>
              <w:bottom w:val="single" w:sz="8" w:color="CCFFC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FFC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2,899</w:t>
            </w:r>
          </w:p>
        </w:tc>
      </w:tr>
      <w:tr>
        <w:trPr>
          <w:trHeight w:val="266"/>
        </w:trPr>
        <w:tc>
          <w:tcPr>
            <w:tcW w:w="384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7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24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6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600" w:type="dxa"/>
            <w:vAlign w:val="bottom"/>
            <w:shd w:val="clear" w:color="auto" w:fill="CCFFCC"/>
          </w:tcPr>
          <w:p>
            <w:pPr>
              <w:spacing w:after="0"/>
              <w:rPr>
                <w:sz w:val="23"/>
                <w:szCs w:val="23"/>
                <w:color w:val="auto"/>
              </w:rPr>
            </w:pPr>
          </w:p>
        </w:tc>
      </w:tr>
      <w:tr>
        <w:trPr>
          <w:trHeight w:val="207"/>
        </w:trPr>
        <w:tc>
          <w:tcPr>
            <w:tcW w:w="384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9"/>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5"/>
        </w:trPr>
        <w:tc>
          <w:tcPr>
            <w:tcW w:w="38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Contingent earn-out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FFCC"/>
            </w:tcBorders>
            <w:gridSpan w:val="2"/>
            <w:shd w:val="clear" w:color="auto" w:fill="CCFFCC"/>
          </w:tcPr>
          <w:p>
            <w:pPr>
              <w:ind w:left="5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FFCC"/>
            </w:tcBorders>
            <w:shd w:val="clear" w:color="auto" w:fill="CCFFCC"/>
          </w:tcPr>
          <w:p>
            <w:pPr>
              <w:jc w:val="right"/>
              <w:ind w:right="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FFCC"/>
            </w:tcBorders>
            <w:gridSpan w:val="2"/>
            <w:shd w:val="clear" w:color="auto" w:fill="CCFFCC"/>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557</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FFCC"/>
            </w:tcBorders>
            <w:shd w:val="clear" w:color="auto" w:fill="CCFFCC"/>
          </w:tcPr>
          <w:p>
            <w:pPr>
              <w:jc w:val="right"/>
              <w:ind w:right="29"/>
              <w:spacing w:after="0"/>
              <w:rPr>
                <w:sz w:val="20"/>
                <w:szCs w:val="20"/>
                <w:color w:val="auto"/>
              </w:rPr>
            </w:pPr>
            <w:r>
              <w:rPr>
                <w:rFonts w:ascii="Arial" w:cs="Arial" w:eastAsia="Arial" w:hAnsi="Arial"/>
                <w:sz w:val="14"/>
                <w:szCs w:val="14"/>
                <w:color w:val="auto"/>
              </w:rPr>
              <w:t>557</w:t>
            </w:r>
          </w:p>
        </w:tc>
      </w:tr>
      <w:tr>
        <w:trPr>
          <w:trHeight w:val="207"/>
        </w:trPr>
        <w:tc>
          <w:tcPr>
            <w:tcW w:w="3840" w:type="dxa"/>
            <w:vAlign w:val="bottom"/>
          </w:tcPr>
          <w:p>
            <w:pPr>
              <w:ind w:left="240"/>
              <w:spacing w:after="0"/>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557</w:t>
            </w: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both"/>
        <w:ind w:right="20" w:firstLine="564"/>
        <w:spacing w:after="0" w:line="255"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72" w:lineRule="exact"/>
        <w:rPr>
          <w:sz w:val="20"/>
          <w:szCs w:val="20"/>
          <w:color w:val="auto"/>
        </w:rPr>
      </w:pPr>
    </w:p>
    <w:p>
      <w:pPr>
        <w:jc w:val="both"/>
        <w:ind w:firstLine="564"/>
        <w:spacing w:after="0" w:line="313" w:lineRule="auto"/>
        <w:rPr>
          <w:sz w:val="20"/>
          <w:szCs w:val="20"/>
          <w:color w:val="auto"/>
        </w:rPr>
      </w:pPr>
      <w:r>
        <w:rPr>
          <w:rFonts w:ascii="Arial" w:cs="Arial" w:eastAsia="Arial" w:hAnsi="Arial"/>
          <w:sz w:val="13"/>
          <w:szCs w:val="13"/>
          <w:color w:val="auto"/>
        </w:rPr>
        <w:t>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ASC-350 to determine whether it is “more likely than not” that the fair value of a reporting unit is less than its carrying amount as a basis for determining whether it is necessary to perform a goodwill impairment test. This measurement is classified based on level 3 input.</w:t>
      </w:r>
    </w:p>
    <w:p>
      <w:pPr>
        <w:spacing w:after="0" w:line="39"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As of September 30, 2020, the fair value of the Notes, as further described in Note 8 above, was approximately $195 million. Management determines the fair value by utilizing an independent valuation specialist using the antithetic variable technique and is considered a level 2 fair value measurement.</w:t>
      </w:r>
    </w:p>
    <w:p>
      <w:pPr>
        <w:spacing w:after="0" w:line="64"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The Company recorded a contingent earn-out of $2.4 million in December 2018 in connection with the acquisitions of Conversable, Inc. and AdvantageTec Inc. The contingent earn-out is based on achieving certain targeted financial, strategic, and integration objectives. The unobservable inputs considered are probability factors and the time value of money. During the year ended December 31, 2019, the contingent earn-out decreased by $1.8 million due to a decrease in re-measurement to fair value of Conversable, Inc. of $0.5 million and payments of $0.5 million in cash and $1.0 million in shares, offset in part by an increase of re-measurement to fair value of AdvantageTec Inc. of $0.2 million. During the nine months ended September 30, 2020, the contingent earn-out decreased by $0.6 million due to a decrease in re-measurement in fair value of AdvantageTec Inc. of $0.3 million and payments of $0.3 million in shares.</w:t>
      </w:r>
    </w:p>
    <w:p>
      <w:pPr>
        <w:spacing w:after="0" w:line="62"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As a result, there was no remaining contingent earn-out balance as of September 30, 2020. See Note 9 of the Notes to condensed consolidated financial statements for a full description of the acquisition.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60"/>
          </w:cols>
          <w:pgMar w:left="320" w:top="170"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changes in fair value of the level 3 liabilities are as follows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center"/>
              <w:ind w:right="31"/>
              <w:spacing w:after="0"/>
              <w:rPr>
                <w:sz w:val="20"/>
                <w:szCs w:val="20"/>
                <w:color w:val="auto"/>
              </w:rPr>
            </w:pPr>
            <w:r>
              <w:rPr>
                <w:rFonts w:ascii="Arial" w:cs="Arial" w:eastAsia="Arial" w:hAnsi="Arial"/>
                <w:sz w:val="13"/>
                <w:szCs w:val="13"/>
                <w:b w:val="1"/>
                <w:bCs w:val="1"/>
                <w:color w:val="auto"/>
                <w:w w:val="89"/>
              </w:rPr>
              <w:t>Contingent Earn-Out</w:t>
            </w:r>
          </w:p>
        </w:tc>
      </w:tr>
      <w:tr>
        <w:trPr>
          <w:trHeight w:val="227"/>
        </w:trPr>
        <w:tc>
          <w:tcPr>
            <w:tcW w:w="8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2020</w:t>
            </w:r>
          </w:p>
        </w:tc>
        <w:tc>
          <w:tcPr>
            <w:tcW w:w="180" w:type="dxa"/>
            <w:vAlign w:val="bottom"/>
          </w:tcPr>
          <w:p>
            <w:pPr>
              <w:spacing w:after="0"/>
              <w:rPr>
                <w:sz w:val="19"/>
                <w:szCs w:val="19"/>
                <w:color w:val="auto"/>
              </w:rPr>
            </w:pPr>
          </w:p>
        </w:tc>
        <w:tc>
          <w:tcPr>
            <w:tcW w:w="1380" w:type="dxa"/>
            <w:vAlign w:val="bottom"/>
          </w:tcPr>
          <w:p>
            <w:pPr>
              <w:jc w:val="right"/>
              <w:ind w:right="211"/>
              <w:spacing w:after="0"/>
              <w:rPr>
                <w:sz w:val="20"/>
                <w:szCs w:val="20"/>
                <w:color w:val="auto"/>
              </w:rPr>
            </w:pPr>
            <w:r>
              <w:rPr>
                <w:rFonts w:ascii="Arial" w:cs="Arial" w:eastAsia="Arial" w:hAnsi="Arial"/>
                <w:sz w:val="13"/>
                <w:szCs w:val="13"/>
                <w:b w:val="1"/>
                <w:bCs w:val="1"/>
                <w:color w:val="auto"/>
                <w:w w:val="92"/>
              </w:rPr>
              <w:t>December 31, 2019</w:t>
            </w:r>
          </w:p>
        </w:tc>
      </w:tr>
      <w:tr>
        <w:trPr>
          <w:trHeight w:val="201"/>
        </w:trPr>
        <w:tc>
          <w:tcPr>
            <w:tcW w:w="822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Balance, Beginning of period</w:t>
            </w:r>
          </w:p>
        </w:tc>
        <w:tc>
          <w:tcPr>
            <w:tcW w:w="1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557</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auto"/>
              <w:bottom w:val="single" w:sz="8" w:color="CCFFCC"/>
            </w:tcBorders>
            <w:shd w:val="clear" w:color="auto" w:fill="CCFFCC"/>
          </w:tcPr>
          <w:p>
            <w:pPr>
              <w:jc w:val="center"/>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2,372</w:t>
            </w:r>
          </w:p>
        </w:tc>
      </w:tr>
      <w:tr>
        <w:trPr>
          <w:trHeight w:val="207"/>
        </w:trPr>
        <w:tc>
          <w:tcPr>
            <w:tcW w:w="8220" w:type="dxa"/>
            <w:vAlign w:val="bottom"/>
          </w:tcPr>
          <w:p>
            <w:pPr>
              <w:ind w:left="140"/>
              <w:spacing w:after="0"/>
              <w:rPr>
                <w:sz w:val="20"/>
                <w:szCs w:val="20"/>
                <w:color w:val="auto"/>
              </w:rPr>
            </w:pPr>
            <w:r>
              <w:rPr>
                <w:rFonts w:ascii="Arial" w:cs="Arial" w:eastAsia="Arial" w:hAnsi="Arial"/>
                <w:sz w:val="14"/>
                <w:szCs w:val="14"/>
                <w:color w:val="auto"/>
              </w:rPr>
              <w:t>Conversable, Inc. fair value adjustment (see Note 9)</w:t>
            </w: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(496)</w:t>
            </w:r>
          </w:p>
        </w:tc>
      </w:tr>
      <w:tr>
        <w:trPr>
          <w:trHeight w:val="29"/>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5"/>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AdvantageTec Inc. fair value adjustment (see Note 9)</w:t>
            </w:r>
          </w:p>
        </w:tc>
        <w:tc>
          <w:tcPr>
            <w:tcW w:w="12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38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168</w:t>
            </w:r>
          </w:p>
        </w:tc>
      </w:tr>
      <w:tr>
        <w:trPr>
          <w:trHeight w:val="207"/>
        </w:trPr>
        <w:tc>
          <w:tcPr>
            <w:tcW w:w="8220" w:type="dxa"/>
            <w:vAlign w:val="bottom"/>
          </w:tcPr>
          <w:p>
            <w:pPr>
              <w:ind w:left="140"/>
              <w:spacing w:after="0"/>
              <w:rPr>
                <w:sz w:val="20"/>
                <w:szCs w:val="20"/>
                <w:color w:val="auto"/>
              </w:rPr>
            </w:pPr>
            <w:r>
              <w:rPr>
                <w:rFonts w:ascii="Arial" w:cs="Arial" w:eastAsia="Arial" w:hAnsi="Arial"/>
                <w:sz w:val="14"/>
                <w:szCs w:val="14"/>
                <w:color w:val="auto"/>
              </w:rPr>
              <w:t>Payments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(1,487)</w:t>
            </w:r>
          </w:p>
        </w:tc>
      </w:tr>
      <w:tr>
        <w:trPr>
          <w:trHeight w:val="29"/>
        </w:trPr>
        <w:tc>
          <w:tcPr>
            <w:tcW w:w="8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7"/>
        </w:trPr>
        <w:tc>
          <w:tcPr>
            <w:tcW w:w="8220" w:type="dxa"/>
            <w:vAlign w:val="bottom"/>
            <w:shd w:val="clear" w:color="auto" w:fill="CCFFCC"/>
          </w:tcPr>
          <w:p>
            <w:pPr>
              <w:ind w:left="20"/>
              <w:spacing w:after="0"/>
              <w:rPr>
                <w:sz w:val="20"/>
                <w:szCs w:val="20"/>
                <w:color w:val="auto"/>
              </w:rPr>
            </w:pPr>
            <w:r>
              <w:rPr>
                <w:rFonts w:ascii="Arial" w:cs="Arial" w:eastAsia="Arial" w:hAnsi="Arial"/>
                <w:sz w:val="14"/>
                <w:szCs w:val="14"/>
                <w:color w:val="auto"/>
              </w:rPr>
              <w:t>Balance, End of period</w:t>
            </w:r>
          </w:p>
        </w:tc>
        <w:tc>
          <w:tcPr>
            <w:tcW w:w="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FFCC"/>
          </w:tcPr>
          <w:p>
            <w:pPr>
              <w:jc w:val="right"/>
              <w:ind w:right="51"/>
              <w:spacing w:after="0"/>
              <w:rPr>
                <w:sz w:val="20"/>
                <w:szCs w:val="20"/>
                <w:color w:val="auto"/>
              </w:rPr>
            </w:pPr>
            <w:r>
              <w:rPr>
                <w:rFonts w:ascii="Arial" w:cs="Arial" w:eastAsia="Arial" w:hAnsi="Arial"/>
                <w:sz w:val="14"/>
                <w:szCs w:val="14"/>
                <w:color w:val="auto"/>
              </w:rPr>
              <w:t>557</w:t>
            </w:r>
          </w:p>
        </w:tc>
      </w:tr>
      <w:tr>
        <w:trPr>
          <w:trHeight w:val="20"/>
        </w:trPr>
        <w:tc>
          <w:tcPr>
            <w:tcW w:w="8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Commitments and Contingencies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98" w:lineRule="exact"/>
        <w:rPr>
          <w:sz w:val="20"/>
          <w:szCs w:val="20"/>
          <w:color w:val="auto"/>
        </w:rPr>
      </w:pPr>
    </w:p>
    <w:p>
      <w:pPr>
        <w:jc w:val="both"/>
        <w:ind w:right="20" w:firstLine="564"/>
        <w:spacing w:after="0" w:line="252" w:lineRule="auto"/>
        <w:rPr>
          <w:sz w:val="20"/>
          <w:szCs w:val="20"/>
          <w:color w:val="auto"/>
        </w:rPr>
      </w:pPr>
      <w:r>
        <w:rPr>
          <w:rFonts w:ascii="Arial" w:cs="Arial" w:eastAsia="Arial" w:hAnsi="Arial"/>
          <w:sz w:val="16"/>
          <w:szCs w:val="16"/>
          <w:color w:val="auto"/>
        </w:rPr>
        <w:t>The Company leases facilities and certain car leases (the “leases”) under agreements accounted for as operating leases. The leases have initial lease terms ranging from 1 years to 12 years. Payments due under the lease contracts include primarily fixed payments. The lease terms include periods under options to extend or terminate the lease when it is reasonably certain that we will exercise that option. Currently, there are no operating leases where we believe it is reasonably certain that the Company will exercise any option to extend the initial term.</w:t>
      </w:r>
    </w:p>
    <w:p>
      <w:pPr>
        <w:spacing w:after="0" w:line="97"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The Company has evaluated its facility leases and determined which leases met the definition of the new standard in accordance with Topic 842. The Company also performed an evaluation of their other contracts with suppliers in accordance with Topic 842 and have determined that, except for the facilities and car leases described above, none of its supply contracts contain a lease. Further, the Company has made an accounting policy election to keep leases with a term of twelve months or less off the balance sheet. This policy applies to all classes of the underlying assets. The Company will recognize those lease payments and associated interest expense in the consolidated statement of operations evenly over the lease term.</w:t>
      </w:r>
    </w:p>
    <w:p>
      <w:pPr>
        <w:spacing w:after="0" w:line="100" w:lineRule="exact"/>
        <w:rPr>
          <w:sz w:val="20"/>
          <w:szCs w:val="20"/>
          <w:color w:val="auto"/>
        </w:rPr>
      </w:pPr>
    </w:p>
    <w:p>
      <w:pPr>
        <w:jc w:val="both"/>
        <w:ind w:right="20" w:firstLine="564"/>
        <w:spacing w:after="0" w:line="342" w:lineRule="auto"/>
        <w:rPr>
          <w:sz w:val="20"/>
          <w:szCs w:val="20"/>
          <w:color w:val="auto"/>
        </w:rPr>
      </w:pPr>
      <w:r>
        <w:rPr>
          <w:rFonts w:ascii="Arial" w:cs="Arial" w:eastAsia="Arial" w:hAnsi="Arial"/>
          <w:sz w:val="13"/>
          <w:szCs w:val="13"/>
          <w:color w:val="auto"/>
        </w:rPr>
        <w:t>The Company elected the “package of practical expedients,” which permits the Company not to reassess under ASC 842 its prior conclusions about lease identification, lease classification and initial direct costs. The Company also made a policy election not to separate non-lease components from lease components. Furthermore, the Company elected to not capitalize leases with a term of 12 months or less and recognize the lease expense for such leases generally on a straight-line basis over the lease term.</w:t>
      </w:r>
    </w:p>
    <w:p>
      <w:pPr>
        <w:spacing w:after="0" w:line="43"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In connection with the leases, the Company recognized operating lease right-of-use assets of $0.8 million and $15.7 million and an aggregate lease liability of $15.6 million and $19.5 million in its condensed consolidated balance sheet as of September 30, 2020 and December 31, 2019, respectively.</w:t>
      </w:r>
    </w:p>
    <w:p>
      <w:pPr>
        <w:spacing w:after="0" w:line="87" w:lineRule="exact"/>
        <w:rPr>
          <w:sz w:val="20"/>
          <w:szCs w:val="20"/>
          <w:color w:val="auto"/>
        </w:rPr>
      </w:pPr>
    </w:p>
    <w:p>
      <w:pPr>
        <w:jc w:val="both"/>
        <w:ind w:firstLine="564"/>
        <w:spacing w:after="0" w:line="322" w:lineRule="auto"/>
        <w:rPr>
          <w:sz w:val="20"/>
          <w:szCs w:val="20"/>
          <w:color w:val="auto"/>
        </w:rPr>
      </w:pPr>
      <w:r>
        <w:rPr>
          <w:rFonts w:ascii="Arial" w:cs="Arial" w:eastAsia="Arial" w:hAnsi="Arial"/>
          <w:sz w:val="13"/>
          <w:szCs w:val="13"/>
          <w:color w:val="auto"/>
        </w:rPr>
        <w:t>The determination of the discount rate used to calculate the present value of the right-of-use assets and lease liabilities depends on whether an interest rate is specified in the lease or not. If the lease specifies a rate, that rate is used when calculating the present value of lease payments. If the rate is not readily determinable, which is generally the case for the Company, the Company’s incremental borrowing rate (“IBR”) as of the date of inception of the lease is used (for initial measurement, the IBR was determined as of the adoption date of the standard). The IBR is the rate of interest that the Company would have to pay to borrow on a collateralized basis over a similar term and amount equal to the lease payments in a similar economic environment. The Company used a ratings benchmark report against its peers in the technology sector.</w:t>
      </w:r>
    </w:p>
    <w:p>
      <w:pPr>
        <w:spacing w:after="0" w:line="55"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The Company has operating leases for its corporate offices and other service agreements. The Company's leases have remaining lease terms of 1 to 12 years, some of which include options to extend. The Company's lease expense for the three months ended September 30, 2020 and 2019, consisting entirely of operating leases, was approximately $2.5 million and $3.3 million, respectively. The Company's lease expense for the nine months ended September 30, 2020 and 2019 was approximately $9.4 million and $9.3 million, respectively. Operating lease payments, which reduced operating cash flows, amounted to $4.3 million and $5.0 million for the nine months ended September 30, 2020 and 2019, respectively.</w:t>
      </w:r>
    </w:p>
    <w:p>
      <w:pPr>
        <w:spacing w:after="0" w:line="100" w:lineRule="exact"/>
        <w:rPr>
          <w:sz w:val="20"/>
          <w:szCs w:val="20"/>
          <w:color w:val="auto"/>
        </w:rPr>
      </w:pPr>
    </w:p>
    <w:p>
      <w:pPr>
        <w:jc w:val="both"/>
        <w:ind w:right="20" w:firstLine="564"/>
        <w:spacing w:after="0" w:line="342" w:lineRule="auto"/>
        <w:rPr>
          <w:sz w:val="20"/>
          <w:szCs w:val="20"/>
          <w:color w:val="auto"/>
        </w:rPr>
      </w:pPr>
      <w:r>
        <w:rPr>
          <w:rFonts w:ascii="Arial" w:cs="Arial" w:eastAsia="Arial" w:hAnsi="Arial"/>
          <w:sz w:val="13"/>
          <w:szCs w:val="13"/>
          <w:color w:val="auto"/>
        </w:rPr>
        <w:t>During the nine months ended September 30, 2020, the Company decided to abandon the Berlin office. The cease use date was March 31, 2020. According to ASC 842, the Company elected to apply the “loss of straight-line lease cost”, amortizing the remaining right-of-use asset of approximately $0.4 million from the decision date to the cease use date. This expense is included in restructuring costs in the condensed consolidated statements of operations for the nine months ended September 30, 2020.</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60"/>
          </w:cols>
          <w:pgMar w:left="320" w:top="170"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5"/>
          <w:szCs w:val="15"/>
          <w:color w:val="auto"/>
        </w:rPr>
        <w:t>On July 13, 2020, the Company announced its decision to transition to an employee-centric model under which employees will work remotely rather than in traditional offices. In connection with this decision, the Company abandoned 14 leases in its global portfolio of office leases during the three months ended September 30, 2020. As a result, the Company recognized accelerated amortization to fully reduce the carrying value of the associated right of use assets (“ROU assets”) between the decision date, which was determined to be July 13, 2020 and the cease use date. There were no changes to the accounting for the lease liabilities associated with the leased office spaces. Additionally, the Company recognized accelerated depreciation of fixed assets that were determined to no longer be of future economic benefit to the Company based on the decision to vacate the leased office space. Lease restructuring expenses of $24.1 million are included in restructuring costs in the condensed consolidated statements of operations for the three and nine months ended September 30, 2020. The Company also incurred other non-recurring expenses of $2.4 million and $5.6 million in restructuring costs in the condensed consolidated statements of operations for the three and nine months ended September 30, 2020 associated with the transition to the employee-centric model. These expenses include termination penalties, moving expenses, storage expenses and incremental legal and consulting fees. The associated liability is presented on the condensed consolidated balance sheets within accrued expenses and other current liabilities as of September 30, 2020. Subsequent adjustments to these liabilities, including final settlement of the amounts, will be reflected in future period earnings.</w:t>
      </w:r>
    </w:p>
    <w:p>
      <w:pPr>
        <w:spacing w:after="0" w:line="162"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The Company continues to actively assess its global lease portfolio. However, any additional derecognition of ROU assets and incurrence of various one-time expenses in connection with early termination of additional leases is not expected to be material to our financial condition or results of operations.</w:t>
      </w:r>
    </w:p>
    <w:p>
      <w:pPr>
        <w:spacing w:after="0" w:line="200" w:lineRule="exact"/>
        <w:rPr>
          <w:sz w:val="20"/>
          <w:szCs w:val="20"/>
          <w:color w:val="auto"/>
        </w:rPr>
      </w:pPr>
    </w:p>
    <w:p>
      <w:pPr>
        <w:spacing w:after="0" w:line="381"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tcPr>
          <w:p>
            <w:pPr>
              <w:ind w:left="160"/>
              <w:spacing w:after="0"/>
              <w:rPr>
                <w:sz w:val="20"/>
                <w:szCs w:val="20"/>
                <w:color w:val="auto"/>
              </w:rPr>
            </w:pPr>
            <w:r>
              <w:rPr>
                <w:rFonts w:ascii="Arial" w:cs="Arial" w:eastAsia="Arial" w:hAnsi="Arial"/>
                <w:sz w:val="13"/>
                <w:szCs w:val="13"/>
                <w:b w:val="1"/>
                <w:bCs w:val="1"/>
                <w:color w:val="auto"/>
              </w:rPr>
              <w:t>As of September 30, 2020</w:t>
            </w:r>
          </w:p>
        </w:tc>
        <w:tc>
          <w:tcPr>
            <w:tcW w:w="240" w:type="dxa"/>
            <w:vAlign w:val="bottom"/>
          </w:tcPr>
          <w:p>
            <w:pPr>
              <w:spacing w:after="0"/>
              <w:rPr>
                <w:sz w:val="14"/>
                <w:szCs w:val="14"/>
                <w:color w:val="auto"/>
              </w:rPr>
            </w:pPr>
          </w:p>
        </w:tc>
        <w:tc>
          <w:tcPr>
            <w:tcW w:w="1820" w:type="dxa"/>
            <w:vAlign w:val="bottom"/>
          </w:tcPr>
          <w:p>
            <w:pPr>
              <w:jc w:val="right"/>
              <w:ind w:right="291"/>
              <w:spacing w:after="0"/>
              <w:rPr>
                <w:sz w:val="20"/>
                <w:szCs w:val="20"/>
                <w:color w:val="auto"/>
              </w:rPr>
            </w:pPr>
            <w:r>
              <w:rPr>
                <w:rFonts w:ascii="Arial" w:cs="Arial" w:eastAsia="Arial" w:hAnsi="Arial"/>
                <w:sz w:val="13"/>
                <w:szCs w:val="13"/>
                <w:b w:val="1"/>
                <w:bCs w:val="1"/>
                <w:color w:val="auto"/>
                <w:w w:val="93"/>
              </w:rPr>
              <w:t>As of December 31, 2019</w:t>
            </w:r>
          </w:p>
        </w:tc>
      </w:tr>
      <w:tr>
        <w:trPr>
          <w:trHeight w:val="235"/>
        </w:trPr>
        <w:tc>
          <w:tcPr>
            <w:tcW w:w="4040" w:type="dxa"/>
            <w:vAlign w:val="bottom"/>
            <w:shd w:val="clear" w:color="auto" w:fill="CCFFCC"/>
          </w:tcPr>
          <w:p>
            <w:pPr>
              <w:ind w:left="20"/>
              <w:spacing w:after="0"/>
              <w:rPr>
                <w:sz w:val="20"/>
                <w:szCs w:val="20"/>
                <w:color w:val="auto"/>
              </w:rPr>
            </w:pPr>
            <w:r>
              <w:rPr>
                <w:rFonts w:ascii="Arial" w:cs="Arial" w:eastAsia="Arial" w:hAnsi="Arial"/>
                <w:sz w:val="14"/>
                <w:szCs w:val="14"/>
                <w:b w:val="1"/>
                <w:bCs w:val="1"/>
                <w:color w:val="auto"/>
              </w:rPr>
              <w:t>Operating Leases</w:t>
            </w:r>
          </w:p>
        </w:tc>
        <w:tc>
          <w:tcPr>
            <w:tcW w:w="2920" w:type="dxa"/>
            <w:vAlign w:val="bottom"/>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spacing w:after="0"/>
              <w:rPr>
                <w:sz w:val="20"/>
                <w:szCs w:val="20"/>
                <w:color w:val="auto"/>
              </w:rPr>
            </w:pPr>
          </w:p>
        </w:tc>
        <w:tc>
          <w:tcPr>
            <w:tcW w:w="4060" w:type="dxa"/>
            <w:vAlign w:val="bottom"/>
            <w:tcBorders>
              <w:bottom w:val="single" w:sz="8" w:color="auto"/>
            </w:tcBorders>
            <w:gridSpan w:val="4"/>
            <w:shd w:val="clear" w:color="auto" w:fill="CCFFCC"/>
          </w:tcPr>
          <w:p>
            <w:pPr>
              <w:jc w:val="right"/>
              <w:ind w:right="731"/>
              <w:spacing w:after="0"/>
              <w:rPr>
                <w:sz w:val="20"/>
                <w:szCs w:val="20"/>
                <w:color w:val="auto"/>
              </w:rPr>
            </w:pPr>
            <w:r>
              <w:rPr>
                <w:rFonts w:ascii="Arial" w:cs="Arial" w:eastAsia="Arial" w:hAnsi="Arial"/>
                <w:sz w:val="13"/>
                <w:szCs w:val="13"/>
                <w:b w:val="1"/>
                <w:bCs w:val="1"/>
                <w:color w:val="auto"/>
              </w:rPr>
              <w:t>(in thousands, except lease term and discount rate)</w:t>
            </w:r>
          </w:p>
        </w:tc>
      </w:tr>
      <w:tr>
        <w:trPr>
          <w:trHeight w:val="204"/>
        </w:trPr>
        <w:tc>
          <w:tcPr>
            <w:tcW w:w="4040" w:type="dxa"/>
            <w:vAlign w:val="bottom"/>
          </w:tcPr>
          <w:p>
            <w:pPr>
              <w:ind w:left="20"/>
              <w:spacing w:after="0"/>
              <w:rPr>
                <w:sz w:val="20"/>
                <w:szCs w:val="20"/>
                <w:color w:val="auto"/>
              </w:rPr>
            </w:pPr>
            <w:r>
              <w:rPr>
                <w:rFonts w:ascii="Arial" w:cs="Arial" w:eastAsia="Arial" w:hAnsi="Arial"/>
                <w:sz w:val="14"/>
                <w:szCs w:val="14"/>
                <w:color w:val="auto"/>
              </w:rPr>
              <w:t>Right-of-use asset</w:t>
            </w:r>
          </w:p>
        </w:tc>
        <w:tc>
          <w:tcPr>
            <w:tcW w:w="31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71"/>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71"/>
              <w:spacing w:after="0"/>
              <w:rPr>
                <w:sz w:val="20"/>
                <w:szCs w:val="20"/>
                <w:color w:val="auto"/>
              </w:rPr>
            </w:pPr>
            <w:r>
              <w:rPr>
                <w:rFonts w:ascii="Arial" w:cs="Arial" w:eastAsia="Arial" w:hAnsi="Arial"/>
                <w:sz w:val="14"/>
                <w:szCs w:val="14"/>
                <w:color w:val="auto"/>
              </w:rPr>
              <w:t>15,680</w:t>
            </w:r>
          </w:p>
        </w:tc>
      </w:tr>
      <w:tr>
        <w:trPr>
          <w:trHeight w:val="29"/>
        </w:trPr>
        <w:tc>
          <w:tcPr>
            <w:tcW w:w="40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9"/>
        </w:trPr>
        <w:tc>
          <w:tcPr>
            <w:tcW w:w="4040" w:type="dxa"/>
            <w:vAlign w:val="bottom"/>
            <w:shd w:val="clear" w:color="auto" w:fill="CCFFCC"/>
          </w:tcPr>
          <w:p>
            <w:pPr>
              <w:spacing w:after="0"/>
              <w:rPr>
                <w:sz w:val="22"/>
                <w:szCs w:val="22"/>
                <w:color w:val="auto"/>
              </w:rPr>
            </w:pPr>
          </w:p>
        </w:tc>
        <w:tc>
          <w:tcPr>
            <w:tcW w:w="292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19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1820" w:type="dxa"/>
            <w:vAlign w:val="bottom"/>
            <w:shd w:val="clear" w:color="auto" w:fill="CCFFCC"/>
          </w:tcPr>
          <w:p>
            <w:pPr>
              <w:spacing w:after="0"/>
              <w:rPr>
                <w:sz w:val="22"/>
                <w:szCs w:val="22"/>
                <w:color w:val="auto"/>
              </w:rPr>
            </w:pPr>
          </w:p>
        </w:tc>
      </w:tr>
      <w:tr>
        <w:trPr>
          <w:trHeight w:val="207"/>
        </w:trPr>
        <w:tc>
          <w:tcPr>
            <w:tcW w:w="4040" w:type="dxa"/>
            <w:vAlign w:val="bottom"/>
          </w:tcPr>
          <w:p>
            <w:pPr>
              <w:ind w:left="20"/>
              <w:spacing w:after="0"/>
              <w:rPr>
                <w:sz w:val="20"/>
                <w:szCs w:val="20"/>
                <w:color w:val="auto"/>
              </w:rPr>
            </w:pPr>
            <w:r>
              <w:rPr>
                <w:rFonts w:ascii="Arial" w:cs="Arial" w:eastAsia="Arial" w:hAnsi="Arial"/>
                <w:sz w:val="14"/>
                <w:szCs w:val="14"/>
                <w:color w:val="auto"/>
              </w:rPr>
              <w:t>Current operating lease liability</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jc w:val="right"/>
              <w:ind w:right="71"/>
              <w:spacing w:after="0"/>
              <w:rPr>
                <w:sz w:val="20"/>
                <w:szCs w:val="20"/>
                <w:color w:val="auto"/>
              </w:rPr>
            </w:pPr>
            <w:r>
              <w:rPr>
                <w:rFonts w:ascii="Arial" w:cs="Arial" w:eastAsia="Arial" w:hAnsi="Arial"/>
                <w:sz w:val="14"/>
                <w:szCs w:val="14"/>
                <w:color w:val="auto"/>
              </w:rPr>
              <w:t>6,295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ind w:right="71"/>
              <w:spacing w:after="0"/>
              <w:rPr>
                <w:sz w:val="20"/>
                <w:szCs w:val="20"/>
                <w:color w:val="auto"/>
              </w:rPr>
            </w:pPr>
            <w:r>
              <w:rPr>
                <w:rFonts w:ascii="Arial" w:cs="Arial" w:eastAsia="Arial" w:hAnsi="Arial"/>
                <w:sz w:val="14"/>
                <w:szCs w:val="14"/>
                <w:color w:val="auto"/>
              </w:rPr>
              <w:t>6,602</w:t>
            </w:r>
          </w:p>
        </w:tc>
      </w:tr>
      <w:tr>
        <w:trPr>
          <w:trHeight w:val="29"/>
        </w:trPr>
        <w:tc>
          <w:tcPr>
            <w:tcW w:w="40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5"/>
        </w:trPr>
        <w:tc>
          <w:tcPr>
            <w:tcW w:w="40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Long term operating lease liability</w:t>
            </w:r>
          </w:p>
        </w:tc>
        <w:tc>
          <w:tcPr>
            <w:tcW w:w="292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spacing w:after="0"/>
              <w:rPr>
                <w:sz w:val="20"/>
                <w:szCs w:val="20"/>
                <w:color w:val="auto"/>
              </w:rPr>
            </w:pPr>
          </w:p>
        </w:tc>
        <w:tc>
          <w:tcPr>
            <w:tcW w:w="1900" w:type="dxa"/>
            <w:vAlign w:val="bottom"/>
            <w:tcBorders>
              <w:bottom w:val="single" w:sz="8" w:color="CCFFCC"/>
            </w:tcBorders>
            <w:shd w:val="clear" w:color="auto" w:fill="CCFFCC"/>
          </w:tcPr>
          <w:p>
            <w:pPr>
              <w:jc w:val="right"/>
              <w:ind w:right="71"/>
              <w:spacing w:after="0"/>
              <w:rPr>
                <w:sz w:val="20"/>
                <w:szCs w:val="20"/>
                <w:color w:val="auto"/>
              </w:rPr>
            </w:pPr>
            <w:r>
              <w:rPr>
                <w:rFonts w:ascii="Arial" w:cs="Arial" w:eastAsia="Arial" w:hAnsi="Arial"/>
                <w:sz w:val="14"/>
                <w:szCs w:val="14"/>
                <w:color w:val="auto"/>
              </w:rPr>
              <w:t>9,310</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spacing w:after="0"/>
              <w:rPr>
                <w:sz w:val="20"/>
                <w:szCs w:val="20"/>
                <w:color w:val="auto"/>
              </w:rPr>
            </w:pPr>
          </w:p>
        </w:tc>
        <w:tc>
          <w:tcPr>
            <w:tcW w:w="1820" w:type="dxa"/>
            <w:vAlign w:val="bottom"/>
            <w:tcBorders>
              <w:bottom w:val="single" w:sz="8" w:color="CCFFCC"/>
            </w:tcBorders>
            <w:shd w:val="clear" w:color="auto" w:fill="CCFFCC"/>
          </w:tcPr>
          <w:p>
            <w:pPr>
              <w:jc w:val="right"/>
              <w:ind w:right="71"/>
              <w:spacing w:after="0"/>
              <w:rPr>
                <w:sz w:val="20"/>
                <w:szCs w:val="20"/>
                <w:color w:val="auto"/>
              </w:rPr>
            </w:pPr>
            <w:r>
              <w:rPr>
                <w:rFonts w:ascii="Arial" w:cs="Arial" w:eastAsia="Arial" w:hAnsi="Arial"/>
                <w:sz w:val="14"/>
                <w:szCs w:val="14"/>
                <w:color w:val="auto"/>
              </w:rPr>
              <w:t>12,865</w:t>
            </w:r>
          </w:p>
        </w:tc>
      </w:tr>
      <w:tr>
        <w:trPr>
          <w:trHeight w:val="187"/>
        </w:trPr>
        <w:tc>
          <w:tcPr>
            <w:tcW w:w="4040" w:type="dxa"/>
            <w:vAlign w:val="bottom"/>
          </w:tcPr>
          <w:p>
            <w:pPr>
              <w:ind w:left="160"/>
              <w:spacing w:after="0"/>
              <w:rPr>
                <w:sz w:val="20"/>
                <w:szCs w:val="20"/>
                <w:color w:val="auto"/>
              </w:rPr>
            </w:pPr>
            <w:r>
              <w:rPr>
                <w:rFonts w:ascii="Arial" w:cs="Arial" w:eastAsia="Arial" w:hAnsi="Arial"/>
                <w:sz w:val="14"/>
                <w:szCs w:val="14"/>
                <w:color w:val="auto"/>
              </w:rPr>
              <w:t>Total operating lease liability</w:t>
            </w:r>
          </w:p>
        </w:tc>
        <w:tc>
          <w:tcPr>
            <w:tcW w:w="2920" w:type="dxa"/>
            <w:vAlign w:val="bottom"/>
          </w:tcPr>
          <w:p>
            <w:pPr>
              <w:spacing w:after="0"/>
              <w:rPr>
                <w:sz w:val="16"/>
                <w:szCs w:val="16"/>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9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15,605</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8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19,467</w:t>
            </w:r>
          </w:p>
        </w:tc>
      </w:tr>
      <w:tr>
        <w:trPr>
          <w:trHeight w:val="29"/>
        </w:trPr>
        <w:tc>
          <w:tcPr>
            <w:tcW w:w="4040" w:type="dxa"/>
            <w:vAlign w:val="bottom"/>
            <w:tcBorders>
              <w:bottom w:val="single" w:sz="8" w:color="CCFFCC"/>
            </w:tcBorders>
          </w:tcPr>
          <w:p>
            <w:pPr>
              <w:spacing w:after="0"/>
              <w:rPr>
                <w:sz w:val="2"/>
                <w:szCs w:val="2"/>
                <w:color w:val="auto"/>
              </w:rPr>
            </w:pPr>
          </w:p>
        </w:tc>
        <w:tc>
          <w:tcPr>
            <w:tcW w:w="29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4040" w:type="dxa"/>
            <w:vAlign w:val="bottom"/>
            <w:shd w:val="clear" w:color="auto" w:fill="CCFFCC"/>
          </w:tcPr>
          <w:p>
            <w:pPr>
              <w:spacing w:after="0"/>
              <w:rPr>
                <w:sz w:val="21"/>
                <w:szCs w:val="21"/>
                <w:color w:val="auto"/>
              </w:rPr>
            </w:pPr>
          </w:p>
        </w:tc>
        <w:tc>
          <w:tcPr>
            <w:tcW w:w="29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9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820" w:type="dxa"/>
            <w:vAlign w:val="bottom"/>
            <w:shd w:val="clear" w:color="auto" w:fill="CCFFCC"/>
          </w:tcPr>
          <w:p>
            <w:pPr>
              <w:spacing w:after="0"/>
              <w:rPr>
                <w:sz w:val="21"/>
                <w:szCs w:val="21"/>
                <w:color w:val="auto"/>
              </w:rPr>
            </w:pPr>
          </w:p>
        </w:tc>
      </w:tr>
      <w:tr>
        <w:trPr>
          <w:trHeight w:val="207"/>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Weighted Average Remaining Lease Term</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9"/>
        </w:trPr>
        <w:tc>
          <w:tcPr>
            <w:tcW w:w="40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15"/>
        </w:trPr>
        <w:tc>
          <w:tcPr>
            <w:tcW w:w="40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4"/>
                <w:szCs w:val="14"/>
                <w:color w:val="auto"/>
              </w:rPr>
              <w:t>Operating leases</w:t>
            </w:r>
          </w:p>
        </w:tc>
        <w:tc>
          <w:tcPr>
            <w:tcW w:w="292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2000" w:type="dxa"/>
            <w:vAlign w:val="bottom"/>
            <w:tcBorders>
              <w:bottom w:val="single" w:sz="8" w:color="CCFFCC"/>
            </w:tcBorders>
            <w:gridSpan w:val="2"/>
            <w:shd w:val="clear" w:color="auto" w:fill="CCFFCC"/>
          </w:tcPr>
          <w:p>
            <w:pPr>
              <w:ind w:left="1260"/>
              <w:spacing w:after="0"/>
              <w:rPr>
                <w:sz w:val="20"/>
                <w:szCs w:val="20"/>
                <w:color w:val="auto"/>
              </w:rPr>
            </w:pPr>
            <w:r>
              <w:rPr>
                <w:rFonts w:ascii="Arial" w:cs="Arial" w:eastAsia="Arial" w:hAnsi="Arial"/>
                <w:sz w:val="14"/>
                <w:szCs w:val="14"/>
                <w:color w:val="auto"/>
              </w:rPr>
              <w:t>3.5 years</w:t>
            </w:r>
          </w:p>
        </w:tc>
        <w:tc>
          <w:tcPr>
            <w:tcW w:w="240" w:type="dxa"/>
            <w:vAlign w:val="bottom"/>
            <w:tcBorders>
              <w:bottom w:val="single" w:sz="8" w:color="CCFFCC"/>
            </w:tcBorders>
            <w:shd w:val="clear" w:color="auto" w:fill="CCFFCC"/>
          </w:tcPr>
          <w:p>
            <w:pPr>
              <w:spacing w:after="0"/>
              <w:rPr>
                <w:sz w:val="18"/>
                <w:szCs w:val="18"/>
                <w:color w:val="auto"/>
              </w:rPr>
            </w:pPr>
          </w:p>
        </w:tc>
        <w:tc>
          <w:tcPr>
            <w:tcW w:w="1820" w:type="dxa"/>
            <w:vAlign w:val="bottom"/>
            <w:tcBorders>
              <w:bottom w:val="single" w:sz="8" w:color="CCFFCC"/>
            </w:tcBorders>
            <w:shd w:val="clear" w:color="auto" w:fill="CCFFCC"/>
          </w:tcPr>
          <w:p>
            <w:pPr>
              <w:jc w:val="right"/>
              <w:ind w:right="71"/>
              <w:spacing w:after="0"/>
              <w:rPr>
                <w:sz w:val="20"/>
                <w:szCs w:val="20"/>
                <w:color w:val="auto"/>
              </w:rPr>
            </w:pPr>
            <w:r>
              <w:rPr>
                <w:rFonts w:ascii="Arial" w:cs="Arial" w:eastAsia="Arial" w:hAnsi="Arial"/>
                <w:sz w:val="14"/>
                <w:szCs w:val="14"/>
                <w:color w:val="auto"/>
              </w:rPr>
              <w:t>3.5 years</w:t>
            </w:r>
          </w:p>
        </w:tc>
      </w:tr>
      <w:tr>
        <w:trPr>
          <w:trHeight w:val="259"/>
        </w:trPr>
        <w:tc>
          <w:tcPr>
            <w:tcW w:w="40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15"/>
        </w:trPr>
        <w:tc>
          <w:tcPr>
            <w:tcW w:w="40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b w:val="1"/>
                <w:bCs w:val="1"/>
                <w:color w:val="auto"/>
              </w:rPr>
              <w:t>Weighted Average Discount Rate</w:t>
            </w:r>
          </w:p>
        </w:tc>
        <w:tc>
          <w:tcPr>
            <w:tcW w:w="292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19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1820" w:type="dxa"/>
            <w:vAlign w:val="bottom"/>
            <w:tcBorders>
              <w:bottom w:val="single" w:sz="8" w:color="CCFFCC"/>
            </w:tcBorders>
            <w:shd w:val="clear" w:color="auto" w:fill="CCFFCC"/>
          </w:tcPr>
          <w:p>
            <w:pPr>
              <w:spacing w:after="0"/>
              <w:rPr>
                <w:sz w:val="18"/>
                <w:szCs w:val="18"/>
                <w:color w:val="auto"/>
              </w:rPr>
            </w:pPr>
          </w:p>
        </w:tc>
      </w:tr>
      <w:tr>
        <w:trPr>
          <w:trHeight w:val="207"/>
        </w:trPr>
        <w:tc>
          <w:tcPr>
            <w:tcW w:w="4040" w:type="dxa"/>
            <w:vAlign w:val="bottom"/>
          </w:tcPr>
          <w:p>
            <w:pPr>
              <w:ind w:left="160"/>
              <w:spacing w:after="0"/>
              <w:rPr>
                <w:sz w:val="20"/>
                <w:szCs w:val="20"/>
                <w:color w:val="auto"/>
              </w:rPr>
            </w:pPr>
            <w:r>
              <w:rPr>
                <w:rFonts w:ascii="Arial" w:cs="Arial" w:eastAsia="Arial" w:hAnsi="Arial"/>
                <w:sz w:val="14"/>
                <w:szCs w:val="14"/>
                <w:color w:val="auto"/>
              </w:rPr>
              <w:t>Operating leases</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521"/>
        </w:trPr>
        <w:tc>
          <w:tcPr>
            <w:tcW w:w="4040" w:type="dxa"/>
            <w:vAlign w:val="bottom"/>
          </w:tcPr>
          <w:p>
            <w:pPr>
              <w:spacing w:after="0"/>
              <w:rPr>
                <w:sz w:val="24"/>
                <w:szCs w:val="24"/>
                <w:color w:val="auto"/>
              </w:rPr>
            </w:pPr>
          </w:p>
        </w:tc>
        <w:tc>
          <w:tcPr>
            <w:tcW w:w="2920" w:type="dxa"/>
            <w:vAlign w:val="bottom"/>
          </w:tcPr>
          <w:p>
            <w:pPr>
              <w:jc w:val="right"/>
              <w:ind w:right="1186"/>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260"/>
          </w:cols>
          <w:pgMar w:left="320" w:top="170" w:right="31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right="540" w:firstLine="564"/>
        <w:spacing w:after="0" w:line="265" w:lineRule="auto"/>
        <w:rPr>
          <w:sz w:val="20"/>
          <w:szCs w:val="20"/>
          <w:color w:val="auto"/>
        </w:rPr>
      </w:pPr>
      <w:r>
        <w:rPr>
          <w:rFonts w:ascii="Arial" w:cs="Arial" w:eastAsia="Arial" w:hAnsi="Arial"/>
          <w:sz w:val="16"/>
          <w:szCs w:val="16"/>
          <w:color w:val="auto"/>
        </w:rPr>
        <w:t>Future minimum lease payments under non-cancellable operating leases (with an initial or remaining lease terms in excess of one year) are as follows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Year ending December 31:</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0"/>
              </w:rPr>
              <w:t>As of September 30, 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w w:val="92"/>
              </w:rPr>
              <w:t>As of December 31, 2019</w:t>
            </w:r>
          </w:p>
        </w:tc>
      </w:tr>
      <w:tr>
        <w:trPr>
          <w:trHeight w:val="192"/>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2020 (remaining three months for September 30, 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1,807</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50"/>
              <w:spacing w:after="0"/>
              <w:rPr>
                <w:sz w:val="20"/>
                <w:szCs w:val="20"/>
                <w:color w:val="auto"/>
              </w:rPr>
            </w:pPr>
            <w:r>
              <w:rPr>
                <w:rFonts w:ascii="Arial" w:cs="Arial" w:eastAsia="Arial" w:hAnsi="Arial"/>
                <w:sz w:val="14"/>
                <w:szCs w:val="14"/>
                <w:color w:val="auto"/>
              </w:rPr>
              <w:t>7,787</w:t>
            </w:r>
          </w:p>
        </w:tc>
      </w:tr>
      <w:tr>
        <w:trPr>
          <w:trHeight w:val="29"/>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5"/>
        </w:trPr>
        <w:tc>
          <w:tcPr>
            <w:tcW w:w="7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66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6,778</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80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6,530</w:t>
            </w:r>
          </w:p>
        </w:tc>
      </w:tr>
      <w:tr>
        <w:trPr>
          <w:trHeight w:val="207"/>
        </w:trPr>
        <w:tc>
          <w:tcPr>
            <w:tcW w:w="7220" w:type="dxa"/>
            <w:vAlign w:val="bottom"/>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4,006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right"/>
              <w:ind w:right="50"/>
              <w:spacing w:after="0"/>
              <w:rPr>
                <w:sz w:val="20"/>
                <w:szCs w:val="20"/>
                <w:color w:val="auto"/>
              </w:rPr>
            </w:pPr>
            <w:r>
              <w:rPr>
                <w:rFonts w:ascii="Arial" w:cs="Arial" w:eastAsia="Arial" w:hAnsi="Arial"/>
                <w:sz w:val="14"/>
                <w:szCs w:val="14"/>
                <w:color w:val="auto"/>
              </w:rPr>
              <w:t>3,746</w:t>
            </w:r>
          </w:p>
        </w:tc>
      </w:tr>
      <w:tr>
        <w:trPr>
          <w:trHeight w:val="29"/>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5"/>
        </w:trPr>
        <w:tc>
          <w:tcPr>
            <w:tcW w:w="7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66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2,148</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80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1,925</w:t>
            </w:r>
          </w:p>
        </w:tc>
      </w:tr>
      <w:tr>
        <w:trPr>
          <w:trHeight w:val="207"/>
        </w:trPr>
        <w:tc>
          <w:tcPr>
            <w:tcW w:w="7220" w:type="dxa"/>
            <w:vAlign w:val="bottom"/>
          </w:tcPr>
          <w:p>
            <w:pPr>
              <w:ind w:left="2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1,367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right"/>
              <w:ind w:right="50"/>
              <w:spacing w:after="0"/>
              <w:rPr>
                <w:sz w:val="20"/>
                <w:szCs w:val="20"/>
                <w:color w:val="auto"/>
              </w:rPr>
            </w:pPr>
            <w:r>
              <w:rPr>
                <w:rFonts w:ascii="Arial" w:cs="Arial" w:eastAsia="Arial" w:hAnsi="Arial"/>
                <w:sz w:val="14"/>
                <w:szCs w:val="14"/>
                <w:color w:val="auto"/>
              </w:rPr>
              <w:t>1,148</w:t>
            </w:r>
          </w:p>
        </w:tc>
      </w:tr>
      <w:tr>
        <w:trPr>
          <w:trHeight w:val="29"/>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5"/>
        </w:trPr>
        <w:tc>
          <w:tcPr>
            <w:tcW w:w="732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4"/>
                <w:szCs w:val="14"/>
                <w:color w:val="auto"/>
              </w:rPr>
              <w:t>Thereafter</w:t>
            </w:r>
          </w:p>
        </w:tc>
        <w:tc>
          <w:tcPr>
            <w:tcW w:w="160" w:type="dxa"/>
            <w:vAlign w:val="bottom"/>
            <w:tcBorders>
              <w:bottom w:val="single" w:sz="8" w:color="CCFFCC"/>
            </w:tcBorders>
            <w:shd w:val="clear" w:color="auto" w:fill="CCFFCC"/>
          </w:tcPr>
          <w:p>
            <w:pPr>
              <w:spacing w:after="0"/>
              <w:rPr>
                <w:sz w:val="20"/>
                <w:szCs w:val="20"/>
                <w:color w:val="auto"/>
              </w:rPr>
            </w:pPr>
          </w:p>
        </w:tc>
        <w:tc>
          <w:tcPr>
            <w:tcW w:w="166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1,247</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80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864</w:t>
            </w:r>
          </w:p>
        </w:tc>
      </w:tr>
      <w:tr>
        <w:trPr>
          <w:trHeight w:val="187"/>
        </w:trPr>
        <w:tc>
          <w:tcPr>
            <w:tcW w:w="7320" w:type="dxa"/>
            <w:vAlign w:val="bottom"/>
            <w:gridSpan w:val="2"/>
          </w:tcPr>
          <w:p>
            <w:pPr>
              <w:ind w:left="160"/>
              <w:spacing w:after="0"/>
              <w:rPr>
                <w:sz w:val="20"/>
                <w:szCs w:val="20"/>
                <w:color w:val="auto"/>
              </w:rPr>
            </w:pPr>
            <w:r>
              <w:rPr>
                <w:rFonts w:ascii="Arial" w:cs="Arial" w:eastAsia="Arial" w:hAnsi="Arial"/>
                <w:sz w:val="14"/>
                <w:szCs w:val="14"/>
                <w:color w:val="auto"/>
              </w:rPr>
              <w:t>Total undiscounted lease payments</w:t>
            </w:r>
          </w:p>
        </w:tc>
        <w:tc>
          <w:tcPr>
            <w:tcW w:w="16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17,353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22,000</w:t>
            </w:r>
          </w:p>
        </w:tc>
      </w:tr>
      <w:tr>
        <w:trPr>
          <w:trHeight w:val="29"/>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5"/>
        </w:trPr>
        <w:tc>
          <w:tcPr>
            <w:tcW w:w="732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4"/>
                <w:szCs w:val="14"/>
                <w:color w:val="auto"/>
              </w:rPr>
              <w:t>Less: present value adjustment</w:t>
            </w:r>
          </w:p>
        </w:tc>
        <w:tc>
          <w:tcPr>
            <w:tcW w:w="160" w:type="dxa"/>
            <w:vAlign w:val="bottom"/>
            <w:tcBorders>
              <w:bottom w:val="single" w:sz="8" w:color="CCFFCC"/>
            </w:tcBorders>
            <w:shd w:val="clear" w:color="auto" w:fill="CCFFCC"/>
          </w:tcPr>
          <w:p>
            <w:pPr>
              <w:spacing w:after="0"/>
              <w:rPr>
                <w:sz w:val="20"/>
                <w:szCs w:val="20"/>
                <w:color w:val="auto"/>
              </w:rPr>
            </w:pPr>
          </w:p>
        </w:tc>
        <w:tc>
          <w:tcPr>
            <w:tcW w:w="1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(1,748)</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(2,533)</w:t>
            </w:r>
          </w:p>
        </w:tc>
      </w:tr>
      <w:tr>
        <w:trPr>
          <w:trHeight w:val="207"/>
        </w:trPr>
        <w:tc>
          <w:tcPr>
            <w:tcW w:w="7320" w:type="dxa"/>
            <w:vAlign w:val="bottom"/>
            <w:gridSpan w:val="2"/>
          </w:tcPr>
          <w:p>
            <w:pPr>
              <w:ind w:left="160"/>
              <w:spacing w:after="0"/>
              <w:rPr>
                <w:sz w:val="20"/>
                <w:szCs w:val="20"/>
                <w:color w:val="auto"/>
              </w:rPr>
            </w:pPr>
            <w:r>
              <w:rPr>
                <w:rFonts w:ascii="Arial" w:cs="Arial" w:eastAsia="Arial" w:hAnsi="Arial"/>
                <w:sz w:val="14"/>
                <w:szCs w:val="14"/>
                <w:color w:val="auto"/>
              </w:rPr>
              <w:t>Total operating lease liability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15,605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19,467</w:t>
            </w:r>
          </w:p>
        </w:tc>
      </w:tr>
      <w:tr>
        <w:trPr>
          <w:trHeight w:val="20"/>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timing and amounts of future minimum lease payments under non-cancellable operating leases in the above table may be subject to change as a result of the restructuring (see Note 13).</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Benefit Plans</w:t>
      </w:r>
    </w:p>
    <w:p>
      <w:pPr>
        <w:spacing w:after="0" w:line="98" w:lineRule="exact"/>
        <w:rPr>
          <w:sz w:val="20"/>
          <w:szCs w:val="20"/>
          <w:color w:val="auto"/>
        </w:rPr>
      </w:pPr>
    </w:p>
    <w:p>
      <w:pPr>
        <w:jc w:val="both"/>
        <w:ind w:right="20" w:firstLine="564"/>
        <w:spacing w:after="0" w:line="342" w:lineRule="auto"/>
        <w:rPr>
          <w:sz w:val="20"/>
          <w:szCs w:val="20"/>
          <w:color w:val="auto"/>
        </w:rPr>
      </w:pPr>
      <w:r>
        <w:rPr>
          <w:rFonts w:ascii="Arial" w:cs="Arial" w:eastAsia="Arial" w:hAnsi="Arial"/>
          <w:sz w:val="13"/>
          <w:szCs w:val="13"/>
          <w:color w:val="auto"/>
        </w:rPr>
        <w:t>In 2019, the Company's 401(k) policy was changed to a Safe Harbor Plan, whereby the Company matches 100% of the first 3% of eligible compensation and 50% of the next 2% of eligible compensation. Furthermore, the match is immediately vested. Salaries and related expenses include $0.7 million and $0.8 million of employer matching contributions for the three months ended September 30, 2020 and 2019, respectively, and $2.5 million for the nine months ended September 30, 2020 and 2019.</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Letters of Credit</w:t>
      </w:r>
    </w:p>
    <w:p>
      <w:pPr>
        <w:spacing w:after="0" w:line="98"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As of September 30, 2020, the Company has a $0.5 million letter of credit outstanding substantially in favor of a certain landlord for office space. In addition, the Company has a letter of credit totaling $0.1 million as a security deposit for the due performance by the Company of the terms and conditions of a supply contract. As a result of our transition to an employee-centric model, there were two draws against our letter of credit in the aggregate amount of $1.3 million in connection with exiting leases in Alpharetta, Georgia and Israel during the nine months ended September 30, 2020.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 Income Tax Matters</w:t>
      </w:r>
    </w:p>
    <w:p>
      <w:pPr>
        <w:spacing w:after="0" w:line="98" w:lineRule="exact"/>
        <w:rPr>
          <w:sz w:val="20"/>
          <w:szCs w:val="20"/>
          <w:color w:val="auto"/>
        </w:rPr>
      </w:pPr>
    </w:p>
    <w:p>
      <w:pPr>
        <w:jc w:val="both"/>
        <w:ind w:firstLine="564"/>
        <w:spacing w:after="0" w:line="322" w:lineRule="auto"/>
        <w:rPr>
          <w:sz w:val="20"/>
          <w:szCs w:val="20"/>
          <w:color w:val="auto"/>
        </w:rPr>
      </w:pPr>
      <w:r>
        <w:rPr>
          <w:rFonts w:ascii="Arial" w:cs="Arial" w:eastAsia="Arial" w:hAnsi="Arial"/>
          <w:sz w:val="13"/>
          <w:szCs w:val="13"/>
          <w:color w:val="auto"/>
        </w:rPr>
        <w:t>The Company is in the process of finalizing its sales tax liability analysis for states in which it has economic nexus. During the first quarter of 2020, the Company determined it was probable the Company would be subject to sales tax liabilities plus applicable interest in these states and has estimated the potential exposure to range between $2.5 million to $6.3 million. The Company determined that its best estimate of what would be reasonably expected for the Company to settle the potential exposure was $2.5 million and accordingly, the Company accrued this amount with a corresponding charge to earnings as of and for the three months ended March 31, 2020. Through September 30, 2020, there has not been any significant changes in the Company’s process of finalizing its sales tax liability nor in the overall accrued amount.</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 Pandemic</w:t>
      </w:r>
    </w:p>
    <w:p>
      <w:pPr>
        <w:spacing w:after="0" w:line="310"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In December 2019, a novel coronavirus disease (“COVID-19”) was first reported. On March 11, 2020, due to worldwide spread of the virus, the World Health Organization characterized COVID-19 as a pandemic. The COVID-19 global pandemic has resulted in a widespread health crisis, and the resulting impact on governments, businesses and individuals and actions taken by them in response to the situation have resulted in widespread economic disruptions, significantly affecting broader economies, financial markets, and overall demand for the Company’s products. The COVID-19 outbreak also has caused increased uncertainty in estimates and assumptions affecting the reported amounts of assets and liabilities, and the disclosure of contingent assets and liabilities in the Company’s Condensed Consolidated Financial Statements as the extent and period of recovery from the COVID-19 outbreak and related economic disruption is difficult to forecast.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60"/>
          </w:cols>
          <w:pgMar w:left="320" w:top="170" w:right="31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564"/>
        <w:spacing w:after="0" w:line="313" w:lineRule="auto"/>
        <w:rPr>
          <w:sz w:val="20"/>
          <w:szCs w:val="20"/>
          <w:color w:val="auto"/>
        </w:rPr>
      </w:pPr>
      <w:r>
        <w:rPr>
          <w:rFonts w:ascii="Arial" w:cs="Arial" w:eastAsia="Arial" w:hAnsi="Arial"/>
          <w:sz w:val="13"/>
          <w:szCs w:val="13"/>
          <w:color w:val="auto"/>
        </w:rPr>
        <w:t>The extent to which COVID-19 impacts the Company’s business and financial results will depend on numerous evolving factors including, but not limited to, the magnitude and duration of COVID-19, the extent to which it will impact worldwide macroeconomic conditions, the speed of the anticipated recovery, and governmental and business reactions to the pandemic. The Company assessed certain accounting matters that generally require consideration of forecasted financial information in context with the information reasonably available to the Company and the unknown future impacts of COVID-19. The accounting matters assessed included, but were not limited to, the Company’s allowance for credit losses and the carrying value of the goodwill and other long-lived assets. While there was not any significant impact to the operations of the Company, during the three months ended September 30, 2020, the Company moved to an employee-centric model under which employees will work remotely rather than in traditional offices due to concerns about COVID-19. As a result of this decision, the Company recognized accelerated amortization to fully reduce the carrying value of the associated right of use assets (“ROU assets”) for 14 leases within its global lease portfolio, which is a material impact to the Company’s consolidated financial statements as of and for the nine months ended September 30, 2020. Refer to earlier paragraphs of this Note 11 for a detailed discussion of the impacts of this lease restructuring.</w:t>
      </w:r>
    </w:p>
    <w:p>
      <w:pPr>
        <w:spacing w:after="0" w:line="321"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Company’s future assessment of the magnitude and duration of COVID-19, as well as other factors, could result in other material impacts to the Company’s consolidated financial statements in future reporting periods.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Stockholders</w:t>
      </w:r>
      <w:r>
        <w:rPr>
          <w:rFonts w:ascii="Arial" w:cs="Arial" w:eastAsia="Arial" w:hAnsi="Arial"/>
          <w:sz w:val="16"/>
          <w:szCs w:val="16"/>
          <w:color w:val="auto"/>
        </w:rPr>
        <w:t>’</w:t>
      </w:r>
      <w:r>
        <w:rPr>
          <w:rFonts w:ascii="Arial" w:cs="Arial" w:eastAsia="Arial" w:hAnsi="Arial"/>
          <w:sz w:val="16"/>
          <w:szCs w:val="16"/>
          <w:b w:val="1"/>
          <w:bCs w:val="1"/>
          <w:color w:val="auto"/>
        </w:rPr>
        <w:t xml:space="preserve"> Equity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w:t>
      </w:r>
    </w:p>
    <w:p>
      <w:pPr>
        <w:spacing w:after="0" w:line="98" w:lineRule="exact"/>
        <w:rPr>
          <w:sz w:val="20"/>
          <w:szCs w:val="20"/>
          <w:color w:val="auto"/>
        </w:rPr>
      </w:pPr>
    </w:p>
    <w:p>
      <w:pPr>
        <w:jc w:val="both"/>
        <w:ind w:right="20" w:firstLine="564"/>
        <w:spacing w:after="0" w:line="255" w:lineRule="auto"/>
        <w:rPr>
          <w:sz w:val="20"/>
          <w:szCs w:val="20"/>
          <w:color w:val="auto"/>
        </w:rPr>
      </w:pPr>
      <w:r>
        <w:rPr>
          <w:rFonts w:ascii="Arial" w:cs="Arial" w:eastAsia="Arial" w:hAnsi="Arial"/>
          <w:sz w:val="16"/>
          <w:szCs w:val="16"/>
          <w:color w:val="auto"/>
        </w:rPr>
        <w:t>As of September 30, 2020, there were 200,000,000 shares of common stock authorized, 69,457,299 shares issued, and 66,747,469 shares outstanding. As of December 31, 2019, there were 200,000,000 shares of common stock authorized, 66,543,073 shares issued and 63,833,243 shares outstanding. The par value for common shares is $0.001 per share.</w:t>
      </w:r>
    </w:p>
    <w:p>
      <w:pPr>
        <w:spacing w:after="0" w:line="72"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On June 6, 2019, the Company’s stockholders approved an amendment to the Company’s certificate of incorporation to increase the number of shares of our common stock that the Company is authorized to issue from 100,000,000 to 200,000,000 shares. On November 12, 2019, the Company filed a charter amendment with the State of Delaware to effectuate the increase in the number of shares of the Company’s common stock that the Company is authorized to issue.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Stock</w:t>
      </w:r>
    </w:p>
    <w:p>
      <w:pPr>
        <w:spacing w:after="0" w:line="9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As of September 30, 2020 and December 31, 2019, there were 5,000,000 shares of preferred stock authorized, and zero shares issued and outstanding. The par value for preferred shares is $0.001 per share.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Repurchase Program</w:t>
      </w:r>
    </w:p>
    <w:p>
      <w:pPr>
        <w:spacing w:after="0" w:line="98"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From 2012 through 2018, the Company had a stock repurchase program in place pursuant to which the Company was authorized to repurchase shares of its common stock, in the open market or privately negotiated transactions, at times and prices considered appropriate by the Board of Directors depending upon prevailing market conditions and other corporate considerations. The timing and actual number of shares repurchased depended on a variety of factors including the timing of open trading windows, price, corporate and regulatory requirements and other market conditions. The program was discontinued at the end of 2018. The Company may or may not enter into a new stock repurchase program in the future.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98"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Incremental compensation costs arising from subsequent modifications of awards after the grant date must be recognized.</w:t>
      </w:r>
    </w:p>
    <w:p>
      <w:pPr>
        <w:spacing w:after="0" w:line="74"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Our forfeiture rate assumptions, which estimate the share-based awards that will ultimately vest, requires judgment, and to the extent actual results or updated estimates differ from our current estimates, such amounts will be recorded as a cumulative adjustment in the period of change and could be materially different from share-based compensation expense recorded in prior periods. Effective January 1, 2020, the Company changed its forfeiture rate estimate which resulted in an increase in stock compensation expense of $2.3 million as of March 31, 2020.</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60"/>
          </w:cols>
          <w:pgMar w:left="320" w:top="170" w:right="31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The per share weighted average fair value of stock options granted was $17.73 and $13.07 during the three months ended September 30, 2020 and 2019, respectively. The per share weighted average fair value of stock options granted was $12.67 and $11.58 during the nine months ended September 30, 2020 and 2019, respectively. The fair value of each option grant is estimated on the date of grant, adjusted for estimated forfeitures, using the Black-Scholes option-pricing model with the following weighted average assumptions: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20" w:type="dxa"/>
            <w:vAlign w:val="bottom"/>
          </w:tcPr>
          <w:p>
            <w:pPr>
              <w:spacing w:after="0"/>
              <w:rPr>
                <w:sz w:val="14"/>
                <w:szCs w:val="14"/>
                <w:color w:val="auto"/>
              </w:rPr>
            </w:pPr>
          </w:p>
        </w:tc>
        <w:tc>
          <w:tcPr>
            <w:tcW w:w="310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b w:val="1"/>
                <w:bCs w:val="1"/>
                <w:color w:val="auto"/>
              </w:rPr>
              <w:t>Three Months Ended September 30,</w:t>
            </w:r>
          </w:p>
        </w:tc>
        <w:tc>
          <w:tcPr>
            <w:tcW w:w="3420" w:type="dxa"/>
            <w:vAlign w:val="bottom"/>
            <w:tcBorders>
              <w:bottom w:val="single" w:sz="8" w:color="auto"/>
            </w:tcBorders>
            <w:gridSpan w:val="3"/>
          </w:tcPr>
          <w:p>
            <w:pPr>
              <w:ind w:left="860"/>
              <w:spacing w:after="0"/>
              <w:rPr>
                <w:sz w:val="20"/>
                <w:szCs w:val="20"/>
                <w:color w:val="auto"/>
              </w:rPr>
            </w:pPr>
            <w:r>
              <w:rPr>
                <w:rFonts w:ascii="Arial" w:cs="Arial" w:eastAsia="Arial" w:hAnsi="Arial"/>
                <w:sz w:val="13"/>
                <w:szCs w:val="13"/>
                <w:b w:val="1"/>
                <w:bCs w:val="1"/>
                <w:color w:val="auto"/>
              </w:rPr>
              <w:t>Nine Months Ended September 30,</w:t>
            </w:r>
          </w:p>
        </w:tc>
      </w:tr>
      <w:tr>
        <w:trPr>
          <w:trHeight w:val="227"/>
        </w:trPr>
        <w:tc>
          <w:tcPr>
            <w:tcW w:w="4720" w:type="dxa"/>
            <w:vAlign w:val="bottom"/>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1620" w:type="dxa"/>
            <w:vAlign w:val="bottom"/>
            <w:tcBorders>
              <w:bottom w:val="single" w:sz="8" w:color="auto"/>
            </w:tcBorders>
          </w:tcPr>
          <w:p>
            <w:pPr>
              <w:jc w:val="center"/>
              <w:ind w:left="112"/>
              <w:spacing w:after="0"/>
              <w:rPr>
                <w:sz w:val="20"/>
                <w:szCs w:val="20"/>
                <w:color w:val="auto"/>
              </w:rPr>
            </w:pPr>
            <w:r>
              <w:rPr>
                <w:rFonts w:ascii="Arial" w:cs="Arial" w:eastAsia="Arial" w:hAnsi="Arial"/>
                <w:sz w:val="13"/>
                <w:szCs w:val="13"/>
                <w:b w:val="1"/>
                <w:bCs w:val="1"/>
                <w:color w:val="auto"/>
                <w:w w:val="82"/>
              </w:rPr>
              <w:t>2020</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r>
      <w:tr>
        <w:trPr>
          <w:trHeight w:val="204"/>
        </w:trPr>
        <w:tc>
          <w:tcPr>
            <w:tcW w:w="472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0.0%</w:t>
            </w: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0.0%</w:t>
            </w:r>
          </w:p>
        </w:tc>
        <w:tc>
          <w:tcPr>
            <w:tcW w:w="1620" w:type="dxa"/>
            <w:vAlign w:val="bottom"/>
          </w:tcPr>
          <w:p>
            <w:pPr>
              <w:jc w:val="center"/>
              <w:ind w:left="92"/>
              <w:spacing w:after="0"/>
              <w:rPr>
                <w:sz w:val="20"/>
                <w:szCs w:val="20"/>
                <w:color w:val="auto"/>
              </w:rPr>
            </w:pPr>
            <w:r>
              <w:rPr>
                <w:rFonts w:ascii="Arial" w:cs="Arial" w:eastAsia="Arial" w:hAnsi="Arial"/>
                <w:sz w:val="14"/>
                <w:szCs w:val="14"/>
                <w:color w:val="auto"/>
                <w:w w:val="93"/>
              </w:rPr>
              <w:t>0.0%</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0.0%</w:t>
            </w:r>
          </w:p>
        </w:tc>
      </w:tr>
      <w:tr>
        <w:trPr>
          <w:trHeight w:val="29"/>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5"/>
        </w:trPr>
        <w:tc>
          <w:tcPr>
            <w:tcW w:w="47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Risk-free interest rate</w:t>
            </w:r>
          </w:p>
        </w:tc>
        <w:tc>
          <w:tcPr>
            <w:tcW w:w="15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4"/>
                <w:szCs w:val="14"/>
                <w:color w:val="auto"/>
                <w:w w:val="92"/>
              </w:rPr>
              <w:t>0.26%-0.29%</w:t>
            </w:r>
          </w:p>
        </w:tc>
        <w:tc>
          <w:tcPr>
            <w:tcW w:w="120" w:type="dxa"/>
            <w:vAlign w:val="bottom"/>
            <w:tcBorders>
              <w:bottom w:val="single" w:sz="8" w:color="CCFFCC"/>
            </w:tcBorders>
            <w:shd w:val="clear" w:color="auto" w:fill="CCFFCC"/>
          </w:tcPr>
          <w:p>
            <w:pPr>
              <w:spacing w:after="0"/>
              <w:rPr>
                <w:sz w:val="18"/>
                <w:szCs w:val="18"/>
                <w:color w:val="auto"/>
              </w:rPr>
            </w:pPr>
          </w:p>
        </w:tc>
        <w:tc>
          <w:tcPr>
            <w:tcW w:w="140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4"/>
                <w:szCs w:val="14"/>
                <w:color w:val="auto"/>
                <w:w w:val="90"/>
              </w:rPr>
              <w:t>1.83%</w:t>
            </w:r>
          </w:p>
        </w:tc>
        <w:tc>
          <w:tcPr>
            <w:tcW w:w="1620" w:type="dxa"/>
            <w:vAlign w:val="bottom"/>
            <w:tcBorders>
              <w:bottom w:val="single" w:sz="8" w:color="CCFFCC"/>
            </w:tcBorders>
            <w:shd w:val="clear" w:color="auto" w:fill="CCFFCC"/>
          </w:tcPr>
          <w:p>
            <w:pPr>
              <w:jc w:val="center"/>
              <w:ind w:left="92"/>
              <w:spacing w:after="0"/>
              <w:rPr>
                <w:sz w:val="20"/>
                <w:szCs w:val="20"/>
                <w:color w:val="auto"/>
              </w:rPr>
            </w:pPr>
            <w:r>
              <w:rPr>
                <w:rFonts w:ascii="Arial" w:cs="Arial" w:eastAsia="Arial" w:hAnsi="Arial"/>
                <w:sz w:val="14"/>
                <w:szCs w:val="14"/>
                <w:color w:val="auto"/>
                <w:w w:val="92"/>
              </w:rPr>
              <w:t>0.26%-0.66%</w:t>
            </w:r>
          </w:p>
        </w:tc>
        <w:tc>
          <w:tcPr>
            <w:tcW w:w="100" w:type="dxa"/>
            <w:vAlign w:val="bottom"/>
            <w:tcBorders>
              <w:bottom w:val="single" w:sz="8" w:color="CCFFCC"/>
            </w:tcBorders>
            <w:shd w:val="clear" w:color="auto" w:fill="CCFFCC"/>
          </w:tcPr>
          <w:p>
            <w:pPr>
              <w:spacing w:after="0"/>
              <w:rPr>
                <w:sz w:val="18"/>
                <w:szCs w:val="18"/>
                <w:color w:val="auto"/>
              </w:rPr>
            </w:pPr>
          </w:p>
        </w:tc>
        <w:tc>
          <w:tcPr>
            <w:tcW w:w="170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4"/>
                <w:szCs w:val="14"/>
                <w:color w:val="auto"/>
                <w:w w:val="93"/>
              </w:rPr>
              <w:t>1.88% - 2.57%</w:t>
            </w:r>
          </w:p>
        </w:tc>
      </w:tr>
      <w:tr>
        <w:trPr>
          <w:trHeight w:val="207"/>
        </w:trPr>
        <w:tc>
          <w:tcPr>
            <w:tcW w:w="4720" w:type="dxa"/>
            <w:vAlign w:val="bottom"/>
          </w:tcPr>
          <w:p>
            <w:pPr>
              <w:ind w:left="20"/>
              <w:spacing w:after="0"/>
              <w:rPr>
                <w:sz w:val="20"/>
                <w:szCs w:val="20"/>
                <w:color w:val="auto"/>
              </w:rPr>
            </w:pPr>
            <w:r>
              <w:rPr>
                <w:rFonts w:ascii="Arial" w:cs="Arial" w:eastAsia="Arial" w:hAnsi="Arial"/>
                <w:sz w:val="14"/>
                <w:szCs w:val="14"/>
                <w:color w:val="auto"/>
              </w:rPr>
              <w:t>Expected life (in years)</w:t>
            </w:r>
          </w:p>
        </w:tc>
        <w:tc>
          <w:tcPr>
            <w:tcW w:w="158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620" w:type="dxa"/>
            <w:vAlign w:val="bottom"/>
          </w:tcPr>
          <w:p>
            <w:pPr>
              <w:jc w:val="center"/>
              <w:ind w:left="112"/>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76"/>
              </w:rPr>
              <w:t>5</w:t>
            </w:r>
          </w:p>
        </w:tc>
      </w:tr>
      <w:tr>
        <w:trPr>
          <w:trHeight w:val="29"/>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7"/>
        </w:trPr>
        <w:tc>
          <w:tcPr>
            <w:tcW w:w="4720" w:type="dxa"/>
            <w:vAlign w:val="bottom"/>
            <w:shd w:val="clear" w:color="auto" w:fill="CCFFCC"/>
          </w:tcPr>
          <w:p>
            <w:pPr>
              <w:ind w:left="20"/>
              <w:spacing w:after="0"/>
              <w:rPr>
                <w:sz w:val="20"/>
                <w:szCs w:val="20"/>
                <w:color w:val="auto"/>
              </w:rPr>
            </w:pPr>
            <w:r>
              <w:rPr>
                <w:rFonts w:ascii="Arial" w:cs="Arial" w:eastAsia="Arial" w:hAnsi="Arial"/>
                <w:sz w:val="14"/>
                <w:szCs w:val="14"/>
                <w:color w:val="auto"/>
              </w:rPr>
              <w:t>Historical volatility</w:t>
            </w:r>
          </w:p>
        </w:tc>
        <w:tc>
          <w:tcPr>
            <w:tcW w:w="158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2"/>
              </w:rPr>
              <w:t>52.26%-52.43%</w:t>
            </w:r>
          </w:p>
        </w:tc>
        <w:tc>
          <w:tcPr>
            <w:tcW w:w="120" w:type="dxa"/>
            <w:vAlign w:val="bottom"/>
            <w:shd w:val="clear" w:color="auto" w:fill="CCFFCC"/>
          </w:tcPr>
          <w:p>
            <w:pPr>
              <w:spacing w:after="0"/>
              <w:rPr>
                <w:sz w:val="17"/>
                <w:szCs w:val="17"/>
                <w:color w:val="auto"/>
              </w:rPr>
            </w:pPr>
          </w:p>
        </w:tc>
        <w:tc>
          <w:tcPr>
            <w:tcW w:w="140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2"/>
              </w:rPr>
              <w:t>43.71%</w:t>
            </w:r>
          </w:p>
        </w:tc>
        <w:tc>
          <w:tcPr>
            <w:tcW w:w="1620" w:type="dxa"/>
            <w:vAlign w:val="bottom"/>
            <w:shd w:val="clear" w:color="auto" w:fill="CCFFCC"/>
          </w:tcPr>
          <w:p>
            <w:pPr>
              <w:jc w:val="center"/>
              <w:ind w:left="112"/>
              <w:spacing w:after="0"/>
              <w:rPr>
                <w:sz w:val="20"/>
                <w:szCs w:val="20"/>
                <w:color w:val="auto"/>
              </w:rPr>
            </w:pPr>
            <w:r>
              <w:rPr>
                <w:rFonts w:ascii="Arial" w:cs="Arial" w:eastAsia="Arial" w:hAnsi="Arial"/>
                <w:sz w:val="14"/>
                <w:szCs w:val="14"/>
                <w:color w:val="auto"/>
                <w:w w:val="92"/>
              </w:rPr>
              <w:t>46.50%-52.43%</w:t>
            </w:r>
          </w:p>
        </w:tc>
        <w:tc>
          <w:tcPr>
            <w:tcW w:w="100" w:type="dxa"/>
            <w:vAlign w:val="bottom"/>
            <w:shd w:val="clear" w:color="auto" w:fill="CCFFCC"/>
          </w:tcPr>
          <w:p>
            <w:pPr>
              <w:spacing w:after="0"/>
              <w:rPr>
                <w:sz w:val="17"/>
                <w:szCs w:val="17"/>
                <w:color w:val="auto"/>
              </w:rPr>
            </w:pPr>
          </w:p>
        </w:tc>
        <w:tc>
          <w:tcPr>
            <w:tcW w:w="170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88"/>
              </w:rPr>
              <w:t>43.42%</w:t>
            </w:r>
          </w:p>
        </w:tc>
      </w:tr>
      <w:tr>
        <w:trPr>
          <w:trHeight w:val="29"/>
        </w:trPr>
        <w:tc>
          <w:tcPr>
            <w:tcW w:w="4720" w:type="dxa"/>
            <w:vAlign w:val="bottom"/>
            <w:shd w:val="clear" w:color="auto" w:fill="CCFFCC"/>
          </w:tcPr>
          <w:p>
            <w:pPr>
              <w:spacing w:after="0"/>
              <w:rPr>
                <w:sz w:val="2"/>
                <w:szCs w:val="2"/>
                <w:color w:val="auto"/>
              </w:rPr>
            </w:pPr>
          </w:p>
        </w:tc>
        <w:tc>
          <w:tcPr>
            <w:tcW w:w="15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400" w:type="dxa"/>
            <w:vAlign w:val="bottom"/>
            <w:shd w:val="clear" w:color="auto" w:fill="CCFFCC"/>
          </w:tcPr>
          <w:p>
            <w:pPr>
              <w:spacing w:after="0"/>
              <w:rPr>
                <w:sz w:val="2"/>
                <w:szCs w:val="2"/>
                <w:color w:val="auto"/>
              </w:rPr>
            </w:pPr>
          </w:p>
        </w:tc>
        <w:tc>
          <w:tcPr>
            <w:tcW w:w="16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700" w:type="dxa"/>
            <w:vAlign w:val="bottom"/>
            <w:shd w:val="clear" w:color="auto" w:fill="CCFFCC"/>
          </w:tcPr>
          <w:p>
            <w:pPr>
              <w:spacing w:after="0"/>
              <w:rPr>
                <w:sz w:val="2"/>
                <w:szCs w:val="2"/>
                <w:color w:val="auto"/>
              </w:rPr>
            </w:pPr>
          </w:p>
        </w:tc>
      </w:tr>
    </w:tbl>
    <w:p>
      <w:pPr>
        <w:spacing w:after="0" w:line="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description of the methods used in the significant assumptions used to estimate the fair value of stock-based compensation awards follows: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Dividend yield – </w:t>
      </w:r>
      <w:r>
        <w:rPr>
          <w:rFonts w:ascii="Arial" w:cs="Arial" w:eastAsia="Arial" w:hAnsi="Arial"/>
          <w:sz w:val="16"/>
          <w:szCs w:val="16"/>
          <w:color w:val="auto"/>
        </w:rPr>
        <w:t>The Company uses 0% as it has never issued dividends and does not anticipate issuing dividends in the near term.</w:t>
      </w:r>
    </w:p>
    <w:p>
      <w:pPr>
        <w:spacing w:after="0" w:line="98" w:lineRule="exact"/>
        <w:rPr>
          <w:sz w:val="20"/>
          <w:szCs w:val="20"/>
          <w:color w:val="auto"/>
        </w:rPr>
      </w:pPr>
    </w:p>
    <w:p>
      <w:pPr>
        <w:ind w:left="420"/>
        <w:spacing w:after="0" w:line="265" w:lineRule="auto"/>
        <w:rPr>
          <w:sz w:val="20"/>
          <w:szCs w:val="20"/>
          <w:color w:val="auto"/>
        </w:rPr>
      </w:pPr>
      <w:r>
        <w:rPr>
          <w:rFonts w:ascii="Arial" w:cs="Arial" w:eastAsia="Arial" w:hAnsi="Arial"/>
          <w:sz w:val="16"/>
          <w:szCs w:val="16"/>
          <w:i w:val="1"/>
          <w:iCs w:val="1"/>
          <w:color w:val="auto"/>
        </w:rPr>
        <w:t xml:space="preserve">Risk-free interest rate – </w:t>
      </w:r>
      <w:r>
        <w:rPr>
          <w:rFonts w:ascii="Arial" w:cs="Arial" w:eastAsia="Arial" w:hAnsi="Arial"/>
          <w:sz w:val="16"/>
          <w:szCs w:val="16"/>
          <w:color w:val="auto"/>
        </w:rPr>
        <w:t>The Company uses the market yield on U.S. Treasury securities at five years with constant maturity, representing the current expected life of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in years.</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Expected life – </w:t>
      </w:r>
      <w:r>
        <w:rPr>
          <w:rFonts w:ascii="Arial" w:cs="Arial" w:eastAsia="Arial" w:hAnsi="Arial"/>
          <w:sz w:val="16"/>
          <w:szCs w:val="16"/>
          <w:color w:val="auto"/>
        </w:rPr>
        <w:t>The Company uses historical data to estimate the expected life of a stock option.</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Historical volatility – </w:t>
      </w:r>
      <w:r>
        <w:rPr>
          <w:rFonts w:ascii="Arial" w:cs="Arial" w:eastAsia="Arial" w:hAnsi="Arial"/>
          <w:sz w:val="16"/>
          <w:szCs w:val="16"/>
          <w:color w:val="auto"/>
        </w:rPr>
        <w:t>The Company uses a trailing five year from grant date to determine volatility.</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 Plans</w:t>
      </w:r>
    </w:p>
    <w:p>
      <w:pPr>
        <w:spacing w:after="0" w:line="98" w:lineRule="exact"/>
        <w:rPr>
          <w:sz w:val="20"/>
          <w:szCs w:val="20"/>
          <w:color w:val="auto"/>
        </w:rPr>
      </w:pPr>
    </w:p>
    <w:p>
      <w:pPr>
        <w:jc w:val="both"/>
        <w:ind w:right="20" w:firstLine="564"/>
        <w:spacing w:after="0" w:line="328" w:lineRule="auto"/>
        <w:rPr>
          <w:sz w:val="20"/>
          <w:szCs w:val="20"/>
          <w:color w:val="auto"/>
        </w:rPr>
      </w:pPr>
      <w:r>
        <w:rPr>
          <w:rFonts w:ascii="Arial" w:cs="Arial" w:eastAsia="Arial" w:hAnsi="Arial"/>
          <w:sz w:val="13"/>
          <w:szCs w:val="13"/>
          <w:color w:val="auto"/>
        </w:rPr>
        <w:t>During 1998, the Company established the Stock Option and Restricted Stock Purchase Plan (the “1998 Plan”). Under the 1998 Plan, the Board of Directors could issue incentive stock options or nonqualified stock options or other equity-based awards in respect of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2000 Plan by approximately 4,150,000, thereby reserving for issuance 10,000,000 shares of common stock in the aggregate.</w:t>
      </w:r>
    </w:p>
    <w:p>
      <w:pPr>
        <w:spacing w:after="0" w:line="29" w:lineRule="exact"/>
        <w:rPr>
          <w:sz w:val="20"/>
          <w:szCs w:val="20"/>
          <w:color w:val="auto"/>
        </w:rPr>
      </w:pPr>
    </w:p>
    <w:p>
      <w:pPr>
        <w:jc w:val="both"/>
        <w:ind w:firstLine="564"/>
        <w:spacing w:after="0" w:line="271" w:lineRule="auto"/>
        <w:rPr>
          <w:sz w:val="20"/>
          <w:szCs w:val="20"/>
          <w:color w:val="auto"/>
        </w:rPr>
      </w:pPr>
      <w:r>
        <w:rPr>
          <w:rFonts w:ascii="Arial" w:cs="Arial" w:eastAsia="Arial" w:hAnsi="Arial"/>
          <w:sz w:val="15"/>
          <w:szCs w:val="15"/>
          <w:color w:val="auto"/>
        </w:rPr>
        <w:t>The Company established the 2009 Stock Incentive Plan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Plan (the “Amended 2009 Plan”) effective June 7, 2012. The Amended 2009 Plan increased the number of shares authorized for issuance under the plan by an additional 4,250,000. On June 2, 2017, the Company's Board of Directors amended and restated the Amended 2009 Plan effective April 30, 2017. The amended and restated plan increased the number of shares authorized for issuance under the plan by an additional 4,000,000.</w:t>
      </w:r>
    </w:p>
    <w:p>
      <w:pPr>
        <w:spacing w:after="0" w:line="61"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On April 11, 2019, the Company's Board of Directors adopted, and on June 6, 2019, the Company's stockholders approved, the 2019 Stock Incentive Plan (“2019 Stock Incentive Plan”) to replace the Amended 2009 Plan, which was set to expire under its terms on June 9, 2019. Under the 2019 Stock Incentive Plan, the number of shares underlying options and other equity awards which remain outstanding, as well as the number of shares that remained available for grant, under the Amended 2009 Plan and under the Amended 2000 Plan were incorporated, as of June 6, 2019, into the 2019 Stock Incentive Plan. In addition, under the 2019 Stock Incentive Plan, 4,250,000 new shares were authorized for issuance.</w:t>
      </w:r>
    </w:p>
    <w:p>
      <w:pPr>
        <w:spacing w:after="0" w:line="35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On June 11, 2020, the Company's Board of Directors adopted, and on June 17, 2020, the company's stockholders approved, the amendments to the LivePerson, Inc. 2019 Stock Incentive Plan. In addition, under the 2019 Stock Incentive Plan, 3,000,000 new shares were authorized for issuance.</w:t>
      </w:r>
    </w:p>
    <w:p>
      <w:pPr>
        <w:spacing w:after="0" w:line="346" w:lineRule="exact"/>
        <w:rPr>
          <w:sz w:val="20"/>
          <w:szCs w:val="20"/>
          <w:color w:val="auto"/>
        </w:rPr>
      </w:pPr>
    </w:p>
    <w:p>
      <w:pPr>
        <w:jc w:val="both"/>
        <w:ind w:right="20" w:firstLine="564"/>
        <w:spacing w:after="0" w:line="342" w:lineRule="auto"/>
        <w:rPr>
          <w:sz w:val="20"/>
          <w:szCs w:val="20"/>
          <w:color w:val="auto"/>
        </w:rPr>
      </w:pPr>
      <w:r>
        <w:rPr>
          <w:rFonts w:ascii="Arial" w:cs="Arial" w:eastAsia="Arial" w:hAnsi="Arial"/>
          <w:sz w:val="13"/>
          <w:szCs w:val="13"/>
          <w:color w:val="auto"/>
        </w:rPr>
        <w:t>The number of shares authorized for issuance under the 2019 Stock Incentive Plan, the Amended 2009 Plan, and the 2000 Plan is 35,067,744 shares in the aggregate. Options to acquire common stock granted thereunder have 10-year terms. As of September 30, 2020, approximately 3.3 million shares of common stock remained available for issuance under the 2019 Stock Incentive Plan (taking into account all option exercises and other equity award settlements through September 30,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60"/>
          </w:cols>
          <w:pgMar w:left="320" w:top="170" w:right="31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98"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In June 2010, the Company’s stockholders approved the 2010 Employee Stock Purchase Plan with 1,000,000 shares of common stock initially reserved for issuance. Subject to stockholder approval, which was obtained on June 2, 2017, the Company's Board of Directors amended and restated the 2010 Employee Stock Purchase Plan effective April 30, 2017. The amended and restated plan increased the number of shares authorized for issuance under the plan by an additional 1,000,000, thereby reserving for issuance 2,000,000 shares of common stock in the aggregate.</w:t>
      </w:r>
    </w:p>
    <w:p>
      <w:pPr>
        <w:spacing w:after="0" w:line="74"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On April 11, 2019, the Company's Board of Directors adopted, and on June 6, 2019, the Company's stockholders approved, the 2019 Employee Stock Purchase Plan (the “2019 Employee Stock Purchase Plan”) to replace the Amended and Restated 2010 Employee Stock Purchase Plan which was set to expire under its terms in June 2020. There are 1,000,000 shares authorized and reserved for issuance under the 2019 Employee Stock Purchase Plan. As of September 30, 2020, approximately 0.8 million shares of common stock remain available for issuance under the 2019 Employee Stock Purchase Plan (taking into account all share purchases through September 30, 2020).</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Inducement Plan</w:t>
      </w:r>
    </w:p>
    <w:p>
      <w:pPr>
        <w:spacing w:after="0" w:line="98" w:lineRule="exact"/>
        <w:rPr>
          <w:sz w:val="20"/>
          <w:szCs w:val="20"/>
          <w:color w:val="auto"/>
        </w:rPr>
      </w:pPr>
    </w:p>
    <w:p>
      <w:pPr>
        <w:jc w:val="both"/>
        <w:ind w:firstLine="564"/>
        <w:spacing w:after="0" w:line="315" w:lineRule="auto"/>
        <w:rPr>
          <w:sz w:val="20"/>
          <w:szCs w:val="20"/>
          <w:color w:val="auto"/>
        </w:rPr>
      </w:pPr>
      <w:r>
        <w:rPr>
          <w:rFonts w:ascii="Arial" w:cs="Arial" w:eastAsia="Arial" w:hAnsi="Arial"/>
          <w:sz w:val="13"/>
          <w:szCs w:val="13"/>
          <w:color w:val="auto"/>
        </w:rPr>
        <w:t>During January 2018, the Company established the Inducement Plan (the “2018 Plan”). Under the 2018 Plan, the Board of Directors can issue nonqualified stock options or other equity-based awards in respect of up to 1,500,000 shares of common stock. On April 25, 2018, the Company's Board of Directors amended and restated the 2018 Plan (the “Amended 2018 Plan”). The Amended 2018 Plan increased the number of shares authorized for issuance under the plan by an additional 500,000 shares, and subsequently the Board of Directors has approved and ratified, effective as of July 31, 2018, October 29, 2018 and February 13, 2019, increases of the number of shares authorized for issuance under the Amended 2018 Plan by 500,000, 250,000 and 618,048 shares, respectively, constituting 3,368,048 shares of common stock in the aggregate being reserved for issuance pursuant to grants under the Amended 2018 Plan. As of September 30, 2020, approximately 1.2 million shares of common stock remained available for issuance under the Amended 2018 Plan (taking into account all option exercises and other equity award settlements through September 30, 2020).</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 Activity</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the Company’s stock option activity and weighted average exercise prices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5"/>
                <w:szCs w:val="15"/>
                <w:color w:val="auto"/>
              </w:rPr>
            </w:pPr>
          </w:p>
        </w:tc>
        <w:tc>
          <w:tcPr>
            <w:tcW w:w="3160" w:type="dxa"/>
            <w:vAlign w:val="bottom"/>
            <w:gridSpan w:val="5"/>
          </w:tcPr>
          <w:p>
            <w:pPr>
              <w:ind w:left="880"/>
              <w:spacing w:after="0"/>
              <w:rPr>
                <w:sz w:val="20"/>
                <w:szCs w:val="20"/>
                <w:color w:val="auto"/>
              </w:rPr>
            </w:pPr>
            <w:r>
              <w:rPr>
                <w:rFonts w:ascii="Arial" w:cs="Arial" w:eastAsia="Arial" w:hAnsi="Arial"/>
                <w:sz w:val="14"/>
                <w:szCs w:val="14"/>
                <w:b w:val="1"/>
                <w:bCs w:val="1"/>
                <w:color w:val="auto"/>
              </w:rPr>
              <w:t>Stock Option Activity</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0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Weighted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Average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 (in</w:t>
            </w:r>
          </w:p>
        </w:tc>
        <w:tc>
          <w:tcPr>
            <w:tcW w:w="100" w:type="dxa"/>
            <w:vAlign w:val="bottom"/>
          </w:tcPr>
          <w:p>
            <w:pPr>
              <w:spacing w:after="0"/>
              <w:rPr>
                <w:sz w:val="15"/>
                <w:szCs w:val="15"/>
                <w:color w:val="auto"/>
              </w:rPr>
            </w:pPr>
          </w:p>
        </w:tc>
        <w:tc>
          <w:tcPr>
            <w:tcW w:w="1360" w:type="dxa"/>
            <w:vAlign w:val="bottom"/>
          </w:tcPr>
          <w:p>
            <w:pPr>
              <w:jc w:val="right"/>
              <w:ind w:right="69"/>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Options (in thousands)</w:t>
            </w: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Exercise Price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5"/>
                <w:szCs w:val="15"/>
                <w:color w:val="auto"/>
              </w:rPr>
            </w:pPr>
          </w:p>
        </w:tc>
        <w:tc>
          <w:tcPr>
            <w:tcW w:w="1360" w:type="dxa"/>
            <w:vAlign w:val="bottom"/>
          </w:tcPr>
          <w:p>
            <w:pPr>
              <w:jc w:val="right"/>
              <w:ind w:right="49"/>
              <w:spacing w:after="0"/>
              <w:rPr>
                <w:sz w:val="20"/>
                <w:szCs w:val="20"/>
                <w:color w:val="auto"/>
              </w:rPr>
            </w:pPr>
            <w:r>
              <w:rPr>
                <w:rFonts w:ascii="Arial" w:cs="Arial" w:eastAsia="Arial" w:hAnsi="Arial"/>
                <w:sz w:val="14"/>
                <w:szCs w:val="14"/>
                <w:b w:val="1"/>
                <w:bCs w:val="1"/>
                <w:color w:val="auto"/>
                <w:w w:val="88"/>
              </w:rPr>
              <w:t>Value (in thousands)</w:t>
            </w:r>
          </w:p>
        </w:tc>
        <w:tc>
          <w:tcPr>
            <w:tcW w:w="0" w:type="dxa"/>
            <w:vAlign w:val="bottom"/>
          </w:tcPr>
          <w:p>
            <w:pPr>
              <w:spacing w:after="0"/>
              <w:rPr>
                <w:sz w:val="1"/>
                <w:szCs w:val="1"/>
                <w:color w:val="auto"/>
              </w:rPr>
            </w:pPr>
          </w:p>
        </w:tc>
      </w:tr>
      <w:tr>
        <w:trPr>
          <w:trHeight w:val="29"/>
        </w:trPr>
        <w:tc>
          <w:tcPr>
            <w:tcW w:w="5060" w:type="dxa"/>
            <w:vAlign w:val="bottom"/>
            <w:tcBorders>
              <w:bottom w:val="single" w:sz="8" w:color="CCFFCC"/>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Balance outstanding at December 31, 2019</w:t>
            </w:r>
          </w:p>
        </w:tc>
        <w:tc>
          <w:tcPr>
            <w:tcW w:w="1460" w:type="dxa"/>
            <w:vAlign w:val="bottom"/>
            <w:tcBorders>
              <w:bottom w:val="single" w:sz="8" w:color="CCFFCC"/>
            </w:tcBorders>
            <w:shd w:val="clear" w:color="auto" w:fill="CCFFCC"/>
          </w:tcPr>
          <w:p>
            <w:pPr>
              <w:jc w:val="right"/>
              <w:ind w:right="29"/>
              <w:spacing w:after="0"/>
              <w:rPr>
                <w:sz w:val="20"/>
                <w:szCs w:val="20"/>
                <w:color w:val="auto"/>
              </w:rPr>
            </w:pPr>
            <w:r>
              <w:rPr>
                <w:rFonts w:ascii="Arial" w:cs="Arial" w:eastAsia="Arial" w:hAnsi="Arial"/>
                <w:sz w:val="14"/>
                <w:szCs w:val="14"/>
                <w:color w:val="auto"/>
              </w:rPr>
              <w:t>5,799</w:t>
            </w:r>
          </w:p>
        </w:tc>
        <w:tc>
          <w:tcPr>
            <w:tcW w:w="12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FFCC"/>
            </w:tcBorders>
            <w:shd w:val="clear" w:color="auto" w:fill="CCFFCC"/>
          </w:tcPr>
          <w:p>
            <w:pPr>
              <w:jc w:val="right"/>
              <w:ind w:right="29"/>
              <w:spacing w:after="0"/>
              <w:rPr>
                <w:sz w:val="20"/>
                <w:szCs w:val="20"/>
                <w:color w:val="auto"/>
              </w:rPr>
            </w:pPr>
            <w:r>
              <w:rPr>
                <w:rFonts w:ascii="Arial" w:cs="Arial" w:eastAsia="Arial" w:hAnsi="Arial"/>
                <w:sz w:val="14"/>
                <w:szCs w:val="14"/>
                <w:color w:val="auto"/>
              </w:rPr>
              <w:t>16.57</w:t>
            </w:r>
          </w:p>
        </w:tc>
        <w:tc>
          <w:tcPr>
            <w:tcW w:w="100" w:type="dxa"/>
            <w:vAlign w:val="bottom"/>
            <w:tcBorders>
              <w:bottom w:val="single" w:sz="8" w:color="CCFFCC"/>
            </w:tcBorders>
            <w:shd w:val="clear" w:color="auto" w:fill="CCFFCC"/>
          </w:tcPr>
          <w:p>
            <w:pPr>
              <w:spacing w:after="0"/>
              <w:rPr>
                <w:sz w:val="17"/>
                <w:szCs w:val="17"/>
                <w:color w:val="auto"/>
              </w:rPr>
            </w:pPr>
          </w:p>
        </w:tc>
        <w:tc>
          <w:tcPr>
            <w:tcW w:w="14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36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119,064</w:t>
            </w:r>
          </w:p>
        </w:tc>
        <w:tc>
          <w:tcPr>
            <w:tcW w:w="0" w:type="dxa"/>
            <w:vAlign w:val="bottom"/>
          </w:tcPr>
          <w:p>
            <w:pPr>
              <w:spacing w:after="0"/>
              <w:rPr>
                <w:sz w:val="1"/>
                <w:szCs w:val="1"/>
                <w:color w:val="auto"/>
              </w:rPr>
            </w:pPr>
          </w:p>
        </w:tc>
      </w:tr>
      <w:tr>
        <w:trPr>
          <w:trHeight w:val="207"/>
        </w:trPr>
        <w:tc>
          <w:tcPr>
            <w:tcW w:w="5060" w:type="dxa"/>
            <w:vAlign w:val="bottom"/>
          </w:tcPr>
          <w:p>
            <w:pPr>
              <w:ind w:left="14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ind w:right="29"/>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5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06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Exercised</w:t>
            </w:r>
          </w:p>
        </w:tc>
        <w:tc>
          <w:tcPr>
            <w:tcW w:w="14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(1,147)</w:t>
            </w: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2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4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3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60" w:type="dxa"/>
            <w:vAlign w:val="bottom"/>
          </w:tcPr>
          <w:p>
            <w:pPr>
              <w:ind w:left="140"/>
              <w:spacing w:after="0"/>
              <w:rPr>
                <w:sz w:val="20"/>
                <w:szCs w:val="20"/>
                <w:color w:val="auto"/>
              </w:rPr>
            </w:pPr>
            <w:r>
              <w:rPr>
                <w:rFonts w:ascii="Arial" w:cs="Arial" w:eastAsia="Arial" w:hAnsi="Arial"/>
                <w:sz w:val="14"/>
                <w:szCs w:val="14"/>
                <w:color w:val="auto"/>
              </w:rPr>
              <w:t>Cancelled or expired</w:t>
            </w:r>
          </w:p>
        </w:tc>
        <w:tc>
          <w:tcPr>
            <w:tcW w:w="1460" w:type="dxa"/>
            <w:vAlign w:val="bottom"/>
          </w:tcPr>
          <w:p>
            <w:pPr>
              <w:jc w:val="right"/>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5060" w:type="dxa"/>
            <w:vAlign w:val="bottom"/>
            <w:tcBorders>
              <w:bottom w:val="single" w:sz="8" w:color="CCFFCC"/>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6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Balance outstanding at September 30, 2020</w:t>
            </w:r>
          </w:p>
        </w:tc>
        <w:tc>
          <w:tcPr>
            <w:tcW w:w="1460" w:type="dxa"/>
            <w:vAlign w:val="bottom"/>
            <w:tcBorders>
              <w:bottom w:val="single" w:sz="8" w:color="auto"/>
            </w:tcBorders>
            <w:shd w:val="clear" w:color="auto" w:fill="CCFFCC"/>
          </w:tcPr>
          <w:p>
            <w:pPr>
              <w:jc w:val="right"/>
              <w:ind w:right="29"/>
              <w:spacing w:after="0"/>
              <w:rPr>
                <w:sz w:val="20"/>
                <w:szCs w:val="20"/>
                <w:color w:val="auto"/>
              </w:rPr>
            </w:pPr>
            <w:r>
              <w:rPr>
                <w:rFonts w:ascii="Arial" w:cs="Arial" w:eastAsia="Arial" w:hAnsi="Arial"/>
                <w:sz w:val="14"/>
                <w:szCs w:val="14"/>
                <w:color w:val="auto"/>
              </w:rPr>
              <w:t>4,832</w:t>
            </w:r>
          </w:p>
        </w:tc>
        <w:tc>
          <w:tcPr>
            <w:tcW w:w="12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auto"/>
            </w:tcBorders>
            <w:shd w:val="clear" w:color="auto" w:fill="CCFFCC"/>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FFCC"/>
          </w:tcPr>
          <w:p>
            <w:pPr>
              <w:jc w:val="right"/>
              <w:ind w:right="29"/>
              <w:spacing w:after="0"/>
              <w:rPr>
                <w:sz w:val="20"/>
                <w:szCs w:val="20"/>
                <w:color w:val="auto"/>
              </w:rPr>
            </w:pPr>
            <w:r>
              <w:rPr>
                <w:rFonts w:ascii="Arial" w:cs="Arial" w:eastAsia="Arial" w:hAnsi="Arial"/>
                <w:sz w:val="14"/>
                <w:szCs w:val="14"/>
                <w:color w:val="auto"/>
              </w:rPr>
              <w:t>18.59</w:t>
            </w:r>
          </w:p>
        </w:tc>
        <w:tc>
          <w:tcPr>
            <w:tcW w:w="100" w:type="dxa"/>
            <w:vAlign w:val="bottom"/>
            <w:tcBorders>
              <w:bottom w:val="single" w:sz="8" w:color="CCFFCC"/>
            </w:tcBorders>
            <w:shd w:val="clear" w:color="auto" w:fill="CCFFCC"/>
          </w:tcPr>
          <w:p>
            <w:pPr>
              <w:spacing w:after="0"/>
              <w:rPr>
                <w:sz w:val="17"/>
                <w:szCs w:val="17"/>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FFCC"/>
          </w:tcPr>
          <w:p>
            <w:pPr>
              <w:jc w:val="right"/>
              <w:ind w:right="49"/>
              <w:spacing w:after="0"/>
              <w:rPr>
                <w:sz w:val="20"/>
                <w:szCs w:val="20"/>
                <w:color w:val="auto"/>
              </w:rPr>
            </w:pPr>
            <w:r>
              <w:rPr>
                <w:rFonts w:ascii="Arial" w:cs="Arial" w:eastAsia="Arial" w:hAnsi="Arial"/>
                <w:sz w:val="14"/>
                <w:szCs w:val="14"/>
                <w:color w:val="auto"/>
              </w:rPr>
              <w:t>161,335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060" w:type="dxa"/>
            <w:vAlign w:val="bottom"/>
            <w:tcBorders>
              <w:bottom w:val="single" w:sz="8" w:color="CCFFCC"/>
            </w:tcBorders>
          </w:tcPr>
          <w:p>
            <w:pPr>
              <w:ind w:left="20"/>
              <w:spacing w:after="0"/>
              <w:rPr>
                <w:sz w:val="20"/>
                <w:szCs w:val="20"/>
                <w:color w:val="auto"/>
              </w:rPr>
            </w:pPr>
            <w:r>
              <w:rPr>
                <w:rFonts w:ascii="Arial" w:cs="Arial" w:eastAsia="Arial" w:hAnsi="Arial"/>
                <w:sz w:val="14"/>
                <w:szCs w:val="14"/>
                <w:color w:val="auto"/>
              </w:rPr>
              <w:t>Options vested and expected to vest</w:t>
            </w:r>
          </w:p>
        </w:tc>
        <w:tc>
          <w:tcPr>
            <w:tcW w:w="14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1,561</w:t>
            </w:r>
          </w:p>
        </w:tc>
        <w:tc>
          <w:tcPr>
            <w:tcW w:w="12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22.29</w:t>
            </w:r>
          </w:p>
        </w:tc>
        <w:tc>
          <w:tcPr>
            <w:tcW w:w="100" w:type="dxa"/>
            <w:vAlign w:val="bottom"/>
            <w:tcBorders>
              <w:bottom w:val="single" w:sz="8" w:color="CCFFCC"/>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46,349</w:t>
            </w:r>
          </w:p>
        </w:tc>
        <w:tc>
          <w:tcPr>
            <w:tcW w:w="0" w:type="dxa"/>
            <w:vAlign w:val="bottom"/>
          </w:tcPr>
          <w:p>
            <w:pPr>
              <w:spacing w:after="0"/>
              <w:rPr>
                <w:sz w:val="1"/>
                <w:szCs w:val="1"/>
                <w:color w:val="auto"/>
              </w:rPr>
            </w:pPr>
          </w:p>
        </w:tc>
      </w:tr>
      <w:tr>
        <w:trPr>
          <w:trHeight w:val="199"/>
        </w:trPr>
        <w:tc>
          <w:tcPr>
            <w:tcW w:w="5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Options exercisable at September 30, 2020</w:t>
            </w:r>
          </w:p>
        </w:tc>
        <w:tc>
          <w:tcPr>
            <w:tcW w:w="1460" w:type="dxa"/>
            <w:vAlign w:val="bottom"/>
            <w:tcBorders>
              <w:bottom w:val="single" w:sz="8" w:color="auto"/>
            </w:tcBorders>
            <w:shd w:val="clear" w:color="auto" w:fill="CCFFCC"/>
          </w:tcPr>
          <w:p>
            <w:pPr>
              <w:jc w:val="right"/>
              <w:ind w:right="29"/>
              <w:spacing w:after="0"/>
              <w:rPr>
                <w:sz w:val="20"/>
                <w:szCs w:val="20"/>
                <w:color w:val="auto"/>
              </w:rPr>
            </w:pPr>
            <w:r>
              <w:rPr>
                <w:rFonts w:ascii="Arial" w:cs="Arial" w:eastAsia="Arial" w:hAnsi="Arial"/>
                <w:sz w:val="14"/>
                <w:szCs w:val="14"/>
                <w:color w:val="auto"/>
              </w:rPr>
              <w:t>2,612</w:t>
            </w:r>
          </w:p>
        </w:tc>
        <w:tc>
          <w:tcPr>
            <w:tcW w:w="12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auto"/>
            </w:tcBorders>
            <w:shd w:val="clear" w:color="auto" w:fill="CCFFCC"/>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FFCC"/>
          </w:tcPr>
          <w:p>
            <w:pPr>
              <w:jc w:val="right"/>
              <w:ind w:right="29"/>
              <w:spacing w:after="0"/>
              <w:rPr>
                <w:sz w:val="20"/>
                <w:szCs w:val="20"/>
                <w:color w:val="auto"/>
              </w:rPr>
            </w:pPr>
            <w:r>
              <w:rPr>
                <w:rFonts w:ascii="Arial" w:cs="Arial" w:eastAsia="Arial" w:hAnsi="Arial"/>
                <w:sz w:val="14"/>
                <w:szCs w:val="14"/>
                <w:color w:val="auto"/>
              </w:rPr>
              <w:t>14.35</w:t>
            </w:r>
          </w:p>
        </w:tc>
        <w:tc>
          <w:tcPr>
            <w:tcW w:w="100" w:type="dxa"/>
            <w:vAlign w:val="bottom"/>
            <w:tcBorders>
              <w:bottom w:val="single" w:sz="8" w:color="CCFFCC"/>
            </w:tcBorders>
            <w:shd w:val="clear" w:color="auto" w:fill="CCFFCC"/>
          </w:tcPr>
          <w:p>
            <w:pPr>
              <w:spacing w:after="0"/>
              <w:rPr>
                <w:sz w:val="17"/>
                <w:szCs w:val="17"/>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FFCC"/>
          </w:tcPr>
          <w:p>
            <w:pPr>
              <w:jc w:val="right"/>
              <w:ind w:right="49"/>
              <w:spacing w:after="0"/>
              <w:rPr>
                <w:sz w:val="20"/>
                <w:szCs w:val="20"/>
                <w:color w:val="auto"/>
              </w:rPr>
            </w:pPr>
            <w:r>
              <w:rPr>
                <w:rFonts w:ascii="Arial" w:cs="Arial" w:eastAsia="Arial" w:hAnsi="Arial"/>
                <w:sz w:val="14"/>
                <w:szCs w:val="14"/>
                <w:color w:val="auto"/>
              </w:rPr>
              <w:t>98,314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total fair value of stock options exercised during the nine months ended September 30, 2020 was approximately $6.3 million. As of September 30, 2020, there was approximately $18.8 million of total unrecognized compensation cost related to nonvested share-based compensation arrangements. That cost is expected to be recognized over a weighted average period of approximately 2.6 years.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60"/>
          </w:cols>
          <w:pgMar w:left="320" w:top="170" w:right="31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 Activity</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the Company’s restricted stock units (“RSUs”) activity and weighted average exercise prices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5"/>
                <w:szCs w:val="15"/>
                <w:color w:val="auto"/>
              </w:rPr>
            </w:pPr>
          </w:p>
        </w:tc>
        <w:tc>
          <w:tcPr>
            <w:tcW w:w="3600" w:type="dxa"/>
            <w:vAlign w:val="bottom"/>
            <w:gridSpan w:val="6"/>
          </w:tcPr>
          <w:p>
            <w:pPr>
              <w:ind w:left="860"/>
              <w:spacing w:after="0"/>
              <w:rPr>
                <w:sz w:val="20"/>
                <w:szCs w:val="20"/>
                <w:color w:val="auto"/>
              </w:rPr>
            </w:pPr>
            <w:r>
              <w:rPr>
                <w:rFonts w:ascii="Arial" w:cs="Arial" w:eastAsia="Arial" w:hAnsi="Arial"/>
                <w:sz w:val="14"/>
                <w:szCs w:val="14"/>
                <w:b w:val="1"/>
                <w:bCs w:val="1"/>
                <w:color w:val="auto"/>
              </w:rPr>
              <w:t>Restricted Stock Unit Activity</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9"/>
        </w:trPr>
        <w:tc>
          <w:tcPr>
            <w:tcW w:w="57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79"/>
        </w:trPr>
        <w:tc>
          <w:tcPr>
            <w:tcW w:w="5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6"/>
        </w:trPr>
        <w:tc>
          <w:tcPr>
            <w:tcW w:w="5740" w:type="dxa"/>
            <w:vAlign w:val="bottom"/>
          </w:tcPr>
          <w:p>
            <w:pPr>
              <w:spacing w:after="0"/>
              <w:rPr>
                <w:sz w:val="15"/>
                <w:szCs w:val="15"/>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Number of Shares (in</w:t>
            </w:r>
          </w:p>
        </w:tc>
        <w:tc>
          <w:tcPr>
            <w:tcW w:w="120" w:type="dxa"/>
            <w:vAlign w:val="bottom"/>
          </w:tcPr>
          <w:p>
            <w:pPr>
              <w:spacing w:after="0"/>
              <w:rPr>
                <w:sz w:val="15"/>
                <w:szCs w:val="15"/>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Grant Date Fair Value</w:t>
            </w:r>
          </w:p>
        </w:tc>
        <w:tc>
          <w:tcPr>
            <w:tcW w:w="160" w:type="dxa"/>
            <w:vAlign w:val="bottom"/>
          </w:tcPr>
          <w:p>
            <w:pPr>
              <w:spacing w:after="0"/>
              <w:rPr>
                <w:sz w:val="15"/>
                <w:szCs w:val="15"/>
                <w:color w:val="auto"/>
              </w:rPr>
            </w:pPr>
          </w:p>
        </w:tc>
        <w:tc>
          <w:tcPr>
            <w:tcW w:w="1740" w:type="dxa"/>
            <w:vAlign w:val="bottom"/>
          </w:tcPr>
          <w:p>
            <w:pPr>
              <w:jc w:val="right"/>
              <w:ind w:right="129"/>
              <w:spacing w:after="0"/>
              <w:rPr>
                <w:sz w:val="20"/>
                <w:szCs w:val="20"/>
                <w:color w:val="auto"/>
              </w:rPr>
            </w:pPr>
            <w:r>
              <w:rPr>
                <w:rFonts w:ascii="Arial" w:cs="Arial" w:eastAsia="Arial" w:hAnsi="Arial"/>
                <w:sz w:val="14"/>
                <w:szCs w:val="14"/>
                <w:b w:val="1"/>
                <w:bCs w:val="1"/>
                <w:color w:val="auto"/>
                <w:w w:val="94"/>
              </w:rPr>
              <w:t>Aggregate Fair Value (in</w:t>
            </w:r>
          </w:p>
        </w:tc>
      </w:tr>
      <w:tr>
        <w:trPr>
          <w:trHeight w:val="184"/>
        </w:trPr>
        <w:tc>
          <w:tcPr>
            <w:tcW w:w="5740" w:type="dxa"/>
            <w:vAlign w:val="bottom"/>
          </w:tcPr>
          <w:p>
            <w:pPr>
              <w:spacing w:after="0"/>
              <w:rPr>
                <w:sz w:val="15"/>
                <w:szCs w:val="15"/>
                <w:color w:val="auto"/>
              </w:rPr>
            </w:pPr>
          </w:p>
        </w:tc>
        <w:tc>
          <w:tcPr>
            <w:tcW w:w="1200" w:type="dxa"/>
            <w:vAlign w:val="bottom"/>
          </w:tcPr>
          <w:p>
            <w:pPr>
              <w:jc w:val="center"/>
              <w:ind w:left="429"/>
              <w:spacing w:after="0"/>
              <w:rPr>
                <w:sz w:val="20"/>
                <w:szCs w:val="20"/>
                <w:color w:val="auto"/>
              </w:rPr>
            </w:pPr>
            <w:r>
              <w:rPr>
                <w:rFonts w:ascii="Arial" w:cs="Arial" w:eastAsia="Arial" w:hAnsi="Arial"/>
                <w:sz w:val="14"/>
                <w:szCs w:val="14"/>
                <w:b w:val="1"/>
                <w:bCs w:val="1"/>
                <w:color w:val="auto"/>
                <w:w w:val="87"/>
              </w:rPr>
              <w:t>thousands)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 Share)</w:t>
            </w:r>
          </w:p>
        </w:tc>
        <w:tc>
          <w:tcPr>
            <w:tcW w:w="160" w:type="dxa"/>
            <w:vAlign w:val="bottom"/>
          </w:tcPr>
          <w:p>
            <w:pPr>
              <w:spacing w:after="0"/>
              <w:rPr>
                <w:sz w:val="15"/>
                <w:szCs w:val="15"/>
                <w:color w:val="auto"/>
              </w:rPr>
            </w:pPr>
          </w:p>
        </w:tc>
        <w:tc>
          <w:tcPr>
            <w:tcW w:w="1740" w:type="dxa"/>
            <w:vAlign w:val="bottom"/>
          </w:tcPr>
          <w:p>
            <w:pPr>
              <w:jc w:val="right"/>
              <w:ind w:right="549"/>
              <w:spacing w:after="0"/>
              <w:rPr>
                <w:sz w:val="20"/>
                <w:szCs w:val="20"/>
                <w:color w:val="auto"/>
              </w:rPr>
            </w:pPr>
            <w:r>
              <w:rPr>
                <w:rFonts w:ascii="Arial" w:cs="Arial" w:eastAsia="Arial" w:hAnsi="Arial"/>
                <w:sz w:val="14"/>
                <w:szCs w:val="14"/>
                <w:b w:val="1"/>
                <w:bCs w:val="1"/>
                <w:color w:val="auto"/>
              </w:rPr>
              <w:t>thousands)</w:t>
            </w:r>
          </w:p>
        </w:tc>
      </w:tr>
      <w:tr>
        <w:trPr>
          <w:trHeight w:val="29"/>
        </w:trPr>
        <w:tc>
          <w:tcPr>
            <w:tcW w:w="5740" w:type="dxa"/>
            <w:vAlign w:val="bottom"/>
            <w:tcBorders>
              <w:bottom w:val="single" w:sz="8" w:color="CCFFCC"/>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95"/>
        </w:trPr>
        <w:tc>
          <w:tcPr>
            <w:tcW w:w="694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4"/>
                <w:szCs w:val="14"/>
                <w:color w:val="auto"/>
              </w:rPr>
              <w:t>Balance outstanding at December 31, 2019</w:t>
            </w:r>
          </w:p>
        </w:tc>
        <w:tc>
          <w:tcPr>
            <w:tcW w:w="50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3,049</w:t>
            </w:r>
          </w:p>
        </w:tc>
        <w:tc>
          <w:tcPr>
            <w:tcW w:w="120" w:type="dxa"/>
            <w:vAlign w:val="bottom"/>
            <w:tcBorders>
              <w:bottom w:val="single" w:sz="8" w:color="CCFFCC"/>
            </w:tcBorders>
            <w:shd w:val="clear" w:color="auto" w:fill="CCFFCC"/>
          </w:tcPr>
          <w:p>
            <w:pPr>
              <w:spacing w:after="0"/>
              <w:rPr>
                <w:sz w:val="16"/>
                <w:szCs w:val="16"/>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CCFFCC"/>
            </w:tcBorders>
            <w:shd w:val="clear" w:color="auto" w:fill="CCFFCC"/>
          </w:tcPr>
          <w:p>
            <w:pPr>
              <w:jc w:val="right"/>
              <w:ind w:right="29"/>
              <w:spacing w:after="0"/>
              <w:rPr>
                <w:sz w:val="20"/>
                <w:szCs w:val="20"/>
                <w:color w:val="auto"/>
              </w:rPr>
            </w:pPr>
            <w:r>
              <w:rPr>
                <w:rFonts w:ascii="Arial" w:cs="Arial" w:eastAsia="Arial" w:hAnsi="Arial"/>
                <w:sz w:val="14"/>
                <w:szCs w:val="14"/>
                <w:color w:val="auto"/>
              </w:rPr>
              <w:t>24.73</w:t>
            </w:r>
          </w:p>
        </w:tc>
        <w:tc>
          <w:tcPr>
            <w:tcW w:w="10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CCFFCC"/>
            </w:tcBorders>
            <w:shd w:val="clear" w:color="auto" w:fill="CCFFCC"/>
          </w:tcPr>
          <w:p>
            <w:pPr>
              <w:jc w:val="right"/>
              <w:ind w:right="29"/>
              <w:spacing w:after="0"/>
              <w:rPr>
                <w:sz w:val="20"/>
                <w:szCs w:val="20"/>
                <w:color w:val="auto"/>
              </w:rPr>
            </w:pPr>
            <w:r>
              <w:rPr>
                <w:rFonts w:ascii="Arial" w:cs="Arial" w:eastAsia="Arial" w:hAnsi="Arial"/>
                <w:sz w:val="14"/>
                <w:szCs w:val="14"/>
                <w:color w:val="auto"/>
              </w:rPr>
              <w:t>112,848</w:t>
            </w:r>
          </w:p>
        </w:tc>
      </w:tr>
      <w:tr>
        <w:trPr>
          <w:trHeight w:val="207"/>
        </w:trPr>
        <w:tc>
          <w:tcPr>
            <w:tcW w:w="6940" w:type="dxa"/>
            <w:vAlign w:val="bottom"/>
            <w:gridSpan w:val="2"/>
          </w:tcPr>
          <w:p>
            <w:pPr>
              <w:ind w:left="140"/>
              <w:spacing w:after="0"/>
              <w:rPr>
                <w:sz w:val="20"/>
                <w:szCs w:val="20"/>
                <w:color w:val="auto"/>
              </w:rPr>
            </w:pPr>
            <w:r>
              <w:rPr>
                <w:rFonts w:ascii="Arial" w:cs="Arial" w:eastAsia="Arial" w:hAnsi="Arial"/>
                <w:sz w:val="14"/>
                <w:szCs w:val="14"/>
                <w:color w:val="auto"/>
              </w:rPr>
              <w:t>Awarded</w:t>
            </w: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2,456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9"/>
        </w:trPr>
        <w:tc>
          <w:tcPr>
            <w:tcW w:w="5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5"/>
        </w:trPr>
        <w:tc>
          <w:tcPr>
            <w:tcW w:w="6940" w:type="dxa"/>
            <w:vAlign w:val="bottom"/>
            <w:tcBorders>
              <w:bottom w:val="single" w:sz="8" w:color="CCFFCC"/>
            </w:tcBorders>
            <w:gridSpan w:val="2"/>
            <w:shd w:val="clear" w:color="auto" w:fill="CCFFCC"/>
          </w:tcPr>
          <w:p>
            <w:pPr>
              <w:ind w:left="140"/>
              <w:spacing w:after="0"/>
              <w:rPr>
                <w:sz w:val="20"/>
                <w:szCs w:val="20"/>
                <w:color w:val="auto"/>
              </w:rPr>
            </w:pPr>
            <w:r>
              <w:rPr>
                <w:rFonts w:ascii="Arial" w:cs="Arial" w:eastAsia="Arial" w:hAnsi="Arial"/>
                <w:sz w:val="14"/>
                <w:szCs w:val="14"/>
                <w:color w:val="auto"/>
              </w:rPr>
              <w:t>Vested</w:t>
            </w:r>
          </w:p>
        </w:tc>
        <w:tc>
          <w:tcPr>
            <w:tcW w:w="500" w:type="dxa"/>
            <w:vAlign w:val="bottom"/>
            <w:tcBorders>
              <w:bottom w:val="single" w:sz="8" w:color="CCFFCC"/>
            </w:tcBorders>
            <w:shd w:val="clear" w:color="auto" w:fill="CCFFCC"/>
          </w:tcPr>
          <w:p>
            <w:pPr>
              <w:jc w:val="right"/>
              <w:ind w:right="9"/>
              <w:spacing w:after="0"/>
              <w:rPr>
                <w:sz w:val="20"/>
                <w:szCs w:val="20"/>
                <w:color w:val="auto"/>
              </w:rPr>
            </w:pPr>
            <w:r>
              <w:rPr>
                <w:rFonts w:ascii="Arial" w:cs="Arial" w:eastAsia="Arial" w:hAnsi="Arial"/>
                <w:sz w:val="14"/>
                <w:szCs w:val="14"/>
                <w:color w:val="auto"/>
                <w:w w:val="90"/>
              </w:rPr>
              <w:t>(1,656)</w:t>
            </w:r>
          </w:p>
        </w:tc>
        <w:tc>
          <w:tcPr>
            <w:tcW w:w="1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5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740" w:type="dxa"/>
            <w:vAlign w:val="bottom"/>
            <w:tcBorders>
              <w:bottom w:val="single" w:sz="8" w:color="CCFFCC"/>
            </w:tcBorders>
            <w:shd w:val="clear" w:color="auto" w:fill="CCFFCC"/>
          </w:tcPr>
          <w:p>
            <w:pPr>
              <w:spacing w:after="0"/>
              <w:rPr>
                <w:sz w:val="18"/>
                <w:szCs w:val="18"/>
                <w:color w:val="auto"/>
              </w:rPr>
            </w:pPr>
          </w:p>
        </w:tc>
      </w:tr>
      <w:tr>
        <w:trPr>
          <w:trHeight w:val="207"/>
        </w:trPr>
        <w:tc>
          <w:tcPr>
            <w:tcW w:w="6940" w:type="dxa"/>
            <w:vAlign w:val="bottom"/>
            <w:gridSpan w:val="2"/>
          </w:tcPr>
          <w:p>
            <w:pPr>
              <w:ind w:left="140"/>
              <w:spacing w:after="0"/>
              <w:rPr>
                <w:sz w:val="20"/>
                <w:szCs w:val="20"/>
                <w:color w:val="auto"/>
              </w:rPr>
            </w:pPr>
            <w:r>
              <w:rPr>
                <w:rFonts w:ascii="Arial" w:cs="Arial" w:eastAsia="Arial" w:hAnsi="Arial"/>
                <w:sz w:val="14"/>
                <w:szCs w:val="14"/>
                <w:color w:val="auto"/>
              </w:rPr>
              <w:t>Forfeited</w:t>
            </w: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9"/>
        </w:trPr>
        <w:tc>
          <w:tcPr>
            <w:tcW w:w="5740" w:type="dxa"/>
            <w:vAlign w:val="bottom"/>
            <w:tcBorders>
              <w:bottom w:val="single" w:sz="8" w:color="CCFFCC"/>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5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740" w:type="dxa"/>
            <w:vAlign w:val="bottom"/>
            <w:tcBorders>
              <w:bottom w:val="single" w:sz="8" w:color="CCFFCC"/>
            </w:tcBorders>
          </w:tcPr>
          <w:p>
            <w:pPr>
              <w:spacing w:after="0"/>
              <w:rPr>
                <w:sz w:val="2"/>
                <w:szCs w:val="2"/>
                <w:color w:val="auto"/>
              </w:rPr>
            </w:pPr>
          </w:p>
        </w:tc>
      </w:tr>
      <w:tr>
        <w:trPr>
          <w:trHeight w:val="207"/>
        </w:trPr>
        <w:tc>
          <w:tcPr>
            <w:tcW w:w="57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Non-vested and outstanding at September 30, 2020</w:t>
            </w:r>
          </w:p>
        </w:tc>
        <w:tc>
          <w:tcPr>
            <w:tcW w:w="1200" w:type="dxa"/>
            <w:vAlign w:val="bottom"/>
            <w:tcBorders>
              <w:bottom w:val="single" w:sz="8" w:color="auto"/>
            </w:tcBorders>
            <w:shd w:val="clear" w:color="auto" w:fill="CCFFCC"/>
          </w:tcPr>
          <w:p>
            <w:pPr>
              <w:spacing w:after="0"/>
              <w:rPr>
                <w:sz w:val="17"/>
                <w:szCs w:val="17"/>
                <w:color w:val="auto"/>
              </w:rPr>
            </w:pPr>
          </w:p>
        </w:tc>
        <w:tc>
          <w:tcPr>
            <w:tcW w:w="500" w:type="dxa"/>
            <w:vAlign w:val="bottom"/>
            <w:tcBorders>
              <w:bottom w:val="single" w:sz="8" w:color="auto"/>
            </w:tcBorders>
            <w:shd w:val="clear" w:color="auto" w:fill="CCFFCC"/>
          </w:tcPr>
          <w:p>
            <w:pPr>
              <w:jc w:val="right"/>
              <w:ind w:right="49"/>
              <w:spacing w:after="0"/>
              <w:rPr>
                <w:sz w:val="20"/>
                <w:szCs w:val="20"/>
                <w:color w:val="auto"/>
              </w:rPr>
            </w:pPr>
            <w:r>
              <w:rPr>
                <w:rFonts w:ascii="Arial" w:cs="Arial" w:eastAsia="Arial" w:hAnsi="Arial"/>
                <w:sz w:val="14"/>
                <w:szCs w:val="14"/>
                <w:color w:val="auto"/>
              </w:rPr>
              <w:t>3,226</w:t>
            </w:r>
          </w:p>
        </w:tc>
        <w:tc>
          <w:tcPr>
            <w:tcW w:w="1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FFCC"/>
          </w:tcPr>
          <w:p>
            <w:pPr>
              <w:jc w:val="right"/>
              <w:ind w:right="29"/>
              <w:spacing w:after="0"/>
              <w:rPr>
                <w:sz w:val="20"/>
                <w:szCs w:val="20"/>
                <w:color w:val="auto"/>
              </w:rPr>
            </w:pPr>
            <w:r>
              <w:rPr>
                <w:rFonts w:ascii="Arial" w:cs="Arial" w:eastAsia="Arial" w:hAnsi="Arial"/>
                <w:sz w:val="14"/>
                <w:szCs w:val="14"/>
                <w:color w:val="auto"/>
              </w:rPr>
              <w:t>25.91</w:t>
            </w:r>
          </w:p>
        </w:tc>
        <w:tc>
          <w:tcPr>
            <w:tcW w:w="10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FFCC"/>
          </w:tcPr>
          <w:p>
            <w:pPr>
              <w:jc w:val="right"/>
              <w:ind w:right="29"/>
              <w:spacing w:after="0"/>
              <w:rPr>
                <w:sz w:val="20"/>
                <w:szCs w:val="20"/>
                <w:color w:val="auto"/>
              </w:rPr>
            </w:pPr>
            <w:r>
              <w:rPr>
                <w:rFonts w:ascii="Arial" w:cs="Arial" w:eastAsia="Arial" w:hAnsi="Arial"/>
                <w:sz w:val="14"/>
                <w:szCs w:val="14"/>
                <w:color w:val="auto"/>
              </w:rPr>
              <w:t>167,993</w:t>
            </w:r>
          </w:p>
        </w:tc>
      </w:tr>
      <w:tr>
        <w:trPr>
          <w:trHeight w:val="20"/>
        </w:trPr>
        <w:tc>
          <w:tcPr>
            <w:tcW w:w="5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9"/>
        </w:trPr>
        <w:tc>
          <w:tcPr>
            <w:tcW w:w="6940" w:type="dxa"/>
            <w:vAlign w:val="bottom"/>
            <w:gridSpan w:val="2"/>
          </w:tcPr>
          <w:p>
            <w:pPr>
              <w:ind w:left="20"/>
              <w:spacing w:after="0"/>
              <w:rPr>
                <w:sz w:val="20"/>
                <w:szCs w:val="20"/>
                <w:color w:val="auto"/>
              </w:rPr>
            </w:pPr>
            <w:r>
              <w:rPr>
                <w:rFonts w:ascii="Arial" w:cs="Arial" w:eastAsia="Arial" w:hAnsi="Arial"/>
                <w:sz w:val="14"/>
                <w:szCs w:val="14"/>
                <w:color w:val="auto"/>
              </w:rPr>
              <w:t>Expected to vest</w:t>
            </w: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2,060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ind w:right="29"/>
              <w:spacing w:after="0"/>
              <w:rPr>
                <w:sz w:val="20"/>
                <w:szCs w:val="20"/>
                <w:color w:val="auto"/>
              </w:rPr>
            </w:pPr>
            <w:r>
              <w:rPr>
                <w:rFonts w:ascii="Arial" w:cs="Arial" w:eastAsia="Arial" w:hAnsi="Arial"/>
                <w:sz w:val="14"/>
                <w:szCs w:val="14"/>
                <w:color w:val="auto"/>
              </w:rPr>
              <w:t>25.13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29"/>
              <w:spacing w:after="0"/>
              <w:rPr>
                <w:sz w:val="20"/>
                <w:szCs w:val="20"/>
                <w:color w:val="auto"/>
              </w:rPr>
            </w:pPr>
            <w:r>
              <w:rPr>
                <w:rFonts w:ascii="Arial" w:cs="Arial" w:eastAsia="Arial" w:hAnsi="Arial"/>
                <w:sz w:val="14"/>
                <w:szCs w:val="14"/>
                <w:color w:val="auto"/>
              </w:rPr>
              <w:t>107,115</w:t>
            </w:r>
          </w:p>
        </w:tc>
      </w:tr>
      <w:tr>
        <w:trPr>
          <w:trHeight w:val="20"/>
        </w:trPr>
        <w:tc>
          <w:tcPr>
            <w:tcW w:w="57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RSUs granted to employees generally vest over a three to four-year period or upon achievement of certain performance conditions. In accordance with ASU 2017-09, as of September 30, 2020, total unrecognized compensation cost, adjusted for estimated forfeitures, related to nonvested RSUs was approximately $72.2 million and the weighted-average remaining vesting period was 2.9 years.</w:t>
      </w:r>
    </w:p>
    <w:p>
      <w:pPr>
        <w:spacing w:after="0" w:line="72"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For the three months ended September 30, 2020 and 2019, the Company accrued approximately $11.3 million and $2.6 million in cash awards, respectively, and for the nine months ended September 30, 2020 and 2019, the Company accrued approximately $18.4 million and $7.4 million in cash awards, respectively, to be settled in shares of the Company's stock and recorded a corresponding expense, which is included as a component of stock-based compensation expense in the accompanying condensed consolidated statements of operations for the three and nine months ended September 30, 2020 and 2019, respectively.</w:t>
      </w:r>
    </w:p>
    <w:p>
      <w:pPr>
        <w:spacing w:after="0" w:line="59" w:lineRule="exact"/>
        <w:rPr>
          <w:sz w:val="20"/>
          <w:szCs w:val="20"/>
          <w:color w:val="auto"/>
        </w:rPr>
      </w:pPr>
    </w:p>
    <w:p>
      <w:pPr>
        <w:jc w:val="both"/>
        <w:ind w:firstLine="564"/>
        <w:spacing w:after="0" w:line="382" w:lineRule="auto"/>
        <w:rPr>
          <w:sz w:val="20"/>
          <w:szCs w:val="20"/>
          <w:color w:val="auto"/>
        </w:rPr>
      </w:pPr>
      <w:r>
        <w:rPr>
          <w:rFonts w:ascii="Arial" w:cs="Arial" w:eastAsia="Arial" w:hAnsi="Arial"/>
          <w:sz w:val="13"/>
          <w:szCs w:val="13"/>
          <w:color w:val="auto"/>
        </w:rPr>
        <w:t>Stock-based compensation expense recognized in the Company’s condensed consolidated statements of operations and cash flows was $15.5 million and $9.1 million for the three months ended September 30, 2020 and 2019, respectively, and $46.2 million and $25.5 million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60"/>
          </w:cols>
          <w:pgMar w:left="320" w:top="170" w:right="31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13. Restructuring</w:t>
      </w:r>
    </w:p>
    <w:p>
      <w:pPr>
        <w:spacing w:after="0" w:line="196"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In response to the COVID-19 pandemic, the Company went through a re-evaluation of our real estate needs. In connection with this re-evaluation, and the success we have had working remotely, it was decided in July 2020 that we would significantly reduce the real estate space we lease. This decision resulted in the significant reduction of the real estate space we lease and the removal of the associated ROU assets. Furthermore, this resulted in various one-time expenses in connection with the abandonment of the majority of our leased facilities. The lease restructuring costs noted below are a result of this transition to an employee-centric model.</w:t>
      </w:r>
    </w:p>
    <w:p>
      <w:pPr>
        <w:spacing w:after="0" w:line="29"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On top of the lease restructuring costs, the Company went through a further restructuring related to costs associated with re-prioritizing and reallocating resources to focus on areas showing high growth potential.</w:t>
      </w:r>
    </w:p>
    <w:p>
      <w:pPr>
        <w:spacing w:after="0" w:line="64"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The expenses associated with these restructuring events were approximately $26.4 million and $1.4 million during the three months ended September 30, 2020 and 2019, respectively and $29.6 million and $1.9 million for the nine months ended September 30, 2020 and 2019, respectively. The Company expects to incur additional restructuring costs through December 31, 2020. The restructuring liability was approximately $7.2 million and $0.3 million as of September 30, 2020 and December 31, 2019, respectively. It is classified as accrued expenses and other current liabilities on the condensed consolidated balance sheets.</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the detail of the liability for the Company's restructuring charges for the periods presented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2"/>
          </w:tcPr>
          <w:p>
            <w:pPr>
              <w:ind w:left="180"/>
              <w:spacing w:after="0"/>
              <w:rPr>
                <w:sz w:val="20"/>
                <w:szCs w:val="20"/>
                <w:color w:val="auto"/>
              </w:rPr>
            </w:pPr>
            <w:r>
              <w:rPr>
                <w:rFonts w:ascii="Arial" w:cs="Arial" w:eastAsia="Arial" w:hAnsi="Arial"/>
                <w:sz w:val="13"/>
                <w:szCs w:val="13"/>
                <w:b w:val="1"/>
                <w:bCs w:val="1"/>
                <w:color w:val="auto"/>
              </w:rPr>
              <w:t>As of September 30, 2020</w:t>
            </w:r>
          </w:p>
        </w:tc>
        <w:tc>
          <w:tcPr>
            <w:tcW w:w="360" w:type="dxa"/>
            <w:vAlign w:val="bottom"/>
          </w:tcPr>
          <w:p>
            <w:pPr>
              <w:spacing w:after="0"/>
              <w:rPr>
                <w:sz w:val="14"/>
                <w:szCs w:val="14"/>
                <w:color w:val="auto"/>
              </w:rPr>
            </w:pPr>
          </w:p>
        </w:tc>
        <w:tc>
          <w:tcPr>
            <w:tcW w:w="1880" w:type="dxa"/>
            <w:vAlign w:val="bottom"/>
          </w:tcPr>
          <w:p>
            <w:pPr>
              <w:jc w:val="right"/>
              <w:ind w:right="531"/>
              <w:spacing w:after="0"/>
              <w:rPr>
                <w:sz w:val="20"/>
                <w:szCs w:val="20"/>
                <w:color w:val="auto"/>
              </w:rPr>
            </w:pPr>
            <w:r>
              <w:rPr>
                <w:rFonts w:ascii="Arial" w:cs="Arial" w:eastAsia="Arial" w:hAnsi="Arial"/>
                <w:sz w:val="13"/>
                <w:szCs w:val="13"/>
                <w:b w:val="1"/>
                <w:bCs w:val="1"/>
                <w:color w:val="auto"/>
              </w:rPr>
              <w:t>December 31, 2019</w:t>
            </w:r>
          </w:p>
        </w:tc>
      </w:tr>
      <w:tr>
        <w:trPr>
          <w:trHeight w:val="201"/>
        </w:trPr>
        <w:tc>
          <w:tcPr>
            <w:tcW w:w="66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Balance, Beginning of the year</w:t>
            </w:r>
          </w:p>
        </w:tc>
        <w:tc>
          <w:tcPr>
            <w:tcW w:w="280" w:type="dxa"/>
            <w:vAlign w:val="bottom"/>
            <w:tcBorders>
              <w:top w:val="single" w:sz="8" w:color="auto"/>
              <w:bottom w:val="single" w:sz="8" w:color="CCFFCC"/>
            </w:tcBorders>
            <w:shd w:val="clear" w:color="auto" w:fill="CCFFCC"/>
          </w:tcPr>
          <w:p>
            <w:pPr>
              <w:jc w:val="right"/>
              <w:ind w:right="109"/>
              <w:spacing w:after="0"/>
              <w:rPr>
                <w:sz w:val="20"/>
                <w:szCs w:val="20"/>
                <w:color w:val="auto"/>
              </w:rPr>
            </w:pPr>
            <w:r>
              <w:rPr>
                <w:rFonts w:ascii="Arial" w:cs="Arial" w:eastAsia="Arial" w:hAnsi="Arial"/>
                <w:sz w:val="14"/>
                <w:szCs w:val="14"/>
                <w:color w:val="auto"/>
              </w:rPr>
              <w:t>$</w:t>
            </w:r>
          </w:p>
        </w:tc>
        <w:tc>
          <w:tcPr>
            <w:tcW w:w="1980" w:type="dxa"/>
            <w:vAlign w:val="bottom"/>
            <w:tcBorders>
              <w:top w:val="single" w:sz="8" w:color="auto"/>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314</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360" w:type="dxa"/>
            <w:vAlign w:val="bottom"/>
            <w:tcBorders>
              <w:top w:val="single" w:sz="8" w:color="auto"/>
              <w:bottom w:val="single" w:sz="8" w:color="CCFFCC"/>
            </w:tcBorders>
            <w:shd w:val="clear" w:color="auto" w:fill="CCFFCC"/>
          </w:tcPr>
          <w:p>
            <w:pPr>
              <w:jc w:val="right"/>
              <w:ind w:right="189"/>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977</w:t>
            </w:r>
          </w:p>
        </w:tc>
      </w:tr>
      <w:tr>
        <w:trPr>
          <w:trHeight w:val="207"/>
        </w:trPr>
        <w:tc>
          <w:tcPr>
            <w:tcW w:w="6640" w:type="dxa"/>
            <w:vAlign w:val="bottom"/>
          </w:tcPr>
          <w:p>
            <w:pPr>
              <w:ind w:left="240"/>
              <w:spacing w:after="0"/>
              <w:rPr>
                <w:sz w:val="20"/>
                <w:szCs w:val="20"/>
                <w:color w:val="auto"/>
              </w:rPr>
            </w:pPr>
            <w:r>
              <w:rPr>
                <w:rFonts w:ascii="Arial" w:cs="Arial" w:eastAsia="Arial" w:hAnsi="Arial"/>
                <w:sz w:val="14"/>
                <w:szCs w:val="14"/>
                <w:color w:val="auto"/>
              </w:rPr>
              <w:t>Lease restructuring costs</w:t>
            </w:r>
          </w:p>
        </w:tc>
        <w:tc>
          <w:tcPr>
            <w:tcW w:w="280" w:type="dxa"/>
            <w:vAlign w:val="bottom"/>
          </w:tcPr>
          <w:p>
            <w:pPr>
              <w:spacing w:after="0"/>
              <w:rPr>
                <w:sz w:val="17"/>
                <w:szCs w:val="17"/>
                <w:color w:val="auto"/>
              </w:rPr>
            </w:pPr>
          </w:p>
        </w:tc>
        <w:tc>
          <w:tcPr>
            <w:tcW w:w="1980" w:type="dxa"/>
            <w:vAlign w:val="bottom"/>
          </w:tcPr>
          <w:p>
            <w:pPr>
              <w:jc w:val="right"/>
              <w:ind w:right="31"/>
              <w:spacing w:after="0"/>
              <w:rPr>
                <w:sz w:val="20"/>
                <w:szCs w:val="20"/>
                <w:color w:val="auto"/>
              </w:rPr>
            </w:pPr>
            <w:r>
              <w:rPr>
                <w:rFonts w:ascii="Arial" w:cs="Arial" w:eastAsia="Arial" w:hAnsi="Arial"/>
                <w:sz w:val="14"/>
                <w:szCs w:val="14"/>
                <w:color w:val="auto"/>
              </w:rPr>
              <w:t>4,765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9"/>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15"/>
        </w:trPr>
        <w:tc>
          <w:tcPr>
            <w:tcW w:w="66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Severance and other compensation associated costs</w:t>
            </w:r>
          </w:p>
        </w:tc>
        <w:tc>
          <w:tcPr>
            <w:tcW w:w="280" w:type="dxa"/>
            <w:vAlign w:val="bottom"/>
            <w:tcBorders>
              <w:bottom w:val="single" w:sz="8" w:color="CCFFCC"/>
            </w:tcBorders>
            <w:shd w:val="clear" w:color="auto" w:fill="CCFFCC"/>
          </w:tcPr>
          <w:p>
            <w:pPr>
              <w:spacing w:after="0"/>
              <w:rPr>
                <w:sz w:val="18"/>
                <w:szCs w:val="18"/>
                <w:color w:val="auto"/>
              </w:rPr>
            </w:pPr>
          </w:p>
        </w:tc>
        <w:tc>
          <w:tcPr>
            <w:tcW w:w="1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5,574</w:t>
            </w:r>
          </w:p>
        </w:tc>
        <w:tc>
          <w:tcPr>
            <w:tcW w:w="10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bottom w:val="single" w:sz="8" w:color="CCFFCC"/>
            </w:tcBorders>
            <w:shd w:val="clear" w:color="auto" w:fill="CCFFCC"/>
          </w:tcPr>
          <w:p>
            <w:pPr>
              <w:spacing w:after="0"/>
              <w:rPr>
                <w:sz w:val="18"/>
                <w:szCs w:val="18"/>
                <w:color w:val="auto"/>
              </w:rPr>
            </w:pPr>
          </w:p>
        </w:tc>
        <w:tc>
          <w:tcPr>
            <w:tcW w:w="18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2,043</w:t>
            </w:r>
          </w:p>
        </w:tc>
      </w:tr>
      <w:tr>
        <w:trPr>
          <w:trHeight w:val="207"/>
        </w:trPr>
        <w:tc>
          <w:tcPr>
            <w:tcW w:w="6640" w:type="dxa"/>
            <w:vAlign w:val="bottom"/>
          </w:tcPr>
          <w:p>
            <w:pPr>
              <w:ind w:left="240"/>
              <w:spacing w:after="0"/>
              <w:rPr>
                <w:sz w:val="20"/>
                <w:szCs w:val="20"/>
                <w:color w:val="auto"/>
              </w:rPr>
            </w:pPr>
            <w:r>
              <w:rPr>
                <w:rFonts w:ascii="Arial" w:cs="Arial" w:eastAsia="Arial" w:hAnsi="Arial"/>
                <w:sz w:val="14"/>
                <w:szCs w:val="14"/>
                <w:color w:val="auto"/>
              </w:rPr>
              <w:t>Cash payments</w:t>
            </w:r>
          </w:p>
        </w:tc>
        <w:tc>
          <w:tcPr>
            <w:tcW w:w="28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(3,496)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(2,706)</w:t>
            </w:r>
          </w:p>
        </w:tc>
      </w:tr>
      <w:tr>
        <w:trPr>
          <w:trHeight w:val="29"/>
        </w:trPr>
        <w:tc>
          <w:tcPr>
            <w:tcW w:w="664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7"/>
        </w:trPr>
        <w:tc>
          <w:tcPr>
            <w:tcW w:w="66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Balance, End of period</w:t>
            </w:r>
          </w:p>
        </w:tc>
        <w:tc>
          <w:tcPr>
            <w:tcW w:w="280" w:type="dxa"/>
            <w:vAlign w:val="bottom"/>
            <w:tcBorders>
              <w:bottom w:val="single" w:sz="8" w:color="auto"/>
            </w:tcBorders>
            <w:shd w:val="clear" w:color="auto" w:fill="CCFFCC"/>
          </w:tcPr>
          <w:p>
            <w:pPr>
              <w:jc w:val="right"/>
              <w:ind w:right="109"/>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4"/>
                <w:szCs w:val="14"/>
                <w:color w:val="auto"/>
              </w:rPr>
              <w:t>7,157</w:t>
            </w:r>
          </w:p>
        </w:tc>
        <w:tc>
          <w:tcPr>
            <w:tcW w:w="100" w:type="dxa"/>
            <w:vAlign w:val="bottom"/>
            <w:tcBorders>
              <w:bottom w:val="single" w:sz="8" w:color="CCFFCC"/>
            </w:tcBorders>
            <w:shd w:val="clear" w:color="auto" w:fill="CCFFCC"/>
          </w:tcPr>
          <w:p>
            <w:pPr>
              <w:spacing w:after="0"/>
              <w:rPr>
                <w:sz w:val="17"/>
                <w:szCs w:val="17"/>
                <w:color w:val="auto"/>
              </w:rPr>
            </w:pPr>
          </w:p>
        </w:tc>
        <w:tc>
          <w:tcPr>
            <w:tcW w:w="360" w:type="dxa"/>
            <w:vAlign w:val="bottom"/>
            <w:tcBorders>
              <w:bottom w:val="single" w:sz="8" w:color="auto"/>
            </w:tcBorders>
            <w:shd w:val="clear" w:color="auto" w:fill="CCFFCC"/>
          </w:tcPr>
          <w:p>
            <w:pPr>
              <w:jc w:val="right"/>
              <w:ind w:right="18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4"/>
                <w:szCs w:val="14"/>
                <w:color w:val="auto"/>
              </w:rPr>
              <w:t>314</w:t>
            </w: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table presents the detail of expenses for the Company's restructuring charges for the three months ended September 30, 2020 (amounts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4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49"/>
              <w:spacing w:after="0"/>
              <w:rPr>
                <w:sz w:val="20"/>
                <w:szCs w:val="20"/>
                <w:color w:val="auto"/>
              </w:rPr>
            </w:pPr>
            <w:r>
              <w:rPr>
                <w:rFonts w:ascii="Arial" w:cs="Arial" w:eastAsia="Arial" w:hAnsi="Arial"/>
                <w:sz w:val="13"/>
                <w:szCs w:val="13"/>
                <w:b w:val="1"/>
                <w:bCs w:val="1"/>
                <w:color w:val="auto"/>
              </w:rPr>
              <w:t>September 30,</w:t>
            </w: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640" w:type="dxa"/>
            <w:vAlign w:val="bottom"/>
          </w:tcPr>
          <w:p>
            <w:pPr>
              <w:spacing w:after="0"/>
              <w:rPr>
                <w:sz w:val="19"/>
                <w:szCs w:val="19"/>
                <w:color w:val="auto"/>
              </w:rPr>
            </w:pPr>
          </w:p>
        </w:tc>
        <w:tc>
          <w:tcPr>
            <w:tcW w:w="152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11"/>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07"/>
        </w:trPr>
        <w:tc>
          <w:tcPr>
            <w:tcW w:w="6640" w:type="dxa"/>
            <w:vAlign w:val="bottom"/>
          </w:tcPr>
          <w:p>
            <w:pPr>
              <w:ind w:left="20"/>
              <w:spacing w:after="0"/>
              <w:rPr>
                <w:sz w:val="20"/>
                <w:szCs w:val="20"/>
                <w:color w:val="auto"/>
              </w:rPr>
            </w:pPr>
            <w:r>
              <w:rPr>
                <w:rFonts w:ascii="Arial" w:cs="Arial" w:eastAsia="Arial" w:hAnsi="Arial"/>
                <w:sz w:val="14"/>
                <w:szCs w:val="14"/>
                <w:color w:val="auto"/>
              </w:rPr>
              <w:t>Lease restructuring costs:</w:t>
            </w: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6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ROU assets write down</w:t>
            </w:r>
          </w:p>
        </w:tc>
        <w:tc>
          <w:tcPr>
            <w:tcW w:w="1520" w:type="dxa"/>
            <w:vAlign w:val="bottom"/>
            <w:tcBorders>
              <w:bottom w:val="single" w:sz="8" w:color="CCFFCC"/>
            </w:tcBorders>
            <w:shd w:val="clear" w:color="auto" w:fill="CCFFCC"/>
          </w:tcPr>
          <w:p>
            <w:pPr>
              <w:jc w:val="right"/>
              <w:ind w:right="135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13,938</w:t>
            </w:r>
          </w:p>
        </w:tc>
        <w:tc>
          <w:tcPr>
            <w:tcW w:w="10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bottom w:val="single" w:sz="8" w:color="CCFFCC"/>
            </w:tcBorders>
            <w:shd w:val="clear" w:color="auto" w:fill="CCFFCC"/>
          </w:tcPr>
          <w:p>
            <w:pPr>
              <w:jc w:val="right"/>
              <w:ind w:right="489"/>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640" w:type="dxa"/>
            <w:vAlign w:val="bottom"/>
          </w:tcPr>
          <w:p>
            <w:pPr>
              <w:ind w:left="240"/>
              <w:spacing w:after="0"/>
              <w:rPr>
                <w:sz w:val="20"/>
                <w:szCs w:val="20"/>
                <w:color w:val="auto"/>
              </w:rPr>
            </w:pPr>
            <w:r>
              <w:rPr>
                <w:rFonts w:ascii="Arial" w:cs="Arial" w:eastAsia="Arial" w:hAnsi="Arial"/>
                <w:sz w:val="14"/>
                <w:szCs w:val="14"/>
                <w:color w:val="auto"/>
              </w:rPr>
              <w:t>Abandonment of property and equipment</w:t>
            </w:r>
          </w:p>
        </w:tc>
        <w:tc>
          <w:tcPr>
            <w:tcW w:w="1520" w:type="dxa"/>
            <w:vAlign w:val="bottom"/>
          </w:tcPr>
          <w:p>
            <w:pPr>
              <w:spacing w:after="0"/>
              <w:rPr>
                <w:sz w:val="17"/>
                <w:szCs w:val="17"/>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5,147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6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6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Other lease restructuring costs</w:t>
            </w:r>
          </w:p>
        </w:tc>
        <w:tc>
          <w:tcPr>
            <w:tcW w:w="152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4,976</w:t>
            </w:r>
          </w:p>
        </w:tc>
        <w:tc>
          <w:tcPr>
            <w:tcW w:w="10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spacing w:after="0"/>
              <w:rPr>
                <w:sz w:val="20"/>
                <w:szCs w:val="20"/>
                <w:color w:val="auto"/>
              </w:rPr>
            </w:pPr>
          </w:p>
        </w:tc>
        <w:tc>
          <w:tcPr>
            <w:tcW w:w="15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640" w:type="dxa"/>
            <w:vAlign w:val="bottom"/>
          </w:tcPr>
          <w:p>
            <w:pPr>
              <w:ind w:left="20"/>
              <w:spacing w:after="0"/>
              <w:rPr>
                <w:sz w:val="20"/>
                <w:szCs w:val="20"/>
                <w:color w:val="auto"/>
              </w:rPr>
            </w:pPr>
            <w:r>
              <w:rPr>
                <w:rFonts w:ascii="Arial" w:cs="Arial" w:eastAsia="Arial" w:hAnsi="Arial"/>
                <w:sz w:val="14"/>
                <w:szCs w:val="14"/>
                <w:color w:val="auto"/>
              </w:rPr>
              <w:t>Total Lease restructuring costs</w:t>
            </w:r>
          </w:p>
        </w:tc>
        <w:tc>
          <w:tcPr>
            <w:tcW w:w="1520" w:type="dxa"/>
            <w:vAlign w:val="bottom"/>
            <w:tcBorders>
              <w:top w:val="single" w:sz="8" w:color="auto"/>
            </w:tcBorders>
          </w:tcPr>
          <w:p>
            <w:pPr>
              <w:jc w:val="right"/>
              <w:ind w:right="1351"/>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24,061</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6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6640" w:type="dxa"/>
            <w:vAlign w:val="bottom"/>
            <w:shd w:val="clear" w:color="auto" w:fill="CCFFCC"/>
          </w:tcPr>
          <w:p>
            <w:pPr>
              <w:spacing w:after="0"/>
              <w:rPr>
                <w:sz w:val="24"/>
                <w:szCs w:val="24"/>
                <w:color w:val="auto"/>
              </w:rPr>
            </w:pPr>
          </w:p>
        </w:tc>
        <w:tc>
          <w:tcPr>
            <w:tcW w:w="1520" w:type="dxa"/>
            <w:vAlign w:val="bottom"/>
            <w:shd w:val="clear" w:color="auto" w:fill="CCFFCC"/>
          </w:tcPr>
          <w:p>
            <w:pPr>
              <w:spacing w:after="0"/>
              <w:rPr>
                <w:sz w:val="24"/>
                <w:szCs w:val="24"/>
                <w:color w:val="auto"/>
              </w:rPr>
            </w:pPr>
          </w:p>
        </w:tc>
        <w:tc>
          <w:tcPr>
            <w:tcW w:w="7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158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40" w:type="dxa"/>
            <w:vAlign w:val="bottom"/>
          </w:tcPr>
          <w:p>
            <w:pPr>
              <w:ind w:left="20"/>
              <w:spacing w:after="0"/>
              <w:rPr>
                <w:sz w:val="20"/>
                <w:szCs w:val="20"/>
                <w:color w:val="auto"/>
              </w:rPr>
            </w:pPr>
            <w:r>
              <w:rPr>
                <w:rFonts w:ascii="Arial" w:cs="Arial" w:eastAsia="Arial" w:hAnsi="Arial"/>
                <w:sz w:val="14"/>
                <w:szCs w:val="14"/>
                <w:color w:val="auto"/>
              </w:rPr>
              <w:t>Severance and other compensation associated costs</w:t>
            </w:r>
          </w:p>
        </w:tc>
        <w:tc>
          <w:tcPr>
            <w:tcW w:w="1520" w:type="dxa"/>
            <w:vAlign w:val="bottom"/>
            <w:vMerge w:val="restart"/>
          </w:tcPr>
          <w:p>
            <w:pPr>
              <w:jc w:val="right"/>
              <w:ind w:right="1351"/>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1"/>
              <w:spacing w:after="0"/>
              <w:rPr>
                <w:sz w:val="20"/>
                <w:szCs w:val="20"/>
                <w:color w:val="auto"/>
              </w:rPr>
            </w:pPr>
            <w:r>
              <w:rPr>
                <w:rFonts w:ascii="Arial" w:cs="Arial" w:eastAsia="Arial" w:hAnsi="Arial"/>
                <w:sz w:val="14"/>
                <w:szCs w:val="14"/>
                <w:color w:val="auto"/>
              </w:rPr>
              <w:t>2,381</w:t>
            </w:r>
          </w:p>
        </w:tc>
        <w:tc>
          <w:tcPr>
            <w:tcW w:w="100" w:type="dxa"/>
            <w:vAlign w:val="bottom"/>
          </w:tcPr>
          <w:p>
            <w:pPr>
              <w:spacing w:after="0"/>
              <w:rPr>
                <w:sz w:val="16"/>
                <w:szCs w:val="16"/>
                <w:color w:val="auto"/>
              </w:rPr>
            </w:pPr>
          </w:p>
        </w:tc>
        <w:tc>
          <w:tcPr>
            <w:tcW w:w="660" w:type="dxa"/>
            <w:vAlign w:val="bottom"/>
            <w:vMerge w:val="restart"/>
          </w:tcPr>
          <w:p>
            <w:pPr>
              <w:jc w:val="right"/>
              <w:ind w:right="489"/>
              <w:spacing w:after="0"/>
              <w:rPr>
                <w:sz w:val="20"/>
                <w:szCs w:val="20"/>
                <w:color w:val="auto"/>
              </w:rPr>
            </w:pPr>
            <w:r>
              <w:rPr>
                <w:rFonts w:ascii="Arial" w:cs="Arial" w:eastAsia="Arial" w:hAnsi="Arial"/>
                <w:sz w:val="14"/>
                <w:szCs w:val="14"/>
                <w:color w:val="auto"/>
              </w:rPr>
              <w:t>$</w:t>
            </w:r>
          </w:p>
        </w:tc>
        <w:tc>
          <w:tcPr>
            <w:tcW w:w="1580" w:type="dxa"/>
            <w:vAlign w:val="bottom"/>
            <w:vMerge w:val="restart"/>
          </w:tcPr>
          <w:p>
            <w:pPr>
              <w:jc w:val="right"/>
              <w:ind w:right="31"/>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640" w:type="dxa"/>
            <w:vAlign w:val="bottom"/>
            <w:tcBorders>
              <w:bottom w:val="single" w:sz="8" w:color="CCFFCC"/>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6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Total restructuring costs</w:t>
            </w:r>
          </w:p>
        </w:tc>
        <w:tc>
          <w:tcPr>
            <w:tcW w:w="1520" w:type="dxa"/>
            <w:vAlign w:val="bottom"/>
            <w:tcBorders>
              <w:bottom w:val="single" w:sz="8" w:color="auto"/>
            </w:tcBorders>
            <w:shd w:val="clear" w:color="auto" w:fill="CCFFCC"/>
          </w:tcPr>
          <w:p>
            <w:pPr>
              <w:jc w:val="right"/>
              <w:ind w:right="135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4"/>
                <w:szCs w:val="14"/>
                <w:color w:val="auto"/>
              </w:rPr>
              <w:t>26,442</w:t>
            </w:r>
          </w:p>
        </w:tc>
        <w:tc>
          <w:tcPr>
            <w:tcW w:w="10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jc w:val="right"/>
              <w:ind w:right="489"/>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The following table presents the detail of expenses for the Company's restructuring charges for the nine months ended September 30, 2020 (amounts in thousands):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60"/>
          </w:cols>
          <w:pgMar w:left="320" w:top="687"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7"/>
        </w:trPr>
        <w:tc>
          <w:tcPr>
            <w:tcW w:w="664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49"/>
              <w:spacing w:after="0"/>
              <w:rPr>
                <w:sz w:val="20"/>
                <w:szCs w:val="20"/>
                <w:color w:val="auto"/>
              </w:rPr>
            </w:pPr>
            <w:r>
              <w:rPr>
                <w:rFonts w:ascii="Arial" w:cs="Arial" w:eastAsia="Arial" w:hAnsi="Arial"/>
                <w:sz w:val="13"/>
                <w:szCs w:val="13"/>
                <w:b w:val="1"/>
                <w:bCs w:val="1"/>
                <w:color w:val="auto"/>
              </w:rPr>
              <w:t>September 30,</w:t>
            </w:r>
          </w:p>
        </w:tc>
        <w:tc>
          <w:tcPr>
            <w:tcW w:w="1580" w:type="dxa"/>
            <w:vAlign w:val="bottom"/>
            <w:tcBorders>
              <w:bottom w:val="single" w:sz="8" w:color="auto"/>
            </w:tcBorders>
          </w:tcPr>
          <w:p>
            <w:pPr>
              <w:spacing w:after="0"/>
              <w:rPr>
                <w:sz w:val="14"/>
                <w:szCs w:val="14"/>
                <w:color w:val="auto"/>
              </w:rPr>
            </w:pPr>
          </w:p>
        </w:tc>
      </w:tr>
      <w:tr>
        <w:trPr>
          <w:trHeight w:val="224"/>
        </w:trPr>
        <w:tc>
          <w:tcPr>
            <w:tcW w:w="6640" w:type="dxa"/>
            <w:vAlign w:val="bottom"/>
          </w:tcPr>
          <w:p>
            <w:pPr>
              <w:spacing w:after="0"/>
              <w:rPr>
                <w:sz w:val="19"/>
                <w:szCs w:val="19"/>
                <w:color w:val="auto"/>
              </w:rPr>
            </w:pPr>
          </w:p>
        </w:tc>
        <w:tc>
          <w:tcPr>
            <w:tcW w:w="152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11"/>
              <w:spacing w:after="0"/>
              <w:rPr>
                <w:sz w:val="20"/>
                <w:szCs w:val="20"/>
                <w:color w:val="auto"/>
              </w:rPr>
            </w:pPr>
            <w:r>
              <w:rPr>
                <w:rFonts w:ascii="Arial" w:cs="Arial" w:eastAsia="Arial" w:hAnsi="Arial"/>
                <w:sz w:val="13"/>
                <w:szCs w:val="13"/>
                <w:b w:val="1"/>
                <w:bCs w:val="1"/>
                <w:color w:val="auto"/>
              </w:rPr>
              <w:t>2019</w:t>
            </w:r>
          </w:p>
        </w:tc>
      </w:tr>
      <w:tr>
        <w:trPr>
          <w:trHeight w:val="207"/>
        </w:trPr>
        <w:tc>
          <w:tcPr>
            <w:tcW w:w="6640" w:type="dxa"/>
            <w:vAlign w:val="bottom"/>
          </w:tcPr>
          <w:p>
            <w:pPr>
              <w:ind w:left="20"/>
              <w:spacing w:after="0"/>
              <w:rPr>
                <w:sz w:val="20"/>
                <w:szCs w:val="20"/>
                <w:color w:val="auto"/>
              </w:rPr>
            </w:pPr>
            <w:r>
              <w:rPr>
                <w:rFonts w:ascii="Arial" w:cs="Arial" w:eastAsia="Arial" w:hAnsi="Arial"/>
                <w:sz w:val="14"/>
                <w:szCs w:val="14"/>
                <w:color w:val="auto"/>
              </w:rPr>
              <w:t>Lease restructuring costs:</w:t>
            </w: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9"/>
        </w:trPr>
        <w:tc>
          <w:tcPr>
            <w:tcW w:w="6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5"/>
        </w:trPr>
        <w:tc>
          <w:tcPr>
            <w:tcW w:w="66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ROU assets write down</w:t>
            </w:r>
          </w:p>
        </w:tc>
        <w:tc>
          <w:tcPr>
            <w:tcW w:w="1520" w:type="dxa"/>
            <w:vAlign w:val="bottom"/>
            <w:tcBorders>
              <w:bottom w:val="single" w:sz="8" w:color="CCFFCC"/>
            </w:tcBorders>
            <w:shd w:val="clear" w:color="auto" w:fill="CCFFCC"/>
          </w:tcPr>
          <w:p>
            <w:pPr>
              <w:jc w:val="right"/>
              <w:ind w:right="135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13,938</w:t>
            </w:r>
          </w:p>
        </w:tc>
        <w:tc>
          <w:tcPr>
            <w:tcW w:w="10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bottom w:val="single" w:sz="8" w:color="CCFFCC"/>
            </w:tcBorders>
            <w:shd w:val="clear" w:color="auto" w:fill="CCFFCC"/>
          </w:tcPr>
          <w:p>
            <w:pPr>
              <w:jc w:val="right"/>
              <w:ind w:right="489"/>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w:t>
            </w:r>
          </w:p>
        </w:tc>
      </w:tr>
      <w:tr>
        <w:trPr>
          <w:trHeight w:val="207"/>
        </w:trPr>
        <w:tc>
          <w:tcPr>
            <w:tcW w:w="6640" w:type="dxa"/>
            <w:vAlign w:val="bottom"/>
          </w:tcPr>
          <w:p>
            <w:pPr>
              <w:ind w:left="240"/>
              <w:spacing w:after="0"/>
              <w:rPr>
                <w:sz w:val="20"/>
                <w:szCs w:val="20"/>
                <w:color w:val="auto"/>
              </w:rPr>
            </w:pPr>
            <w:r>
              <w:rPr>
                <w:rFonts w:ascii="Arial" w:cs="Arial" w:eastAsia="Arial" w:hAnsi="Arial"/>
                <w:sz w:val="14"/>
                <w:szCs w:val="14"/>
                <w:color w:val="auto"/>
              </w:rPr>
              <w:t>Abandonment of property and equipment</w:t>
            </w:r>
          </w:p>
        </w:tc>
        <w:tc>
          <w:tcPr>
            <w:tcW w:w="1520" w:type="dxa"/>
            <w:vAlign w:val="bottom"/>
          </w:tcPr>
          <w:p>
            <w:pPr>
              <w:spacing w:after="0"/>
              <w:rPr>
                <w:sz w:val="17"/>
                <w:szCs w:val="17"/>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5,147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9"/>
        </w:trPr>
        <w:tc>
          <w:tcPr>
            <w:tcW w:w="6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5"/>
        </w:trPr>
        <w:tc>
          <w:tcPr>
            <w:tcW w:w="66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Other lease restructuring costs</w:t>
            </w:r>
          </w:p>
        </w:tc>
        <w:tc>
          <w:tcPr>
            <w:tcW w:w="152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4,976</w:t>
            </w:r>
          </w:p>
        </w:tc>
        <w:tc>
          <w:tcPr>
            <w:tcW w:w="10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spacing w:after="0"/>
              <w:rPr>
                <w:sz w:val="20"/>
                <w:szCs w:val="20"/>
                <w:color w:val="auto"/>
              </w:rPr>
            </w:pPr>
          </w:p>
        </w:tc>
        <w:tc>
          <w:tcPr>
            <w:tcW w:w="15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w:t>
            </w:r>
          </w:p>
        </w:tc>
      </w:tr>
      <w:tr>
        <w:trPr>
          <w:trHeight w:val="187"/>
        </w:trPr>
        <w:tc>
          <w:tcPr>
            <w:tcW w:w="6640" w:type="dxa"/>
            <w:vAlign w:val="bottom"/>
          </w:tcPr>
          <w:p>
            <w:pPr>
              <w:ind w:left="20"/>
              <w:spacing w:after="0"/>
              <w:rPr>
                <w:sz w:val="20"/>
                <w:szCs w:val="20"/>
                <w:color w:val="auto"/>
              </w:rPr>
            </w:pPr>
            <w:r>
              <w:rPr>
                <w:rFonts w:ascii="Arial" w:cs="Arial" w:eastAsia="Arial" w:hAnsi="Arial"/>
                <w:sz w:val="14"/>
                <w:szCs w:val="14"/>
                <w:color w:val="auto"/>
              </w:rPr>
              <w:t>Total Lease restructuring costs</w:t>
            </w:r>
          </w:p>
        </w:tc>
        <w:tc>
          <w:tcPr>
            <w:tcW w:w="1520" w:type="dxa"/>
            <w:vAlign w:val="bottom"/>
            <w:tcBorders>
              <w:top w:val="single" w:sz="8" w:color="auto"/>
            </w:tcBorders>
          </w:tcPr>
          <w:p>
            <w:pPr>
              <w:jc w:val="right"/>
              <w:ind w:right="1351"/>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24,061</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r>
      <w:tr>
        <w:trPr>
          <w:trHeight w:val="29"/>
        </w:trPr>
        <w:tc>
          <w:tcPr>
            <w:tcW w:w="6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2"/>
        </w:trPr>
        <w:tc>
          <w:tcPr>
            <w:tcW w:w="6640" w:type="dxa"/>
            <w:vAlign w:val="bottom"/>
            <w:shd w:val="clear" w:color="auto" w:fill="CCFFCC"/>
          </w:tcPr>
          <w:p>
            <w:pPr>
              <w:spacing w:after="0"/>
              <w:rPr>
                <w:sz w:val="24"/>
                <w:szCs w:val="24"/>
                <w:color w:val="auto"/>
              </w:rPr>
            </w:pPr>
          </w:p>
        </w:tc>
        <w:tc>
          <w:tcPr>
            <w:tcW w:w="1520" w:type="dxa"/>
            <w:vAlign w:val="bottom"/>
            <w:shd w:val="clear" w:color="auto" w:fill="CCFFCC"/>
          </w:tcPr>
          <w:p>
            <w:pPr>
              <w:spacing w:after="0"/>
              <w:rPr>
                <w:sz w:val="24"/>
                <w:szCs w:val="24"/>
                <w:color w:val="auto"/>
              </w:rPr>
            </w:pPr>
          </w:p>
        </w:tc>
        <w:tc>
          <w:tcPr>
            <w:tcW w:w="7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1580" w:type="dxa"/>
            <w:vAlign w:val="bottom"/>
            <w:shd w:val="clear" w:color="auto" w:fill="CCFFCC"/>
          </w:tcPr>
          <w:p>
            <w:pPr>
              <w:spacing w:after="0"/>
              <w:rPr>
                <w:sz w:val="24"/>
                <w:szCs w:val="24"/>
                <w:color w:val="auto"/>
              </w:rPr>
            </w:pPr>
          </w:p>
        </w:tc>
      </w:tr>
      <w:tr>
        <w:trPr>
          <w:trHeight w:val="207"/>
        </w:trPr>
        <w:tc>
          <w:tcPr>
            <w:tcW w:w="6640" w:type="dxa"/>
            <w:vAlign w:val="bottom"/>
          </w:tcPr>
          <w:p>
            <w:pPr>
              <w:ind w:left="20"/>
              <w:spacing w:after="0"/>
              <w:rPr>
                <w:sz w:val="20"/>
                <w:szCs w:val="20"/>
                <w:color w:val="auto"/>
              </w:rPr>
            </w:pPr>
            <w:r>
              <w:rPr>
                <w:rFonts w:ascii="Arial" w:cs="Arial" w:eastAsia="Arial" w:hAnsi="Arial"/>
                <w:sz w:val="14"/>
                <w:szCs w:val="14"/>
                <w:color w:val="auto"/>
              </w:rPr>
              <w:t>Severance and other associated costs</w:t>
            </w:r>
          </w:p>
        </w:tc>
        <w:tc>
          <w:tcPr>
            <w:tcW w:w="1520" w:type="dxa"/>
            <w:vAlign w:val="bottom"/>
          </w:tcPr>
          <w:p>
            <w:pPr>
              <w:spacing w:after="0"/>
              <w:rPr>
                <w:sz w:val="17"/>
                <w:szCs w:val="17"/>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5,574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jc w:val="right"/>
              <w:ind w:right="31"/>
              <w:spacing w:after="0"/>
              <w:rPr>
                <w:sz w:val="20"/>
                <w:szCs w:val="20"/>
                <w:color w:val="auto"/>
              </w:rPr>
            </w:pPr>
            <w:r>
              <w:rPr>
                <w:rFonts w:ascii="Arial" w:cs="Arial" w:eastAsia="Arial" w:hAnsi="Arial"/>
                <w:sz w:val="14"/>
                <w:szCs w:val="14"/>
                <w:color w:val="auto"/>
              </w:rPr>
              <w:t>1,909</w:t>
            </w:r>
          </w:p>
        </w:tc>
      </w:tr>
      <w:tr>
        <w:trPr>
          <w:trHeight w:val="29"/>
        </w:trPr>
        <w:tc>
          <w:tcPr>
            <w:tcW w:w="6640" w:type="dxa"/>
            <w:vAlign w:val="bottom"/>
            <w:tcBorders>
              <w:bottom w:val="single" w:sz="8" w:color="CCFFCC"/>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7"/>
        </w:trPr>
        <w:tc>
          <w:tcPr>
            <w:tcW w:w="66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Total restructuring costs</w:t>
            </w:r>
          </w:p>
        </w:tc>
        <w:tc>
          <w:tcPr>
            <w:tcW w:w="1520" w:type="dxa"/>
            <w:vAlign w:val="bottom"/>
            <w:tcBorders>
              <w:bottom w:val="single" w:sz="8" w:color="auto"/>
            </w:tcBorders>
            <w:shd w:val="clear" w:color="auto" w:fill="CCFFCC"/>
          </w:tcPr>
          <w:p>
            <w:pPr>
              <w:jc w:val="right"/>
              <w:ind w:right="135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4"/>
                <w:szCs w:val="14"/>
                <w:color w:val="auto"/>
              </w:rPr>
              <w:t>29,635</w:t>
            </w:r>
          </w:p>
        </w:tc>
        <w:tc>
          <w:tcPr>
            <w:tcW w:w="10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jc w:val="right"/>
              <w:ind w:right="489"/>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4"/>
                <w:szCs w:val="14"/>
                <w:color w:val="auto"/>
              </w:rPr>
              <w:t>1,909</w:t>
            </w:r>
          </w:p>
        </w:tc>
      </w:tr>
      <w:tr>
        <w:trPr>
          <w:trHeight w:val="20"/>
        </w:trPr>
        <w:tc>
          <w:tcPr>
            <w:tcW w:w="66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Legal Matters</w:t>
      </w:r>
    </w:p>
    <w:p>
      <w:pPr>
        <w:spacing w:after="0" w:line="102" w:lineRule="exact"/>
        <w:rPr>
          <w:sz w:val="20"/>
          <w:szCs w:val="20"/>
          <w:color w:val="auto"/>
        </w:rPr>
      </w:pPr>
    </w:p>
    <w:p>
      <w:pPr>
        <w:ind w:right="120" w:firstLine="564"/>
        <w:spacing w:after="0" w:line="267" w:lineRule="auto"/>
        <w:rPr>
          <w:sz w:val="20"/>
          <w:szCs w:val="20"/>
          <w:color w:val="auto"/>
        </w:rPr>
      </w:pPr>
      <w:r>
        <w:rPr>
          <w:rFonts w:ascii="Arial" w:cs="Arial" w:eastAsia="Arial" w:hAnsi="Arial"/>
          <w:sz w:val="15"/>
          <w:szCs w:val="15"/>
          <w:color w:val="auto"/>
        </w:rPr>
        <w:t>The Company previously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the Company’s favor have invalidated the majority of [24]7 patents that were asserted in the patent cases. Trial for the Company’s intellectual property and other claims asserted against [24]7 is set for March 15, 2021. Trial for [24]7’s patent infringement claims has been vacated, to be reset after the trial on LivePerson’s claims. The Company believes the claims filed by [24]7 are entirely without merit and intends to defend them vigorously.</w:t>
      </w:r>
    </w:p>
    <w:p>
      <w:pPr>
        <w:spacing w:after="0" w:line="87" w:lineRule="exact"/>
        <w:rPr>
          <w:sz w:val="20"/>
          <w:szCs w:val="20"/>
          <w:color w:val="auto"/>
        </w:rPr>
      </w:pPr>
    </w:p>
    <w:p>
      <w:pPr>
        <w:jc w:val="both"/>
        <w:ind w:right="160" w:firstLine="564"/>
        <w:spacing w:after="0" w:line="252" w:lineRule="auto"/>
        <w:rPr>
          <w:sz w:val="20"/>
          <w:szCs w:val="20"/>
          <w:color w:val="auto"/>
        </w:rPr>
      </w:pPr>
      <w:r>
        <w:rPr>
          <w:rFonts w:ascii="Arial" w:cs="Arial" w:eastAsia="Arial" w:hAnsi="Arial"/>
          <w:sz w:val="16"/>
          <w:szCs w:val="16"/>
          <w:color w:val="auto"/>
        </w:rPr>
        <w:t>In July 2020, we made a decision to exit our office leases due to the COVID-19 pandemic. We are in the process of negotiating termination agreements with each of our landlords. Landlords in certain locations have initiated proceedings with respect to lease terminations. We have fully accrued unpaid rent through date of this update and believe we have adequately reserved on our books, and that this amount should be adequate to cover our liability. We do not expect these matters to have a material adverse effect on our results of operations.</w:t>
      </w:r>
    </w:p>
    <w:p>
      <w:pPr>
        <w:spacing w:after="0" w:line="168" w:lineRule="exact"/>
        <w:rPr>
          <w:sz w:val="20"/>
          <w:szCs w:val="20"/>
          <w:color w:val="auto"/>
        </w:rPr>
      </w:pPr>
    </w:p>
    <w:p>
      <w:pPr>
        <w:ind w:right="320" w:firstLine="564"/>
        <w:spacing w:after="0" w:line="265" w:lineRule="auto"/>
        <w:rPr>
          <w:sz w:val="20"/>
          <w:szCs w:val="20"/>
          <w:color w:val="auto"/>
        </w:rPr>
      </w:pPr>
      <w:r>
        <w:rPr>
          <w:rFonts w:ascii="Arial" w:cs="Arial" w:eastAsia="Arial" w:hAnsi="Arial"/>
          <w:sz w:val="16"/>
          <w:szCs w:val="16"/>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87" w:lineRule="exact"/>
        <w:rPr>
          <w:sz w:val="20"/>
          <w:szCs w:val="20"/>
          <w:color w:val="auto"/>
        </w:rPr>
      </w:pPr>
    </w:p>
    <w:p>
      <w:pPr>
        <w:ind w:firstLine="564"/>
        <w:spacing w:after="0" w:line="265" w:lineRule="auto"/>
        <w:rPr>
          <w:sz w:val="20"/>
          <w:szCs w:val="20"/>
          <w:color w:val="auto"/>
        </w:rPr>
      </w:pPr>
      <w:r>
        <w:rPr>
          <w:rFonts w:ascii="Arial" w:cs="Arial" w:eastAsia="Arial" w:hAnsi="Arial"/>
          <w:sz w:val="15"/>
          <w:szCs w:val="15"/>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91" w:lineRule="exact"/>
        <w:rPr>
          <w:sz w:val="20"/>
          <w:szCs w:val="20"/>
          <w:color w:val="auto"/>
        </w:rPr>
      </w:pPr>
    </w:p>
    <w:p>
      <w:pPr>
        <w:ind w:right="60" w:firstLine="564"/>
        <w:spacing w:after="0" w:line="280" w:lineRule="auto"/>
        <w:rPr>
          <w:sz w:val="20"/>
          <w:szCs w:val="20"/>
          <w:color w:val="auto"/>
        </w:rPr>
      </w:pPr>
      <w:r>
        <w:rPr>
          <w:rFonts w:ascii="Arial" w:cs="Arial" w:eastAsia="Arial" w:hAnsi="Arial"/>
          <w:sz w:val="15"/>
          <w:szCs w:val="15"/>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60"/>
          </w:cols>
          <w:pgMar w:left="320" w:top="696" w:right="319" w:bottom="1440" w:gutter="0" w:footer="0" w:header="0"/>
        </w:sectPr>
      </w:pPr>
    </w:p>
    <w:bookmarkStart w:id="36" w:name="page37"/>
    <w:bookmarkEnd w:id="36"/>
    <w:p>
      <w:pPr>
        <w:ind w:right="260"/>
        <w:spacing w:after="0" w:line="255" w:lineRule="auto"/>
        <w:rPr>
          <w:sz w:val="20"/>
          <w:szCs w:val="20"/>
          <w:color w:val="auto"/>
        </w:rPr>
      </w:pPr>
      <w:r>
        <w:rPr>
          <w:rFonts w:ascii="Arial" w:cs="Arial" w:eastAsia="Arial" w:hAnsi="Arial"/>
          <w:sz w:val="16"/>
          <w:szCs w:val="16"/>
          <w:color w:val="auto"/>
        </w:rPr>
        <w:t>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Income Taxes</w:t>
      </w:r>
    </w:p>
    <w:p>
      <w:pPr>
        <w:spacing w:after="0" w:line="102" w:lineRule="exact"/>
        <w:rPr>
          <w:sz w:val="20"/>
          <w:szCs w:val="20"/>
          <w:color w:val="auto"/>
        </w:rPr>
      </w:pPr>
    </w:p>
    <w:p>
      <w:pPr>
        <w:jc w:val="both"/>
        <w:ind w:firstLine="564"/>
        <w:spacing w:after="0" w:line="311" w:lineRule="auto"/>
        <w:rPr>
          <w:sz w:val="20"/>
          <w:szCs w:val="20"/>
          <w:color w:val="auto"/>
        </w:rPr>
      </w:pPr>
      <w:r>
        <w:rPr>
          <w:rFonts w:ascii="Arial" w:cs="Arial" w:eastAsia="Arial" w:hAnsi="Arial"/>
          <w:sz w:val="13"/>
          <w:szCs w:val="13"/>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We include interest accrued on the underpayment of income taxes in interest expense and penalties, if any, related to unrecognized tax benefits in general and administrative expenses. We recorded a valuation allowance as we considered our cumulative loss in recent years as a significant piece of negative evidence. Valuation allowances are established, when necessary, to reduce deferred tax assets to the amount expected to be realized.</w:t>
      </w:r>
    </w:p>
    <w:p>
      <w:pPr>
        <w:spacing w:after="0" w:line="231"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Under the CARES Act, the Company is able to recognize the benefit of the tax year 2018 loss by carrying back the loss to prior periods. There was no tax benefit recognized for the three months ended September 30, 2020. The total tax benefit recognized in the Company’s condensed consolidated statement of operations for the nine months ended September 30, 2020 as a result of the CARES Act is approximately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60"/>
          </w:cols>
          <w:pgMar w:left="320" w:top="503" w:right="31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Item 2. 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 of Financial Condition and Results of Operations</w:t>
      </w:r>
    </w:p>
    <w:p>
      <w:pPr>
        <w:spacing w:after="0" w:line="98"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auto"/>
        </w:rPr>
        <w:t>General</w:t>
      </w:r>
    </w:p>
    <w:p>
      <w:pPr>
        <w:spacing w:after="0" w:line="196"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5"/>
          <w:szCs w:val="15"/>
          <w:i w:val="1"/>
          <w:iCs w:val="1"/>
          <w:color w:val="auto"/>
        </w:rPr>
        <w:t xml:space="preserve">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 </w:t>
      </w:r>
      <w:r>
        <w:rPr>
          <w:rFonts w:ascii="Arial" w:cs="Arial" w:eastAsia="Arial" w:hAnsi="Arial"/>
          <w:sz w:val="15"/>
          <w:szCs w:val="15"/>
          <w:i w:val="1"/>
          <w:iCs w:val="1"/>
          <w:color w:val="212529"/>
        </w:rPr>
        <w:t>In addition, our actual results could differ from our estimates and assumptions based upon impacts on our business and general</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212529"/>
        </w:rPr>
        <w:t>economic conditions due to the current COVID-19 pandemic.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Overview</w:t>
      </w:r>
    </w:p>
    <w:p>
      <w:pPr>
        <w:spacing w:after="0" w:line="20" w:lineRule="exact"/>
        <w:rPr>
          <w:sz w:val="20"/>
          <w:szCs w:val="20"/>
          <w:color w:val="auto"/>
        </w:rPr>
      </w:pPr>
    </w:p>
    <w:p>
      <w:pPr>
        <w:jc w:val="both"/>
        <w:ind w:firstLine="665"/>
        <w:spacing w:after="0" w:line="264" w:lineRule="auto"/>
        <w:rPr>
          <w:sz w:val="20"/>
          <w:szCs w:val="20"/>
          <w:color w:val="auto"/>
        </w:rPr>
      </w:pPr>
      <w:r>
        <w:rPr>
          <w:rFonts w:ascii="Arial" w:cs="Arial" w:eastAsia="Arial" w:hAnsi="Arial"/>
          <w:sz w:val="15"/>
          <w:szCs w:val="15"/>
          <w:color w:val="auto"/>
        </w:rPr>
        <w:t>LivePerson, Inc. (“LivePerson”, the “Company”, “we” or “our”) makes life easier for people and brands everywhere through messaging powered by AI and humans. During the past decade, the consumers have made the mobile device the center of their digital lives, and they have made mobile messaging the center of communication with friends, family and peers.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social and brick and mortar engagements. For example, consumers can look up product info like ratings, images and pricing, search for stores, see product inventory, schedule appointments, apply for credit, approve repairs, make purchases or payments - all without ever leaving the messaging channel. We refer to these AI and human-assisted conversational experiences as the Conversational Space.</w:t>
      </w:r>
    </w:p>
    <w:p>
      <w:pPr>
        <w:spacing w:after="0" w:line="69"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The Conversational Cloud, our enterprise-class cloud-based platform, enables businesses to become conversational by securely deploying messaging, coupled with bots and AI, at scale for brands with tens of millions of customers and many thousands of customer care agents. The Conversational Cloud powers conversations across each of a brand’s primary digital channels, including mobile apps, mobile and desktop web browsers, short message service (SMS), social media and third-party consumer messaging platforms. Brands can also use Conversational Cloud to message consumers when they dial a 1-800 number instead of forcing them to navigate interactive voice response systems (IVRs) and wait on hold. Similarly, the Conversational Cloud can receive traditional emails and convert them into messaging conversations, or embed messaging conversations directly into web advertisements, rather than redirect consumers to static website landing pages.</w:t>
      </w:r>
    </w:p>
    <w:p>
      <w:pPr>
        <w:spacing w:after="0" w:line="62" w:lineRule="exact"/>
        <w:rPr>
          <w:sz w:val="20"/>
          <w:szCs w:val="20"/>
          <w:color w:val="auto"/>
        </w:rPr>
      </w:pPr>
    </w:p>
    <w:p>
      <w:pPr>
        <w:jc w:val="both"/>
        <w:ind w:right="20" w:firstLine="564"/>
        <w:spacing w:after="0" w:line="317" w:lineRule="auto"/>
        <w:rPr>
          <w:sz w:val="20"/>
          <w:szCs w:val="20"/>
          <w:color w:val="auto"/>
        </w:rPr>
      </w:pPr>
      <w:r>
        <w:rPr>
          <w:rFonts w:ascii="Arial" w:cs="Arial" w:eastAsia="Arial" w:hAnsi="Arial"/>
          <w:sz w:val="13"/>
          <w:szCs w:val="13"/>
          <w:color w:val="auto"/>
        </w:rPr>
        <w:t>Our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With Conversational Cloud, agents can manage all conversations with consumers through a single console interface, regardless of which disparate messaging endpoints the consumers originate from; i.e., WhatsApp, Line, Apple Business Chat, IVR, social, email, Alexa, or WeChat.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Conversational Cloud.</w:t>
      </w:r>
    </w:p>
    <w:p>
      <w:pPr>
        <w:spacing w:after="0" w:line="38"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60"/>
          </w:cols>
          <w:pgMar w:left="320" w:top="781" w:right="319" w:bottom="1440" w:gutter="0" w:footer="0" w:header="0"/>
        </w:sectPr>
      </w:pPr>
    </w:p>
    <w:bookmarkStart w:id="38" w:name="page39"/>
    <w:bookmarkEnd w:id="38"/>
    <w:p>
      <w:pPr>
        <w:jc w:val="both"/>
        <w:ind w:right="20" w:firstLine="564"/>
        <w:spacing w:after="0" w:line="328" w:lineRule="auto"/>
        <w:rPr>
          <w:sz w:val="20"/>
          <w:szCs w:val="20"/>
          <w:color w:val="auto"/>
        </w:rPr>
      </w:pPr>
      <w:r>
        <w:rPr>
          <w:rFonts w:ascii="Arial" w:cs="Arial" w:eastAsia="Arial" w:hAnsi="Arial"/>
          <w:sz w:val="13"/>
          <w:szCs w:val="13"/>
          <w:color w:val="auto"/>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We are a leading authority in the Conversational Space. LivePerson’s products, coupled with our domain knowledge, industry expertise and professional services, have been proven to maximize the effectiveness of the Conversational Space and deliver measurable return on investment. Certain of our customers have achieved the following advantages from our offerings:</w:t>
      </w:r>
    </w:p>
    <w:p>
      <w:pPr>
        <w:spacing w:after="0" w:line="29" w:lineRule="exact"/>
        <w:rPr>
          <w:sz w:val="20"/>
          <w:szCs w:val="20"/>
          <w:color w:val="auto"/>
        </w:rPr>
      </w:pPr>
    </w:p>
    <w:p>
      <w:pPr>
        <w:ind w:left="1100" w:hanging="283"/>
        <w:spacing w:after="0" w:line="252" w:lineRule="auto"/>
        <w:tabs>
          <w:tab w:leader="none" w:pos="11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spacing w:after="0" w:line="1" w:lineRule="exact"/>
        <w:rPr>
          <w:rFonts w:ascii="Arial" w:cs="Arial" w:eastAsia="Arial" w:hAnsi="Arial"/>
          <w:sz w:val="16"/>
          <w:szCs w:val="16"/>
          <w:color w:val="auto"/>
        </w:rPr>
      </w:pPr>
    </w:p>
    <w:p>
      <w:pPr>
        <w:ind w:left="1100" w:hanging="283"/>
        <w:spacing w:after="0"/>
        <w:tabs>
          <w:tab w:leader="none" w:pos="11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labor efficiency gains of at least two times that of voice agents, effectively cutting labor costs by at least 50%;</w:t>
      </w:r>
    </w:p>
    <w:p>
      <w:pPr>
        <w:spacing w:after="0" w:line="4" w:lineRule="exact"/>
        <w:rPr>
          <w:rFonts w:ascii="Arial" w:cs="Arial" w:eastAsia="Arial" w:hAnsi="Arial"/>
          <w:sz w:val="16"/>
          <w:szCs w:val="16"/>
          <w:color w:val="auto"/>
        </w:rPr>
      </w:pPr>
    </w:p>
    <w:p>
      <w:pPr>
        <w:ind w:left="1100" w:hanging="283"/>
        <w:spacing w:after="0"/>
        <w:tabs>
          <w:tab w:leader="none" w:pos="11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improving the overall customer experience, thereby fueling customer satisfaction increases of up to 20 percentage points, and enhancing retention and loyalty;</w:t>
      </w:r>
    </w:p>
    <w:p>
      <w:pPr>
        <w:spacing w:after="0" w:line="38" w:lineRule="exact"/>
        <w:rPr>
          <w:rFonts w:ascii="Arial" w:cs="Arial" w:eastAsia="Arial" w:hAnsi="Arial"/>
          <w:sz w:val="13"/>
          <w:szCs w:val="13"/>
          <w:color w:val="auto"/>
        </w:rPr>
      </w:pPr>
    </w:p>
    <w:p>
      <w:pPr>
        <w:ind w:left="1100" w:right="20" w:hanging="283"/>
        <w:spacing w:after="0" w:line="245" w:lineRule="auto"/>
        <w:tabs>
          <w:tab w:leader="none" w:pos="11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more convenient, personalized and content-rich conversations that increase sales conversion by up to 20%, increase average order value and reduce abandonment;</w:t>
      </w:r>
    </w:p>
    <w:p>
      <w:pPr>
        <w:ind w:left="1100" w:hanging="283"/>
        <w:spacing w:after="0"/>
        <w:tabs>
          <w:tab w:leader="none" w:pos="11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more satisfied contact center agents, thereby reducing agent churn by up to 50%;</w:t>
      </w:r>
    </w:p>
    <w:p>
      <w:pPr>
        <w:spacing w:after="0" w:line="4" w:lineRule="exact"/>
        <w:rPr>
          <w:rFonts w:ascii="Arial" w:cs="Arial" w:eastAsia="Arial" w:hAnsi="Arial"/>
          <w:sz w:val="16"/>
          <w:szCs w:val="16"/>
          <w:color w:val="auto"/>
        </w:rPr>
      </w:pPr>
    </w:p>
    <w:p>
      <w:pPr>
        <w:ind w:left="1100" w:hanging="283"/>
        <w:spacing w:after="0"/>
        <w:tabs>
          <w:tab w:leader="none" w:pos="11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maintain a valued connection with consumers via mobile devices, either through native applications, websites, text messages, or third-party messaging platforms;</w:t>
      </w:r>
    </w:p>
    <w:p>
      <w:pPr>
        <w:spacing w:after="0" w:line="38" w:lineRule="exact"/>
        <w:rPr>
          <w:rFonts w:ascii="Arial" w:cs="Arial" w:eastAsia="Arial" w:hAnsi="Arial"/>
          <w:sz w:val="13"/>
          <w:szCs w:val="13"/>
          <w:color w:val="auto"/>
        </w:rPr>
      </w:pPr>
    </w:p>
    <w:p>
      <w:pPr>
        <w:ind w:left="1100" w:hanging="283"/>
        <w:spacing w:after="0"/>
        <w:tabs>
          <w:tab w:leader="none" w:pos="11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leverage spending that drives visitor traffic by increasing visitor conversions;</w:t>
      </w:r>
    </w:p>
    <w:p>
      <w:pPr>
        <w:spacing w:after="0" w:line="4" w:lineRule="exact"/>
        <w:rPr>
          <w:rFonts w:ascii="Arial" w:cs="Arial" w:eastAsia="Arial" w:hAnsi="Arial"/>
          <w:sz w:val="16"/>
          <w:szCs w:val="16"/>
          <w:color w:val="auto"/>
        </w:rPr>
      </w:pPr>
    </w:p>
    <w:p>
      <w:pPr>
        <w:ind w:left="1100" w:hanging="283"/>
        <w:spacing w:after="0"/>
        <w:tabs>
          <w:tab w:leader="none" w:pos="11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refine and improve performance by understanding which initiatives deliver the highest rate of return; and</w:t>
      </w:r>
    </w:p>
    <w:p>
      <w:pPr>
        <w:spacing w:after="0" w:line="4" w:lineRule="exact"/>
        <w:rPr>
          <w:rFonts w:ascii="Arial" w:cs="Arial" w:eastAsia="Arial" w:hAnsi="Arial"/>
          <w:sz w:val="16"/>
          <w:szCs w:val="16"/>
          <w:color w:val="auto"/>
        </w:rPr>
      </w:pPr>
    </w:p>
    <w:p>
      <w:pPr>
        <w:ind w:left="1100" w:hanging="283"/>
        <w:spacing w:after="0"/>
        <w:tabs>
          <w:tab w:leader="none" w:pos="11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increase lead generation by providing a single platform that engages consumers through advertisements and listings on branded and third-party websites.</w:t>
      </w:r>
    </w:p>
    <w:p>
      <w:pPr>
        <w:spacing w:after="0" w:line="309"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74" w:lineRule="exact"/>
        <w:rPr>
          <w:sz w:val="20"/>
          <w:szCs w:val="20"/>
          <w:color w:val="auto"/>
        </w:rPr>
      </w:pPr>
    </w:p>
    <w:p>
      <w:pPr>
        <w:jc w:val="both"/>
        <w:ind w:right="20" w:firstLine="564"/>
        <w:spacing w:after="0" w:line="255" w:lineRule="auto"/>
        <w:rPr>
          <w:sz w:val="20"/>
          <w:szCs w:val="20"/>
          <w:color w:val="auto"/>
        </w:rPr>
      </w:pPr>
      <w:r>
        <w:rPr>
          <w:rFonts w:ascii="Arial" w:cs="Arial" w:eastAsia="Arial" w:hAnsi="Arial"/>
          <w:sz w:val="16"/>
          <w:szCs w:val="16"/>
          <w:color w:val="auto"/>
        </w:rPr>
        <w:t>To further enhance our platform, in September 2020 we signed a partnership with Infosys, a leader in next-generation digital services and consulting. We will work with Infosys to transform our technology infrastructure on the public cloud, to build integrated solutions and a global practice around our Conversational Cloud to sell into their channels and global enterprise customer base, and to redefine how the world's top brands communicate.</w:t>
      </w:r>
    </w:p>
    <w:p>
      <w:pPr>
        <w:spacing w:after="0" w:line="7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More than 18,000 businesses, including HSBC, Orange, The Home Depot, and GM Financial use our conversational solutions to orchestrate humans and AI, at scale, and create a convenient, deeply personal relationship with their customers.</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key elements of LivePerson’s business solutions strategy include:</w:t>
      </w:r>
    </w:p>
    <w:p>
      <w:pPr>
        <w:spacing w:after="0" w:line="98"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b w:val="1"/>
          <w:bCs w:val="1"/>
          <w:i w:val="1"/>
          <w:iCs w:val="1"/>
          <w:color w:val="auto"/>
        </w:rPr>
        <w:t xml:space="preserve">Build awareness and drive adoption of the Conversational Space. </w:t>
      </w:r>
      <w:r>
        <w:rPr>
          <w:rFonts w:ascii="Arial" w:cs="Arial" w:eastAsia="Arial" w:hAnsi="Arial"/>
          <w:sz w:val="15"/>
          <w:szCs w:val="15"/>
          <w:color w:val="auto"/>
        </w:rPr>
        <w:t>LivePerson brought our first customer live on messaging in June 2016. Since that time, we have been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focused on building awareness for conversational experiences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59"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A key component of our industry awareness marketing strategy has been to hold multiple global customer summits each year that target executives from enterprise customers and prospects, and feature a key theme within the Conversational Space, such as Apple Business Chat, Google Rich Business Messenger, IVR deflection or AI. LivePerson customers are the centerpoint of these summits, presenting why they chose LivePerson for conversational experiences, how they achieved success, and what type of ROI they have realized. Each attendee then receives a blueprint for how they can achieve similar outcomes. We have found this strategy to drive strong results for LivePerson, as we have seen a greater than 40% conversion rate on opportunities that were created or advanced as part of the customer summits. By year end 2019, we had brought approximately 300 customers live on messaging, and we had increased adoption within our enterprise customers to nearly 55%. In addition, nearly 60% of messaging conversations had automation attached. As of September 30, 2020, we had brought approximately 370 customers live on messaging, and we had increased adoption within our enterprise customers to 65%. In addition, 65% of messaging conversations had automation attached.</w:t>
      </w:r>
    </w:p>
    <w:p>
      <w:pPr>
        <w:spacing w:after="0" w:line="63"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 light of the COVID-19 pandemic and recent shelter-in-place mandates, we have adapted our marketing strategy to include targeted digital experiences that emphasize the unique positioning of our messaging and AI offerings to help brands succeed in this new environment. Our marketing message has shifted from business improvement to business continuity and virtualization of the contact center.</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60"/>
          </w:cols>
          <w:pgMar w:left="320" w:top="503" w:right="319" w:bottom="1440" w:gutter="0" w:footer="0" w:header="0"/>
        </w:sectPr>
      </w:pPr>
    </w:p>
    <w:bookmarkStart w:id="39" w:name="page40"/>
    <w:bookmarkEnd w:id="39"/>
    <w:p>
      <w:pPr>
        <w:jc w:val="both"/>
        <w:ind w:firstLine="564"/>
        <w:spacing w:after="0" w:line="250" w:lineRule="auto"/>
        <w:rPr>
          <w:sz w:val="20"/>
          <w:szCs w:val="20"/>
          <w:color w:val="auto"/>
        </w:rPr>
      </w:pPr>
      <w:r>
        <w:rPr>
          <w:rFonts w:ascii="Arial" w:cs="Arial" w:eastAsia="Arial" w:hAnsi="Arial"/>
          <w:sz w:val="16"/>
          <w:szCs w:val="16"/>
          <w:b w:val="1"/>
          <w:bCs w:val="1"/>
          <w:i w:val="1"/>
          <w:iCs w:val="1"/>
          <w:color w:val="auto"/>
        </w:rPr>
        <w:t xml:space="preserve">Increase messaging volumes by developing a broad ecosystem, expanding customer use cases, and focusing on AI and automation. </w:t>
      </w:r>
      <w:r>
        <w:rPr>
          <w:rFonts w:ascii="Arial" w:cs="Arial" w:eastAsia="Arial" w:hAnsi="Arial"/>
          <w:sz w:val="16"/>
          <w:szCs w:val="16"/>
          <w:color w:val="auto"/>
        </w:rPr>
        <w:t>Our strategy is to drive higher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messaging volumes by going both wide across messaging endpoints, deep across consumer use cases, and focusing on AI and automation as the means to deliver powerful scale.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76"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In order to drive broad messaging adoption, it is imperative that Conversational Cloud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plan overage alerts into two-way conversations. Finally, we connected to Facebook and WhatsApp digital advertisements, enabling consumers to initiate messaging conversations for marketing and customer care directly within the advertisement.</w:t>
      </w:r>
    </w:p>
    <w:p>
      <w:pPr>
        <w:spacing w:after="0" w:line="66"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Each channel and use case added opens the door to hundreds of millions of new consumers, providing brands a greater opportunity to shift share away from their legacy contact center channels into messaging. For example, in 2019, leading airlines launched on WhatsApp and Apple Business Chat with the ability to make secure payments; a baseball stadium launched an automated conversational concierge providing answers to a wide range of questions from restroom locations to player stats; and a multinational telecommunications company used proactive two-way messaging for outbound campaigns.</w:t>
      </w:r>
    </w:p>
    <w:p>
      <w:pPr>
        <w:spacing w:after="0" w:line="74" w:lineRule="exact"/>
        <w:rPr>
          <w:sz w:val="20"/>
          <w:szCs w:val="20"/>
          <w:color w:val="auto"/>
        </w:rPr>
      </w:pPr>
    </w:p>
    <w:p>
      <w:pPr>
        <w:jc w:val="both"/>
        <w:ind w:right="20" w:firstLine="564"/>
        <w:spacing w:after="0" w:line="377" w:lineRule="auto"/>
        <w:rPr>
          <w:sz w:val="20"/>
          <w:szCs w:val="20"/>
          <w:color w:val="auto"/>
        </w:rPr>
      </w:pPr>
      <w:r>
        <w:rPr>
          <w:rFonts w:ascii="Arial" w:cs="Arial" w:eastAsia="Arial" w:hAnsi="Arial"/>
          <w:sz w:val="13"/>
          <w:szCs w:val="13"/>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jc w:val="both"/>
        <w:ind w:firstLine="564"/>
        <w:spacing w:after="0" w:line="267" w:lineRule="auto"/>
        <w:rPr>
          <w:sz w:val="20"/>
          <w:szCs w:val="20"/>
          <w:color w:val="auto"/>
        </w:rPr>
      </w:pPr>
      <w:r>
        <w:rPr>
          <w:rFonts w:ascii="Arial" w:cs="Arial" w:eastAsia="Arial" w:hAnsi="Arial"/>
          <w:sz w:val="15"/>
          <w:szCs w:val="15"/>
          <w:color w:val="auto"/>
        </w:rPr>
        <w:t>We believe that this strategy has influenced LivePerson’s enterprise and mid-market revenue retention rate, (the trailing-twelve-month change in total revenue from existing customers after upsells, downsells and attrition) which was within our target range of 105% to 115% for 2019. The benefit can also be seen in LivePerson’s average revenue per user (ARPU) for our enterprise and mid-market customers, which increased approximately 20% in 2019 to $345,000 from approximately $285,000 in 2018. In fact, in 2019, the ARPU for Enterprise customers on messaging was more than 5 times higher than those on just chat. We believe these ARPU trends are a clear indication of how LivePerson’s strategy to drive messaging adoption has successfully influenced our revenue growth by taking share from legacy communication channels. We plan to continue adding new messaging endpoints and use cases, and to drive higher adoption of existing ones within our customer base. Average annual revenue per enterprise and mid-market customer increased approximately 30% to $425,000 for the trailing-twelve-months ended September 30, 2020.</w:t>
      </w:r>
    </w:p>
    <w:p>
      <w:pPr>
        <w:spacing w:after="0" w:line="67"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b w:val="1"/>
          <w:bCs w:val="1"/>
          <w:i w:val="1"/>
          <w:iCs w:val="1"/>
          <w:color w:val="auto"/>
        </w:rPr>
        <w:t xml:space="preserve">Attract the industry’s best AI, machine learning and conversational talent. </w:t>
      </w:r>
      <w:r>
        <w:rPr>
          <w:rFonts w:ascii="Arial" w:cs="Arial" w:eastAsia="Arial" w:hAnsi="Arial"/>
          <w:sz w:val="13"/>
          <w:szCs w:val="13"/>
          <w:color w:val="auto"/>
        </w:rPr>
        <w:t>We believe that AI and machine learning are critical to successfully scaling in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Conversational Space, and that in order to develop the industry’s leading technology, we need to attract the industry's best talent. In 2018, LivePerson recruited Alex Spinelli, key architect of the Alexa Operating System at Amazon.com, as our Global CTO. Under Mr. Spinelli’s leadership, LivePerson opened an Advanced Technology Center in Seattle, Washington, where the Company now has more than 125 of the industry’s brightest data scientists, machine learning engineers and automation engineers, many from firms such as Nike, Amazon.com, Microsoft and Target, who are working exclusively on applying AI to the Conversational Space. LivePerson also expanded its Mannheim, Germany development center, and added key development talent through the acquisitions of BotCentral in Mountain View, California and Conversable in Austin, Texas.</w:t>
      </w:r>
    </w:p>
    <w:p>
      <w:pPr>
        <w:spacing w:after="0" w:line="38" w:lineRule="exact"/>
        <w:rPr>
          <w:sz w:val="20"/>
          <w:szCs w:val="20"/>
          <w:color w:val="auto"/>
        </w:rPr>
      </w:pPr>
    </w:p>
    <w:p>
      <w:pPr>
        <w:jc w:val="both"/>
        <w:ind w:firstLine="564"/>
        <w:spacing w:after="0" w:line="322" w:lineRule="auto"/>
        <w:rPr>
          <w:sz w:val="20"/>
          <w:szCs w:val="20"/>
          <w:color w:val="auto"/>
        </w:rPr>
      </w:pPr>
      <w:r>
        <w:rPr>
          <w:rFonts w:ascii="Arial" w:cs="Arial" w:eastAsia="Arial" w:hAnsi="Arial"/>
          <w:sz w:val="13"/>
          <w:szCs w:val="13"/>
          <w:b w:val="1"/>
          <w:bCs w:val="1"/>
          <w:i w:val="1"/>
          <w:iCs w:val="1"/>
          <w:color w:val="auto"/>
        </w:rPr>
        <w:t xml:space="preserve">Bring to market best-in-class AI and machine learning technologies designed for the Conversational Space. </w:t>
      </w:r>
      <w:r>
        <w:rPr>
          <w:rFonts w:ascii="Arial" w:cs="Arial" w:eastAsia="Arial" w:hAnsi="Arial"/>
          <w:sz w:val="13"/>
          <w:szCs w:val="13"/>
          <w:color w:val="auto"/>
        </w:rPr>
        <w:t>We believe that in the last decade many vendors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introduced AI and bot offerings that created frustrating experiences for consumers and businesses alike, which in turn has eroded trust in automation. Many of these solutions have proven difficult to build and scale, and have been limited by stand alone implementations that lacked the measurement, reporting and human oversight of conversational platforms such as the Conversational Cloud. In December 2018, LivePerson announced its patent pending AI engine that is designed to overcome these shortcomings and help brands rapidly bring to market conversational AI that can scale to millions of interactions, while increasing customer satisfaction and conversion rates.</w:t>
      </w:r>
    </w:p>
    <w:p>
      <w:pPr>
        <w:spacing w:after="0" w:line="3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 xml:space="preserve">Unlike alternative solutions designed solely for IT departments, LivePerson’s Conversational AI was built to be used by developers </w:t>
      </w:r>
      <w:r>
        <w:rPr>
          <w:rFonts w:ascii="Arial" w:cs="Arial" w:eastAsia="Arial" w:hAnsi="Arial"/>
          <w:sz w:val="16"/>
          <w:szCs w:val="16"/>
          <w:i w:val="1"/>
          <w:iCs w:val="1"/>
          <w:color w:val="auto"/>
        </w:rPr>
        <w:t>and</w:t>
      </w:r>
      <w:r>
        <w:rPr>
          <w:rFonts w:ascii="Arial" w:cs="Arial" w:eastAsia="Arial" w:hAnsi="Arial"/>
          <w:sz w:val="16"/>
          <w:szCs w:val="16"/>
          <w:color w:val="auto"/>
        </w:rPr>
        <w:t xml:space="preserve"> contact center agents. By putting the power of conversational design and bot management in the hands of contact center agents, LivePerson’s Conversational AI gives brands the ability to leverage the employees closest to the customer, those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60"/>
          </w:cols>
          <w:pgMar w:left="320" w:top="503" w:right="31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who are most versed in the voice of the brand, and with the most expertise in how to craft successful outcomes for customer service and sales journeys.</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Some of the key innovations behind LivePerson’s Conversational AI include:</w:t>
      </w:r>
    </w:p>
    <w:p>
      <w:pPr>
        <w:spacing w:after="0" w:line="98" w:lineRule="exact"/>
        <w:rPr>
          <w:sz w:val="20"/>
          <w:szCs w:val="20"/>
          <w:color w:val="auto"/>
        </w:rPr>
      </w:pPr>
    </w:p>
    <w:p>
      <w:pPr>
        <w:ind w:left="900" w:hanging="283"/>
        <w:spacing w:after="0" w:line="25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holistic approach to scaling AI by combining consumer facing bots, agent facing bots, intelligent routing and real-time intent understanding, with an analytics dashboard that helps users focus on the intents that are impacting their business and prioritize which intents to automate next</w:t>
      </w:r>
    </w:p>
    <w:p>
      <w:pPr>
        <w:spacing w:after="0" w:line="1" w:lineRule="exact"/>
        <w:rPr>
          <w:rFonts w:ascii="Arial" w:cs="Arial" w:eastAsia="Arial" w:hAnsi="Arial"/>
          <w:sz w:val="16"/>
          <w:szCs w:val="16"/>
          <w:color w:val="auto"/>
        </w:rPr>
      </w:pPr>
    </w:p>
    <w:p>
      <w:pPr>
        <w:ind w:left="900" w:hanging="283"/>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bot building software that is based on dialogue instead of workflow or code, so non-technical employees like contact center agents can design automations</w:t>
      </w:r>
    </w:p>
    <w:p>
      <w:pPr>
        <w:spacing w:after="0" w:line="15" w:lineRule="exact"/>
        <w:rPr>
          <w:rFonts w:ascii="Arial" w:cs="Arial" w:eastAsia="Arial" w:hAnsi="Arial"/>
          <w:sz w:val="15"/>
          <w:szCs w:val="15"/>
          <w:color w:val="auto"/>
        </w:rPr>
      </w:pPr>
    </w:p>
    <w:p>
      <w:pPr>
        <w:ind w:left="900" w:hanging="283"/>
        <w:spacing w:after="0" w:line="261"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leverage a data moat of hundreds of millions of conversations to feed the machine learning that rapidly and accurately detects consumer sentiment and intents in real-time. Use intent understanding for advanced routing, next-best actions, and to fully contain conversations with automation</w:t>
      </w:r>
    </w:p>
    <w:p>
      <w:pPr>
        <w:ind w:left="900" w:right="20" w:hanging="283"/>
        <w:spacing w:after="0" w:line="245"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establishing of contact center agents as bot managers, ensuring that every conversation is safeguarded by a human and that agents are continuously training the AI to be smarter and drive more successful outcomes</w:t>
      </w:r>
    </w:p>
    <w:p>
      <w:pPr>
        <w:ind w:left="900" w:right="20" w:hanging="283"/>
        <w:spacing w:after="0" w:line="245"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powerful Assist technology that multiplies the efficiency of agents by analyzing intents in real time and then suggesting next best actions, predefined content, and bots that can take over transactional work</w:t>
      </w:r>
    </w:p>
    <w:p>
      <w:pPr>
        <w:ind w:left="900" w:hanging="283"/>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pre-built templates for target verticals that provide out of the box support for the top intents and back-end integrations</w:t>
      </w:r>
    </w:p>
    <w:p>
      <w:pPr>
        <w:spacing w:after="0" w:line="4" w:lineRule="exact"/>
        <w:rPr>
          <w:rFonts w:ascii="Arial" w:cs="Arial" w:eastAsia="Arial" w:hAnsi="Arial"/>
          <w:sz w:val="16"/>
          <w:szCs w:val="16"/>
          <w:color w:val="auto"/>
        </w:rPr>
      </w:pPr>
    </w:p>
    <w:p>
      <w:pPr>
        <w:ind w:left="900" w:hanging="283"/>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to bootstrap conversations with existing transcripts, reducing design effort and speeding time to market</w:t>
      </w:r>
    </w:p>
    <w:p>
      <w:pPr>
        <w:spacing w:after="0" w:line="4" w:lineRule="exact"/>
        <w:rPr>
          <w:rFonts w:ascii="Arial" w:cs="Arial" w:eastAsia="Arial" w:hAnsi="Arial"/>
          <w:sz w:val="16"/>
          <w:szCs w:val="16"/>
          <w:color w:val="auto"/>
        </w:rPr>
      </w:pPr>
    </w:p>
    <w:p>
      <w:pPr>
        <w:ind w:left="900" w:hanging="283"/>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third-party AI natural language understanding (NLU) integration, so customers aren’t boxed into one vendor</w:t>
      </w:r>
    </w:p>
    <w:p>
      <w:pPr>
        <w:spacing w:after="0" w:line="4" w:lineRule="exact"/>
        <w:rPr>
          <w:rFonts w:ascii="Arial" w:cs="Arial" w:eastAsia="Arial" w:hAnsi="Arial"/>
          <w:sz w:val="16"/>
          <w:szCs w:val="16"/>
          <w:color w:val="auto"/>
        </w:rPr>
      </w:pPr>
    </w:p>
    <w:p>
      <w:pPr>
        <w:ind w:left="900" w:hanging="283"/>
        <w:spacing w:after="0" w:line="250"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AI analytics and reporting tailored to the Conversational Space, providing brands with immediate, actionable insights about their businesses and contact center operations</w:t>
      </w:r>
    </w:p>
    <w:p>
      <w:pPr>
        <w:spacing w:after="0" w:line="169" w:lineRule="exact"/>
        <w:rPr>
          <w:sz w:val="20"/>
          <w:szCs w:val="20"/>
          <w:color w:val="auto"/>
        </w:rPr>
      </w:pPr>
    </w:p>
    <w:p>
      <w:pPr>
        <w:jc w:val="both"/>
        <w:ind w:right="20" w:firstLine="564"/>
        <w:spacing w:after="0" w:line="377" w:lineRule="auto"/>
        <w:rPr>
          <w:sz w:val="20"/>
          <w:szCs w:val="20"/>
          <w:color w:val="auto"/>
        </w:rPr>
      </w:pPr>
      <w:r>
        <w:rPr>
          <w:rFonts w:ascii="Arial" w:cs="Arial" w:eastAsia="Arial" w:hAnsi="Arial"/>
          <w:sz w:val="13"/>
          <w:szCs w:val="13"/>
          <w:color w:val="auto"/>
        </w:rPr>
        <w:t>Our strategy is to continue to enhance the Conversational AI engine and related products, leveraging our global R&amp;D footprint and substantial library of mobile and online conversational data, with the aim of increasing agent efficiency, decreasing customer care costs, improving the customer experience and increasing customer lifetime value.</w:t>
      </w:r>
    </w:p>
    <w:p>
      <w:pPr>
        <w:jc w:val="both"/>
        <w:ind w:firstLine="564"/>
        <w:spacing w:after="0" w:line="267" w:lineRule="auto"/>
        <w:rPr>
          <w:sz w:val="20"/>
          <w:szCs w:val="20"/>
          <w:color w:val="auto"/>
        </w:rPr>
      </w:pPr>
      <w:r>
        <w:rPr>
          <w:rFonts w:ascii="Arial" w:cs="Arial" w:eastAsia="Arial" w:hAnsi="Arial"/>
          <w:sz w:val="15"/>
          <w:szCs w:val="15"/>
          <w:b w:val="1"/>
          <w:bCs w:val="1"/>
          <w:i w:val="1"/>
          <w:iCs w:val="1"/>
          <w:color w:val="auto"/>
        </w:rPr>
        <w:t xml:space="preserve">Sustain our leadership position by aligning brands to a vision that transforms how they communicate with consumers and delivers a superior return on investment. </w:t>
      </w:r>
      <w:r>
        <w:rPr>
          <w:rFonts w:ascii="Arial" w:cs="Arial" w:eastAsia="Arial" w:hAnsi="Arial"/>
          <w:sz w:val="15"/>
          <w:szCs w:val="15"/>
          <w:color w:val="auto"/>
        </w:rPr>
        <w:t>We believe that most contact center technology vendors incorrectly view messaging as a feature. They are content with building integrations to a messaging endpoint and offering messaging as just another product in their suite. LivePerson holds the perspective that messaging and AI are the foundation for transforming conversational experiences, disrupting how agents operate and how brands engage with consumers across service, sales, marketing, social and brick and mortar.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voice calls, websites, emails and apps to higher returning messaging endpoints.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LivePerson is uniquely positioned to deliver this transformation due to our technology and expertise:</w:t>
      </w:r>
    </w:p>
    <w:p>
      <w:pPr>
        <w:spacing w:after="0" w:line="98" w:lineRule="exact"/>
        <w:rPr>
          <w:sz w:val="20"/>
          <w:szCs w:val="20"/>
          <w:color w:val="auto"/>
        </w:rPr>
      </w:pPr>
    </w:p>
    <w:p>
      <w:pPr>
        <w:jc w:val="both"/>
        <w:ind w:left="900" w:hanging="283"/>
        <w:spacing w:after="0" w:line="264" w:lineRule="auto"/>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Conversational Cloud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the Conversational Cloud is an open platform with pre-built, enterprise-grade integrations into back-end systems as well as the ability to work across natural language understanding (NLU) providers.</w:t>
      </w:r>
    </w:p>
    <w:p>
      <w:pPr>
        <w:spacing w:after="0" w:line="3" w:lineRule="exact"/>
        <w:rPr>
          <w:rFonts w:ascii="Arial" w:cs="Arial" w:eastAsia="Arial" w:hAnsi="Arial"/>
          <w:sz w:val="15"/>
          <w:szCs w:val="15"/>
          <w:color w:val="auto"/>
        </w:rPr>
      </w:pPr>
    </w:p>
    <w:p>
      <w:pPr>
        <w:ind w:left="900" w:hanging="283"/>
        <w:spacing w:after="0" w:line="245"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has a data moat built on hundreds of millions of conversations across industries, geographies and use cases that is feeding the machine learning engines that power intent understanding.</w:t>
      </w:r>
    </w:p>
    <w:p>
      <w:pPr>
        <w:ind w:left="900" w:right="20" w:hanging="283"/>
        <w:spacing w:after="0" w:line="245"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platform has expanded to power conversations across a broad spectrum of channels and use cases, from traditional sales and customer service, to marketing, social, email, advertising and brick and mortar.</w:t>
      </w:r>
    </w:p>
    <w:p>
      <w:pPr>
        <w:jc w:val="both"/>
        <w:ind w:left="900" w:right="20" w:hanging="283"/>
        <w:spacing w:after="0" w:line="268" w:lineRule="auto"/>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spacing w:after="0" w:line="158" w:lineRule="exact"/>
        <w:rPr>
          <w:sz w:val="20"/>
          <w:szCs w:val="20"/>
          <w:color w:val="auto"/>
        </w:rPr>
      </w:pPr>
    </w:p>
    <w:p>
      <w:pPr>
        <w:jc w:val="both"/>
        <w:ind w:right="20" w:firstLine="564"/>
        <w:spacing w:after="0" w:line="342" w:lineRule="auto"/>
        <w:rPr>
          <w:sz w:val="20"/>
          <w:szCs w:val="20"/>
          <w:color w:val="auto"/>
        </w:rPr>
      </w:pPr>
      <w:r>
        <w:rPr>
          <w:rFonts w:ascii="Arial" w:cs="Arial" w:eastAsia="Arial" w:hAnsi="Arial"/>
          <w:sz w:val="13"/>
          <w:szCs w:val="13"/>
          <w:color w:val="auto"/>
        </w:rPr>
        <w:t>We believe that LivePerson’s differentiated approach to the Conversational Space, combined with our unique technology and expertise has established us as a market leader, with an ability to deliver superior returns on investment. LivePerson customers manage as many as 40 messaging conversations at a time, as compared to one at a time for a voice agent and two to four at a time for a good chat agent. Adding AI and bots provides even greater scale to the number of conversations managed. Our customers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60"/>
          </w:cols>
          <w:pgMar w:left="320" w:top="503" w:right="319" w:bottom="1440" w:gutter="0" w:footer="0" w:header="0"/>
        </w:sectPr>
      </w:pPr>
    </w:p>
    <w:bookmarkStart w:id="41" w:name="page42"/>
    <w:bookmarkEnd w:id="41"/>
    <w:p>
      <w:pPr>
        <w:jc w:val="both"/>
        <w:spacing w:after="0" w:line="255" w:lineRule="auto"/>
        <w:rPr>
          <w:sz w:val="20"/>
          <w:szCs w:val="20"/>
          <w:color w:val="auto"/>
        </w:rPr>
      </w:pPr>
      <w:r>
        <w:rPr>
          <w:rFonts w:ascii="Arial" w:cs="Arial" w:eastAsia="Arial" w:hAnsi="Arial"/>
          <w:sz w:val="16"/>
          <w:szCs w:val="16"/>
          <w:color w:val="auto"/>
        </w:rPr>
        <w:t>often see labor efficiency gains of at least two times that of voice agents, effectively cutting labor costs by at least 50%. Furthermore, our ability to deliver more convenient, personalized and content-rich conversations often drives increases in customer satisfaction of up to 20 percentage points and increases in sales conversions of up to 20%, while enhancing average order value, customer retention and loyalty.</w:t>
      </w:r>
    </w:p>
    <w:p>
      <w:pPr>
        <w:spacing w:after="0" w:line="72" w:lineRule="exact"/>
        <w:rPr>
          <w:sz w:val="20"/>
          <w:szCs w:val="20"/>
          <w:color w:val="auto"/>
        </w:rPr>
      </w:pPr>
    </w:p>
    <w:p>
      <w:pPr>
        <w:jc w:val="both"/>
        <w:ind w:firstLine="180"/>
        <w:spacing w:after="0" w:line="322" w:lineRule="auto"/>
        <w:rPr>
          <w:sz w:val="20"/>
          <w:szCs w:val="20"/>
          <w:color w:val="auto"/>
        </w:rPr>
      </w:pPr>
      <w:r>
        <w:rPr>
          <w:rFonts w:ascii="Arial" w:cs="Arial" w:eastAsia="Arial" w:hAnsi="Arial"/>
          <w:sz w:val="13"/>
          <w:szCs w:val="13"/>
          <w:b w:val="1"/>
          <w:bCs w:val="1"/>
          <w:i w:val="1"/>
          <w:iCs w:val="1"/>
          <w:color w:val="auto"/>
        </w:rPr>
        <w:t xml:space="preserve">Strengthen our position in both existing and new industries. </w:t>
      </w:r>
      <w:r>
        <w:rPr>
          <w:rFonts w:ascii="Arial" w:cs="Arial" w:eastAsia="Arial" w:hAnsi="Arial"/>
          <w:sz w:val="13"/>
          <w:szCs w:val="13"/>
          <w:color w:val="auto"/>
        </w:rPr>
        <w:t>We plan to continue to develop our market position by increasing our customer base, and expanding within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installed base. We will continue to focus primarily on key target markets: consumer/retail, telecommunications, financial services, travel/hospitality, technology and automotive within both our enterprise and mid-market sectors, as well as the small business (SMB) sector. In 2019 and 2020, we made strong inroads into new verticals with key wins in the airline, foodservice and healthcare industries. We are experimenting with new conversational businesses, including some that are in regulated industries, like online banking. We are increasingly structuring our field organization to emphasize our domain expertise and strengthen customer relationships across target industries.</w:t>
      </w:r>
    </w:p>
    <w:p>
      <w:pPr>
        <w:spacing w:after="0" w:line="3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b w:val="1"/>
          <w:bCs w:val="1"/>
          <w:i w:val="1"/>
          <w:iCs w:val="1"/>
          <w:color w:val="auto"/>
        </w:rPr>
        <w:t xml:space="preserve">Continue to build our international presence. </w:t>
      </w:r>
      <w:r>
        <w:rPr>
          <w:rFonts w:ascii="Arial" w:cs="Arial" w:eastAsia="Arial" w:hAnsi="Arial"/>
          <w:sz w:val="16"/>
          <w:szCs w:val="16"/>
          <w:color w:val="auto"/>
        </w:rPr>
        <w:t>We are focused on expanding our international revenue contribution, which increased to 41% of total revenue in 2019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up from 37% in 2017. We are generating positive results from our recent investments in the Asia Pacific region, and recently opened an office in Latin America. For the nine months ended September 30, 2020, international revenue contribution was 37% of total revenue.</w:t>
      </w:r>
    </w:p>
    <w:p>
      <w:pPr>
        <w:spacing w:after="0" w:line="72" w:lineRule="exact"/>
        <w:rPr>
          <w:sz w:val="20"/>
          <w:szCs w:val="20"/>
          <w:color w:val="auto"/>
        </w:rPr>
      </w:pPr>
    </w:p>
    <w:p>
      <w:pPr>
        <w:jc w:val="both"/>
        <w:ind w:firstLine="219"/>
        <w:spacing w:after="0" w:line="269" w:lineRule="auto"/>
        <w:rPr>
          <w:sz w:val="20"/>
          <w:szCs w:val="20"/>
          <w:color w:val="auto"/>
        </w:rPr>
      </w:pPr>
      <w:r>
        <w:rPr>
          <w:rFonts w:ascii="Arial" w:cs="Arial" w:eastAsia="Arial" w:hAnsi="Arial"/>
          <w:sz w:val="15"/>
          <w:szCs w:val="15"/>
          <w:b w:val="1"/>
          <w:bCs w:val="1"/>
          <w:i w:val="1"/>
          <w:iCs w:val="1"/>
          <w:color w:val="auto"/>
        </w:rPr>
        <w:t xml:space="preserve">Leverage our open architecture to support partners and developers. </w:t>
      </w:r>
      <w:r>
        <w:rPr>
          <w:rFonts w:ascii="Arial" w:cs="Arial" w:eastAsia="Arial" w:hAnsi="Arial"/>
          <w:sz w:val="15"/>
          <w:szCs w:val="15"/>
          <w:color w:val="auto"/>
        </w:rPr>
        <w:t>In addition to developing our own applications, we continue to cultivate a partner eco-system capable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offering additional applications and services to our customers. We integrate into approximately a dozen third-party messaging endpoints including SMS, Facebook Messenger, Apple Business Chat, Google Rich Business Messenger, Line, WhatsApp, Alexa, Google Home, WeChat, Google Ad Lingo and Twitter, multiple IVR vendors and dozens of branded apps. The Conversational Cloud integrates our proprietary messaging and Conversational AI with third-party bot offerings,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62"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In addition, we have opened up access to our platform and our products with more than 40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integration capability that allows brands to more easily and rapidly customize conversations flows within Conversational Cloud through functions-as-a-service technology.</w:t>
      </w:r>
    </w:p>
    <w:p>
      <w:pPr>
        <w:spacing w:after="0" w:line="74"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b w:val="1"/>
          <w:bCs w:val="1"/>
          <w:i w:val="1"/>
          <w:iCs w:val="1"/>
          <w:color w:val="auto"/>
        </w:rPr>
        <w:t xml:space="preserve">Expand sales partnerships to broaden our presence and accelerate sales cycles. </w:t>
      </w:r>
      <w:r>
        <w:rPr>
          <w:rFonts w:ascii="Arial" w:cs="Arial" w:eastAsia="Arial" w:hAnsi="Arial"/>
          <w:sz w:val="15"/>
          <w:szCs w:val="15"/>
          <w:color w:val="auto"/>
        </w:rPr>
        <w:t>We are focused on broadening our market reach and accelerating sales cycles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focused on customer experience, and DMI, a digital transformation company, to redefine the customer experience with digital engagement, messaging, and AI-driven automation. LivePerson increased the number of partners focused on SMBs to more than 300 at year-end 2019, from over 150 at year-end 2018, and approximately 40 at the end of 2017. Approximately one quarter of all opportunities were influenced by partners in 2019, and we are focused on driving that contribution toward 40% longer term.</w:t>
      </w:r>
    </w:p>
    <w:p>
      <w:pPr>
        <w:spacing w:after="0" w:line="62"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16"/>
          <w:szCs w:val="16"/>
          <w:b w:val="1"/>
          <w:bCs w:val="1"/>
          <w:i w:val="1"/>
          <w:iCs w:val="1"/>
          <w:color w:val="auto"/>
        </w:rPr>
        <w:t xml:space="preserve">Maintain Market Leadership in Technology and Security Expertise. </w:t>
      </w:r>
      <w:r>
        <w:rPr>
          <w:rFonts w:ascii="Arial" w:cs="Arial" w:eastAsia="Arial" w:hAnsi="Arial"/>
          <w:sz w:val="16"/>
          <w:szCs w:val="16"/>
          <w:color w:val="auto"/>
        </w:rPr>
        <w:t>As described above, we are devoting significant resources to creating new products and enabling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76" w:lineRule="exact"/>
        <w:rPr>
          <w:sz w:val="20"/>
          <w:szCs w:val="20"/>
          <w:color w:val="auto"/>
        </w:rPr>
      </w:pPr>
    </w:p>
    <w:p>
      <w:pPr>
        <w:jc w:val="both"/>
        <w:ind w:right="20" w:firstLine="466"/>
        <w:spacing w:after="0" w:line="280" w:lineRule="auto"/>
        <w:rPr>
          <w:sz w:val="20"/>
          <w:szCs w:val="20"/>
          <w:color w:val="auto"/>
        </w:rPr>
      </w:pPr>
      <w:r>
        <w:rPr>
          <w:rFonts w:ascii="Arial" w:cs="Arial" w:eastAsia="Arial" w:hAnsi="Arial"/>
          <w:sz w:val="15"/>
          <w:szCs w:val="15"/>
          <w:b w:val="1"/>
          <w:bCs w:val="1"/>
          <w:i w:val="1"/>
          <w:iCs w:val="1"/>
          <w:color w:val="auto"/>
        </w:rPr>
        <w:t xml:space="preserve">Evaluate Strategic Alliances and Acquisitions When Appropriate. </w:t>
      </w:r>
      <w:r>
        <w:rPr>
          <w:rFonts w:ascii="Arial" w:cs="Arial" w:eastAsia="Arial" w:hAnsi="Arial"/>
          <w:sz w:val="15"/>
          <w:szCs w:val="15"/>
          <w:color w:val="auto"/>
        </w:rPr>
        <w:t>We have successfully integrated several acquisitions over the past decade. While we have in the past,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333"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Key Metrics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Financial overview of the three months ended September 30, 2020 compared to the three months ended September 30, 2019:</w:t>
      </w:r>
    </w:p>
    <w:p>
      <w:pPr>
        <w:spacing w:after="0" w:line="98" w:lineRule="exact"/>
        <w:rPr>
          <w:sz w:val="20"/>
          <w:szCs w:val="20"/>
          <w:color w:val="auto"/>
        </w:rPr>
      </w:pPr>
    </w:p>
    <w:p>
      <w:pPr>
        <w:ind w:left="980" w:hanging="281"/>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Total revenue increased 26% to $94.8 million from $75.2 million.</w:t>
      </w:r>
    </w:p>
    <w:p>
      <w:pPr>
        <w:spacing w:after="0" w:line="51" w:lineRule="exact"/>
        <w:rPr>
          <w:rFonts w:ascii="Arial" w:cs="Arial" w:eastAsia="Arial" w:hAnsi="Arial"/>
          <w:sz w:val="16"/>
          <w:szCs w:val="16"/>
          <w:color w:val="auto"/>
        </w:rPr>
      </w:pPr>
    </w:p>
    <w:p>
      <w:pPr>
        <w:ind w:left="980" w:hanging="281"/>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Revenue from our Business segment increased 27% to $86.9 million from $68.5 million.</w:t>
      </w:r>
    </w:p>
    <w:p>
      <w:pPr>
        <w:spacing w:after="0" w:line="51" w:lineRule="exact"/>
        <w:rPr>
          <w:rFonts w:ascii="Arial" w:cs="Arial" w:eastAsia="Arial" w:hAnsi="Arial"/>
          <w:sz w:val="16"/>
          <w:szCs w:val="16"/>
          <w:color w:val="auto"/>
        </w:rPr>
      </w:pPr>
    </w:p>
    <w:p>
      <w:pPr>
        <w:ind w:left="980" w:hanging="281"/>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Gross profit margin decreased to 71% from 73%.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60"/>
          </w:cols>
          <w:pgMar w:left="320" w:top="503" w:right="319" w:bottom="1440" w:gutter="0" w:footer="0" w:header="0"/>
        </w:sectPr>
      </w:pPr>
    </w:p>
    <w:bookmarkStart w:id="42" w:name="page43"/>
    <w:bookmarkEnd w:id="42"/>
    <w:p>
      <w:pPr>
        <w:ind w:left="980" w:hanging="281"/>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Cost and expenses increased 32% to $129.9 million from $98.3 million.</w:t>
      </w:r>
    </w:p>
    <w:p>
      <w:pPr>
        <w:spacing w:after="0" w:line="51" w:lineRule="exact"/>
        <w:rPr>
          <w:rFonts w:ascii="Arial" w:cs="Arial" w:eastAsia="Arial" w:hAnsi="Arial"/>
          <w:sz w:val="16"/>
          <w:szCs w:val="16"/>
          <w:color w:val="auto"/>
        </w:rPr>
      </w:pPr>
    </w:p>
    <w:p>
      <w:pPr>
        <w:ind w:left="980" w:hanging="281"/>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Net loss increased to $38.7 million from $25.9 million.</w:t>
      </w:r>
    </w:p>
    <w:p>
      <w:pPr>
        <w:spacing w:after="0" w:line="51" w:lineRule="exact"/>
        <w:rPr>
          <w:rFonts w:ascii="Arial" w:cs="Arial" w:eastAsia="Arial" w:hAnsi="Arial"/>
          <w:sz w:val="16"/>
          <w:szCs w:val="16"/>
          <w:color w:val="auto"/>
        </w:rPr>
      </w:pPr>
    </w:p>
    <w:p>
      <w:pPr>
        <w:ind w:left="980" w:right="20" w:hanging="281"/>
        <w:spacing w:after="0" w:line="265"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Average annual revenue per enterprise and mid-market customer increased approximately 30% to $425,000 for the trailing-twelve-months ended September 30, 2020, as compared to $330,000 for the trailing-twelve-months ended September 30, 2019.</w:t>
      </w:r>
    </w:p>
    <w:p>
      <w:pPr>
        <w:spacing w:after="0" w:line="16" w:lineRule="exact"/>
        <w:rPr>
          <w:rFonts w:ascii="Arial" w:cs="Arial" w:eastAsia="Arial" w:hAnsi="Arial"/>
          <w:sz w:val="16"/>
          <w:szCs w:val="16"/>
          <w:color w:val="auto"/>
        </w:rPr>
      </w:pPr>
    </w:p>
    <w:p>
      <w:pPr>
        <w:jc w:val="both"/>
        <w:ind w:left="980" w:right="20" w:hanging="281"/>
        <w:spacing w:after="0" w:line="255"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Revenue retention for enterprise and mid-market in the third quarter of 2020 exceeded our target range of 105% to 115%. Revenue retention was within that range in the third quarter of 2019. Revenue retention rate measures the percentage of revenue retained at quarter end, from full service customers that were on the Conversational Cloud at the same period a year ago.</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Adjusted EBITDA and Adjusted Operating Income (Loss)</w:t>
      </w:r>
    </w:p>
    <w:p>
      <w:pPr>
        <w:spacing w:after="0" w:line="196" w:lineRule="exact"/>
        <w:rPr>
          <w:sz w:val="20"/>
          <w:szCs w:val="20"/>
          <w:color w:val="auto"/>
        </w:rPr>
      </w:pPr>
    </w:p>
    <w:p>
      <w:pPr>
        <w:ind w:right="40" w:firstLine="564"/>
        <w:spacing w:after="0" w:line="255" w:lineRule="auto"/>
        <w:rPr>
          <w:sz w:val="20"/>
          <w:szCs w:val="20"/>
          <w:color w:val="auto"/>
        </w:rPr>
      </w:pPr>
      <w:r>
        <w:rPr>
          <w:rFonts w:ascii="Arial" w:cs="Arial" w:eastAsia="Arial" w:hAnsi="Arial"/>
          <w:sz w:val="16"/>
          <w:szCs w:val="16"/>
          <w:color w:val="auto"/>
        </w:rPr>
        <w:t>To provide investors with additional information regarding our financial results, we have disclosed adjusted EBITDA and adjusted operating income which are non-GAAP financial measures. The tables below present a reconciliation of adjusted EBITDA and adjusted operating income to net (loss) income, the most directly comparable GAAP financial measures.</w:t>
      </w:r>
    </w:p>
    <w:p>
      <w:pPr>
        <w:spacing w:after="0" w:line="166"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We have included adjusted EBITDA and adjusted operating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operating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operating income provide useful information to investors and others in understanding and evaluating our operating results in the same manner as our management and board of directors.</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use of adjusted EBITDA has limitations as an analytical tool, and you should not consider it in isolation or as a substitute for analysis of our results as reported under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GAAP. Some of these limitations are:</w:t>
      </w:r>
    </w:p>
    <w:p>
      <w:pPr>
        <w:spacing w:after="0" w:line="4" w:lineRule="exact"/>
        <w:rPr>
          <w:sz w:val="20"/>
          <w:szCs w:val="20"/>
          <w:color w:val="auto"/>
        </w:rPr>
      </w:pPr>
    </w:p>
    <w:p>
      <w:pPr>
        <w:ind w:left="980" w:right="20" w:hanging="281"/>
        <w:spacing w:after="0" w:line="261" w:lineRule="auto"/>
        <w:tabs>
          <w:tab w:leader="none" w:pos="9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ind w:left="980" w:hanging="281"/>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4" w:lineRule="exact"/>
        <w:rPr>
          <w:rFonts w:ascii="Arial" w:cs="Arial" w:eastAsia="Arial" w:hAnsi="Arial"/>
          <w:sz w:val="16"/>
          <w:szCs w:val="16"/>
          <w:color w:val="auto"/>
        </w:rPr>
      </w:pPr>
    </w:p>
    <w:p>
      <w:pPr>
        <w:ind w:left="980" w:hanging="281"/>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adjusted EBITDA does not consider the impact of acquisition costs;</w:t>
      </w:r>
    </w:p>
    <w:p>
      <w:pPr>
        <w:spacing w:after="0" w:line="4" w:lineRule="exact"/>
        <w:rPr>
          <w:rFonts w:ascii="Arial" w:cs="Arial" w:eastAsia="Arial" w:hAnsi="Arial"/>
          <w:sz w:val="16"/>
          <w:szCs w:val="16"/>
          <w:color w:val="auto"/>
        </w:rPr>
      </w:pPr>
    </w:p>
    <w:p>
      <w:pPr>
        <w:ind w:left="980" w:hanging="281"/>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adjusted EBITDA does not consider the impact of restructuring costs;</w:t>
      </w:r>
    </w:p>
    <w:p>
      <w:pPr>
        <w:spacing w:after="0" w:line="4" w:lineRule="exact"/>
        <w:rPr>
          <w:rFonts w:ascii="Arial" w:cs="Arial" w:eastAsia="Arial" w:hAnsi="Arial"/>
          <w:sz w:val="16"/>
          <w:szCs w:val="16"/>
          <w:color w:val="auto"/>
        </w:rPr>
      </w:pPr>
    </w:p>
    <w:p>
      <w:pPr>
        <w:ind w:left="980" w:hanging="281"/>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adjusted EBITDA does not consider the impact of other costs;</w:t>
      </w:r>
    </w:p>
    <w:p>
      <w:pPr>
        <w:spacing w:after="0" w:line="4" w:lineRule="exact"/>
        <w:rPr>
          <w:rFonts w:ascii="Arial" w:cs="Arial" w:eastAsia="Arial" w:hAnsi="Arial"/>
          <w:sz w:val="16"/>
          <w:szCs w:val="16"/>
          <w:color w:val="auto"/>
        </w:rPr>
      </w:pPr>
    </w:p>
    <w:p>
      <w:pPr>
        <w:ind w:left="980" w:hanging="281"/>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adjusted EBITDA does not reflect tax payments that may represent a reduction in cash available to us; and</w:t>
      </w:r>
    </w:p>
    <w:p>
      <w:pPr>
        <w:spacing w:after="0" w:line="4" w:lineRule="exact"/>
        <w:rPr>
          <w:rFonts w:ascii="Arial" w:cs="Arial" w:eastAsia="Arial" w:hAnsi="Arial"/>
          <w:sz w:val="16"/>
          <w:szCs w:val="16"/>
          <w:color w:val="auto"/>
        </w:rPr>
      </w:pPr>
    </w:p>
    <w:p>
      <w:pPr>
        <w:ind w:left="980" w:hanging="281"/>
        <w:spacing w:after="0"/>
        <w:tabs>
          <w:tab w:leader="none" w:pos="9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other companies, including companies in our industry, may calculate adjusted EBITDA differently, which reduces its usefulness as a comparative measure.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60"/>
          </w:cols>
          <w:pgMar w:left="320" w:top="503"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7"/>
        </w:trPr>
        <w:tc>
          <w:tcPr>
            <w:tcW w:w="5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258"/>
              <w:spacing w:after="0"/>
              <w:rPr>
                <w:sz w:val="20"/>
                <w:szCs w:val="20"/>
                <w:color w:val="auto"/>
              </w:rPr>
            </w:pPr>
            <w:r>
              <w:rPr>
                <w:rFonts w:ascii="Arial" w:cs="Arial" w:eastAsia="Arial" w:hAnsi="Arial"/>
                <w:sz w:val="13"/>
                <w:szCs w:val="13"/>
                <w:b w:val="1"/>
                <w:bCs w:val="1"/>
                <w:color w:val="auto"/>
                <w:w w:val="93"/>
              </w:rPr>
              <w:t>Three Months Ended September 30,</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278"/>
              <w:spacing w:after="0"/>
              <w:rPr>
                <w:sz w:val="20"/>
                <w:szCs w:val="20"/>
                <w:color w:val="auto"/>
              </w:rPr>
            </w:pPr>
            <w:r>
              <w:rPr>
                <w:rFonts w:ascii="Arial" w:cs="Arial" w:eastAsia="Arial" w:hAnsi="Arial"/>
                <w:sz w:val="13"/>
                <w:szCs w:val="13"/>
                <w:b w:val="1"/>
                <w:bCs w:val="1"/>
                <w:color w:val="auto"/>
                <w:w w:val="92"/>
              </w:rPr>
              <w:t>Nine Months Ended September 30,</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2019</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3"/>
                <w:szCs w:val="13"/>
                <w:b w:val="1"/>
                <w:bCs w:val="1"/>
                <w:color w:val="auto"/>
              </w:rPr>
              <w:t>Reconciliation of Adjusted EBITDA</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400" w:type="dxa"/>
            <w:vAlign w:val="bottom"/>
            <w:shd w:val="clear" w:color="auto" w:fill="CCFFCC"/>
          </w:tcPr>
          <w:p>
            <w:pPr>
              <w:ind w:left="20"/>
              <w:spacing w:after="0"/>
              <w:rPr>
                <w:sz w:val="20"/>
                <w:szCs w:val="20"/>
                <w:color w:val="auto"/>
              </w:rPr>
            </w:pPr>
            <w:r>
              <w:rPr>
                <w:rFonts w:ascii="Arial" w:cs="Arial" w:eastAsia="Arial" w:hAnsi="Arial"/>
                <w:sz w:val="13"/>
                <w:szCs w:val="13"/>
                <w:color w:val="auto"/>
              </w:rPr>
              <w:t>GAAP net loss</w:t>
            </w:r>
          </w:p>
        </w:tc>
        <w:tc>
          <w:tcPr>
            <w:tcW w:w="220" w:type="dxa"/>
            <w:vAlign w:val="bottom"/>
            <w:shd w:val="clear" w:color="auto" w:fill="CCFFCC"/>
          </w:tcPr>
          <w:p>
            <w:pPr>
              <w:jc w:val="right"/>
              <w:ind w:right="7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FFCC"/>
          </w:tcPr>
          <w:p>
            <w:pPr>
              <w:jc w:val="right"/>
              <w:ind w:right="18"/>
              <w:spacing w:after="0"/>
              <w:rPr>
                <w:sz w:val="20"/>
                <w:szCs w:val="20"/>
                <w:color w:val="auto"/>
              </w:rPr>
            </w:pPr>
            <w:r>
              <w:rPr>
                <w:rFonts w:ascii="Arial" w:cs="Arial" w:eastAsia="Arial" w:hAnsi="Arial"/>
                <w:sz w:val="13"/>
                <w:szCs w:val="13"/>
                <w:color w:val="auto"/>
              </w:rPr>
              <w:t>(38,710)</w:t>
            </w:r>
          </w:p>
        </w:tc>
        <w:tc>
          <w:tcPr>
            <w:tcW w:w="600" w:type="dxa"/>
            <w:vAlign w:val="bottom"/>
            <w:gridSpan w:val="2"/>
            <w:shd w:val="clear" w:color="auto" w:fill="CCFFCC"/>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FFCC"/>
          </w:tcPr>
          <w:p>
            <w:pPr>
              <w:jc w:val="right"/>
              <w:ind w:right="18"/>
              <w:spacing w:after="0"/>
              <w:rPr>
                <w:sz w:val="20"/>
                <w:szCs w:val="20"/>
                <w:color w:val="auto"/>
              </w:rPr>
            </w:pPr>
            <w:r>
              <w:rPr>
                <w:rFonts w:ascii="Arial" w:cs="Arial" w:eastAsia="Arial" w:hAnsi="Arial"/>
                <w:sz w:val="13"/>
                <w:szCs w:val="13"/>
                <w:color w:val="auto"/>
              </w:rPr>
              <w:t>(25,872)</w:t>
            </w:r>
          </w:p>
        </w:tc>
        <w:tc>
          <w:tcPr>
            <w:tcW w:w="56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FFCC"/>
          </w:tcPr>
          <w:p>
            <w:pPr>
              <w:jc w:val="right"/>
              <w:ind w:right="18"/>
              <w:spacing w:after="0"/>
              <w:rPr>
                <w:sz w:val="20"/>
                <w:szCs w:val="20"/>
                <w:color w:val="auto"/>
              </w:rPr>
            </w:pPr>
            <w:r>
              <w:rPr>
                <w:rFonts w:ascii="Arial" w:cs="Arial" w:eastAsia="Arial" w:hAnsi="Arial"/>
                <w:sz w:val="13"/>
                <w:szCs w:val="13"/>
                <w:color w:val="auto"/>
              </w:rPr>
              <w:t>(94,338)</w:t>
            </w:r>
          </w:p>
        </w:tc>
        <w:tc>
          <w:tcPr>
            <w:tcW w:w="580" w:type="dxa"/>
            <w:vAlign w:val="bottom"/>
            <w:gridSpan w:val="2"/>
            <w:shd w:val="clear" w:color="auto" w:fill="CCFFCC"/>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(68,749)</w:t>
            </w:r>
          </w:p>
        </w:tc>
        <w:tc>
          <w:tcPr>
            <w:tcW w:w="3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3"/>
                <w:szCs w:val="13"/>
                <w:color w:val="auto"/>
              </w:rPr>
              <w:t>Amortization of purchased intangibles</w:t>
            </w:r>
          </w:p>
        </w:tc>
        <w:tc>
          <w:tcPr>
            <w:tcW w:w="220" w:type="dxa"/>
            <w:vAlign w:val="bottom"/>
          </w:tcPr>
          <w:p>
            <w:pPr>
              <w:spacing w:after="0"/>
              <w:rPr>
                <w:sz w:val="19"/>
                <w:szCs w:val="19"/>
                <w:color w:val="auto"/>
              </w:rPr>
            </w:pPr>
          </w:p>
        </w:tc>
        <w:tc>
          <w:tcPr>
            <w:tcW w:w="920" w:type="dxa"/>
            <w:vAlign w:val="bottom"/>
          </w:tcPr>
          <w:p>
            <w:pPr>
              <w:jc w:val="right"/>
              <w:ind w:right="58"/>
              <w:spacing w:after="0"/>
              <w:rPr>
                <w:sz w:val="20"/>
                <w:szCs w:val="20"/>
                <w:color w:val="auto"/>
              </w:rPr>
            </w:pPr>
            <w:r>
              <w:rPr>
                <w:rFonts w:ascii="Arial" w:cs="Arial" w:eastAsia="Arial" w:hAnsi="Arial"/>
                <w:sz w:val="13"/>
                <w:szCs w:val="13"/>
                <w:color w:val="auto"/>
              </w:rPr>
              <w:t>697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732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8"/>
              <w:spacing w:after="0"/>
              <w:rPr>
                <w:sz w:val="20"/>
                <w:szCs w:val="20"/>
                <w:color w:val="auto"/>
              </w:rPr>
            </w:pPr>
            <w:r>
              <w:rPr>
                <w:rFonts w:ascii="Arial" w:cs="Arial" w:eastAsia="Arial" w:hAnsi="Arial"/>
                <w:sz w:val="13"/>
                <w:szCs w:val="13"/>
                <w:color w:val="auto"/>
              </w:rPr>
              <w:t>2,073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2,200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400" w:type="dxa"/>
            <w:vAlign w:val="bottom"/>
            <w:shd w:val="clear" w:color="auto" w:fill="CCFFCC"/>
          </w:tcPr>
          <w:p>
            <w:pPr>
              <w:ind w:left="220"/>
              <w:spacing w:after="0"/>
              <w:rPr>
                <w:sz w:val="20"/>
                <w:szCs w:val="20"/>
                <w:color w:val="auto"/>
              </w:rPr>
            </w:pPr>
            <w:r>
              <w:rPr>
                <w:rFonts w:ascii="Arial" w:cs="Arial" w:eastAsia="Arial" w:hAnsi="Arial"/>
                <w:sz w:val="13"/>
                <w:szCs w:val="13"/>
                <w:color w:val="auto"/>
              </w:rPr>
              <w:t>Stock-based compensation</w:t>
            </w:r>
          </w:p>
        </w:tc>
        <w:tc>
          <w:tcPr>
            <w:tcW w:w="220" w:type="dxa"/>
            <w:vAlign w:val="bottom"/>
            <w:shd w:val="clear" w:color="auto" w:fill="CCFFCC"/>
          </w:tcPr>
          <w:p>
            <w:pPr>
              <w:spacing w:after="0"/>
              <w:rPr>
                <w:sz w:val="20"/>
                <w:szCs w:val="20"/>
                <w:color w:val="auto"/>
              </w:rPr>
            </w:pPr>
          </w:p>
        </w:tc>
        <w:tc>
          <w:tcPr>
            <w:tcW w:w="920" w:type="dxa"/>
            <w:vAlign w:val="bottom"/>
            <w:shd w:val="clear" w:color="auto" w:fill="CCFFCC"/>
          </w:tcPr>
          <w:p>
            <w:pPr>
              <w:jc w:val="right"/>
              <w:ind w:right="58"/>
              <w:spacing w:after="0"/>
              <w:rPr>
                <w:sz w:val="20"/>
                <w:szCs w:val="20"/>
                <w:color w:val="auto"/>
              </w:rPr>
            </w:pPr>
            <w:r>
              <w:rPr>
                <w:rFonts w:ascii="Arial" w:cs="Arial" w:eastAsia="Arial" w:hAnsi="Arial"/>
                <w:sz w:val="13"/>
                <w:szCs w:val="13"/>
                <w:color w:val="auto"/>
              </w:rPr>
              <w:t>15,532</w:t>
            </w:r>
          </w:p>
        </w:tc>
        <w:tc>
          <w:tcPr>
            <w:tcW w:w="3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58"/>
              <w:spacing w:after="0"/>
              <w:rPr>
                <w:sz w:val="20"/>
                <w:szCs w:val="20"/>
                <w:color w:val="auto"/>
              </w:rPr>
            </w:pPr>
            <w:r>
              <w:rPr>
                <w:rFonts w:ascii="Arial" w:cs="Arial" w:eastAsia="Arial" w:hAnsi="Arial"/>
                <w:sz w:val="13"/>
                <w:szCs w:val="13"/>
                <w:color w:val="auto"/>
              </w:rPr>
              <w:t>9,068</w:t>
            </w:r>
          </w:p>
        </w:tc>
        <w:tc>
          <w:tcPr>
            <w:tcW w:w="3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20" w:type="dxa"/>
            <w:vAlign w:val="bottom"/>
            <w:shd w:val="clear" w:color="auto" w:fill="CCFFCC"/>
          </w:tcPr>
          <w:p>
            <w:pPr>
              <w:jc w:val="right"/>
              <w:ind w:right="58"/>
              <w:spacing w:after="0"/>
              <w:rPr>
                <w:sz w:val="20"/>
                <w:szCs w:val="20"/>
                <w:color w:val="auto"/>
              </w:rPr>
            </w:pPr>
            <w:r>
              <w:rPr>
                <w:rFonts w:ascii="Arial" w:cs="Arial" w:eastAsia="Arial" w:hAnsi="Arial"/>
                <w:sz w:val="13"/>
                <w:szCs w:val="13"/>
                <w:color w:val="auto"/>
              </w:rPr>
              <w:t>46,171</w:t>
            </w:r>
          </w:p>
        </w:tc>
        <w:tc>
          <w:tcPr>
            <w:tcW w:w="32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840" w:type="dxa"/>
            <w:vAlign w:val="bottom"/>
            <w:shd w:val="clear" w:color="auto" w:fill="CCFFCC"/>
          </w:tcPr>
          <w:p>
            <w:pPr>
              <w:jc w:val="right"/>
              <w:ind w:right="38"/>
              <w:spacing w:after="0"/>
              <w:rPr>
                <w:sz w:val="20"/>
                <w:szCs w:val="20"/>
                <w:color w:val="auto"/>
              </w:rPr>
            </w:pPr>
            <w:r>
              <w:rPr>
                <w:rFonts w:ascii="Arial" w:cs="Arial" w:eastAsia="Arial" w:hAnsi="Arial"/>
                <w:sz w:val="13"/>
                <w:szCs w:val="13"/>
                <w:color w:val="auto"/>
              </w:rPr>
              <w:t>25,539</w:t>
            </w:r>
          </w:p>
        </w:tc>
        <w:tc>
          <w:tcPr>
            <w:tcW w:w="3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3"/>
                <w:szCs w:val="13"/>
                <w:color w:val="auto"/>
              </w:rPr>
              <w:t>Contingent earn-out adjustments</w:t>
            </w:r>
          </w:p>
        </w:tc>
        <w:tc>
          <w:tcPr>
            <w:tcW w:w="220" w:type="dxa"/>
            <w:vAlign w:val="bottom"/>
          </w:tcPr>
          <w:p>
            <w:pPr>
              <w:spacing w:after="0"/>
              <w:rPr>
                <w:sz w:val="19"/>
                <w:szCs w:val="19"/>
                <w:color w:val="auto"/>
              </w:rPr>
            </w:pPr>
          </w:p>
        </w:tc>
        <w:tc>
          <w:tcPr>
            <w:tcW w:w="9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8"/>
              <w:spacing w:after="0"/>
              <w:rPr>
                <w:sz w:val="20"/>
                <w:szCs w:val="20"/>
                <w:color w:val="auto"/>
              </w:rPr>
            </w:pPr>
            <w:r>
              <w:rPr>
                <w:rFonts w:ascii="Arial" w:cs="Arial" w:eastAsia="Arial" w:hAnsi="Arial"/>
                <w:sz w:val="13"/>
                <w:szCs w:val="13"/>
                <w:color w:val="auto"/>
              </w:rPr>
              <w:t>(328)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3"/>
                <w:szCs w:val="13"/>
                <w:color w:val="auto"/>
              </w:rPr>
              <w:t>(263)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5400" w:type="dxa"/>
            <w:vAlign w:val="bottom"/>
            <w:shd w:val="clear" w:color="auto" w:fill="CCFFCC"/>
          </w:tcPr>
          <w:p>
            <w:pPr>
              <w:ind w:left="220"/>
              <w:spacing w:after="0" w:line="112" w:lineRule="exact"/>
              <w:rPr>
                <w:sz w:val="20"/>
                <w:szCs w:val="20"/>
                <w:color w:val="auto"/>
              </w:rPr>
            </w:pPr>
            <w:r>
              <w:rPr>
                <w:rFonts w:ascii="Arial" w:cs="Arial" w:eastAsia="Arial" w:hAnsi="Arial"/>
                <w:sz w:val="11"/>
                <w:szCs w:val="11"/>
                <w:color w:val="auto"/>
              </w:rPr>
              <w:t>Restructuring costs</w:t>
            </w:r>
          </w:p>
        </w:tc>
        <w:tc>
          <w:tcPr>
            <w:tcW w:w="220" w:type="dxa"/>
            <w:vAlign w:val="bottom"/>
            <w:shd w:val="clear" w:color="auto" w:fill="CCFFCC"/>
          </w:tcPr>
          <w:p>
            <w:pPr>
              <w:spacing w:after="0"/>
              <w:rPr>
                <w:sz w:val="9"/>
                <w:szCs w:val="9"/>
                <w:color w:val="auto"/>
              </w:rPr>
            </w:pPr>
          </w:p>
        </w:tc>
        <w:tc>
          <w:tcPr>
            <w:tcW w:w="920" w:type="dxa"/>
            <w:vAlign w:val="bottom"/>
            <w:shd w:val="clear" w:color="auto" w:fill="CCFFCC"/>
          </w:tcPr>
          <w:p>
            <w:pPr>
              <w:jc w:val="right"/>
              <w:ind w:right="58"/>
              <w:spacing w:after="0" w:line="112" w:lineRule="exact"/>
              <w:rPr>
                <w:sz w:val="20"/>
                <w:szCs w:val="20"/>
                <w:color w:val="auto"/>
              </w:rPr>
            </w:pPr>
            <w:r>
              <w:rPr>
                <w:rFonts w:ascii="Arial" w:cs="Arial" w:eastAsia="Arial" w:hAnsi="Arial"/>
                <w:sz w:val="11"/>
                <w:szCs w:val="11"/>
                <w:color w:val="auto"/>
              </w:rPr>
              <w:t>26,442</w:t>
            </w:r>
          </w:p>
        </w:tc>
        <w:tc>
          <w:tcPr>
            <w:tcW w:w="340" w:type="dxa"/>
            <w:vAlign w:val="bottom"/>
            <w:vMerge w:val="restart"/>
            <w:shd w:val="clear" w:color="auto" w:fill="CCFFCC"/>
          </w:tcPr>
          <w:p>
            <w:pPr>
              <w:jc w:val="right"/>
              <w:ind w:right="175"/>
              <w:spacing w:after="0"/>
              <w:rPr>
                <w:sz w:val="20"/>
                <w:szCs w:val="20"/>
                <w:color w:val="auto"/>
              </w:rPr>
            </w:pPr>
            <w:r>
              <w:rPr>
                <w:rFonts w:ascii="Arial" w:cs="Arial" w:eastAsia="Arial" w:hAnsi="Arial"/>
                <w:sz w:val="8"/>
                <w:szCs w:val="8"/>
                <w:color w:val="auto"/>
              </w:rPr>
              <w:t>(1)</w:t>
            </w:r>
          </w:p>
        </w:tc>
        <w:tc>
          <w:tcPr>
            <w:tcW w:w="260" w:type="dxa"/>
            <w:vAlign w:val="bottom"/>
            <w:shd w:val="clear" w:color="auto" w:fill="CCFFCC"/>
          </w:tcPr>
          <w:p>
            <w:pPr>
              <w:spacing w:after="0"/>
              <w:rPr>
                <w:sz w:val="9"/>
                <w:szCs w:val="9"/>
                <w:color w:val="auto"/>
              </w:rPr>
            </w:pPr>
          </w:p>
        </w:tc>
        <w:tc>
          <w:tcPr>
            <w:tcW w:w="880" w:type="dxa"/>
            <w:vAlign w:val="bottom"/>
            <w:shd w:val="clear" w:color="auto" w:fill="CCFFCC"/>
          </w:tcPr>
          <w:p>
            <w:pPr>
              <w:jc w:val="right"/>
              <w:ind w:right="58"/>
              <w:spacing w:after="0" w:line="112" w:lineRule="exact"/>
              <w:rPr>
                <w:sz w:val="20"/>
                <w:szCs w:val="20"/>
                <w:color w:val="auto"/>
              </w:rPr>
            </w:pPr>
            <w:r>
              <w:rPr>
                <w:rFonts w:ascii="Arial" w:cs="Arial" w:eastAsia="Arial" w:hAnsi="Arial"/>
                <w:sz w:val="11"/>
                <w:szCs w:val="11"/>
                <w:color w:val="auto"/>
              </w:rPr>
              <w:t>1,425</w:t>
            </w:r>
          </w:p>
        </w:tc>
        <w:tc>
          <w:tcPr>
            <w:tcW w:w="340" w:type="dxa"/>
            <w:vAlign w:val="bottom"/>
            <w:vMerge w:val="restart"/>
            <w:shd w:val="clear" w:color="auto" w:fill="CCFFCC"/>
          </w:tcPr>
          <w:p>
            <w:pPr>
              <w:jc w:val="right"/>
              <w:ind w:right="175"/>
              <w:spacing w:after="0"/>
              <w:rPr>
                <w:sz w:val="20"/>
                <w:szCs w:val="20"/>
                <w:color w:val="auto"/>
              </w:rPr>
            </w:pPr>
            <w:r>
              <w:rPr>
                <w:rFonts w:ascii="Arial" w:cs="Arial" w:eastAsia="Arial" w:hAnsi="Arial"/>
                <w:sz w:val="8"/>
                <w:szCs w:val="8"/>
                <w:color w:val="auto"/>
              </w:rPr>
              <w:t>(1)</w:t>
            </w:r>
          </w:p>
        </w:tc>
        <w:tc>
          <w:tcPr>
            <w:tcW w:w="220" w:type="dxa"/>
            <w:vAlign w:val="bottom"/>
            <w:shd w:val="clear" w:color="auto" w:fill="CCFFCC"/>
          </w:tcPr>
          <w:p>
            <w:pPr>
              <w:spacing w:after="0"/>
              <w:rPr>
                <w:sz w:val="9"/>
                <w:szCs w:val="9"/>
                <w:color w:val="auto"/>
              </w:rPr>
            </w:pPr>
          </w:p>
        </w:tc>
        <w:tc>
          <w:tcPr>
            <w:tcW w:w="920" w:type="dxa"/>
            <w:vAlign w:val="bottom"/>
            <w:shd w:val="clear" w:color="auto" w:fill="CCFFCC"/>
          </w:tcPr>
          <w:p>
            <w:pPr>
              <w:jc w:val="right"/>
              <w:ind w:right="58"/>
              <w:spacing w:after="0" w:line="112" w:lineRule="exact"/>
              <w:rPr>
                <w:sz w:val="20"/>
                <w:szCs w:val="20"/>
                <w:color w:val="auto"/>
              </w:rPr>
            </w:pPr>
            <w:r>
              <w:rPr>
                <w:rFonts w:ascii="Arial" w:cs="Arial" w:eastAsia="Arial" w:hAnsi="Arial"/>
                <w:sz w:val="11"/>
                <w:szCs w:val="11"/>
                <w:color w:val="auto"/>
              </w:rPr>
              <w:t>29,635</w:t>
            </w:r>
          </w:p>
        </w:tc>
        <w:tc>
          <w:tcPr>
            <w:tcW w:w="320" w:type="dxa"/>
            <w:vAlign w:val="bottom"/>
            <w:vMerge w:val="restart"/>
            <w:shd w:val="clear" w:color="auto" w:fill="CCFFCC"/>
          </w:tcPr>
          <w:p>
            <w:pPr>
              <w:jc w:val="right"/>
              <w:ind w:right="175"/>
              <w:spacing w:after="0"/>
              <w:rPr>
                <w:sz w:val="20"/>
                <w:szCs w:val="20"/>
                <w:color w:val="auto"/>
              </w:rPr>
            </w:pPr>
            <w:r>
              <w:rPr>
                <w:rFonts w:ascii="Arial" w:cs="Arial" w:eastAsia="Arial" w:hAnsi="Arial"/>
                <w:sz w:val="8"/>
                <w:szCs w:val="8"/>
                <w:color w:val="auto"/>
                <w:w w:val="81"/>
              </w:rPr>
              <w:t>(3)</w:t>
            </w:r>
          </w:p>
        </w:tc>
        <w:tc>
          <w:tcPr>
            <w:tcW w:w="260" w:type="dxa"/>
            <w:vAlign w:val="bottom"/>
            <w:shd w:val="clear" w:color="auto" w:fill="CCFFCC"/>
          </w:tcPr>
          <w:p>
            <w:pPr>
              <w:spacing w:after="0"/>
              <w:rPr>
                <w:sz w:val="9"/>
                <w:szCs w:val="9"/>
                <w:color w:val="auto"/>
              </w:rPr>
            </w:pPr>
          </w:p>
        </w:tc>
        <w:tc>
          <w:tcPr>
            <w:tcW w:w="840" w:type="dxa"/>
            <w:vAlign w:val="bottom"/>
            <w:shd w:val="clear" w:color="auto" w:fill="CCFFCC"/>
          </w:tcPr>
          <w:p>
            <w:pPr>
              <w:jc w:val="right"/>
              <w:ind w:right="38"/>
              <w:spacing w:after="0" w:line="112" w:lineRule="exact"/>
              <w:rPr>
                <w:sz w:val="20"/>
                <w:szCs w:val="20"/>
                <w:color w:val="auto"/>
              </w:rPr>
            </w:pPr>
            <w:r>
              <w:rPr>
                <w:rFonts w:ascii="Arial" w:cs="Arial" w:eastAsia="Arial" w:hAnsi="Arial"/>
                <w:sz w:val="11"/>
                <w:szCs w:val="11"/>
                <w:color w:val="auto"/>
              </w:rPr>
              <w:t>1,909</w:t>
            </w:r>
          </w:p>
        </w:tc>
        <w:tc>
          <w:tcPr>
            <w:tcW w:w="340" w:type="dxa"/>
            <w:vAlign w:val="bottom"/>
            <w:vMerge w:val="restart"/>
            <w:shd w:val="clear" w:color="auto" w:fill="CCFFCC"/>
          </w:tcPr>
          <w:p>
            <w:pPr>
              <w:jc w:val="right"/>
              <w:ind w:right="181"/>
              <w:spacing w:after="0"/>
              <w:rPr>
                <w:sz w:val="20"/>
                <w:szCs w:val="20"/>
                <w:color w:val="auto"/>
              </w:rPr>
            </w:pP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22"/>
        </w:trPr>
        <w:tc>
          <w:tcPr>
            <w:tcW w:w="54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340" w:type="dxa"/>
            <w:vAlign w:val="bottom"/>
            <w:vMerge w:val="continue"/>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880" w:type="dxa"/>
            <w:vAlign w:val="bottom"/>
            <w:shd w:val="clear" w:color="auto" w:fill="CCFFCC"/>
          </w:tcPr>
          <w:p>
            <w:pPr>
              <w:spacing w:after="0" w:line="20" w:lineRule="exact"/>
              <w:rPr>
                <w:sz w:val="1"/>
                <w:szCs w:val="1"/>
                <w:color w:val="auto"/>
              </w:rPr>
            </w:pPr>
          </w:p>
        </w:tc>
        <w:tc>
          <w:tcPr>
            <w:tcW w:w="340" w:type="dxa"/>
            <w:vAlign w:val="bottom"/>
            <w:vMerge w:val="continue"/>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320" w:type="dxa"/>
            <w:vAlign w:val="bottom"/>
            <w:vMerge w:val="continue"/>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340" w:type="dxa"/>
            <w:vAlign w:val="bottom"/>
            <w:vMerge w:val="continue"/>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5400" w:type="dxa"/>
            <w:vAlign w:val="bottom"/>
            <w:shd w:val="clear" w:color="auto" w:fill="CCFFCC"/>
          </w:tcPr>
          <w:p>
            <w:pPr>
              <w:spacing w:after="0"/>
              <w:rPr>
                <w:sz w:val="5"/>
                <w:szCs w:val="5"/>
                <w:color w:val="auto"/>
              </w:rPr>
            </w:pPr>
          </w:p>
        </w:tc>
        <w:tc>
          <w:tcPr>
            <w:tcW w:w="220" w:type="dxa"/>
            <w:vAlign w:val="bottom"/>
            <w:shd w:val="clear" w:color="auto" w:fill="CCFFCC"/>
          </w:tcPr>
          <w:p>
            <w:pPr>
              <w:spacing w:after="0"/>
              <w:rPr>
                <w:sz w:val="5"/>
                <w:szCs w:val="5"/>
                <w:color w:val="auto"/>
              </w:rPr>
            </w:pPr>
          </w:p>
        </w:tc>
        <w:tc>
          <w:tcPr>
            <w:tcW w:w="920" w:type="dxa"/>
            <w:vAlign w:val="bottom"/>
            <w:shd w:val="clear" w:color="auto" w:fill="CCFFCC"/>
          </w:tcPr>
          <w:p>
            <w:pPr>
              <w:spacing w:after="0"/>
              <w:rPr>
                <w:sz w:val="5"/>
                <w:szCs w:val="5"/>
                <w:color w:val="auto"/>
              </w:rPr>
            </w:pPr>
          </w:p>
        </w:tc>
        <w:tc>
          <w:tcPr>
            <w:tcW w:w="340" w:type="dxa"/>
            <w:vAlign w:val="bottom"/>
            <w:shd w:val="clear" w:color="auto" w:fill="CCFFCC"/>
          </w:tcPr>
          <w:p>
            <w:pPr>
              <w:spacing w:after="0"/>
              <w:rPr>
                <w:sz w:val="5"/>
                <w:szCs w:val="5"/>
                <w:color w:val="auto"/>
              </w:rPr>
            </w:pPr>
          </w:p>
        </w:tc>
        <w:tc>
          <w:tcPr>
            <w:tcW w:w="260" w:type="dxa"/>
            <w:vAlign w:val="bottom"/>
            <w:shd w:val="clear" w:color="auto" w:fill="CCFFCC"/>
          </w:tcPr>
          <w:p>
            <w:pPr>
              <w:spacing w:after="0"/>
              <w:rPr>
                <w:sz w:val="5"/>
                <w:szCs w:val="5"/>
                <w:color w:val="auto"/>
              </w:rPr>
            </w:pPr>
          </w:p>
        </w:tc>
        <w:tc>
          <w:tcPr>
            <w:tcW w:w="880" w:type="dxa"/>
            <w:vAlign w:val="bottom"/>
            <w:shd w:val="clear" w:color="auto" w:fill="CCFFCC"/>
          </w:tcPr>
          <w:p>
            <w:pPr>
              <w:spacing w:after="0"/>
              <w:rPr>
                <w:sz w:val="5"/>
                <w:szCs w:val="5"/>
                <w:color w:val="auto"/>
              </w:rPr>
            </w:pPr>
          </w:p>
        </w:tc>
        <w:tc>
          <w:tcPr>
            <w:tcW w:w="340" w:type="dxa"/>
            <w:vAlign w:val="bottom"/>
            <w:shd w:val="clear" w:color="auto" w:fill="CCFFCC"/>
          </w:tcPr>
          <w:p>
            <w:pPr>
              <w:spacing w:after="0"/>
              <w:rPr>
                <w:sz w:val="5"/>
                <w:szCs w:val="5"/>
                <w:color w:val="auto"/>
              </w:rPr>
            </w:pPr>
          </w:p>
        </w:tc>
        <w:tc>
          <w:tcPr>
            <w:tcW w:w="220" w:type="dxa"/>
            <w:vAlign w:val="bottom"/>
            <w:shd w:val="clear" w:color="auto" w:fill="CCFFCC"/>
          </w:tcPr>
          <w:p>
            <w:pPr>
              <w:spacing w:after="0"/>
              <w:rPr>
                <w:sz w:val="5"/>
                <w:szCs w:val="5"/>
                <w:color w:val="auto"/>
              </w:rPr>
            </w:pPr>
          </w:p>
        </w:tc>
        <w:tc>
          <w:tcPr>
            <w:tcW w:w="920" w:type="dxa"/>
            <w:vAlign w:val="bottom"/>
            <w:shd w:val="clear" w:color="auto" w:fill="CCFFCC"/>
          </w:tcPr>
          <w:p>
            <w:pPr>
              <w:spacing w:after="0"/>
              <w:rPr>
                <w:sz w:val="5"/>
                <w:szCs w:val="5"/>
                <w:color w:val="auto"/>
              </w:rPr>
            </w:pPr>
          </w:p>
        </w:tc>
        <w:tc>
          <w:tcPr>
            <w:tcW w:w="320" w:type="dxa"/>
            <w:vAlign w:val="bottom"/>
            <w:shd w:val="clear" w:color="auto" w:fill="CCFFCC"/>
          </w:tcPr>
          <w:p>
            <w:pPr>
              <w:spacing w:after="0"/>
              <w:rPr>
                <w:sz w:val="5"/>
                <w:szCs w:val="5"/>
                <w:color w:val="auto"/>
              </w:rPr>
            </w:pPr>
          </w:p>
        </w:tc>
        <w:tc>
          <w:tcPr>
            <w:tcW w:w="260" w:type="dxa"/>
            <w:vAlign w:val="bottom"/>
            <w:shd w:val="clear" w:color="auto" w:fill="CCFFCC"/>
          </w:tcPr>
          <w:p>
            <w:pPr>
              <w:spacing w:after="0"/>
              <w:rPr>
                <w:sz w:val="5"/>
                <w:szCs w:val="5"/>
                <w:color w:val="auto"/>
              </w:rPr>
            </w:pPr>
          </w:p>
        </w:tc>
        <w:tc>
          <w:tcPr>
            <w:tcW w:w="840" w:type="dxa"/>
            <w:vAlign w:val="bottom"/>
            <w:shd w:val="clear" w:color="auto" w:fill="CCFFCC"/>
          </w:tcPr>
          <w:p>
            <w:pPr>
              <w:spacing w:after="0"/>
              <w:rPr>
                <w:sz w:val="5"/>
                <w:szCs w:val="5"/>
                <w:color w:val="auto"/>
              </w:rPr>
            </w:pPr>
          </w:p>
        </w:tc>
        <w:tc>
          <w:tcPr>
            <w:tcW w:w="340" w:type="dxa"/>
            <w:vAlign w:val="bottom"/>
            <w:shd w:val="clear" w:color="auto" w:fill="CCFFCC"/>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220" w:type="dxa"/>
            <w:vAlign w:val="bottom"/>
          </w:tcPr>
          <w:p>
            <w:pPr>
              <w:spacing w:after="0"/>
              <w:rPr>
                <w:sz w:val="19"/>
                <w:szCs w:val="19"/>
                <w:color w:val="auto"/>
              </w:rPr>
            </w:pPr>
          </w:p>
        </w:tc>
        <w:tc>
          <w:tcPr>
            <w:tcW w:w="920" w:type="dxa"/>
            <w:vAlign w:val="bottom"/>
          </w:tcPr>
          <w:p>
            <w:pPr>
              <w:jc w:val="right"/>
              <w:ind w:right="58"/>
              <w:spacing w:after="0"/>
              <w:rPr>
                <w:sz w:val="20"/>
                <w:szCs w:val="20"/>
                <w:color w:val="auto"/>
              </w:rPr>
            </w:pPr>
            <w:r>
              <w:rPr>
                <w:rFonts w:ascii="Arial" w:cs="Arial" w:eastAsia="Arial" w:hAnsi="Arial"/>
                <w:sz w:val="13"/>
                <w:szCs w:val="13"/>
                <w:color w:val="auto"/>
              </w:rPr>
              <w:t>5,948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4,157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8"/>
              <w:spacing w:after="0"/>
              <w:rPr>
                <w:sz w:val="20"/>
                <w:szCs w:val="20"/>
                <w:color w:val="auto"/>
              </w:rPr>
            </w:pPr>
            <w:r>
              <w:rPr>
                <w:rFonts w:ascii="Arial" w:cs="Arial" w:eastAsia="Arial" w:hAnsi="Arial"/>
                <w:sz w:val="13"/>
                <w:szCs w:val="13"/>
                <w:color w:val="auto"/>
              </w:rPr>
              <w:t>17,223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11,805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5400" w:type="dxa"/>
            <w:vAlign w:val="bottom"/>
            <w:shd w:val="clear" w:color="auto" w:fill="CCFFCC"/>
          </w:tcPr>
          <w:p>
            <w:pPr>
              <w:ind w:left="220"/>
              <w:spacing w:after="0" w:line="112" w:lineRule="exact"/>
              <w:rPr>
                <w:sz w:val="20"/>
                <w:szCs w:val="20"/>
                <w:color w:val="auto"/>
              </w:rPr>
            </w:pPr>
            <w:r>
              <w:rPr>
                <w:rFonts w:ascii="Arial" w:cs="Arial" w:eastAsia="Arial" w:hAnsi="Arial"/>
                <w:sz w:val="11"/>
                <w:szCs w:val="11"/>
                <w:color w:val="auto"/>
              </w:rPr>
              <w:t>Other litigation and consulting costs</w:t>
            </w:r>
          </w:p>
        </w:tc>
        <w:tc>
          <w:tcPr>
            <w:tcW w:w="220" w:type="dxa"/>
            <w:vAlign w:val="bottom"/>
            <w:shd w:val="clear" w:color="auto" w:fill="CCFFCC"/>
          </w:tcPr>
          <w:p>
            <w:pPr>
              <w:spacing w:after="0"/>
              <w:rPr>
                <w:sz w:val="9"/>
                <w:szCs w:val="9"/>
                <w:color w:val="auto"/>
              </w:rPr>
            </w:pPr>
          </w:p>
        </w:tc>
        <w:tc>
          <w:tcPr>
            <w:tcW w:w="920" w:type="dxa"/>
            <w:vAlign w:val="bottom"/>
            <w:shd w:val="clear" w:color="auto" w:fill="CCFFCC"/>
          </w:tcPr>
          <w:p>
            <w:pPr>
              <w:jc w:val="right"/>
              <w:ind w:right="58"/>
              <w:spacing w:after="0" w:line="112" w:lineRule="exact"/>
              <w:rPr>
                <w:sz w:val="20"/>
                <w:szCs w:val="20"/>
                <w:color w:val="auto"/>
              </w:rPr>
            </w:pPr>
            <w:r>
              <w:rPr>
                <w:rFonts w:ascii="Arial" w:cs="Arial" w:eastAsia="Arial" w:hAnsi="Arial"/>
                <w:sz w:val="11"/>
                <w:szCs w:val="11"/>
                <w:color w:val="auto"/>
              </w:rPr>
              <w:t>1,589</w:t>
            </w:r>
          </w:p>
        </w:tc>
        <w:tc>
          <w:tcPr>
            <w:tcW w:w="340" w:type="dxa"/>
            <w:vAlign w:val="bottom"/>
            <w:vMerge w:val="restart"/>
            <w:shd w:val="clear" w:color="auto" w:fill="CCFFCC"/>
          </w:tcPr>
          <w:p>
            <w:pPr>
              <w:jc w:val="right"/>
              <w:ind w:right="175"/>
              <w:spacing w:after="0"/>
              <w:rPr>
                <w:sz w:val="20"/>
                <w:szCs w:val="20"/>
                <w:color w:val="auto"/>
              </w:rPr>
            </w:pPr>
            <w:r>
              <w:rPr>
                <w:rFonts w:ascii="Arial" w:cs="Arial" w:eastAsia="Arial" w:hAnsi="Arial"/>
                <w:sz w:val="8"/>
                <w:szCs w:val="8"/>
                <w:color w:val="auto"/>
              </w:rPr>
              <w:t>(2)</w:t>
            </w:r>
          </w:p>
        </w:tc>
        <w:tc>
          <w:tcPr>
            <w:tcW w:w="260" w:type="dxa"/>
            <w:vAlign w:val="bottom"/>
            <w:shd w:val="clear" w:color="auto" w:fill="CCFFCC"/>
          </w:tcPr>
          <w:p>
            <w:pPr>
              <w:spacing w:after="0"/>
              <w:rPr>
                <w:sz w:val="9"/>
                <w:szCs w:val="9"/>
                <w:color w:val="auto"/>
              </w:rPr>
            </w:pPr>
          </w:p>
        </w:tc>
        <w:tc>
          <w:tcPr>
            <w:tcW w:w="880" w:type="dxa"/>
            <w:vAlign w:val="bottom"/>
            <w:shd w:val="clear" w:color="auto" w:fill="CCFFCC"/>
          </w:tcPr>
          <w:p>
            <w:pPr>
              <w:jc w:val="right"/>
              <w:ind w:right="58"/>
              <w:spacing w:after="0" w:line="112" w:lineRule="exact"/>
              <w:rPr>
                <w:sz w:val="20"/>
                <w:szCs w:val="20"/>
                <w:color w:val="auto"/>
              </w:rPr>
            </w:pPr>
            <w:r>
              <w:rPr>
                <w:rFonts w:ascii="Arial" w:cs="Arial" w:eastAsia="Arial" w:hAnsi="Arial"/>
                <w:sz w:val="11"/>
                <w:szCs w:val="11"/>
                <w:color w:val="auto"/>
              </w:rPr>
              <w:t>1,792</w:t>
            </w:r>
          </w:p>
        </w:tc>
        <w:tc>
          <w:tcPr>
            <w:tcW w:w="340" w:type="dxa"/>
            <w:vAlign w:val="bottom"/>
            <w:vMerge w:val="restart"/>
            <w:shd w:val="clear" w:color="auto" w:fill="CCFFCC"/>
          </w:tcPr>
          <w:p>
            <w:pPr>
              <w:jc w:val="right"/>
              <w:ind w:right="175"/>
              <w:spacing w:after="0"/>
              <w:rPr>
                <w:sz w:val="20"/>
                <w:szCs w:val="20"/>
                <w:color w:val="auto"/>
              </w:rPr>
            </w:pPr>
            <w:r>
              <w:rPr>
                <w:rFonts w:ascii="Arial" w:cs="Arial" w:eastAsia="Arial" w:hAnsi="Arial"/>
                <w:sz w:val="8"/>
                <w:szCs w:val="8"/>
                <w:color w:val="auto"/>
              </w:rPr>
              <w:t>(2)</w:t>
            </w:r>
          </w:p>
        </w:tc>
        <w:tc>
          <w:tcPr>
            <w:tcW w:w="220" w:type="dxa"/>
            <w:vAlign w:val="bottom"/>
            <w:shd w:val="clear" w:color="auto" w:fill="CCFFCC"/>
          </w:tcPr>
          <w:p>
            <w:pPr>
              <w:spacing w:after="0"/>
              <w:rPr>
                <w:sz w:val="9"/>
                <w:szCs w:val="9"/>
                <w:color w:val="auto"/>
              </w:rPr>
            </w:pPr>
          </w:p>
        </w:tc>
        <w:tc>
          <w:tcPr>
            <w:tcW w:w="920" w:type="dxa"/>
            <w:vAlign w:val="bottom"/>
            <w:shd w:val="clear" w:color="auto" w:fill="CCFFCC"/>
          </w:tcPr>
          <w:p>
            <w:pPr>
              <w:jc w:val="right"/>
              <w:ind w:right="58"/>
              <w:spacing w:after="0" w:line="112" w:lineRule="exact"/>
              <w:rPr>
                <w:sz w:val="20"/>
                <w:szCs w:val="20"/>
                <w:color w:val="auto"/>
              </w:rPr>
            </w:pPr>
            <w:r>
              <w:rPr>
                <w:rFonts w:ascii="Arial" w:cs="Arial" w:eastAsia="Arial" w:hAnsi="Arial"/>
                <w:sz w:val="11"/>
                <w:szCs w:val="11"/>
                <w:color w:val="auto"/>
              </w:rPr>
              <w:t>7,634</w:t>
            </w:r>
          </w:p>
        </w:tc>
        <w:tc>
          <w:tcPr>
            <w:tcW w:w="320" w:type="dxa"/>
            <w:vAlign w:val="bottom"/>
            <w:vMerge w:val="restart"/>
            <w:shd w:val="clear" w:color="auto" w:fill="CCFFCC"/>
          </w:tcPr>
          <w:p>
            <w:pPr>
              <w:jc w:val="right"/>
              <w:ind w:right="175"/>
              <w:spacing w:after="0"/>
              <w:rPr>
                <w:sz w:val="20"/>
                <w:szCs w:val="20"/>
                <w:color w:val="auto"/>
              </w:rPr>
            </w:pPr>
            <w:r>
              <w:rPr>
                <w:rFonts w:ascii="Arial" w:cs="Arial" w:eastAsia="Arial" w:hAnsi="Arial"/>
                <w:sz w:val="8"/>
                <w:szCs w:val="8"/>
                <w:color w:val="auto"/>
                <w:w w:val="81"/>
              </w:rPr>
              <w:t>(4)</w:t>
            </w:r>
          </w:p>
        </w:tc>
        <w:tc>
          <w:tcPr>
            <w:tcW w:w="260" w:type="dxa"/>
            <w:vAlign w:val="bottom"/>
            <w:shd w:val="clear" w:color="auto" w:fill="CCFFCC"/>
          </w:tcPr>
          <w:p>
            <w:pPr>
              <w:spacing w:after="0"/>
              <w:rPr>
                <w:sz w:val="9"/>
                <w:szCs w:val="9"/>
                <w:color w:val="auto"/>
              </w:rPr>
            </w:pPr>
          </w:p>
        </w:tc>
        <w:tc>
          <w:tcPr>
            <w:tcW w:w="840" w:type="dxa"/>
            <w:vAlign w:val="bottom"/>
            <w:shd w:val="clear" w:color="auto" w:fill="CCFFCC"/>
          </w:tcPr>
          <w:p>
            <w:pPr>
              <w:jc w:val="right"/>
              <w:ind w:right="38"/>
              <w:spacing w:after="0" w:line="112" w:lineRule="exact"/>
              <w:rPr>
                <w:sz w:val="20"/>
                <w:szCs w:val="20"/>
                <w:color w:val="auto"/>
              </w:rPr>
            </w:pPr>
            <w:r>
              <w:rPr>
                <w:rFonts w:ascii="Arial" w:cs="Arial" w:eastAsia="Arial" w:hAnsi="Arial"/>
                <w:sz w:val="11"/>
                <w:szCs w:val="11"/>
                <w:color w:val="auto"/>
              </w:rPr>
              <w:t>6,584</w:t>
            </w:r>
          </w:p>
        </w:tc>
        <w:tc>
          <w:tcPr>
            <w:tcW w:w="340" w:type="dxa"/>
            <w:vAlign w:val="bottom"/>
            <w:vMerge w:val="restart"/>
            <w:shd w:val="clear" w:color="auto" w:fill="CCFFCC"/>
          </w:tcPr>
          <w:p>
            <w:pPr>
              <w:jc w:val="right"/>
              <w:ind w:right="181"/>
              <w:spacing w:after="0"/>
              <w:rPr>
                <w:sz w:val="20"/>
                <w:szCs w:val="20"/>
                <w:color w:val="auto"/>
              </w:rPr>
            </w:pP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22"/>
        </w:trPr>
        <w:tc>
          <w:tcPr>
            <w:tcW w:w="54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340" w:type="dxa"/>
            <w:vAlign w:val="bottom"/>
            <w:vMerge w:val="continue"/>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880" w:type="dxa"/>
            <w:vAlign w:val="bottom"/>
            <w:shd w:val="clear" w:color="auto" w:fill="CCFFCC"/>
          </w:tcPr>
          <w:p>
            <w:pPr>
              <w:spacing w:after="0" w:line="20" w:lineRule="exact"/>
              <w:rPr>
                <w:sz w:val="1"/>
                <w:szCs w:val="1"/>
                <w:color w:val="auto"/>
              </w:rPr>
            </w:pPr>
          </w:p>
        </w:tc>
        <w:tc>
          <w:tcPr>
            <w:tcW w:w="340" w:type="dxa"/>
            <w:vAlign w:val="bottom"/>
            <w:vMerge w:val="continue"/>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320" w:type="dxa"/>
            <w:vAlign w:val="bottom"/>
            <w:vMerge w:val="continue"/>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340" w:type="dxa"/>
            <w:vAlign w:val="bottom"/>
            <w:vMerge w:val="continue"/>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5400" w:type="dxa"/>
            <w:vAlign w:val="bottom"/>
            <w:shd w:val="clear" w:color="auto" w:fill="CCFFCC"/>
          </w:tcPr>
          <w:p>
            <w:pPr>
              <w:spacing w:after="0"/>
              <w:rPr>
                <w:sz w:val="5"/>
                <w:szCs w:val="5"/>
                <w:color w:val="auto"/>
              </w:rPr>
            </w:pPr>
          </w:p>
        </w:tc>
        <w:tc>
          <w:tcPr>
            <w:tcW w:w="220" w:type="dxa"/>
            <w:vAlign w:val="bottom"/>
            <w:shd w:val="clear" w:color="auto" w:fill="CCFFCC"/>
          </w:tcPr>
          <w:p>
            <w:pPr>
              <w:spacing w:after="0"/>
              <w:rPr>
                <w:sz w:val="5"/>
                <w:szCs w:val="5"/>
                <w:color w:val="auto"/>
              </w:rPr>
            </w:pPr>
          </w:p>
        </w:tc>
        <w:tc>
          <w:tcPr>
            <w:tcW w:w="920" w:type="dxa"/>
            <w:vAlign w:val="bottom"/>
            <w:shd w:val="clear" w:color="auto" w:fill="CCFFCC"/>
          </w:tcPr>
          <w:p>
            <w:pPr>
              <w:spacing w:after="0"/>
              <w:rPr>
                <w:sz w:val="5"/>
                <w:szCs w:val="5"/>
                <w:color w:val="auto"/>
              </w:rPr>
            </w:pPr>
          </w:p>
        </w:tc>
        <w:tc>
          <w:tcPr>
            <w:tcW w:w="340" w:type="dxa"/>
            <w:vAlign w:val="bottom"/>
            <w:shd w:val="clear" w:color="auto" w:fill="CCFFCC"/>
          </w:tcPr>
          <w:p>
            <w:pPr>
              <w:spacing w:after="0"/>
              <w:rPr>
                <w:sz w:val="5"/>
                <w:szCs w:val="5"/>
                <w:color w:val="auto"/>
              </w:rPr>
            </w:pPr>
          </w:p>
        </w:tc>
        <w:tc>
          <w:tcPr>
            <w:tcW w:w="260" w:type="dxa"/>
            <w:vAlign w:val="bottom"/>
            <w:shd w:val="clear" w:color="auto" w:fill="CCFFCC"/>
          </w:tcPr>
          <w:p>
            <w:pPr>
              <w:spacing w:after="0"/>
              <w:rPr>
                <w:sz w:val="5"/>
                <w:szCs w:val="5"/>
                <w:color w:val="auto"/>
              </w:rPr>
            </w:pPr>
          </w:p>
        </w:tc>
        <w:tc>
          <w:tcPr>
            <w:tcW w:w="880" w:type="dxa"/>
            <w:vAlign w:val="bottom"/>
            <w:shd w:val="clear" w:color="auto" w:fill="CCFFCC"/>
          </w:tcPr>
          <w:p>
            <w:pPr>
              <w:spacing w:after="0"/>
              <w:rPr>
                <w:sz w:val="5"/>
                <w:szCs w:val="5"/>
                <w:color w:val="auto"/>
              </w:rPr>
            </w:pPr>
          </w:p>
        </w:tc>
        <w:tc>
          <w:tcPr>
            <w:tcW w:w="340" w:type="dxa"/>
            <w:vAlign w:val="bottom"/>
            <w:shd w:val="clear" w:color="auto" w:fill="CCFFCC"/>
          </w:tcPr>
          <w:p>
            <w:pPr>
              <w:spacing w:after="0"/>
              <w:rPr>
                <w:sz w:val="5"/>
                <w:szCs w:val="5"/>
                <w:color w:val="auto"/>
              </w:rPr>
            </w:pPr>
          </w:p>
        </w:tc>
        <w:tc>
          <w:tcPr>
            <w:tcW w:w="220" w:type="dxa"/>
            <w:vAlign w:val="bottom"/>
            <w:shd w:val="clear" w:color="auto" w:fill="CCFFCC"/>
          </w:tcPr>
          <w:p>
            <w:pPr>
              <w:spacing w:after="0"/>
              <w:rPr>
                <w:sz w:val="5"/>
                <w:szCs w:val="5"/>
                <w:color w:val="auto"/>
              </w:rPr>
            </w:pPr>
          </w:p>
        </w:tc>
        <w:tc>
          <w:tcPr>
            <w:tcW w:w="920" w:type="dxa"/>
            <w:vAlign w:val="bottom"/>
            <w:shd w:val="clear" w:color="auto" w:fill="CCFFCC"/>
          </w:tcPr>
          <w:p>
            <w:pPr>
              <w:spacing w:after="0"/>
              <w:rPr>
                <w:sz w:val="5"/>
                <w:szCs w:val="5"/>
                <w:color w:val="auto"/>
              </w:rPr>
            </w:pPr>
          </w:p>
        </w:tc>
        <w:tc>
          <w:tcPr>
            <w:tcW w:w="320" w:type="dxa"/>
            <w:vAlign w:val="bottom"/>
            <w:shd w:val="clear" w:color="auto" w:fill="CCFFCC"/>
          </w:tcPr>
          <w:p>
            <w:pPr>
              <w:spacing w:after="0"/>
              <w:rPr>
                <w:sz w:val="5"/>
                <w:szCs w:val="5"/>
                <w:color w:val="auto"/>
              </w:rPr>
            </w:pPr>
          </w:p>
        </w:tc>
        <w:tc>
          <w:tcPr>
            <w:tcW w:w="260" w:type="dxa"/>
            <w:vAlign w:val="bottom"/>
            <w:shd w:val="clear" w:color="auto" w:fill="CCFFCC"/>
          </w:tcPr>
          <w:p>
            <w:pPr>
              <w:spacing w:after="0"/>
              <w:rPr>
                <w:sz w:val="5"/>
                <w:szCs w:val="5"/>
                <w:color w:val="auto"/>
              </w:rPr>
            </w:pPr>
          </w:p>
        </w:tc>
        <w:tc>
          <w:tcPr>
            <w:tcW w:w="840" w:type="dxa"/>
            <w:vAlign w:val="bottom"/>
            <w:shd w:val="clear" w:color="auto" w:fill="CCFFCC"/>
          </w:tcPr>
          <w:p>
            <w:pPr>
              <w:spacing w:after="0"/>
              <w:rPr>
                <w:sz w:val="5"/>
                <w:szCs w:val="5"/>
                <w:color w:val="auto"/>
              </w:rPr>
            </w:pPr>
          </w:p>
        </w:tc>
        <w:tc>
          <w:tcPr>
            <w:tcW w:w="340" w:type="dxa"/>
            <w:vAlign w:val="bottom"/>
            <w:shd w:val="clear" w:color="auto" w:fill="CCFFCC"/>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3"/>
                <w:szCs w:val="13"/>
                <w:color w:val="auto"/>
              </w:rPr>
              <w:t>(Benefit from) Provision for income taxes</w:t>
            </w:r>
          </w:p>
        </w:tc>
        <w:tc>
          <w:tcPr>
            <w:tcW w:w="22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3"/>
                <w:szCs w:val="13"/>
                <w:color w:val="auto"/>
              </w:rPr>
              <w:t>(100)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936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3"/>
                <w:szCs w:val="13"/>
                <w:color w:val="auto"/>
              </w:rPr>
              <w:t>(87)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2,227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400" w:type="dxa"/>
            <w:vAlign w:val="bottom"/>
            <w:shd w:val="clear" w:color="auto" w:fill="CCFFCC"/>
          </w:tcPr>
          <w:p>
            <w:pPr>
              <w:ind w:left="220"/>
              <w:spacing w:after="0"/>
              <w:rPr>
                <w:sz w:val="20"/>
                <w:szCs w:val="20"/>
                <w:color w:val="auto"/>
              </w:rPr>
            </w:pPr>
            <w:r>
              <w:rPr>
                <w:rFonts w:ascii="Arial" w:cs="Arial" w:eastAsia="Arial" w:hAnsi="Arial"/>
                <w:sz w:val="13"/>
                <w:szCs w:val="13"/>
                <w:color w:val="auto"/>
              </w:rPr>
              <w:t>Interest expense</w:t>
            </w:r>
          </w:p>
        </w:tc>
        <w:tc>
          <w:tcPr>
            <w:tcW w:w="220" w:type="dxa"/>
            <w:vAlign w:val="bottom"/>
            <w:shd w:val="clear" w:color="auto" w:fill="CCFFCC"/>
          </w:tcPr>
          <w:p>
            <w:pPr>
              <w:spacing w:after="0"/>
              <w:rPr>
                <w:sz w:val="20"/>
                <w:szCs w:val="20"/>
                <w:color w:val="auto"/>
              </w:rPr>
            </w:pPr>
          </w:p>
        </w:tc>
        <w:tc>
          <w:tcPr>
            <w:tcW w:w="920" w:type="dxa"/>
            <w:vAlign w:val="bottom"/>
            <w:shd w:val="clear" w:color="auto" w:fill="CCFFCC"/>
          </w:tcPr>
          <w:p>
            <w:pPr>
              <w:jc w:val="right"/>
              <w:ind w:right="58"/>
              <w:spacing w:after="0"/>
              <w:rPr>
                <w:sz w:val="20"/>
                <w:szCs w:val="20"/>
                <w:color w:val="auto"/>
              </w:rPr>
            </w:pPr>
            <w:r>
              <w:rPr>
                <w:rFonts w:ascii="Arial" w:cs="Arial" w:eastAsia="Arial" w:hAnsi="Arial"/>
                <w:sz w:val="13"/>
                <w:szCs w:val="13"/>
                <w:color w:val="auto"/>
              </w:rPr>
              <w:t>3,159</w:t>
            </w:r>
          </w:p>
        </w:tc>
        <w:tc>
          <w:tcPr>
            <w:tcW w:w="3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58"/>
              <w:spacing w:after="0"/>
              <w:rPr>
                <w:sz w:val="20"/>
                <w:szCs w:val="20"/>
                <w:color w:val="auto"/>
              </w:rPr>
            </w:pPr>
            <w:r>
              <w:rPr>
                <w:rFonts w:ascii="Arial" w:cs="Arial" w:eastAsia="Arial" w:hAnsi="Arial"/>
                <w:sz w:val="13"/>
                <w:szCs w:val="13"/>
                <w:color w:val="auto"/>
              </w:rPr>
              <w:t>2,189</w:t>
            </w:r>
          </w:p>
        </w:tc>
        <w:tc>
          <w:tcPr>
            <w:tcW w:w="3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20" w:type="dxa"/>
            <w:vAlign w:val="bottom"/>
            <w:shd w:val="clear" w:color="auto" w:fill="CCFFCC"/>
          </w:tcPr>
          <w:p>
            <w:pPr>
              <w:jc w:val="right"/>
              <w:ind w:right="58"/>
              <w:spacing w:after="0"/>
              <w:rPr>
                <w:sz w:val="20"/>
                <w:szCs w:val="20"/>
                <w:color w:val="auto"/>
              </w:rPr>
            </w:pPr>
            <w:r>
              <w:rPr>
                <w:rFonts w:ascii="Arial" w:cs="Arial" w:eastAsia="Arial" w:hAnsi="Arial"/>
                <w:sz w:val="13"/>
                <w:szCs w:val="13"/>
                <w:color w:val="auto"/>
              </w:rPr>
              <w:t>9,161</w:t>
            </w:r>
          </w:p>
        </w:tc>
        <w:tc>
          <w:tcPr>
            <w:tcW w:w="32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840" w:type="dxa"/>
            <w:vAlign w:val="bottom"/>
            <w:shd w:val="clear" w:color="auto" w:fill="CCFFCC"/>
          </w:tcPr>
          <w:p>
            <w:pPr>
              <w:jc w:val="right"/>
              <w:ind w:right="38"/>
              <w:spacing w:after="0"/>
              <w:rPr>
                <w:sz w:val="20"/>
                <w:szCs w:val="20"/>
                <w:color w:val="auto"/>
              </w:rPr>
            </w:pPr>
            <w:r>
              <w:rPr>
                <w:rFonts w:ascii="Arial" w:cs="Arial" w:eastAsia="Arial" w:hAnsi="Arial"/>
                <w:sz w:val="13"/>
                <w:szCs w:val="13"/>
                <w:color w:val="auto"/>
              </w:rPr>
              <w:t>4,873</w:t>
            </w:r>
          </w:p>
        </w:tc>
        <w:tc>
          <w:tcPr>
            <w:tcW w:w="3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400" w:type="dxa"/>
            <w:vAlign w:val="bottom"/>
          </w:tcPr>
          <w:p>
            <w:pPr>
              <w:ind w:left="220"/>
              <w:spacing w:after="0"/>
              <w:rPr>
                <w:sz w:val="20"/>
                <w:szCs w:val="20"/>
                <w:color w:val="auto"/>
              </w:rPr>
            </w:pPr>
            <w:r>
              <w:rPr>
                <w:rFonts w:ascii="Arial" w:cs="Arial" w:eastAsia="Arial" w:hAnsi="Arial"/>
                <w:sz w:val="13"/>
                <w:szCs w:val="13"/>
                <w:color w:val="auto"/>
              </w:rPr>
              <w:t>Other expense (income), net</w:t>
            </w:r>
          </w:p>
        </w:tc>
        <w:tc>
          <w:tcPr>
            <w:tcW w:w="220" w:type="dxa"/>
            <w:vAlign w:val="bottom"/>
          </w:tcPr>
          <w:p>
            <w:pPr>
              <w:spacing w:after="0"/>
              <w:rPr>
                <w:sz w:val="15"/>
                <w:szCs w:val="15"/>
                <w:color w:val="auto"/>
              </w:rPr>
            </w:pPr>
          </w:p>
        </w:tc>
        <w:tc>
          <w:tcPr>
            <w:tcW w:w="920" w:type="dxa"/>
            <w:vAlign w:val="bottom"/>
          </w:tcPr>
          <w:p>
            <w:pPr>
              <w:jc w:val="right"/>
              <w:ind w:right="58"/>
              <w:spacing w:after="0"/>
              <w:rPr>
                <w:sz w:val="20"/>
                <w:szCs w:val="20"/>
                <w:color w:val="auto"/>
              </w:rPr>
            </w:pPr>
            <w:r>
              <w:rPr>
                <w:rFonts w:ascii="Arial" w:cs="Arial" w:eastAsia="Arial" w:hAnsi="Arial"/>
                <w:sz w:val="13"/>
                <w:szCs w:val="13"/>
                <w:color w:val="auto"/>
              </w:rPr>
              <w:t>508</w:t>
            </w:r>
          </w:p>
        </w:tc>
        <w:tc>
          <w:tcPr>
            <w:tcW w:w="340" w:type="dxa"/>
            <w:vAlign w:val="bottom"/>
          </w:tcPr>
          <w:p>
            <w:pPr>
              <w:jc w:val="right"/>
              <w:ind w:right="175"/>
              <w:spacing w:after="0"/>
              <w:rPr>
                <w:sz w:val="20"/>
                <w:szCs w:val="20"/>
                <w:color w:val="auto"/>
              </w:rPr>
            </w:pPr>
            <w:r>
              <w:rPr>
                <w:rFonts w:ascii="Arial" w:cs="Arial" w:eastAsia="Arial" w:hAnsi="Arial"/>
                <w:sz w:val="8"/>
                <w:szCs w:val="8"/>
                <w:color w:val="auto"/>
              </w:rPr>
              <w:t>(5)</w:t>
            </w:r>
          </w:p>
        </w:tc>
        <w:tc>
          <w:tcPr>
            <w:tcW w:w="260" w:type="dxa"/>
            <w:vAlign w:val="bottom"/>
          </w:tcPr>
          <w:p>
            <w:pPr>
              <w:spacing w:after="0"/>
              <w:rPr>
                <w:sz w:val="15"/>
                <w:szCs w:val="15"/>
                <w:color w:val="auto"/>
              </w:rPr>
            </w:pPr>
          </w:p>
        </w:tc>
        <w:tc>
          <w:tcPr>
            <w:tcW w:w="880" w:type="dxa"/>
            <w:vAlign w:val="bottom"/>
          </w:tcPr>
          <w:p>
            <w:pPr>
              <w:jc w:val="right"/>
              <w:ind w:right="18"/>
              <w:spacing w:after="0"/>
              <w:rPr>
                <w:sz w:val="20"/>
                <w:szCs w:val="20"/>
                <w:color w:val="auto"/>
              </w:rPr>
            </w:pPr>
            <w:r>
              <w:rPr>
                <w:rFonts w:ascii="Arial" w:cs="Arial" w:eastAsia="Arial" w:hAnsi="Arial"/>
                <w:sz w:val="13"/>
                <w:szCs w:val="13"/>
                <w:color w:val="auto"/>
              </w:rPr>
              <w:t>(379)</w:t>
            </w:r>
          </w:p>
        </w:tc>
        <w:tc>
          <w:tcPr>
            <w:tcW w:w="340" w:type="dxa"/>
            <w:vAlign w:val="bottom"/>
          </w:tcPr>
          <w:p>
            <w:pPr>
              <w:jc w:val="right"/>
              <w:ind w:right="175"/>
              <w:spacing w:after="0"/>
              <w:rPr>
                <w:sz w:val="20"/>
                <w:szCs w:val="20"/>
                <w:color w:val="auto"/>
              </w:rPr>
            </w:pPr>
            <w:r>
              <w:rPr>
                <w:rFonts w:ascii="Arial" w:cs="Arial" w:eastAsia="Arial" w:hAnsi="Arial"/>
                <w:sz w:val="8"/>
                <w:szCs w:val="8"/>
                <w:color w:val="auto"/>
              </w:rPr>
              <w:t>(5)</w:t>
            </w:r>
          </w:p>
        </w:tc>
        <w:tc>
          <w:tcPr>
            <w:tcW w:w="220" w:type="dxa"/>
            <w:vAlign w:val="bottom"/>
          </w:tcPr>
          <w:p>
            <w:pPr>
              <w:spacing w:after="0"/>
              <w:rPr>
                <w:sz w:val="15"/>
                <w:szCs w:val="15"/>
                <w:color w:val="auto"/>
              </w:rPr>
            </w:pPr>
          </w:p>
        </w:tc>
        <w:tc>
          <w:tcPr>
            <w:tcW w:w="920" w:type="dxa"/>
            <w:vAlign w:val="bottom"/>
          </w:tcPr>
          <w:p>
            <w:pPr>
              <w:jc w:val="right"/>
              <w:ind w:right="58"/>
              <w:spacing w:after="0"/>
              <w:rPr>
                <w:sz w:val="20"/>
                <w:szCs w:val="20"/>
                <w:color w:val="auto"/>
              </w:rPr>
            </w:pPr>
            <w:r>
              <w:rPr>
                <w:rFonts w:ascii="Arial" w:cs="Arial" w:eastAsia="Arial" w:hAnsi="Arial"/>
                <w:sz w:val="13"/>
                <w:szCs w:val="13"/>
                <w:color w:val="auto"/>
              </w:rPr>
              <w:t>2,484</w:t>
            </w:r>
          </w:p>
        </w:tc>
        <w:tc>
          <w:tcPr>
            <w:tcW w:w="320" w:type="dxa"/>
            <w:vAlign w:val="bottom"/>
          </w:tcPr>
          <w:p>
            <w:pPr>
              <w:jc w:val="right"/>
              <w:ind w:right="175"/>
              <w:spacing w:after="0"/>
              <w:rPr>
                <w:sz w:val="20"/>
                <w:szCs w:val="20"/>
                <w:color w:val="auto"/>
              </w:rPr>
            </w:pPr>
            <w:r>
              <w:rPr>
                <w:rFonts w:ascii="Arial" w:cs="Arial" w:eastAsia="Arial" w:hAnsi="Arial"/>
                <w:sz w:val="8"/>
                <w:szCs w:val="8"/>
                <w:color w:val="auto"/>
                <w:w w:val="81"/>
              </w:rPr>
              <w:t>(5)</w:t>
            </w:r>
          </w:p>
        </w:tc>
        <w:tc>
          <w:tcPr>
            <w:tcW w:w="260" w:type="dxa"/>
            <w:vAlign w:val="bottom"/>
          </w:tcPr>
          <w:p>
            <w:pPr>
              <w:spacing w:after="0"/>
              <w:rPr>
                <w:sz w:val="15"/>
                <w:szCs w:val="15"/>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3"/>
                <w:szCs w:val="13"/>
                <w:color w:val="auto"/>
              </w:rPr>
              <w:t xml:space="preserve">(862)  </w:t>
            </w:r>
            <w:r>
              <w:rPr>
                <w:rFonts w:ascii="Arial" w:cs="Arial" w:eastAsia="Arial" w:hAnsi="Arial"/>
                <w:sz w:val="7"/>
                <w:szCs w:val="7"/>
                <w:color w:val="auto"/>
              </w:rPr>
              <w:t>(5)</w:t>
            </w:r>
          </w:p>
        </w:tc>
        <w:tc>
          <w:tcPr>
            <w:tcW w:w="0" w:type="dxa"/>
            <w:vAlign w:val="bottom"/>
          </w:tcPr>
          <w:p>
            <w:pPr>
              <w:spacing w:after="0"/>
              <w:rPr>
                <w:sz w:val="1"/>
                <w:szCs w:val="1"/>
                <w:color w:val="auto"/>
              </w:rPr>
            </w:pPr>
          </w:p>
        </w:tc>
      </w:tr>
      <w:tr>
        <w:trPr>
          <w:trHeight w:val="209"/>
        </w:trPr>
        <w:tc>
          <w:tcPr>
            <w:tcW w:w="540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3"/>
                <w:szCs w:val="13"/>
                <w:color w:val="auto"/>
              </w:rPr>
              <w:t>Adjusted EBITDA (loss)</w:t>
            </w:r>
          </w:p>
        </w:tc>
        <w:tc>
          <w:tcPr>
            <w:tcW w:w="220" w:type="dxa"/>
            <w:vAlign w:val="bottom"/>
            <w:tcBorders>
              <w:top w:val="single" w:sz="8" w:color="auto"/>
              <w:bottom w:val="single" w:sz="8" w:color="auto"/>
            </w:tcBorders>
            <w:shd w:val="clear" w:color="auto" w:fill="CCFFCC"/>
          </w:tcPr>
          <w:p>
            <w:pPr>
              <w:jc w:val="right"/>
              <w:ind w:right="7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FFCC"/>
          </w:tcPr>
          <w:p>
            <w:pPr>
              <w:jc w:val="right"/>
              <w:ind w:right="58"/>
              <w:spacing w:after="0"/>
              <w:rPr>
                <w:sz w:val="20"/>
                <w:szCs w:val="20"/>
                <w:color w:val="auto"/>
              </w:rPr>
            </w:pPr>
            <w:r>
              <w:rPr>
                <w:rFonts w:ascii="Arial" w:cs="Arial" w:eastAsia="Arial" w:hAnsi="Arial"/>
                <w:sz w:val="13"/>
                <w:szCs w:val="13"/>
                <w:color w:val="auto"/>
              </w:rPr>
              <w:t>15,065</w:t>
            </w:r>
          </w:p>
        </w:tc>
        <w:tc>
          <w:tcPr>
            <w:tcW w:w="340" w:type="dxa"/>
            <w:vAlign w:val="bottom"/>
            <w:tcBorders>
              <w:top w:val="single" w:sz="8" w:color="CCFFCC"/>
              <w:bottom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FFCC"/>
          </w:tcPr>
          <w:p>
            <w:pPr>
              <w:jc w:val="right"/>
              <w:ind w:right="18"/>
              <w:spacing w:after="0"/>
              <w:rPr>
                <w:sz w:val="20"/>
                <w:szCs w:val="20"/>
                <w:color w:val="auto"/>
              </w:rPr>
            </w:pPr>
            <w:r>
              <w:rPr>
                <w:rFonts w:ascii="Arial" w:cs="Arial" w:eastAsia="Arial" w:hAnsi="Arial"/>
                <w:sz w:val="13"/>
                <w:szCs w:val="13"/>
                <w:color w:val="auto"/>
              </w:rPr>
              <w:t>(6,280)</w:t>
            </w:r>
          </w:p>
        </w:tc>
        <w:tc>
          <w:tcPr>
            <w:tcW w:w="34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jc w:val="right"/>
              <w:ind w:right="7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FFCC"/>
          </w:tcPr>
          <w:p>
            <w:pPr>
              <w:jc w:val="right"/>
              <w:ind w:right="58"/>
              <w:spacing w:after="0"/>
              <w:rPr>
                <w:sz w:val="20"/>
                <w:szCs w:val="20"/>
                <w:color w:val="auto"/>
              </w:rPr>
            </w:pPr>
            <w:r>
              <w:rPr>
                <w:rFonts w:ascii="Arial" w:cs="Arial" w:eastAsia="Arial" w:hAnsi="Arial"/>
                <w:sz w:val="13"/>
                <w:szCs w:val="13"/>
                <w:color w:val="auto"/>
              </w:rPr>
              <w:t>19,693</w:t>
            </w:r>
          </w:p>
        </w:tc>
        <w:tc>
          <w:tcPr>
            <w:tcW w:w="320" w:type="dxa"/>
            <w:vAlign w:val="bottom"/>
            <w:tcBorders>
              <w:top w:val="single" w:sz="8" w:color="CCFFCC"/>
              <w:bottom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jc w:val="right"/>
              <w:ind w:right="1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(14,802)</w:t>
            </w:r>
          </w:p>
        </w:tc>
        <w:tc>
          <w:tcPr>
            <w:tcW w:w="34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0100" cy="194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100" cy="194310"/>
                    </a:xfrm>
                    <a:prstGeom prst="rect">
                      <a:avLst/>
                    </a:prstGeom>
                    <a:noFill/>
                  </pic:spPr>
                </pic:pic>
              </a:graphicData>
            </a:graphic>
          </wp:anchor>
        </w:drawing>
      </w:r>
    </w:p>
    <w:p>
      <w:pPr>
        <w:spacing w:after="0" w:line="246" w:lineRule="exact"/>
        <w:rPr>
          <w:sz w:val="20"/>
          <w:szCs w:val="20"/>
          <w:color w:val="auto"/>
        </w:rPr>
      </w:pPr>
    </w:p>
    <w:p>
      <w:pPr>
        <w:ind w:left="20" w:right="520" w:hanging="2"/>
        <w:spacing w:after="0" w:line="230" w:lineRule="auto"/>
        <w:tabs>
          <w:tab w:leader="none" w:pos="197"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lease restructuring costs of $24.0 million and severance and other compensation related costs of $2.4 million for the three months ended September 30, 2020 and $1.4 million for the three months ended September 30, 2019.</w:t>
      </w:r>
    </w:p>
    <w:p>
      <w:pPr>
        <w:spacing w:after="0" w:line="19" w:lineRule="exact"/>
        <w:rPr>
          <w:rFonts w:ascii="Arial" w:cs="Arial" w:eastAsia="Arial" w:hAnsi="Arial"/>
          <w:sz w:val="13"/>
          <w:szCs w:val="13"/>
          <w:color w:val="auto"/>
        </w:rPr>
      </w:pPr>
    </w:p>
    <w:p>
      <w:pPr>
        <w:ind w:left="20" w:right="200" w:hanging="2"/>
        <w:spacing w:after="0" w:line="230" w:lineRule="auto"/>
        <w:tabs>
          <w:tab w:leader="none" w:pos="197"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litigation costs of $1.3 million and consulting costs of $0.3 million for the three months ended September 30, 2020, and litigation costs of $1.1 million and consulting costs of $0.7 million for the three months ended September 30, 2019.</w:t>
      </w:r>
    </w:p>
    <w:p>
      <w:pPr>
        <w:spacing w:after="0" w:line="19" w:lineRule="exact"/>
        <w:rPr>
          <w:rFonts w:ascii="Arial" w:cs="Arial" w:eastAsia="Arial" w:hAnsi="Arial"/>
          <w:sz w:val="13"/>
          <w:szCs w:val="13"/>
          <w:color w:val="auto"/>
        </w:rPr>
      </w:pPr>
    </w:p>
    <w:p>
      <w:pPr>
        <w:ind w:left="20" w:right="600" w:hanging="2"/>
        <w:spacing w:after="0" w:line="230" w:lineRule="auto"/>
        <w:tabs>
          <w:tab w:leader="none" w:pos="197"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lease restructuring costs of $24.0 million and severance and other compensation related costs of $5.6 million for the nine months ended September 30, 2020 and $1.9 million for the nine months ended September 30, 2019.</w:t>
      </w:r>
    </w:p>
    <w:p>
      <w:pPr>
        <w:spacing w:after="0" w:line="19" w:lineRule="exact"/>
        <w:rPr>
          <w:rFonts w:ascii="Arial" w:cs="Arial" w:eastAsia="Arial" w:hAnsi="Arial"/>
          <w:sz w:val="13"/>
          <w:szCs w:val="13"/>
          <w:color w:val="auto"/>
        </w:rPr>
      </w:pPr>
    </w:p>
    <w:p>
      <w:pPr>
        <w:ind w:left="20" w:right="40" w:hanging="2"/>
        <w:spacing w:after="0" w:line="230" w:lineRule="auto"/>
        <w:tabs>
          <w:tab w:leader="none" w:pos="197"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litigation costs of $2.3 million, reserve for sales and use tax liability of $2.3 million, employee benefit cost of $0.8 million, and consulting costs of $2.2 million for the nine months ended September 30, 2020 and litigation costs of $3.9 million and consulting costs of $2.7 million for the nine months ended September 30, 2019.</w:t>
      </w:r>
    </w:p>
    <w:p>
      <w:pPr>
        <w:spacing w:after="0" w:line="19" w:lineRule="exact"/>
        <w:rPr>
          <w:rFonts w:ascii="Arial" w:cs="Arial" w:eastAsia="Arial" w:hAnsi="Arial"/>
          <w:sz w:val="13"/>
          <w:szCs w:val="13"/>
          <w:color w:val="auto"/>
        </w:rPr>
      </w:pPr>
    </w:p>
    <w:p>
      <w:pPr>
        <w:ind w:left="200" w:hanging="182"/>
        <w:spacing w:after="0"/>
        <w:tabs>
          <w:tab w:leader="none" w:pos="2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financial income (expense) which is attributable primarily to currency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150100" cy="194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100" cy="1943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wp:posOffset>
            </wp:positionV>
            <wp:extent cx="7150100" cy="111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100" cy="111760"/>
                    </a:xfrm>
                    <a:prstGeom prst="rect">
                      <a:avLst/>
                    </a:prstGeom>
                    <a:noFill/>
                  </pic:spPr>
                </pic:pic>
              </a:graphicData>
            </a:graphic>
          </wp:anchor>
        </w:drawing>
      </w:r>
    </w:p>
    <w:p>
      <w:pPr>
        <w:spacing w:after="0" w:line="269" w:lineRule="exact"/>
        <w:rPr>
          <w:sz w:val="20"/>
          <w:szCs w:val="20"/>
          <w:color w:val="auto"/>
        </w:rPr>
      </w:pPr>
    </w:p>
    <w:p>
      <w:pPr>
        <w:ind w:left="60" w:right="20" w:firstLine="564"/>
        <w:spacing w:after="0" w:line="252" w:lineRule="auto"/>
        <w:rPr>
          <w:sz w:val="20"/>
          <w:szCs w:val="20"/>
          <w:color w:val="auto"/>
        </w:rPr>
      </w:pPr>
      <w:r>
        <w:rPr>
          <w:rFonts w:ascii="Arial" w:cs="Arial" w:eastAsia="Arial" w:hAnsi="Arial"/>
          <w:sz w:val="16"/>
          <w:szCs w:val="16"/>
          <w:color w:val="auto"/>
        </w:rPr>
        <w:t>Our use of adjusted operating income has limitations as an analytical tool, and you should not consider it in isolation or as a substitute for analysis of our results as reported under GAAP. Some of these limitations are:</w:t>
      </w:r>
    </w:p>
    <w:p>
      <w:pPr>
        <w:spacing w:after="0" w:line="1" w:lineRule="exact"/>
        <w:rPr>
          <w:sz w:val="20"/>
          <w:szCs w:val="20"/>
          <w:color w:val="auto"/>
        </w:rPr>
      </w:pPr>
    </w:p>
    <w:p>
      <w:pPr>
        <w:ind w:left="980" w:right="20" w:hanging="281"/>
        <w:spacing w:after="0" w:line="245"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although amortization is a non-cash charge, the assets being amortized may have to be replaced in the future, and adjusted operating income does not reflect cash capital expenditure requirements for such replacements or for new capital expenditure requirements;</w:t>
      </w:r>
    </w:p>
    <w:p>
      <w:pPr>
        <w:ind w:left="980" w:hanging="281"/>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adjusted operating income does not consider the impact of acquisition costs;</w:t>
      </w:r>
    </w:p>
    <w:p>
      <w:pPr>
        <w:spacing w:after="0" w:line="4" w:lineRule="exact"/>
        <w:rPr>
          <w:rFonts w:ascii="Arial" w:cs="Arial" w:eastAsia="Arial" w:hAnsi="Arial"/>
          <w:sz w:val="16"/>
          <w:szCs w:val="16"/>
          <w:color w:val="auto"/>
        </w:rPr>
      </w:pPr>
    </w:p>
    <w:p>
      <w:pPr>
        <w:ind w:left="980" w:hanging="281"/>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adjusted operating income does not consider the impact of restructuring costs;</w:t>
      </w:r>
    </w:p>
    <w:p>
      <w:pPr>
        <w:spacing w:after="0" w:line="4" w:lineRule="exact"/>
        <w:rPr>
          <w:rFonts w:ascii="Arial" w:cs="Arial" w:eastAsia="Arial" w:hAnsi="Arial"/>
          <w:sz w:val="16"/>
          <w:szCs w:val="16"/>
          <w:color w:val="auto"/>
        </w:rPr>
      </w:pPr>
    </w:p>
    <w:p>
      <w:pPr>
        <w:ind w:left="980" w:hanging="281"/>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adjusted operating income does not consider the impact of other costs;</w:t>
      </w:r>
    </w:p>
    <w:p>
      <w:pPr>
        <w:spacing w:after="0" w:line="4" w:lineRule="exact"/>
        <w:rPr>
          <w:rFonts w:ascii="Arial" w:cs="Arial" w:eastAsia="Arial" w:hAnsi="Arial"/>
          <w:sz w:val="16"/>
          <w:szCs w:val="16"/>
          <w:color w:val="auto"/>
        </w:rPr>
      </w:pPr>
    </w:p>
    <w:p>
      <w:pPr>
        <w:ind w:left="980" w:hanging="281"/>
        <w:spacing w:after="0"/>
        <w:tabs>
          <w:tab w:leader="none" w:pos="9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other companies, including companies in our industry, may calculate adjusted operating income differently, which reduces its usefulness as a comparative measure.</w:t>
      </w:r>
    </w:p>
    <w:p>
      <w:pPr>
        <w:spacing w:after="0" w:line="215" w:lineRule="exact"/>
        <w:rPr>
          <w:sz w:val="20"/>
          <w:szCs w:val="20"/>
          <w:color w:val="auto"/>
        </w:rPr>
      </w:pPr>
    </w:p>
    <w:p>
      <w:pPr>
        <w:ind w:right="20" w:firstLine="564"/>
        <w:spacing w:after="0" w:line="299" w:lineRule="auto"/>
        <w:rPr>
          <w:sz w:val="20"/>
          <w:szCs w:val="20"/>
          <w:color w:val="auto"/>
        </w:rPr>
      </w:pPr>
      <w:r>
        <w:rPr>
          <w:rFonts w:ascii="Arial" w:cs="Arial" w:eastAsia="Arial" w:hAnsi="Arial"/>
          <w:sz w:val="15"/>
          <w:szCs w:val="15"/>
          <w:color w:val="auto"/>
        </w:rPr>
        <w:t>Because of these limitations, you should consider adjusted operating income alongside other financial performance measures, including various pre-tax GAAP loss and our other GAAP results. The following table presents a reconciliation of adjusted operating income for each of the periods indicated (amounts in thousands):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60"/>
          </w:cols>
          <w:pgMar w:left="320" w:top="696"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7"/>
        </w:trPr>
        <w:tc>
          <w:tcPr>
            <w:tcW w:w="4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3"/>
                <w:szCs w:val="13"/>
                <w:b w:val="1"/>
                <w:bCs w:val="1"/>
                <w:color w:val="auto"/>
                <w:w w:val="94"/>
              </w:rPr>
              <w:t>Three Months Ended September 30,</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w w:val="92"/>
              </w:rPr>
              <w:t>Nine Months Ended September 30,</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2019</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3"/>
                <w:szCs w:val="13"/>
                <w:b w:val="1"/>
                <w:bCs w:val="1"/>
                <w:color w:val="auto"/>
              </w:rPr>
              <w:t>Reconciliation of Adjusted Operating Income (Loss)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60" w:type="dxa"/>
            <w:vAlign w:val="bottom"/>
            <w:shd w:val="clear" w:color="auto" w:fill="CCFFCC"/>
          </w:tcPr>
          <w:p>
            <w:pPr>
              <w:ind w:left="20"/>
              <w:spacing w:after="0"/>
              <w:rPr>
                <w:sz w:val="20"/>
                <w:szCs w:val="20"/>
                <w:color w:val="auto"/>
              </w:rPr>
            </w:pPr>
            <w:r>
              <w:rPr>
                <w:rFonts w:ascii="Arial" w:cs="Arial" w:eastAsia="Arial" w:hAnsi="Arial"/>
                <w:sz w:val="13"/>
                <w:szCs w:val="13"/>
                <w:color w:val="auto"/>
              </w:rPr>
              <w:t>Loss before provision for income taxes</w:t>
            </w:r>
          </w:p>
        </w:tc>
        <w:tc>
          <w:tcPr>
            <w:tcW w:w="240" w:type="dxa"/>
            <w:vAlign w:val="bottom"/>
            <w:shd w:val="clear" w:color="auto" w:fill="CCFFCC"/>
          </w:tcPr>
          <w:p>
            <w:pPr>
              <w:jc w:val="right"/>
              <w:ind w:right="9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(38,810)</w:t>
            </w:r>
          </w:p>
        </w:tc>
        <w:tc>
          <w:tcPr>
            <w:tcW w:w="600" w:type="dxa"/>
            <w:vAlign w:val="bottom"/>
            <w:gridSpan w:val="2"/>
            <w:shd w:val="clear" w:color="auto" w:fill="CCFFCC"/>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(24,936)</w:t>
            </w:r>
          </w:p>
        </w:tc>
        <w:tc>
          <w:tcPr>
            <w:tcW w:w="3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(94,425)</w:t>
            </w:r>
          </w:p>
        </w:tc>
        <w:tc>
          <w:tcPr>
            <w:tcW w:w="580" w:type="dxa"/>
            <w:vAlign w:val="bottom"/>
            <w:gridSpan w:val="2"/>
            <w:shd w:val="clear" w:color="auto" w:fill="CCFFCC"/>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(66,522)</w:t>
            </w:r>
          </w:p>
        </w:tc>
        <w:tc>
          <w:tcPr>
            <w:tcW w:w="6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3"/>
                <w:szCs w:val="13"/>
                <w:color w:val="auto"/>
              </w:rPr>
              <w:t>Amortization of purchased intangibles</w:t>
            </w:r>
          </w:p>
        </w:tc>
        <w:tc>
          <w:tcPr>
            <w:tcW w:w="240" w:type="dxa"/>
            <w:vAlign w:val="bottom"/>
          </w:tcPr>
          <w:p>
            <w:pPr>
              <w:spacing w:after="0"/>
              <w:rPr>
                <w:sz w:val="19"/>
                <w:szCs w:val="19"/>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697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732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2,073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2,200</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Stock-based compensation</w:t>
            </w:r>
          </w:p>
        </w:tc>
        <w:tc>
          <w:tcPr>
            <w:tcW w:w="240" w:type="dxa"/>
            <w:vAlign w:val="bottom"/>
            <w:shd w:val="clear" w:color="auto" w:fill="CCFFCC"/>
          </w:tcPr>
          <w:p>
            <w:pPr>
              <w:spacing w:after="0"/>
              <w:rPr>
                <w:sz w:val="20"/>
                <w:szCs w:val="20"/>
                <w:color w:val="auto"/>
              </w:rPr>
            </w:pPr>
          </w:p>
        </w:tc>
        <w:tc>
          <w:tcPr>
            <w:tcW w:w="1020" w:type="dxa"/>
            <w:vAlign w:val="bottom"/>
            <w:shd w:val="clear" w:color="auto" w:fill="CCFFCC"/>
          </w:tcPr>
          <w:p>
            <w:pPr>
              <w:jc w:val="right"/>
              <w:ind w:right="57"/>
              <w:spacing w:after="0"/>
              <w:rPr>
                <w:sz w:val="20"/>
                <w:szCs w:val="20"/>
                <w:color w:val="auto"/>
              </w:rPr>
            </w:pPr>
            <w:r>
              <w:rPr>
                <w:rFonts w:ascii="Arial" w:cs="Arial" w:eastAsia="Arial" w:hAnsi="Arial"/>
                <w:sz w:val="13"/>
                <w:szCs w:val="13"/>
                <w:color w:val="auto"/>
              </w:rPr>
              <w:t>15,532</w:t>
            </w:r>
          </w:p>
        </w:tc>
        <w:tc>
          <w:tcPr>
            <w:tcW w:w="3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57"/>
              <w:spacing w:after="0"/>
              <w:rPr>
                <w:sz w:val="20"/>
                <w:szCs w:val="20"/>
                <w:color w:val="auto"/>
              </w:rPr>
            </w:pPr>
            <w:r>
              <w:rPr>
                <w:rFonts w:ascii="Arial" w:cs="Arial" w:eastAsia="Arial" w:hAnsi="Arial"/>
                <w:sz w:val="13"/>
                <w:szCs w:val="13"/>
                <w:color w:val="auto"/>
              </w:rPr>
              <w:t>9,068</w:t>
            </w:r>
          </w:p>
        </w:tc>
        <w:tc>
          <w:tcPr>
            <w:tcW w:w="3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0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46,171</w:t>
            </w: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25,539</w:t>
            </w:r>
          </w:p>
        </w:tc>
        <w:tc>
          <w:tcPr>
            <w:tcW w:w="6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960" w:type="dxa"/>
            <w:vAlign w:val="bottom"/>
          </w:tcPr>
          <w:p>
            <w:pPr>
              <w:ind w:left="220"/>
              <w:spacing w:after="0"/>
              <w:rPr>
                <w:sz w:val="20"/>
                <w:szCs w:val="20"/>
                <w:color w:val="auto"/>
              </w:rPr>
            </w:pPr>
            <w:r>
              <w:rPr>
                <w:rFonts w:ascii="Arial" w:cs="Arial" w:eastAsia="Arial" w:hAnsi="Arial"/>
                <w:sz w:val="13"/>
                <w:szCs w:val="13"/>
                <w:color w:val="auto"/>
              </w:rPr>
              <w:t>Restructuring costs</w:t>
            </w:r>
          </w:p>
        </w:tc>
        <w:tc>
          <w:tcPr>
            <w:tcW w:w="240" w:type="dxa"/>
            <w:vAlign w:val="bottom"/>
          </w:tcPr>
          <w:p>
            <w:pPr>
              <w:spacing w:after="0"/>
              <w:rPr>
                <w:sz w:val="13"/>
                <w:szCs w:val="1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26,442</w:t>
            </w:r>
          </w:p>
        </w:tc>
        <w:tc>
          <w:tcPr>
            <w:tcW w:w="340" w:type="dxa"/>
            <w:vAlign w:val="bottom"/>
            <w:vMerge w:val="restart"/>
          </w:tcPr>
          <w:p>
            <w:pPr>
              <w:jc w:val="right"/>
              <w:ind w:right="195"/>
              <w:spacing w:after="0"/>
              <w:rPr>
                <w:sz w:val="20"/>
                <w:szCs w:val="20"/>
                <w:color w:val="auto"/>
              </w:rPr>
            </w:pPr>
            <w:r>
              <w:rPr>
                <w:rFonts w:ascii="Arial" w:cs="Arial" w:eastAsia="Arial" w:hAnsi="Arial"/>
                <w:sz w:val="8"/>
                <w:szCs w:val="8"/>
                <w:color w:val="auto"/>
                <w:w w:val="81"/>
              </w:rPr>
              <w:t>(1)</w:t>
            </w:r>
          </w:p>
        </w:tc>
        <w:tc>
          <w:tcPr>
            <w:tcW w:w="260" w:type="dxa"/>
            <w:vAlign w:val="bottom"/>
          </w:tcPr>
          <w:p>
            <w:pPr>
              <w:spacing w:after="0"/>
              <w:rPr>
                <w:sz w:val="13"/>
                <w:szCs w:val="1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1,425</w:t>
            </w:r>
          </w:p>
        </w:tc>
        <w:tc>
          <w:tcPr>
            <w:tcW w:w="340" w:type="dxa"/>
            <w:vAlign w:val="bottom"/>
            <w:vMerge w:val="restart"/>
          </w:tcPr>
          <w:p>
            <w:pPr>
              <w:jc w:val="right"/>
              <w:ind w:right="201"/>
              <w:spacing w:after="0"/>
              <w:rPr>
                <w:sz w:val="20"/>
                <w:szCs w:val="20"/>
                <w:color w:val="auto"/>
              </w:rPr>
            </w:pPr>
            <w:r>
              <w:rPr>
                <w:rFonts w:ascii="Arial" w:cs="Arial" w:eastAsia="Arial" w:hAnsi="Arial"/>
                <w:sz w:val="8"/>
                <w:szCs w:val="8"/>
                <w:color w:val="auto"/>
                <w:w w:val="81"/>
              </w:rPr>
              <w:t>(1)</w:t>
            </w:r>
          </w:p>
        </w:tc>
        <w:tc>
          <w:tcPr>
            <w:tcW w:w="220" w:type="dxa"/>
            <w:vAlign w:val="bottom"/>
          </w:tcPr>
          <w:p>
            <w:pPr>
              <w:spacing w:after="0"/>
              <w:rPr>
                <w:sz w:val="13"/>
                <w:szCs w:val="1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29,635</w:t>
            </w:r>
          </w:p>
        </w:tc>
        <w:tc>
          <w:tcPr>
            <w:tcW w:w="340" w:type="dxa"/>
            <w:vAlign w:val="bottom"/>
            <w:vMerge w:val="restart"/>
          </w:tcPr>
          <w:p>
            <w:pPr>
              <w:jc w:val="right"/>
              <w:ind w:right="175"/>
              <w:spacing w:after="0"/>
              <w:rPr>
                <w:sz w:val="20"/>
                <w:szCs w:val="20"/>
                <w:color w:val="auto"/>
              </w:rPr>
            </w:pPr>
            <w:r>
              <w:rPr>
                <w:rFonts w:ascii="Arial" w:cs="Arial" w:eastAsia="Arial" w:hAnsi="Arial"/>
                <w:sz w:val="8"/>
                <w:szCs w:val="8"/>
                <w:color w:val="auto"/>
              </w:rPr>
              <w:t>(3)</w:t>
            </w:r>
          </w:p>
        </w:tc>
        <w:tc>
          <w:tcPr>
            <w:tcW w:w="24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1,909</w:t>
            </w:r>
          </w:p>
        </w:tc>
        <w:tc>
          <w:tcPr>
            <w:tcW w:w="660" w:type="dxa"/>
            <w:vAlign w:val="bottom"/>
            <w:vMerge w:val="restart"/>
          </w:tcPr>
          <w:p>
            <w:pPr>
              <w:jc w:val="right"/>
              <w:ind w:right="501"/>
              <w:spacing w:after="0"/>
              <w:rPr>
                <w:sz w:val="20"/>
                <w:szCs w:val="20"/>
                <w:color w:val="auto"/>
              </w:rPr>
            </w:pP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22"/>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49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Other litigation and consulting costs</w:t>
            </w:r>
          </w:p>
        </w:tc>
        <w:tc>
          <w:tcPr>
            <w:tcW w:w="240" w:type="dxa"/>
            <w:vAlign w:val="bottom"/>
            <w:shd w:val="clear" w:color="auto" w:fill="CCFFCC"/>
          </w:tcPr>
          <w:p>
            <w:pPr>
              <w:spacing w:after="0"/>
              <w:rPr>
                <w:sz w:val="13"/>
                <w:szCs w:val="13"/>
                <w:color w:val="auto"/>
              </w:rPr>
            </w:pPr>
          </w:p>
        </w:tc>
        <w:tc>
          <w:tcPr>
            <w:tcW w:w="1020" w:type="dxa"/>
            <w:vAlign w:val="bottom"/>
            <w:shd w:val="clear" w:color="auto" w:fill="CCFFCC"/>
          </w:tcPr>
          <w:p>
            <w:pPr>
              <w:jc w:val="right"/>
              <w:ind w:right="57"/>
              <w:spacing w:after="0"/>
              <w:rPr>
                <w:sz w:val="20"/>
                <w:szCs w:val="20"/>
                <w:color w:val="auto"/>
              </w:rPr>
            </w:pPr>
            <w:r>
              <w:rPr>
                <w:rFonts w:ascii="Arial" w:cs="Arial" w:eastAsia="Arial" w:hAnsi="Arial"/>
                <w:sz w:val="13"/>
                <w:szCs w:val="13"/>
                <w:color w:val="auto"/>
              </w:rPr>
              <w:t>1,589</w:t>
            </w:r>
          </w:p>
        </w:tc>
        <w:tc>
          <w:tcPr>
            <w:tcW w:w="340" w:type="dxa"/>
            <w:vAlign w:val="bottom"/>
            <w:vMerge w:val="restart"/>
            <w:shd w:val="clear" w:color="auto" w:fill="CCFFCC"/>
          </w:tcPr>
          <w:p>
            <w:pPr>
              <w:jc w:val="right"/>
              <w:ind w:right="195"/>
              <w:spacing w:after="0"/>
              <w:rPr>
                <w:sz w:val="20"/>
                <w:szCs w:val="20"/>
                <w:color w:val="auto"/>
              </w:rPr>
            </w:pPr>
            <w:r>
              <w:rPr>
                <w:rFonts w:ascii="Arial" w:cs="Arial" w:eastAsia="Arial" w:hAnsi="Arial"/>
                <w:sz w:val="8"/>
                <w:szCs w:val="8"/>
                <w:color w:val="auto"/>
                <w:w w:val="81"/>
              </w:rPr>
              <w:t>(2)</w:t>
            </w:r>
          </w:p>
        </w:tc>
        <w:tc>
          <w:tcPr>
            <w:tcW w:w="260" w:type="dxa"/>
            <w:vAlign w:val="bottom"/>
            <w:shd w:val="clear" w:color="auto" w:fill="CCFFCC"/>
          </w:tcPr>
          <w:p>
            <w:pPr>
              <w:spacing w:after="0"/>
              <w:rPr>
                <w:sz w:val="13"/>
                <w:szCs w:val="13"/>
                <w:color w:val="auto"/>
              </w:rPr>
            </w:pPr>
          </w:p>
        </w:tc>
        <w:tc>
          <w:tcPr>
            <w:tcW w:w="880" w:type="dxa"/>
            <w:vAlign w:val="bottom"/>
            <w:shd w:val="clear" w:color="auto" w:fill="CCFFCC"/>
          </w:tcPr>
          <w:p>
            <w:pPr>
              <w:jc w:val="right"/>
              <w:ind w:right="57"/>
              <w:spacing w:after="0"/>
              <w:rPr>
                <w:sz w:val="20"/>
                <w:szCs w:val="20"/>
                <w:color w:val="auto"/>
              </w:rPr>
            </w:pPr>
            <w:r>
              <w:rPr>
                <w:rFonts w:ascii="Arial" w:cs="Arial" w:eastAsia="Arial" w:hAnsi="Arial"/>
                <w:sz w:val="13"/>
                <w:szCs w:val="13"/>
                <w:color w:val="auto"/>
              </w:rPr>
              <w:t>1,792</w:t>
            </w:r>
          </w:p>
        </w:tc>
        <w:tc>
          <w:tcPr>
            <w:tcW w:w="340" w:type="dxa"/>
            <w:vAlign w:val="bottom"/>
            <w:vMerge w:val="restart"/>
            <w:shd w:val="clear" w:color="auto" w:fill="CCFFCC"/>
          </w:tcPr>
          <w:p>
            <w:pPr>
              <w:jc w:val="right"/>
              <w:ind w:right="201"/>
              <w:spacing w:after="0"/>
              <w:rPr>
                <w:sz w:val="20"/>
                <w:szCs w:val="20"/>
                <w:color w:val="auto"/>
              </w:rPr>
            </w:pPr>
            <w:r>
              <w:rPr>
                <w:rFonts w:ascii="Arial" w:cs="Arial" w:eastAsia="Arial" w:hAnsi="Arial"/>
                <w:sz w:val="8"/>
                <w:szCs w:val="8"/>
                <w:color w:val="auto"/>
                <w:w w:val="81"/>
              </w:rPr>
              <w:t>(2)</w:t>
            </w:r>
          </w:p>
        </w:tc>
        <w:tc>
          <w:tcPr>
            <w:tcW w:w="220" w:type="dxa"/>
            <w:vAlign w:val="bottom"/>
            <w:shd w:val="clear" w:color="auto" w:fill="CCFFCC"/>
          </w:tcPr>
          <w:p>
            <w:pPr>
              <w:spacing w:after="0"/>
              <w:rPr>
                <w:sz w:val="13"/>
                <w:szCs w:val="13"/>
                <w:color w:val="auto"/>
              </w:rPr>
            </w:pPr>
          </w:p>
        </w:tc>
        <w:tc>
          <w:tcPr>
            <w:tcW w:w="90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7,634</w:t>
            </w:r>
          </w:p>
        </w:tc>
        <w:tc>
          <w:tcPr>
            <w:tcW w:w="340" w:type="dxa"/>
            <w:vAlign w:val="bottom"/>
            <w:vMerge w:val="restart"/>
            <w:shd w:val="clear" w:color="auto" w:fill="CCFFCC"/>
          </w:tcPr>
          <w:p>
            <w:pPr>
              <w:jc w:val="right"/>
              <w:ind w:right="175"/>
              <w:spacing w:after="0"/>
              <w:rPr>
                <w:sz w:val="20"/>
                <w:szCs w:val="20"/>
                <w:color w:val="auto"/>
              </w:rPr>
            </w:pPr>
            <w:r>
              <w:rPr>
                <w:rFonts w:ascii="Arial" w:cs="Arial" w:eastAsia="Arial" w:hAnsi="Arial"/>
                <w:sz w:val="8"/>
                <w:szCs w:val="8"/>
                <w:color w:val="auto"/>
              </w:rPr>
              <w:t>(4)</w:t>
            </w:r>
          </w:p>
        </w:tc>
        <w:tc>
          <w:tcPr>
            <w:tcW w:w="240" w:type="dxa"/>
            <w:vAlign w:val="bottom"/>
            <w:shd w:val="clear" w:color="auto" w:fill="CCFFCC"/>
          </w:tcPr>
          <w:p>
            <w:pPr>
              <w:spacing w:after="0"/>
              <w:rPr>
                <w:sz w:val="13"/>
                <w:szCs w:val="13"/>
                <w:color w:val="auto"/>
              </w:rPr>
            </w:pPr>
          </w:p>
        </w:tc>
        <w:tc>
          <w:tcPr>
            <w:tcW w:w="86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6,584</w:t>
            </w:r>
          </w:p>
        </w:tc>
        <w:tc>
          <w:tcPr>
            <w:tcW w:w="660" w:type="dxa"/>
            <w:vAlign w:val="bottom"/>
            <w:vMerge w:val="restart"/>
            <w:shd w:val="clear" w:color="auto" w:fill="CCFFCC"/>
          </w:tcPr>
          <w:p>
            <w:pPr>
              <w:jc w:val="right"/>
              <w:ind w:right="501"/>
              <w:spacing w:after="0"/>
              <w:rPr>
                <w:sz w:val="20"/>
                <w:szCs w:val="20"/>
                <w:color w:val="auto"/>
              </w:rPr>
            </w:pP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22"/>
        </w:trPr>
        <w:tc>
          <w:tcPr>
            <w:tcW w:w="496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340" w:type="dxa"/>
            <w:vAlign w:val="bottom"/>
            <w:vMerge w:val="continue"/>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880" w:type="dxa"/>
            <w:vAlign w:val="bottom"/>
            <w:shd w:val="clear" w:color="auto" w:fill="CCFFCC"/>
          </w:tcPr>
          <w:p>
            <w:pPr>
              <w:spacing w:after="0" w:line="20" w:lineRule="exact"/>
              <w:rPr>
                <w:sz w:val="1"/>
                <w:szCs w:val="1"/>
                <w:color w:val="auto"/>
              </w:rPr>
            </w:pPr>
          </w:p>
        </w:tc>
        <w:tc>
          <w:tcPr>
            <w:tcW w:w="340" w:type="dxa"/>
            <w:vAlign w:val="bottom"/>
            <w:vMerge w:val="continue"/>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00" w:type="dxa"/>
            <w:vAlign w:val="bottom"/>
            <w:shd w:val="clear" w:color="auto" w:fill="CCFFCC"/>
          </w:tcPr>
          <w:p>
            <w:pPr>
              <w:spacing w:after="0" w:line="20" w:lineRule="exact"/>
              <w:rPr>
                <w:sz w:val="1"/>
                <w:szCs w:val="1"/>
                <w:color w:val="auto"/>
              </w:rPr>
            </w:pPr>
          </w:p>
        </w:tc>
        <w:tc>
          <w:tcPr>
            <w:tcW w:w="340" w:type="dxa"/>
            <w:vAlign w:val="bottom"/>
            <w:vMerge w:val="continue"/>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60" w:type="dxa"/>
            <w:vAlign w:val="bottom"/>
            <w:shd w:val="clear" w:color="auto" w:fill="CCFFCC"/>
          </w:tcPr>
          <w:p>
            <w:pPr>
              <w:spacing w:after="0" w:line="20" w:lineRule="exact"/>
              <w:rPr>
                <w:sz w:val="1"/>
                <w:szCs w:val="1"/>
                <w:color w:val="auto"/>
              </w:rPr>
            </w:pPr>
          </w:p>
        </w:tc>
        <w:tc>
          <w:tcPr>
            <w:tcW w:w="660" w:type="dxa"/>
            <w:vAlign w:val="bottom"/>
            <w:vMerge w:val="continue"/>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960" w:type="dxa"/>
            <w:vAlign w:val="bottom"/>
            <w:shd w:val="clear" w:color="auto" w:fill="CCFFCC"/>
          </w:tcPr>
          <w:p>
            <w:pPr>
              <w:spacing w:after="0"/>
              <w:rPr>
                <w:sz w:val="5"/>
                <w:szCs w:val="5"/>
                <w:color w:val="auto"/>
              </w:rPr>
            </w:pPr>
          </w:p>
        </w:tc>
        <w:tc>
          <w:tcPr>
            <w:tcW w:w="240" w:type="dxa"/>
            <w:vAlign w:val="bottom"/>
            <w:shd w:val="clear" w:color="auto" w:fill="CCFFCC"/>
          </w:tcPr>
          <w:p>
            <w:pPr>
              <w:spacing w:after="0"/>
              <w:rPr>
                <w:sz w:val="5"/>
                <w:szCs w:val="5"/>
                <w:color w:val="auto"/>
              </w:rPr>
            </w:pPr>
          </w:p>
        </w:tc>
        <w:tc>
          <w:tcPr>
            <w:tcW w:w="1020" w:type="dxa"/>
            <w:vAlign w:val="bottom"/>
            <w:shd w:val="clear" w:color="auto" w:fill="CCFFCC"/>
          </w:tcPr>
          <w:p>
            <w:pPr>
              <w:spacing w:after="0"/>
              <w:rPr>
                <w:sz w:val="5"/>
                <w:szCs w:val="5"/>
                <w:color w:val="auto"/>
              </w:rPr>
            </w:pPr>
          </w:p>
        </w:tc>
        <w:tc>
          <w:tcPr>
            <w:tcW w:w="340" w:type="dxa"/>
            <w:vAlign w:val="bottom"/>
            <w:shd w:val="clear" w:color="auto" w:fill="CCFFCC"/>
          </w:tcPr>
          <w:p>
            <w:pPr>
              <w:spacing w:after="0"/>
              <w:rPr>
                <w:sz w:val="5"/>
                <w:szCs w:val="5"/>
                <w:color w:val="auto"/>
              </w:rPr>
            </w:pPr>
          </w:p>
        </w:tc>
        <w:tc>
          <w:tcPr>
            <w:tcW w:w="260" w:type="dxa"/>
            <w:vAlign w:val="bottom"/>
            <w:shd w:val="clear" w:color="auto" w:fill="CCFFCC"/>
          </w:tcPr>
          <w:p>
            <w:pPr>
              <w:spacing w:after="0"/>
              <w:rPr>
                <w:sz w:val="5"/>
                <w:szCs w:val="5"/>
                <w:color w:val="auto"/>
              </w:rPr>
            </w:pPr>
          </w:p>
        </w:tc>
        <w:tc>
          <w:tcPr>
            <w:tcW w:w="880" w:type="dxa"/>
            <w:vAlign w:val="bottom"/>
            <w:shd w:val="clear" w:color="auto" w:fill="CCFFCC"/>
          </w:tcPr>
          <w:p>
            <w:pPr>
              <w:spacing w:after="0"/>
              <w:rPr>
                <w:sz w:val="5"/>
                <w:szCs w:val="5"/>
                <w:color w:val="auto"/>
              </w:rPr>
            </w:pPr>
          </w:p>
        </w:tc>
        <w:tc>
          <w:tcPr>
            <w:tcW w:w="340" w:type="dxa"/>
            <w:vAlign w:val="bottom"/>
            <w:shd w:val="clear" w:color="auto" w:fill="CCFFCC"/>
          </w:tcPr>
          <w:p>
            <w:pPr>
              <w:spacing w:after="0"/>
              <w:rPr>
                <w:sz w:val="5"/>
                <w:szCs w:val="5"/>
                <w:color w:val="auto"/>
              </w:rPr>
            </w:pPr>
          </w:p>
        </w:tc>
        <w:tc>
          <w:tcPr>
            <w:tcW w:w="220" w:type="dxa"/>
            <w:vAlign w:val="bottom"/>
            <w:shd w:val="clear" w:color="auto" w:fill="CCFFCC"/>
          </w:tcPr>
          <w:p>
            <w:pPr>
              <w:spacing w:after="0"/>
              <w:rPr>
                <w:sz w:val="5"/>
                <w:szCs w:val="5"/>
                <w:color w:val="auto"/>
              </w:rPr>
            </w:pPr>
          </w:p>
        </w:tc>
        <w:tc>
          <w:tcPr>
            <w:tcW w:w="900" w:type="dxa"/>
            <w:vAlign w:val="bottom"/>
            <w:shd w:val="clear" w:color="auto" w:fill="CCFFCC"/>
          </w:tcPr>
          <w:p>
            <w:pPr>
              <w:spacing w:after="0"/>
              <w:rPr>
                <w:sz w:val="5"/>
                <w:szCs w:val="5"/>
                <w:color w:val="auto"/>
              </w:rPr>
            </w:pPr>
          </w:p>
        </w:tc>
        <w:tc>
          <w:tcPr>
            <w:tcW w:w="340" w:type="dxa"/>
            <w:vAlign w:val="bottom"/>
            <w:shd w:val="clear" w:color="auto" w:fill="CCFFCC"/>
          </w:tcPr>
          <w:p>
            <w:pPr>
              <w:spacing w:after="0"/>
              <w:rPr>
                <w:sz w:val="5"/>
                <w:szCs w:val="5"/>
                <w:color w:val="auto"/>
              </w:rPr>
            </w:pPr>
          </w:p>
        </w:tc>
        <w:tc>
          <w:tcPr>
            <w:tcW w:w="240" w:type="dxa"/>
            <w:vAlign w:val="bottom"/>
            <w:shd w:val="clear" w:color="auto" w:fill="CCFFCC"/>
          </w:tcPr>
          <w:p>
            <w:pPr>
              <w:spacing w:after="0"/>
              <w:rPr>
                <w:sz w:val="5"/>
                <w:szCs w:val="5"/>
                <w:color w:val="auto"/>
              </w:rPr>
            </w:pPr>
          </w:p>
        </w:tc>
        <w:tc>
          <w:tcPr>
            <w:tcW w:w="860" w:type="dxa"/>
            <w:vAlign w:val="bottom"/>
            <w:shd w:val="clear" w:color="auto" w:fill="CCFFCC"/>
          </w:tcPr>
          <w:p>
            <w:pPr>
              <w:spacing w:after="0"/>
              <w:rPr>
                <w:sz w:val="5"/>
                <w:szCs w:val="5"/>
                <w:color w:val="auto"/>
              </w:rPr>
            </w:pPr>
          </w:p>
        </w:tc>
        <w:tc>
          <w:tcPr>
            <w:tcW w:w="660" w:type="dxa"/>
            <w:vAlign w:val="bottom"/>
            <w:shd w:val="clear" w:color="auto" w:fill="CCFFCC"/>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3"/>
                <w:szCs w:val="13"/>
                <w:color w:val="auto"/>
              </w:rPr>
              <w:t>Contingent earn-out adjustments</w:t>
            </w:r>
          </w:p>
        </w:tc>
        <w:tc>
          <w:tcPr>
            <w:tcW w:w="240" w:type="dxa"/>
            <w:vAlign w:val="bottom"/>
          </w:tcPr>
          <w:p>
            <w:pPr>
              <w:spacing w:after="0"/>
              <w:rPr>
                <w:sz w:val="19"/>
                <w:szCs w:val="19"/>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(328)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(328)</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Interest expense</w:t>
            </w:r>
          </w:p>
        </w:tc>
        <w:tc>
          <w:tcPr>
            <w:tcW w:w="240" w:type="dxa"/>
            <w:vAlign w:val="bottom"/>
            <w:shd w:val="clear" w:color="auto" w:fill="CCFFCC"/>
          </w:tcPr>
          <w:p>
            <w:pPr>
              <w:spacing w:after="0"/>
              <w:rPr>
                <w:sz w:val="20"/>
                <w:szCs w:val="20"/>
                <w:color w:val="auto"/>
              </w:rPr>
            </w:pPr>
          </w:p>
        </w:tc>
        <w:tc>
          <w:tcPr>
            <w:tcW w:w="1020" w:type="dxa"/>
            <w:vAlign w:val="bottom"/>
            <w:shd w:val="clear" w:color="auto" w:fill="CCFFCC"/>
          </w:tcPr>
          <w:p>
            <w:pPr>
              <w:jc w:val="right"/>
              <w:ind w:right="57"/>
              <w:spacing w:after="0"/>
              <w:rPr>
                <w:sz w:val="20"/>
                <w:szCs w:val="20"/>
                <w:color w:val="auto"/>
              </w:rPr>
            </w:pPr>
            <w:r>
              <w:rPr>
                <w:rFonts w:ascii="Arial" w:cs="Arial" w:eastAsia="Arial" w:hAnsi="Arial"/>
                <w:sz w:val="13"/>
                <w:szCs w:val="13"/>
                <w:color w:val="auto"/>
              </w:rPr>
              <w:t>3,159</w:t>
            </w:r>
          </w:p>
        </w:tc>
        <w:tc>
          <w:tcPr>
            <w:tcW w:w="3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57"/>
              <w:spacing w:after="0"/>
              <w:rPr>
                <w:sz w:val="20"/>
                <w:szCs w:val="20"/>
                <w:color w:val="auto"/>
              </w:rPr>
            </w:pPr>
            <w:r>
              <w:rPr>
                <w:rFonts w:ascii="Arial" w:cs="Arial" w:eastAsia="Arial" w:hAnsi="Arial"/>
                <w:sz w:val="13"/>
                <w:szCs w:val="13"/>
                <w:color w:val="auto"/>
              </w:rPr>
              <w:t>2,189</w:t>
            </w:r>
          </w:p>
        </w:tc>
        <w:tc>
          <w:tcPr>
            <w:tcW w:w="3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0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9,161</w:t>
            </w: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4,873</w:t>
            </w:r>
          </w:p>
        </w:tc>
        <w:tc>
          <w:tcPr>
            <w:tcW w:w="6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3"/>
                <w:szCs w:val="13"/>
                <w:color w:val="auto"/>
              </w:rPr>
              <w:t>Other expense (income), net</w:t>
            </w:r>
          </w:p>
        </w:tc>
        <w:tc>
          <w:tcPr>
            <w:tcW w:w="240" w:type="dxa"/>
            <w:vAlign w:val="bottom"/>
          </w:tcPr>
          <w:p>
            <w:pPr>
              <w:spacing w:after="0"/>
              <w:rPr>
                <w:sz w:val="19"/>
                <w:szCs w:val="19"/>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508</w:t>
            </w:r>
          </w:p>
        </w:tc>
        <w:tc>
          <w:tcPr>
            <w:tcW w:w="340" w:type="dxa"/>
            <w:vAlign w:val="bottom"/>
          </w:tcPr>
          <w:p>
            <w:pPr>
              <w:jc w:val="right"/>
              <w:ind w:right="195"/>
              <w:spacing w:after="0"/>
              <w:rPr>
                <w:sz w:val="20"/>
                <w:szCs w:val="20"/>
                <w:color w:val="auto"/>
              </w:rPr>
            </w:pPr>
            <w:r>
              <w:rPr>
                <w:rFonts w:ascii="Arial" w:cs="Arial" w:eastAsia="Arial" w:hAnsi="Arial"/>
                <w:sz w:val="8"/>
                <w:szCs w:val="8"/>
                <w:color w:val="auto"/>
                <w:w w:val="81"/>
              </w:rPr>
              <w:t>(5)</w:t>
            </w:r>
          </w:p>
        </w:tc>
        <w:tc>
          <w:tcPr>
            <w:tcW w:w="26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(379)</w:t>
            </w:r>
          </w:p>
        </w:tc>
        <w:tc>
          <w:tcPr>
            <w:tcW w:w="340" w:type="dxa"/>
            <w:vAlign w:val="bottom"/>
          </w:tcPr>
          <w:p>
            <w:pPr>
              <w:jc w:val="right"/>
              <w:ind w:right="201"/>
              <w:spacing w:after="0"/>
              <w:rPr>
                <w:sz w:val="20"/>
                <w:szCs w:val="20"/>
                <w:color w:val="auto"/>
              </w:rPr>
            </w:pPr>
            <w:r>
              <w:rPr>
                <w:rFonts w:ascii="Arial" w:cs="Arial" w:eastAsia="Arial" w:hAnsi="Arial"/>
                <w:sz w:val="8"/>
                <w:szCs w:val="8"/>
                <w:color w:val="auto"/>
                <w:w w:val="81"/>
              </w:rPr>
              <w:t>(5)</w:t>
            </w:r>
          </w:p>
        </w:tc>
        <w:tc>
          <w:tcPr>
            <w:tcW w:w="22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2,484</w:t>
            </w:r>
          </w:p>
        </w:tc>
        <w:tc>
          <w:tcPr>
            <w:tcW w:w="340" w:type="dxa"/>
            <w:vAlign w:val="bottom"/>
          </w:tcPr>
          <w:p>
            <w:pPr>
              <w:jc w:val="right"/>
              <w:ind w:right="175"/>
              <w:spacing w:after="0"/>
              <w:rPr>
                <w:sz w:val="20"/>
                <w:szCs w:val="20"/>
                <w:color w:val="auto"/>
              </w:rPr>
            </w:pPr>
            <w:r>
              <w:rPr>
                <w:rFonts w:ascii="Arial" w:cs="Arial" w:eastAsia="Arial" w:hAnsi="Arial"/>
                <w:sz w:val="8"/>
                <w:szCs w:val="8"/>
                <w:color w:val="auto"/>
              </w:rPr>
              <w:t>(5)</w:t>
            </w:r>
          </w:p>
        </w:tc>
        <w:tc>
          <w:tcPr>
            <w:tcW w:w="240" w:type="dxa"/>
            <w:vAlign w:val="bottom"/>
          </w:tcPr>
          <w:p>
            <w:pPr>
              <w:spacing w:after="0"/>
              <w:rPr>
                <w:sz w:val="19"/>
                <w:szCs w:val="19"/>
                <w:color w:val="auto"/>
              </w:rPr>
            </w:pPr>
          </w:p>
        </w:tc>
        <w:tc>
          <w:tcPr>
            <w:tcW w:w="1520" w:type="dxa"/>
            <w:vAlign w:val="bottom"/>
            <w:gridSpan w:val="2"/>
          </w:tcPr>
          <w:p>
            <w:pPr>
              <w:jc w:val="right"/>
              <w:ind w:right="501"/>
              <w:spacing w:after="0"/>
              <w:rPr>
                <w:sz w:val="20"/>
                <w:szCs w:val="20"/>
                <w:color w:val="auto"/>
              </w:rPr>
            </w:pPr>
            <w:r>
              <w:rPr>
                <w:rFonts w:ascii="Arial" w:cs="Arial" w:eastAsia="Arial" w:hAnsi="Arial"/>
                <w:sz w:val="13"/>
                <w:szCs w:val="13"/>
                <w:color w:val="auto"/>
              </w:rPr>
              <w:t xml:space="preserve">(862)  </w:t>
            </w:r>
            <w:r>
              <w:rPr>
                <w:rFonts w:ascii="Arial" w:cs="Arial" w:eastAsia="Arial" w:hAnsi="Arial"/>
                <w:sz w:val="7"/>
                <w:szCs w:val="7"/>
                <w:color w:val="auto"/>
              </w:rPr>
              <w:t>(5)</w:t>
            </w:r>
          </w:p>
        </w:tc>
        <w:tc>
          <w:tcPr>
            <w:tcW w:w="0" w:type="dxa"/>
            <w:vAlign w:val="bottom"/>
          </w:tcPr>
          <w:p>
            <w:pPr>
              <w:spacing w:after="0"/>
              <w:rPr>
                <w:sz w:val="1"/>
                <w:szCs w:val="1"/>
                <w:color w:val="auto"/>
              </w:rPr>
            </w:pPr>
          </w:p>
        </w:tc>
      </w:tr>
      <w:tr>
        <w:trPr>
          <w:trHeight w:val="209"/>
        </w:trPr>
        <w:tc>
          <w:tcPr>
            <w:tcW w:w="4960" w:type="dxa"/>
            <w:vAlign w:val="bottom"/>
            <w:tcBorders>
              <w:top w:val="single" w:sz="8" w:color="CCFFCC"/>
              <w:bottom w:val="single" w:sz="8" w:color="CCFFCC"/>
            </w:tcBorders>
            <w:shd w:val="clear" w:color="auto" w:fill="CCFFCC"/>
          </w:tcPr>
          <w:p>
            <w:pPr>
              <w:ind w:left="220"/>
              <w:spacing w:after="0"/>
              <w:rPr>
                <w:sz w:val="20"/>
                <w:szCs w:val="20"/>
                <w:color w:val="auto"/>
              </w:rPr>
            </w:pPr>
            <w:r>
              <w:rPr>
                <w:rFonts w:ascii="Arial" w:cs="Arial" w:eastAsia="Arial" w:hAnsi="Arial"/>
                <w:sz w:val="13"/>
                <w:szCs w:val="13"/>
                <w:color w:val="auto"/>
              </w:rPr>
              <w:t>Adjusted operating income (loss)</w:t>
            </w:r>
          </w:p>
        </w:tc>
        <w:tc>
          <w:tcPr>
            <w:tcW w:w="240" w:type="dxa"/>
            <w:vAlign w:val="bottom"/>
            <w:tcBorders>
              <w:top w:val="single" w:sz="8" w:color="auto"/>
              <w:bottom w:val="single" w:sz="8" w:color="auto"/>
            </w:tcBorders>
            <w:shd w:val="clear" w:color="auto" w:fill="CCFFCC"/>
          </w:tcPr>
          <w:p>
            <w:pPr>
              <w:jc w:val="right"/>
              <w:ind w:right="9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FFCC"/>
          </w:tcPr>
          <w:p>
            <w:pPr>
              <w:jc w:val="right"/>
              <w:ind w:right="57"/>
              <w:spacing w:after="0"/>
              <w:rPr>
                <w:sz w:val="20"/>
                <w:szCs w:val="20"/>
                <w:color w:val="auto"/>
              </w:rPr>
            </w:pPr>
            <w:r>
              <w:rPr>
                <w:rFonts w:ascii="Arial" w:cs="Arial" w:eastAsia="Arial" w:hAnsi="Arial"/>
                <w:sz w:val="13"/>
                <w:szCs w:val="13"/>
                <w:color w:val="auto"/>
              </w:rPr>
              <w:t>9,117</w:t>
            </w:r>
          </w:p>
        </w:tc>
        <w:tc>
          <w:tcPr>
            <w:tcW w:w="340" w:type="dxa"/>
            <w:vAlign w:val="bottom"/>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(10,437)</w:t>
            </w:r>
          </w:p>
        </w:tc>
        <w:tc>
          <w:tcPr>
            <w:tcW w:w="34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rPr>
              <w:t>2,470</w:t>
            </w:r>
          </w:p>
        </w:tc>
        <w:tc>
          <w:tcPr>
            <w:tcW w:w="340" w:type="dxa"/>
            <w:vAlign w:val="bottom"/>
            <w:tcBorders>
              <w:top w:val="single" w:sz="8" w:color="CCFFCC"/>
              <w:bottom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(26,607)</w:t>
            </w:r>
          </w:p>
        </w:tc>
        <w:tc>
          <w:tcPr>
            <w:tcW w:w="66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150100" cy="194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100" cy="194310"/>
                    </a:xfrm>
                    <a:prstGeom prst="rect">
                      <a:avLst/>
                    </a:prstGeom>
                    <a:noFill/>
                  </pic:spPr>
                </pic:pic>
              </a:graphicData>
            </a:graphic>
          </wp:anchor>
        </w:drawing>
      </w:r>
    </w:p>
    <w:p>
      <w:pPr>
        <w:spacing w:after="0" w:line="270" w:lineRule="exact"/>
        <w:rPr>
          <w:sz w:val="20"/>
          <w:szCs w:val="20"/>
          <w:color w:val="auto"/>
        </w:rPr>
      </w:pPr>
    </w:p>
    <w:p>
      <w:pPr>
        <w:ind w:left="20" w:right="520" w:hanging="2"/>
        <w:spacing w:after="0" w:line="230" w:lineRule="auto"/>
        <w:tabs>
          <w:tab w:leader="none" w:pos="197"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lease restructuring costs of $24.0 million and severance and other compensation related costs of $2.4 million for the three months ended September 30, 2020 and $1.4 million for the three months ended September 30, 2019.</w:t>
      </w:r>
    </w:p>
    <w:p>
      <w:pPr>
        <w:spacing w:after="0" w:line="19" w:lineRule="exact"/>
        <w:rPr>
          <w:rFonts w:ascii="Arial" w:cs="Arial" w:eastAsia="Arial" w:hAnsi="Arial"/>
          <w:sz w:val="13"/>
          <w:szCs w:val="13"/>
          <w:color w:val="auto"/>
        </w:rPr>
      </w:pPr>
    </w:p>
    <w:p>
      <w:pPr>
        <w:ind w:left="20" w:right="600" w:hanging="2"/>
        <w:spacing w:after="0" w:line="230" w:lineRule="auto"/>
        <w:tabs>
          <w:tab w:leader="none" w:pos="197"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litigation costs of $1.3 million and consulting costs of $0.3 million for the three months ended September 30, 2020, and litigation costs of $1.1 million and consulting costs of $0.7 million for the three months ended September 30, 2019.</w:t>
      </w:r>
    </w:p>
    <w:p>
      <w:pPr>
        <w:spacing w:after="0" w:line="19" w:lineRule="exact"/>
        <w:rPr>
          <w:rFonts w:ascii="Arial" w:cs="Arial" w:eastAsia="Arial" w:hAnsi="Arial"/>
          <w:sz w:val="13"/>
          <w:szCs w:val="13"/>
          <w:color w:val="auto"/>
        </w:rPr>
      </w:pPr>
    </w:p>
    <w:p>
      <w:pPr>
        <w:ind w:left="20" w:right="600" w:hanging="2"/>
        <w:spacing w:after="0" w:line="230" w:lineRule="auto"/>
        <w:tabs>
          <w:tab w:leader="none" w:pos="197"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lease restructuring costs of $24.0 million and severance and other compensation related costs of $5.6 million for the nine months ended September 30, 2020 and $1.9 million for the nine months ended September 30, 2019.</w:t>
      </w:r>
    </w:p>
    <w:p>
      <w:pPr>
        <w:spacing w:after="0" w:line="19" w:lineRule="exact"/>
        <w:rPr>
          <w:rFonts w:ascii="Arial" w:cs="Arial" w:eastAsia="Arial" w:hAnsi="Arial"/>
          <w:sz w:val="13"/>
          <w:szCs w:val="13"/>
          <w:color w:val="auto"/>
        </w:rPr>
      </w:pPr>
    </w:p>
    <w:p>
      <w:pPr>
        <w:ind w:left="20" w:right="540" w:hanging="2"/>
        <w:spacing w:after="0" w:line="230" w:lineRule="auto"/>
        <w:tabs>
          <w:tab w:leader="none" w:pos="197"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litigation costs of $2.3 million, reserve for sales and use tax liability of $2.3 million, employee benefit cost of $0.8 million, and consulting costs of $2.2 million for the nine months ended September 30, 2020 and litigation costs of $3.9 million and consulting costs of $2.7 million for the nine months ended September 30, 2019.</w:t>
      </w:r>
    </w:p>
    <w:p>
      <w:pPr>
        <w:spacing w:after="0" w:line="19" w:lineRule="exact"/>
        <w:rPr>
          <w:rFonts w:ascii="Arial" w:cs="Arial" w:eastAsia="Arial" w:hAnsi="Arial"/>
          <w:sz w:val="13"/>
          <w:szCs w:val="13"/>
          <w:color w:val="auto"/>
        </w:rPr>
      </w:pPr>
    </w:p>
    <w:p>
      <w:pPr>
        <w:ind w:left="200" w:hanging="182"/>
        <w:spacing w:after="0"/>
        <w:tabs>
          <w:tab w:leader="none" w:pos="2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financial income (expense) which is attributable to currency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150100" cy="1943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100" cy="1943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wp:posOffset>
            </wp:positionV>
            <wp:extent cx="7150100" cy="11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100" cy="111760"/>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02" w:lineRule="exact"/>
        <w:rPr>
          <w:sz w:val="20"/>
          <w:szCs w:val="20"/>
          <w:color w:val="auto"/>
        </w:rPr>
      </w:pPr>
    </w:p>
    <w:p>
      <w:pPr>
        <w:jc w:val="both"/>
        <w:ind w:right="20" w:firstLine="564"/>
        <w:spacing w:after="0" w:line="322" w:lineRule="auto"/>
        <w:rPr>
          <w:sz w:val="20"/>
          <w:szCs w:val="20"/>
          <w:color w:val="auto"/>
        </w:rPr>
      </w:pPr>
      <w:r>
        <w:rPr>
          <w:rFonts w:ascii="Arial" w:cs="Arial" w:eastAsia="Arial" w:hAnsi="Arial"/>
          <w:sz w:val="13"/>
          <w:szCs w:val="13"/>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31"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98" w:lineRule="exact"/>
        <w:rPr>
          <w:sz w:val="20"/>
          <w:szCs w:val="20"/>
          <w:color w:val="auto"/>
        </w:rPr>
      </w:pPr>
    </w:p>
    <w:p>
      <w:pPr>
        <w:jc w:val="both"/>
        <w:ind w:right="20" w:firstLine="564"/>
        <w:spacing w:after="0" w:line="377" w:lineRule="auto"/>
        <w:rPr>
          <w:sz w:val="20"/>
          <w:szCs w:val="20"/>
          <w:color w:val="auto"/>
        </w:rPr>
      </w:pPr>
      <w:r>
        <w:rPr>
          <w:rFonts w:ascii="Arial" w:cs="Arial" w:eastAsia="Arial" w:hAnsi="Arial"/>
          <w:sz w:val="13"/>
          <w:szCs w:val="13"/>
          <w:color w:val="auto"/>
        </w:rPr>
        <w:t>The majority of our revenue is generated from monthly service revenues and related professional services from the sale of our services. Revenues are recognized when control of these services is transferred to our customers, in an amount that reflects the consideration we expect to be entitled to in exchange for those services.</w:t>
      </w:r>
    </w:p>
    <w:p>
      <w:pPr>
        <w:ind w:left="560"/>
        <w:spacing w:after="0"/>
        <w:rPr>
          <w:sz w:val="20"/>
          <w:szCs w:val="20"/>
          <w:color w:val="auto"/>
        </w:rPr>
      </w:pPr>
      <w:r>
        <w:rPr>
          <w:rFonts w:ascii="Arial" w:cs="Arial" w:eastAsia="Arial" w:hAnsi="Arial"/>
          <w:sz w:val="16"/>
          <w:szCs w:val="16"/>
          <w:color w:val="auto"/>
        </w:rPr>
        <w:t>We determine revenue recognition through the following steps:</w:t>
      </w:r>
    </w:p>
    <w:p>
      <w:pPr>
        <w:spacing w:after="0" w:line="98" w:lineRule="exact"/>
        <w:rPr>
          <w:sz w:val="20"/>
          <w:szCs w:val="20"/>
          <w:color w:val="auto"/>
        </w:rPr>
      </w:pPr>
    </w:p>
    <w:p>
      <w:pPr>
        <w:ind w:left="1160" w:hanging="167"/>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51" w:lineRule="exact"/>
        <w:rPr>
          <w:rFonts w:ascii="Arial" w:cs="Arial" w:eastAsia="Arial" w:hAnsi="Arial"/>
          <w:sz w:val="16"/>
          <w:szCs w:val="16"/>
          <w:color w:val="auto"/>
        </w:rPr>
      </w:pPr>
    </w:p>
    <w:p>
      <w:pPr>
        <w:ind w:left="1160" w:hanging="167"/>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1" w:lineRule="exact"/>
        <w:rPr>
          <w:rFonts w:ascii="Arial" w:cs="Arial" w:eastAsia="Arial" w:hAnsi="Arial"/>
          <w:sz w:val="16"/>
          <w:szCs w:val="16"/>
          <w:color w:val="auto"/>
        </w:rPr>
      </w:pPr>
    </w:p>
    <w:p>
      <w:pPr>
        <w:ind w:left="1160" w:hanging="167"/>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1" w:lineRule="exact"/>
        <w:rPr>
          <w:rFonts w:ascii="Arial" w:cs="Arial" w:eastAsia="Arial" w:hAnsi="Arial"/>
          <w:sz w:val="16"/>
          <w:szCs w:val="16"/>
          <w:color w:val="auto"/>
        </w:rPr>
      </w:pPr>
    </w:p>
    <w:p>
      <w:pPr>
        <w:ind w:left="1160" w:hanging="167"/>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1" w:lineRule="exact"/>
        <w:rPr>
          <w:rFonts w:ascii="Arial" w:cs="Arial" w:eastAsia="Arial" w:hAnsi="Arial"/>
          <w:sz w:val="16"/>
          <w:szCs w:val="16"/>
          <w:color w:val="auto"/>
        </w:rPr>
      </w:pPr>
    </w:p>
    <w:p>
      <w:pPr>
        <w:ind w:left="1160" w:hanging="167"/>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recognition of revenue when, or as, we satisfy a performance obligation.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60"/>
          </w:cols>
          <w:pgMar w:left="320" w:top="696" w:right="319" w:bottom="1440" w:gutter="0" w:footer="0" w:header="0"/>
        </w:sectPr>
      </w:pPr>
    </w:p>
    <w:bookmarkStart w:id="45" w:name="page46"/>
    <w:bookmarkEnd w:id="45"/>
    <w:p>
      <w:pPr>
        <w:jc w:val="both"/>
        <w:ind w:right="20" w:firstLine="564"/>
        <w:spacing w:after="0" w:line="265" w:lineRule="auto"/>
        <w:rPr>
          <w:sz w:val="20"/>
          <w:szCs w:val="20"/>
          <w:color w:val="auto"/>
        </w:rPr>
      </w:pPr>
      <w:r>
        <w:rPr>
          <w:rFonts w:ascii="Arial" w:cs="Arial" w:eastAsia="Arial" w:hAnsi="Arial"/>
          <w:sz w:val="16"/>
          <w:szCs w:val="16"/>
          <w:color w:val="auto"/>
        </w:rPr>
        <w:t>Total revenue of $94.8 million and $75.2 million was recognized for the three months ended September 30, 2020 and 2019, respectively, and $264.5 million and $212.5 million during the nine months ended September 30, 2020 and 2019, respectively.</w:t>
      </w:r>
    </w:p>
    <w:p>
      <w:pPr>
        <w:spacing w:after="0" w:line="252"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Under Topic 606, the Company defers all incremental commission costs (contract acquisition costs) to obtain the contract. The contract acquisition costs, which are comprised of prepaid sales commissions, have balances at September 30, 2020 and December 31, 2019 of $41.1 million and $32.0 million, respectively. The Company amortizes these costs over the related period of benefit using the customers expected life that the Company determines to be three to five years, which is consistent with the transfer to the customer of the services to which the asset relates. The Company classifies contract acquisition costs as long-term unless they have an original amortization period of one year or less.</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Hosted Services- Business Revenue</w:t>
      </w:r>
    </w:p>
    <w:p>
      <w:pPr>
        <w:spacing w:after="0" w:line="192" w:lineRule="exact"/>
        <w:rPr>
          <w:sz w:val="20"/>
          <w:szCs w:val="20"/>
          <w:color w:val="auto"/>
        </w:rPr>
      </w:pPr>
    </w:p>
    <w:p>
      <w:pPr>
        <w:jc w:val="both"/>
        <w:ind w:firstLine="564"/>
        <w:spacing w:after="0" w:line="311" w:lineRule="auto"/>
        <w:rPr>
          <w:sz w:val="20"/>
          <w:szCs w:val="20"/>
          <w:color w:val="auto"/>
        </w:rPr>
      </w:pPr>
      <w:r>
        <w:rPr>
          <w:rFonts w:ascii="Arial" w:cs="Arial" w:eastAsia="Arial" w:hAnsi="Arial"/>
          <w:sz w:val="13"/>
          <w:szCs w:val="13"/>
          <w:color w:val="auto"/>
        </w:rPr>
        <w:t>Hosted Services Business revenue is reported at the amount that reflects the ultimate consideration expected to be received and primarily consist of fees that provide customers access to Conversational Cloud, our enterprise-class, cloud-based platform.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There is no significant variable consideration related to these arrangements. Additionally, for certain of our larger customers, we may provide call center labor through an arrangement with one or more of several qualified vendors. For most of these customers, we pass the fee we incur with the labor provider and its fee for the hosted services through to our customers in the form of a fixed fee for each order placed via our online engagement solutions. For these Gainshare arrangements in accordance with ASC-606, ‘‘Principal Agent Considerations,’’ we act as a principal in a transaction if we control the specified goods or services before they are transferred to the customer.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Professional Services Revenues</w:t>
      </w:r>
    </w:p>
    <w:p>
      <w:pPr>
        <w:spacing w:after="0" w:line="192"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Multiple Performance Obligations</w:t>
      </w:r>
    </w:p>
    <w:p>
      <w:pPr>
        <w:spacing w:after="0" w:line="192"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Hosted Services- Consumer Revenue</w:t>
      </w:r>
    </w:p>
    <w:p>
      <w:pPr>
        <w:spacing w:after="0" w:line="19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For revenue from our Consumer segment generated from online transactions between Experts and Users, revenue is recognized at an amount net of Expert fees in accordance with ASC 606, “Principal Agent Considerations,” due primarily to the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60"/>
          </w:cols>
          <w:pgMar w:left="320" w:top="691" w:right="319" w:bottom="1440" w:gutter="0" w:footer="0" w:header="0"/>
        </w:sectPr>
      </w:pPr>
    </w:p>
    <w:bookmarkStart w:id="46" w:name="page47"/>
    <w:bookmarkEnd w:id="46"/>
    <w:p>
      <w:pPr>
        <w:jc w:val="both"/>
        <w:spacing w:after="0" w:line="252" w:lineRule="auto"/>
        <w:rPr>
          <w:sz w:val="20"/>
          <w:szCs w:val="20"/>
          <w:color w:val="auto"/>
        </w:rPr>
      </w:pPr>
      <w:r>
        <w:rPr>
          <w:rFonts w:ascii="Arial" w:cs="Arial" w:eastAsia="Arial" w:hAnsi="Arial"/>
          <w:sz w:val="16"/>
          <w:szCs w:val="16"/>
          <w:color w:val="auto"/>
        </w:rPr>
        <w:t>fact that we do not act as a principal in a transaction since we do not control the specified goods or services before they are transferred to the customer. Additionally, we perform as an agent without any risk of loss for collection, and we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w:t>
      </w:r>
    </w:p>
    <w:p>
      <w:pPr>
        <w:spacing w:after="0" w:line="122" w:lineRule="exact"/>
        <w:rPr>
          <w:sz w:val="20"/>
          <w:szCs w:val="20"/>
          <w:color w:val="auto"/>
        </w:rPr>
      </w:pPr>
    </w:p>
    <w:p>
      <w:pPr>
        <w:jc w:val="both"/>
        <w:ind w:right="20" w:firstLine="564"/>
        <w:spacing w:after="0" w:line="25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74"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Our forfeiture rate assumptions, which estimate the share-based awards that will ultimately vest, requires judgment, and to the extent actual results or updated estimates differ from our current estimates, such amounts will be recorded as a cumulative adjustment in the period of change and could be materially different from share-based compensation expense recorded in prior periods. Effective January 1, 2020, the Company changed its forfeiture rate estimate which resulted in an increase in stock compensation expense of $2.3 million as of September 30, 2020.</w:t>
      </w:r>
    </w:p>
    <w:p>
      <w:pPr>
        <w:spacing w:after="0" w:line="168"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For the three months ended September 30, 2020 and 2019, we accrued approximately $11.3 million and $2.6 million in cash awards respectively, and for the nine months ended September 30, 2020 and 2019, the Company accrued approximately $18.4 million and $7.4 million in cash awards, respectively, to be settled in shares of our stock and recorded a corresponding expense, which is included as a component of stock-based compensation expense in the accompanying condensed consolidated financial statements for the three and nine months ended September 30, 2020 and 2019, respectively.</w:t>
      </w:r>
    </w:p>
    <w:p>
      <w:pPr>
        <w:spacing w:after="0" w:line="74" w:lineRule="exact"/>
        <w:rPr>
          <w:sz w:val="20"/>
          <w:szCs w:val="20"/>
          <w:color w:val="auto"/>
        </w:rPr>
      </w:pPr>
    </w:p>
    <w:p>
      <w:pPr>
        <w:jc w:val="right"/>
        <w:spacing w:after="0" w:line="308" w:lineRule="auto"/>
        <w:rPr>
          <w:sz w:val="20"/>
          <w:szCs w:val="20"/>
          <w:color w:val="auto"/>
        </w:rPr>
      </w:pPr>
      <w:r>
        <w:rPr>
          <w:rFonts w:ascii="Arial" w:cs="Arial" w:eastAsia="Arial" w:hAnsi="Arial"/>
          <w:sz w:val="13"/>
          <w:szCs w:val="13"/>
          <w:color w:val="auto"/>
        </w:rPr>
        <w:t>As of September 30, 2020 there was approximately $18.8 million of total unrecognized compensation cost related to nonvested share-based compensation, stock options, arrangements. That cost is expected to be recognized over a weighted average period of approximately 2.6 years. As of September 30, 2020, there was approximately $72.2 million of total unrecognized compensation cost related to nonvested restricted stock units. That cost is expected to be recognized over the remaining weighted average period of</w:t>
      </w:r>
    </w:p>
    <w:p>
      <w:pPr>
        <w:spacing w:after="0"/>
        <w:rPr>
          <w:sz w:val="20"/>
          <w:szCs w:val="20"/>
          <w:color w:val="auto"/>
        </w:rPr>
      </w:pPr>
      <w:r>
        <w:rPr>
          <w:rFonts w:ascii="Arial" w:cs="Arial" w:eastAsia="Arial" w:hAnsi="Arial"/>
          <w:sz w:val="16"/>
          <w:szCs w:val="16"/>
          <w:color w:val="auto"/>
        </w:rPr>
        <w:t>approximately 2.9 years.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w:t>
      </w:r>
    </w:p>
    <w:p>
      <w:pPr>
        <w:spacing w:after="0" w:line="98" w:lineRule="exact"/>
        <w:rPr>
          <w:sz w:val="20"/>
          <w:szCs w:val="20"/>
          <w:color w:val="auto"/>
        </w:rPr>
      </w:pPr>
    </w:p>
    <w:p>
      <w:pPr>
        <w:jc w:val="both"/>
        <w:ind w:firstLine="564"/>
        <w:spacing w:after="0" w:line="311" w:lineRule="auto"/>
        <w:rPr>
          <w:sz w:val="20"/>
          <w:szCs w:val="20"/>
          <w:color w:val="auto"/>
        </w:rPr>
      </w:pPr>
      <w:r>
        <w:rPr>
          <w:rFonts w:ascii="Arial" w:cs="Arial" w:eastAsia="Arial" w:hAnsi="Arial"/>
          <w:sz w:val="13"/>
          <w:szCs w:val="13"/>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if we experience a significant write-off from one of our large customers, it could have a material adverse impact on our consolidated financial statements. No single customer accounted for or exceeded 10% of our total revenue in the three months ended September 30, 2020 and in the comparable period of 2019. No single customer accounted for or exceeded 10% of our total accounts receivable as of September 30, 2020. Two customers exceeded 10% of our total accounts receivable as of December 31, 2019. During the nine months ended September 30, 2020, we increased our allowance for doubtful accounts from $3.1 million as of December 31, 2019 to approximately $5.0 million. A large proportion of receivables are due from larger corporate customers that typically have longer payment cycles. Accounts receivable is presented net of an allowance for doubtful accounts and sales reserve of $5.0 million and $4.0 million at September 30, 2020, respectively, and $3.1 million and $1.1 million at December 31, 2019, respectively.</w:t>
      </w:r>
    </w:p>
    <w:p>
      <w:pPr>
        <w:spacing w:after="0" w:line="231" w:lineRule="exact"/>
        <w:rPr>
          <w:sz w:val="20"/>
          <w:szCs w:val="20"/>
          <w:color w:val="auto"/>
        </w:rPr>
      </w:pPr>
    </w:p>
    <w:p>
      <w:pPr>
        <w:jc w:val="both"/>
        <w:ind w:right="20" w:firstLine="564"/>
        <w:spacing w:after="0" w:line="269" w:lineRule="auto"/>
        <w:rPr>
          <w:sz w:val="20"/>
          <w:szCs w:val="20"/>
          <w:color w:val="auto"/>
        </w:rPr>
      </w:pPr>
      <w:r>
        <w:rPr>
          <w:rFonts w:ascii="Arial" w:cs="Arial" w:eastAsia="Arial" w:hAnsi="Arial"/>
          <w:sz w:val="15"/>
          <w:szCs w:val="15"/>
          <w:color w:val="auto"/>
        </w:rPr>
        <w:t>An allowance for doubtful accounts is established for losses expected to be incurred on accounts receivable balances. Judgment is required in the estimation of the allowance and we evaluate the collectability of our accounts receivable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customers or industry. Accounts receivable are written off against the allowance for uncollectible accounts when we determine amounts are no longer collectible.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60"/>
          </w:cols>
          <w:pgMar w:left="320" w:top="503" w:right="319" w:bottom="1440" w:gutter="0" w:footer="0" w:header="0"/>
        </w:sectPr>
      </w:pPr>
    </w:p>
    <w:bookmarkStart w:id="47" w:name="page48"/>
    <w:bookmarkEnd w:id="47"/>
    <w:p>
      <w:pPr>
        <w:spacing w:after="0"/>
        <w:rPr>
          <w:sz w:val="20"/>
          <w:szCs w:val="20"/>
          <w:color w:val="auto"/>
        </w:rPr>
      </w:pPr>
      <w:r>
        <w:rPr>
          <w:rFonts w:ascii="Arial" w:cs="Arial" w:eastAsia="Arial" w:hAnsi="Arial"/>
          <w:sz w:val="16"/>
          <w:szCs w:val="16"/>
          <w:i w:val="1"/>
          <w:iCs w:val="1"/>
          <w:color w:val="auto"/>
        </w:rPr>
        <w:t>Goodwill</w:t>
      </w:r>
    </w:p>
    <w:p>
      <w:pPr>
        <w:spacing w:after="0" w:line="98" w:lineRule="exact"/>
        <w:rPr>
          <w:sz w:val="20"/>
          <w:szCs w:val="20"/>
          <w:color w:val="auto"/>
        </w:rPr>
      </w:pPr>
    </w:p>
    <w:p>
      <w:pPr>
        <w:jc w:val="both"/>
        <w:ind w:firstLine="235"/>
        <w:spacing w:after="0" w:line="328" w:lineRule="auto"/>
        <w:rPr>
          <w:sz w:val="20"/>
          <w:szCs w:val="20"/>
          <w:color w:val="auto"/>
        </w:rPr>
      </w:pPr>
      <w:r>
        <w:rPr>
          <w:rFonts w:ascii="Arial" w:cs="Arial" w:eastAsia="Arial" w:hAnsi="Arial"/>
          <w:sz w:val="13"/>
          <w:szCs w:val="13"/>
          <w:color w:val="auto"/>
        </w:rPr>
        <w:t>We account for goodwill and intangible assets in accordance with ASC 350, “Intangibles - Goodwill and Other.” A purchase price paid that is in excess of net assets arising from a business combination is recorded as an asset (‘‘goodwill’’) and is not amortized. Intangible assets with an indefinite useful life are not amortized. Goodwill and intangible assets are tested for impairment on an annual basis or more frequently if changes in circumstances indicate that the carrying amount may not be recoverable. If the goodwill or intangible asset is impaired, it is written down to its realizable value with a corresponding expense reflected in the consolidated statements of income.</w:t>
      </w:r>
    </w:p>
    <w:p>
      <w:pPr>
        <w:spacing w:after="0" w:line="29" w:lineRule="exact"/>
        <w:rPr>
          <w:sz w:val="20"/>
          <w:szCs w:val="20"/>
          <w:color w:val="auto"/>
        </w:rPr>
      </w:pPr>
    </w:p>
    <w:p>
      <w:pPr>
        <w:jc w:val="both"/>
        <w:ind w:firstLine="235"/>
        <w:spacing w:after="0" w:line="271" w:lineRule="auto"/>
        <w:rPr>
          <w:sz w:val="20"/>
          <w:szCs w:val="20"/>
          <w:color w:val="auto"/>
        </w:rPr>
      </w:pPr>
      <w:r>
        <w:rPr>
          <w:rFonts w:ascii="Arial" w:cs="Arial" w:eastAsia="Arial" w:hAnsi="Arial"/>
          <w:sz w:val="15"/>
          <w:szCs w:val="15"/>
          <w:color w:val="auto"/>
        </w:rPr>
        <w:t>Intangible assets that have finite lives, including but not limited to, agent and customer relationships and trademarks, are amortized over the estimated useful life of the asset. For intangible assets with finite lives, impairment is recognized if the carrying amount is not recoverable and exceeds the fair value of the intangible asset. Generally intangible assets with finite lives are only tested for impairment if there are indicators of impairment (“triggers”) identified. Triggers include, but are not limited to, a significant adverse change in the extent, manner or length of time in which the intangible asset is being used or a significant adverse change in legal factors or in the business climate that could affect the value of the other intangible asset. As of September 30, 2020 there were no trigger events.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Long-Lived Assets</w:t>
      </w:r>
    </w:p>
    <w:p>
      <w:pPr>
        <w:spacing w:after="0" w:line="98" w:lineRule="exact"/>
        <w:rPr>
          <w:sz w:val="20"/>
          <w:szCs w:val="20"/>
          <w:color w:val="auto"/>
        </w:rPr>
      </w:pPr>
    </w:p>
    <w:p>
      <w:pPr>
        <w:jc w:val="both"/>
        <w:ind w:firstLine="235"/>
        <w:spacing w:after="0" w:line="249" w:lineRule="auto"/>
        <w:rPr>
          <w:sz w:val="20"/>
          <w:szCs w:val="20"/>
          <w:color w:val="auto"/>
        </w:rPr>
      </w:pPr>
      <w:r>
        <w:rPr>
          <w:rFonts w:ascii="Arial" w:cs="Arial" w:eastAsia="Arial" w:hAnsi="Arial"/>
          <w:sz w:val="16"/>
          <w:szCs w:val="16"/>
          <w:color w:val="auto"/>
        </w:rPr>
        <w:t>The carrying amounts of our long-lived assets, including property and equipment, lease right-of-use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33" w:lineRule="exact"/>
        <w:rPr>
          <w:sz w:val="20"/>
          <w:szCs w:val="20"/>
          <w:color w:val="auto"/>
        </w:rPr>
      </w:pPr>
    </w:p>
    <w:p>
      <w:pPr>
        <w:jc w:val="both"/>
        <w:ind w:firstLine="564"/>
        <w:spacing w:after="0" w:line="311" w:lineRule="auto"/>
        <w:rPr>
          <w:sz w:val="20"/>
          <w:szCs w:val="20"/>
          <w:color w:val="auto"/>
        </w:rPr>
      </w:pPr>
      <w:r>
        <w:rPr>
          <w:rFonts w:ascii="Arial" w:cs="Arial" w:eastAsia="Arial" w:hAnsi="Arial"/>
          <w:sz w:val="13"/>
          <w:szCs w:val="13"/>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We include interest accrued on the underpayment of income taxes in interest expense and penalties, if any, related to unrecognized tax benefits in general and administrative expenses. We recorded a valuation allowance as we considered our cumulative loss in recent years as a significant piece of negative evidence. Valuation allowances are established, when necessary, to reduce deferred tax assets to the amount expected to be realized.</w:t>
      </w:r>
    </w:p>
    <w:p>
      <w:pPr>
        <w:spacing w:after="0" w:line="231" w:lineRule="exact"/>
        <w:rPr>
          <w:sz w:val="20"/>
          <w:szCs w:val="20"/>
          <w:color w:val="auto"/>
        </w:rPr>
      </w:pPr>
    </w:p>
    <w:p>
      <w:pPr>
        <w:jc w:val="both"/>
        <w:ind w:firstLine="564"/>
        <w:spacing w:after="0" w:line="271" w:lineRule="auto"/>
        <w:rPr>
          <w:sz w:val="20"/>
          <w:szCs w:val="20"/>
          <w:color w:val="auto"/>
        </w:rPr>
      </w:pPr>
      <w:r>
        <w:rPr>
          <w:rFonts w:ascii="Arial" w:cs="Arial" w:eastAsia="Arial" w:hAnsi="Arial"/>
          <w:sz w:val="15"/>
          <w:szCs w:val="15"/>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Under the CARES Act, the Company is able to recognize the benefit of the tax year 2018 loss by carrying back the loss to prior periods. There was no tax benefit recognized for the three months ended September 30, 2020. The total tax benefit recognized as a result of the CARES Act for the nine months ended September 30, 2020 is approximately $0.6 million.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60"/>
          </w:cols>
          <w:pgMar w:left="320" w:top="503" w:right="319" w:bottom="1440" w:gutter="0" w:footer="0" w:header="0"/>
        </w:sectPr>
      </w:pPr>
    </w:p>
    <w:bookmarkStart w:id="48" w:name="page49"/>
    <w:bookmarkEnd w:id="48"/>
    <w:p>
      <w:pPr>
        <w:spacing w:after="0"/>
        <w:rPr>
          <w:sz w:val="20"/>
          <w:szCs w:val="20"/>
          <w:color w:val="auto"/>
        </w:rPr>
      </w:pPr>
      <w:r>
        <w:rPr>
          <w:rFonts w:ascii="Arial" w:cs="Arial" w:eastAsia="Arial" w:hAnsi="Arial"/>
          <w:sz w:val="16"/>
          <w:szCs w:val="16"/>
          <w:i w:val="1"/>
          <w:iCs w:val="1"/>
          <w:color w:val="auto"/>
        </w:rPr>
        <w:t>Legal Contingencies</w:t>
      </w:r>
    </w:p>
    <w:p>
      <w:pPr>
        <w:spacing w:after="0" w:line="133"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14, Legal Matters, of the Notes to the Condensed Consolidated Financial Statements under Item 8 of this Quarterly Report on Form 10-Q for additional information on our legal proceedings and litigation.</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Issued Accounting Standards</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See Note 1 to Condensed Consolidated Financial Statements for a full description of recently issued accounting standards.</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See Note 1 to Condensed Consolidated Financial Statements for a full description of recently adopted accounting pronouncements.</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w:t>
      </w:r>
    </w:p>
    <w:p>
      <w:pPr>
        <w:spacing w:after="0" w:line="98" w:lineRule="exact"/>
        <w:rPr>
          <w:sz w:val="20"/>
          <w:szCs w:val="20"/>
          <w:color w:val="auto"/>
        </w:rPr>
      </w:pPr>
    </w:p>
    <w:p>
      <w:pPr>
        <w:jc w:val="both"/>
        <w:ind w:right="20" w:firstLine="564"/>
        <w:spacing w:after="0" w:line="271" w:lineRule="auto"/>
        <w:rPr>
          <w:sz w:val="20"/>
          <w:szCs w:val="20"/>
          <w:color w:val="auto"/>
        </w:rPr>
      </w:pPr>
      <w:r>
        <w:rPr>
          <w:rFonts w:ascii="Arial" w:cs="Arial" w:eastAsia="Arial" w:hAnsi="Arial"/>
          <w:sz w:val="15"/>
          <w:szCs w:val="15"/>
          <w:color w:val="auto"/>
        </w:rPr>
        <w:t>The majority of our revenue is generated from monthly service revenues and related professional services from the sale of the LivePerson services. We charge a monthly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determine revenue recognition through the following steps:</w:t>
      </w:r>
    </w:p>
    <w:p>
      <w:pPr>
        <w:spacing w:after="0" w:line="98" w:lineRule="exact"/>
        <w:rPr>
          <w:sz w:val="20"/>
          <w:szCs w:val="20"/>
          <w:color w:val="auto"/>
        </w:rPr>
      </w:pPr>
    </w:p>
    <w:p>
      <w:pPr>
        <w:ind w:left="1160" w:hanging="167"/>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51" w:lineRule="exact"/>
        <w:rPr>
          <w:rFonts w:ascii="Arial" w:cs="Arial" w:eastAsia="Arial" w:hAnsi="Arial"/>
          <w:sz w:val="16"/>
          <w:szCs w:val="16"/>
          <w:color w:val="auto"/>
        </w:rPr>
      </w:pPr>
    </w:p>
    <w:p>
      <w:pPr>
        <w:ind w:left="1160" w:hanging="167"/>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1" w:lineRule="exact"/>
        <w:rPr>
          <w:rFonts w:ascii="Arial" w:cs="Arial" w:eastAsia="Arial" w:hAnsi="Arial"/>
          <w:sz w:val="16"/>
          <w:szCs w:val="16"/>
          <w:color w:val="auto"/>
        </w:rPr>
      </w:pPr>
    </w:p>
    <w:p>
      <w:pPr>
        <w:ind w:left="1160" w:hanging="167"/>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1" w:lineRule="exact"/>
        <w:rPr>
          <w:rFonts w:ascii="Arial" w:cs="Arial" w:eastAsia="Arial" w:hAnsi="Arial"/>
          <w:sz w:val="16"/>
          <w:szCs w:val="16"/>
          <w:color w:val="auto"/>
        </w:rPr>
      </w:pPr>
    </w:p>
    <w:p>
      <w:pPr>
        <w:ind w:left="1160" w:hanging="167"/>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1" w:lineRule="exact"/>
        <w:rPr>
          <w:rFonts w:ascii="Arial" w:cs="Arial" w:eastAsia="Arial" w:hAnsi="Arial"/>
          <w:sz w:val="16"/>
          <w:szCs w:val="16"/>
          <w:color w:val="auto"/>
        </w:rPr>
      </w:pPr>
    </w:p>
    <w:p>
      <w:pPr>
        <w:ind w:left="1160" w:hanging="167"/>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Hosted Services- Business Revenue</w:t>
      </w:r>
    </w:p>
    <w:p>
      <w:pPr>
        <w:spacing w:after="0" w:line="192"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Revenue attributable to our monthly hosted Business services accounted for 78% and 77% of total revenue for the three months ended September 30, 2020 and 2019, respectively, and 79% and 77% of total revenue for the nine months ended September 30, 2020 and 2019,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Professional Services Revenue</w:t>
      </w:r>
    </w:p>
    <w:p>
      <w:pPr>
        <w:spacing w:after="0" w:line="192" w:lineRule="exact"/>
        <w:rPr>
          <w:sz w:val="20"/>
          <w:szCs w:val="20"/>
          <w:color w:val="auto"/>
        </w:rPr>
      </w:pPr>
    </w:p>
    <w:p>
      <w:pPr>
        <w:ind w:right="20" w:firstLine="564"/>
        <w:spacing w:after="0" w:line="265" w:lineRule="auto"/>
        <w:rPr>
          <w:sz w:val="20"/>
          <w:szCs w:val="20"/>
          <w:color w:val="auto"/>
        </w:rPr>
      </w:pPr>
      <w:r>
        <w:rPr>
          <w:rFonts w:ascii="Arial" w:cs="Arial" w:eastAsia="Arial" w:hAnsi="Arial"/>
          <w:sz w:val="16"/>
          <w:szCs w:val="16"/>
          <w:color w:val="auto"/>
        </w:rPr>
        <w:t>Revenue attributable to professional services accounted for 13% and 14% of total revenue for the three months ended September 30, 2020 and 2019, respectively, and 13% and 15% of total revenue for the nine months ended September 30, 2020 and 2019,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60"/>
          </w:cols>
          <w:pgMar w:left="320" w:top="550" w:right="319" w:bottom="1440" w:gutter="0" w:footer="0" w:header="0"/>
        </w:sectPr>
      </w:pPr>
    </w:p>
    <w:bookmarkStart w:id="49" w:name="page50"/>
    <w:bookmarkEnd w:id="49"/>
    <w:p>
      <w:pPr>
        <w:spacing w:after="0"/>
        <w:rPr>
          <w:sz w:val="20"/>
          <w:szCs w:val="20"/>
          <w:color w:val="auto"/>
        </w:rPr>
      </w:pPr>
      <w:r>
        <w:rPr>
          <w:rFonts w:ascii="Arial" w:cs="Arial" w:eastAsia="Arial" w:hAnsi="Arial"/>
          <w:sz w:val="16"/>
          <w:szCs w:val="16"/>
          <w:i w:val="1"/>
          <w:iCs w:val="1"/>
          <w:color w:val="auto"/>
        </w:rPr>
        <w:t>Contracts with Multiple Performance Obligations</w:t>
      </w:r>
    </w:p>
    <w:p>
      <w:pPr>
        <w:spacing w:after="0" w:line="192"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Hosted Services- Consumer Revenue</w:t>
      </w:r>
    </w:p>
    <w:p>
      <w:pPr>
        <w:spacing w:after="0" w:line="19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Revenue from our Consumer segment accounted for approximately 8% and 9% of total revenue for the three months ended September 30, 2020 and September 30, 2019, respectively, and 8% of total revenue for each of the nine months ended September 30, 2020 and 2019.</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Revenues</w:t>
      </w:r>
    </w:p>
    <w:p>
      <w:pPr>
        <w:spacing w:after="0" w:line="192"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We record deferred revenues when cash payments are received or due in advance of our performance. The increase of $1.4 million in deferred revenue balance for the quarter ended September 30, 2020 from the deferred revenue balance of $89.2 million for the year ended December 31, 2019 is primarily driven by cash payments received or due in advance of satisfying our performance obligations, partially offset by $84.9 million revenues recognized that were included in the deferred revenue balance as of December 31, 2019.</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Costs and Expenses</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cost of revenue consists of:</w:t>
      </w:r>
    </w:p>
    <w:p>
      <w:pPr>
        <w:spacing w:after="0" w:line="98" w:lineRule="exact"/>
        <w:rPr>
          <w:sz w:val="20"/>
          <w:szCs w:val="20"/>
          <w:color w:val="auto"/>
        </w:rPr>
      </w:pPr>
    </w:p>
    <w:p>
      <w:pPr>
        <w:ind w:left="1060" w:hanging="290"/>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compensation costs relating to employees who provide customer support and implementation services to our customers;</w:t>
      </w:r>
    </w:p>
    <w:p>
      <w:pPr>
        <w:spacing w:after="0" w:line="98" w:lineRule="exact"/>
        <w:rPr>
          <w:rFonts w:ascii="Arial" w:cs="Arial" w:eastAsia="Arial" w:hAnsi="Arial"/>
          <w:sz w:val="16"/>
          <w:szCs w:val="16"/>
          <w:color w:val="auto"/>
        </w:rPr>
      </w:pPr>
    </w:p>
    <w:p>
      <w:pPr>
        <w:ind w:left="1060" w:hanging="290"/>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outside labor provider costs;</w:t>
      </w:r>
    </w:p>
    <w:p>
      <w:pPr>
        <w:spacing w:after="0" w:line="98" w:lineRule="exact"/>
        <w:rPr>
          <w:rFonts w:ascii="Arial" w:cs="Arial" w:eastAsia="Arial" w:hAnsi="Arial"/>
          <w:sz w:val="16"/>
          <w:szCs w:val="16"/>
          <w:color w:val="auto"/>
        </w:rPr>
      </w:pPr>
    </w:p>
    <w:p>
      <w:pPr>
        <w:ind w:left="1060" w:hanging="290"/>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compensation costs relating to our network support staff;</w:t>
      </w:r>
    </w:p>
    <w:p>
      <w:pPr>
        <w:spacing w:after="0" w:line="98" w:lineRule="exact"/>
        <w:rPr>
          <w:rFonts w:ascii="Arial" w:cs="Arial" w:eastAsia="Arial" w:hAnsi="Arial"/>
          <w:sz w:val="16"/>
          <w:szCs w:val="16"/>
          <w:color w:val="auto"/>
        </w:rPr>
      </w:pPr>
    </w:p>
    <w:p>
      <w:pPr>
        <w:ind w:left="1060" w:hanging="290"/>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depreciation of certain hardware and software;</w:t>
      </w:r>
    </w:p>
    <w:p>
      <w:pPr>
        <w:spacing w:after="0" w:line="98" w:lineRule="exact"/>
        <w:rPr>
          <w:rFonts w:ascii="Arial" w:cs="Arial" w:eastAsia="Arial" w:hAnsi="Arial"/>
          <w:sz w:val="16"/>
          <w:szCs w:val="16"/>
          <w:color w:val="auto"/>
        </w:rPr>
      </w:pPr>
    </w:p>
    <w:p>
      <w:pPr>
        <w:ind w:left="1060" w:hanging="290"/>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allocated occupancy costs and related overhead;</w:t>
      </w:r>
    </w:p>
    <w:p>
      <w:pPr>
        <w:spacing w:after="0" w:line="98" w:lineRule="exact"/>
        <w:rPr>
          <w:rFonts w:ascii="Arial" w:cs="Arial" w:eastAsia="Arial" w:hAnsi="Arial"/>
          <w:sz w:val="16"/>
          <w:szCs w:val="16"/>
          <w:color w:val="auto"/>
        </w:rPr>
      </w:pPr>
    </w:p>
    <w:p>
      <w:pPr>
        <w:ind w:left="1060" w:hanging="290"/>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98" w:lineRule="exact"/>
        <w:rPr>
          <w:rFonts w:ascii="Arial" w:cs="Arial" w:eastAsia="Arial" w:hAnsi="Arial"/>
          <w:sz w:val="16"/>
          <w:szCs w:val="16"/>
          <w:color w:val="auto"/>
        </w:rPr>
      </w:pPr>
    </w:p>
    <w:p>
      <w:pPr>
        <w:ind w:left="1060" w:hanging="290"/>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credit card fees and related payment processing costs associated with consumer and self-service customers; and</w:t>
      </w:r>
    </w:p>
    <w:p>
      <w:pPr>
        <w:spacing w:after="0" w:line="98" w:lineRule="exact"/>
        <w:rPr>
          <w:rFonts w:ascii="Arial" w:cs="Arial" w:eastAsia="Arial" w:hAnsi="Arial"/>
          <w:sz w:val="16"/>
          <w:szCs w:val="16"/>
          <w:color w:val="auto"/>
        </w:rPr>
      </w:pPr>
    </w:p>
    <w:p>
      <w:pPr>
        <w:ind w:left="1060" w:hanging="290"/>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amortization of certain intangibles.</w:t>
      </w:r>
    </w:p>
    <w:p>
      <w:pPr>
        <w:spacing w:after="0" w:line="98" w:lineRule="exact"/>
        <w:rPr>
          <w:sz w:val="20"/>
          <w:szCs w:val="20"/>
          <w:color w:val="auto"/>
        </w:rPr>
      </w:pPr>
    </w:p>
    <w:p>
      <w:pPr>
        <w:ind w:left="40" w:firstLine="564"/>
        <w:spacing w:after="0" w:line="377" w:lineRule="auto"/>
        <w:rPr>
          <w:sz w:val="20"/>
          <w:szCs w:val="20"/>
          <w:color w:val="auto"/>
        </w:rPr>
      </w:pPr>
      <w:r>
        <w:rPr>
          <w:rFonts w:ascii="Arial" w:cs="Arial" w:eastAsia="Arial" w:hAnsi="Arial"/>
          <w:sz w:val="13"/>
          <w:szCs w:val="13"/>
          <w:color w:val="auto"/>
        </w:rPr>
        <w:t>Our sales and marketing expenses consist of compensation and related expenses for sales personnel and marketing personnel, online marketing, allocated occupancy costs and related overhead, advertising, marketing events, sales commissions, public relations, promotional materials, travel expenses and trade show exhibit expenses.</w:t>
      </w:r>
    </w:p>
    <w:p>
      <w:pPr>
        <w:ind w:firstLine="564"/>
        <w:spacing w:after="0" w:line="299" w:lineRule="auto"/>
        <w:rPr>
          <w:sz w:val="20"/>
          <w:szCs w:val="20"/>
          <w:color w:val="auto"/>
        </w:rPr>
      </w:pPr>
      <w:r>
        <w:rPr>
          <w:rFonts w:ascii="Arial" w:cs="Arial" w:eastAsia="Arial" w:hAnsi="Arial"/>
          <w:sz w:val="15"/>
          <w:szCs w:val="15"/>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40" w:lineRule="exact"/>
        <w:rPr>
          <w:sz w:val="20"/>
          <w:szCs w:val="20"/>
          <w:color w:val="auto"/>
        </w:rPr>
      </w:pPr>
    </w:p>
    <w:p>
      <w:pPr>
        <w:ind w:right="20" w:firstLine="564"/>
        <w:spacing w:after="0" w:line="299" w:lineRule="auto"/>
        <w:rPr>
          <w:sz w:val="20"/>
          <w:szCs w:val="20"/>
          <w:color w:val="auto"/>
        </w:rPr>
      </w:pPr>
      <w:r>
        <w:rPr>
          <w:rFonts w:ascii="Arial" w:cs="Arial" w:eastAsia="Arial" w:hAnsi="Arial"/>
          <w:sz w:val="15"/>
          <w:szCs w:val="15"/>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60"/>
          </w:cols>
          <w:pgMar w:left="320" w:top="503" w:right="319" w:bottom="1440" w:gutter="0" w:footer="0" w:header="0"/>
        </w:sectPr>
      </w:pPr>
    </w:p>
    <w:bookmarkStart w:id="50" w:name="page51"/>
    <w:bookmarkEnd w:id="50"/>
    <w:p>
      <w:pPr>
        <w:spacing w:after="0"/>
        <w:rPr>
          <w:sz w:val="20"/>
          <w:szCs w:val="20"/>
          <w:color w:val="auto"/>
        </w:rPr>
      </w:pPr>
      <w:r>
        <w:rPr>
          <w:rFonts w:ascii="Arial" w:cs="Arial" w:eastAsia="Arial" w:hAnsi="Arial"/>
          <w:sz w:val="16"/>
          <w:szCs w:val="16"/>
          <w:i w:val="1"/>
          <w:iCs w:val="1"/>
          <w:color w:val="auto"/>
        </w:rPr>
        <w:t>Non-Cash Compensation Expense</w:t>
      </w:r>
    </w:p>
    <w:p>
      <w:pPr>
        <w:spacing w:after="0" w:line="98" w:lineRule="exact"/>
        <w:rPr>
          <w:sz w:val="20"/>
          <w:szCs w:val="20"/>
          <w:color w:val="auto"/>
        </w:rPr>
      </w:pPr>
    </w:p>
    <w:p>
      <w:pPr>
        <w:jc w:val="right"/>
        <w:ind w:right="7080"/>
        <w:spacing w:after="0"/>
        <w:rPr>
          <w:sz w:val="20"/>
          <w:szCs w:val="20"/>
          <w:color w:val="auto"/>
        </w:rPr>
      </w:pPr>
      <w:r>
        <w:rPr>
          <w:rFonts w:ascii="Arial" w:cs="Arial" w:eastAsia="Arial" w:hAnsi="Arial"/>
          <w:sz w:val="16"/>
          <w:szCs w:val="16"/>
          <w:color w:val="auto"/>
        </w:rPr>
        <w:t>The net non-cash compensation amounts are as follows:</w:t>
      </w:r>
    </w:p>
    <w:p>
      <w:pPr>
        <w:sectPr>
          <w:pgSz w:w="11900" w:h="16838" w:orient="portrait"/>
          <w:cols w:equalWidth="0" w:num="1">
            <w:col w:w="11140"/>
          </w:cols>
          <w:pgMar w:left="320" w:top="503" w:right="439" w:bottom="1440" w:gutter="0" w:footer="0" w:header="0"/>
        </w:sectPr>
      </w:pPr>
    </w:p>
    <w:p>
      <w:pPr>
        <w:spacing w:after="0" w:line="291" w:lineRule="exact"/>
        <w:rPr>
          <w:sz w:val="20"/>
          <w:szCs w:val="20"/>
          <w:color w:val="auto"/>
        </w:rPr>
      </w:pPr>
    </w:p>
    <w:p>
      <w:pPr>
        <w:ind w:left="6220"/>
        <w:spacing w:after="0"/>
        <w:rPr>
          <w:sz w:val="20"/>
          <w:szCs w:val="20"/>
          <w:color w:val="auto"/>
        </w:rPr>
      </w:pPr>
      <w:r>
        <w:rPr>
          <w:rFonts w:ascii="Arial" w:cs="Arial" w:eastAsia="Arial" w:hAnsi="Arial"/>
          <w:sz w:val="11"/>
          <w:szCs w:val="11"/>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3720465</wp:posOffset>
            </wp:positionH>
            <wp:positionV relativeFrom="paragraph">
              <wp:posOffset>29210</wp:posOffset>
            </wp:positionV>
            <wp:extent cx="166433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4335" cy="7620"/>
                    </a:xfrm>
                    <a:prstGeom prst="rect">
                      <a:avLst/>
                    </a:prstGeom>
                    <a:noFill/>
                  </pic:spPr>
                </pic:pic>
              </a:graphicData>
            </a:graphic>
          </wp:anchor>
        </w:drawing>
      </w:r>
    </w:p>
    <w:p>
      <w:pPr>
        <w:spacing w:after="0" w:line="100" w:lineRule="exact"/>
        <w:rPr>
          <w:sz w:val="20"/>
          <w:szCs w:val="20"/>
          <w:color w:val="auto"/>
        </w:rPr>
      </w:pPr>
    </w:p>
    <w:p>
      <w:pPr>
        <w:ind w:left="6360"/>
        <w:spacing w:after="0"/>
        <w:tabs>
          <w:tab w:leader="none" w:pos="772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3720465</wp:posOffset>
            </wp:positionH>
            <wp:positionV relativeFrom="paragraph">
              <wp:posOffset>14605</wp:posOffset>
            </wp:positionV>
            <wp:extent cx="166433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64335" cy="7620"/>
                    </a:xfrm>
                    <a:prstGeom prst="rect">
                      <a:avLst/>
                    </a:prstGeom>
                    <a:noFill/>
                  </pic:spPr>
                </pic:pic>
              </a:graphicData>
            </a:graphic>
          </wp:anchor>
        </w:drawing>
      </w:r>
    </w:p>
    <w:p>
      <w:pPr>
        <w:spacing w:after="0" w:line="66"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50100" cy="156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100" cy="156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29210</wp:posOffset>
            </wp:positionV>
            <wp:extent cx="161988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19885" cy="7620"/>
                    </a:xfrm>
                    <a:prstGeom prst="rect">
                      <a:avLst/>
                    </a:prstGeom>
                    <a:noFill/>
                  </pic:spPr>
                </pic:pic>
              </a:graphicData>
            </a:graphic>
          </wp:anchor>
        </w:drawing>
      </w:r>
    </w:p>
    <w:p>
      <w:pPr>
        <w:spacing w:after="0" w:line="100" w:lineRule="exact"/>
        <w:rPr>
          <w:sz w:val="20"/>
          <w:szCs w:val="20"/>
          <w:color w:val="auto"/>
        </w:rPr>
      </w:pPr>
    </w:p>
    <w:p>
      <w:pPr>
        <w:ind w:left="120"/>
        <w:spacing w:after="0"/>
        <w:tabs>
          <w:tab w:leader="none" w:pos="144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14605</wp:posOffset>
            </wp:positionV>
            <wp:extent cx="16198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19885" cy="7620"/>
                    </a:xfrm>
                    <a:prstGeom prst="rect">
                      <a:avLst/>
                    </a:prstGeom>
                    <a:noFill/>
                  </pic:spPr>
                </pic:pic>
              </a:graphicData>
            </a:graphic>
          </wp:anchor>
        </w:drawing>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(in thousands)</w:t>
      </w:r>
    </w:p>
    <w:p>
      <w:pPr>
        <w:spacing w:after="0" w:line="62" w:lineRule="exact"/>
        <w:rPr>
          <w:sz w:val="20"/>
          <w:szCs w:val="20"/>
          <w:color w:val="auto"/>
        </w:rPr>
      </w:pPr>
    </w:p>
    <w:p>
      <w:pPr>
        <w:sectPr>
          <w:pgSz w:w="11900" w:h="16838" w:orient="portrait"/>
          <w:cols w:equalWidth="0" w:num="2">
            <w:col w:w="8340" w:space="720"/>
            <w:col w:w="2080"/>
          </w:cols>
          <w:pgMar w:left="320" w:top="503" w:right="439" w:bottom="1440" w:gutter="0" w:footer="0" w:header="0"/>
          <w:type w:val="continuous"/>
        </w:sectPr>
      </w:pPr>
    </w:p>
    <w:p>
      <w:pPr>
        <w:ind w:left="20"/>
        <w:spacing w:after="0"/>
        <w:tabs>
          <w:tab w:leader="none" w:pos="5860" w:val="left"/>
          <w:tab w:leader="none" w:pos="6600" w:val="left"/>
          <w:tab w:leader="none" w:pos="7240" w:val="left"/>
          <w:tab w:leader="none" w:pos="8040" w:val="left"/>
          <w:tab w:leader="none" w:pos="8700" w:val="left"/>
          <w:tab w:leader="none" w:pos="9420" w:val="left"/>
          <w:tab w:leader="none" w:pos="10040" w:val="left"/>
          <w:tab w:leader="none" w:pos="10740" w:val="left"/>
        </w:tabs>
        <w:rPr>
          <w:sz w:val="20"/>
          <w:szCs w:val="20"/>
          <w:color w:val="auto"/>
        </w:rPr>
      </w:pPr>
      <w:r>
        <w:rPr>
          <w:rFonts w:ascii="Arial" w:cs="Arial" w:eastAsia="Arial" w:hAnsi="Arial"/>
          <w:sz w:val="14"/>
          <w:szCs w:val="14"/>
          <w:color w:val="auto"/>
        </w:rPr>
        <w:t>Stock-based compensation expense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15,532</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9,068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46,171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25,539</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40"/>
          </w:cols>
          <w:pgMar w:left="320" w:top="503" w:right="4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102" w:lineRule="exact"/>
        <w:rPr>
          <w:sz w:val="20"/>
          <w:szCs w:val="20"/>
          <w:color w:val="auto"/>
        </w:rPr>
      </w:pPr>
    </w:p>
    <w:p>
      <w:pPr>
        <w:jc w:val="both"/>
        <w:ind w:firstLine="564"/>
        <w:spacing w:after="0" w:line="342" w:lineRule="auto"/>
        <w:rPr>
          <w:sz w:val="20"/>
          <w:szCs w:val="20"/>
          <w:color w:val="auto"/>
        </w:rPr>
      </w:pPr>
      <w:r>
        <w:rPr>
          <w:rFonts w:ascii="Arial" w:cs="Arial" w:eastAsia="Arial" w:hAnsi="Arial"/>
          <w:sz w:val="13"/>
          <w:szCs w:val="13"/>
          <w:color w:val="auto"/>
        </w:rPr>
        <w:t>We are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w:t>
      </w:r>
    </w:p>
    <w:p>
      <w:pPr>
        <w:spacing w:after="0" w:line="113"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Comparison of the Three and Nine Months Ended September 30, 2020 and 2019</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Revenue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ind w:right="492"/>
              <w:spacing w:after="0"/>
              <w:rPr>
                <w:sz w:val="20"/>
                <w:szCs w:val="20"/>
                <w:color w:val="auto"/>
              </w:rPr>
            </w:pPr>
            <w:r>
              <w:rPr>
                <w:rFonts w:ascii="Arial" w:cs="Arial" w:eastAsia="Arial" w:hAnsi="Arial"/>
                <w:sz w:val="13"/>
                <w:szCs w:val="13"/>
                <w:b w:val="1"/>
                <w:bCs w:val="1"/>
                <w:color w:val="auto"/>
              </w:rPr>
              <w:t>Three Months Ended September 30,</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right"/>
              <w:ind w:right="492"/>
              <w:spacing w:after="0"/>
              <w:rPr>
                <w:sz w:val="20"/>
                <w:szCs w:val="20"/>
                <w:color w:val="auto"/>
              </w:rPr>
            </w:pPr>
            <w:r>
              <w:rPr>
                <w:rFonts w:ascii="Arial" w:cs="Arial" w:eastAsia="Arial" w:hAnsi="Arial"/>
                <w:sz w:val="13"/>
                <w:szCs w:val="13"/>
                <w:b w:val="1"/>
                <w:bCs w:val="1"/>
                <w:color w:val="auto"/>
              </w:rPr>
              <w:t>Nine Months Ended September 30,</w:t>
            </w:r>
          </w:p>
        </w:tc>
      </w:tr>
      <w:tr>
        <w:trPr>
          <w:trHeight w:val="227"/>
        </w:trPr>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53"/>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ind w:right="251"/>
              <w:spacing w:after="0"/>
              <w:rPr>
                <w:sz w:val="20"/>
                <w:szCs w:val="20"/>
                <w:color w:val="auto"/>
              </w:rPr>
            </w:pPr>
            <w:r>
              <w:rPr>
                <w:rFonts w:ascii="Arial" w:cs="Arial" w:eastAsia="Arial" w:hAnsi="Arial"/>
                <w:sz w:val="13"/>
                <w:szCs w:val="13"/>
                <w:b w:val="1"/>
                <w:bCs w:val="1"/>
                <w:color w:val="auto"/>
                <w:w w:val="82"/>
              </w:rPr>
              <w:t>2019</w:t>
            </w:r>
          </w:p>
        </w:tc>
        <w:tc>
          <w:tcPr>
            <w:tcW w:w="100" w:type="dxa"/>
            <w:vAlign w:val="bottom"/>
          </w:tcPr>
          <w:p>
            <w:pPr>
              <w:spacing w:after="0"/>
              <w:rPr>
                <w:sz w:val="19"/>
                <w:szCs w:val="19"/>
                <w:color w:val="auto"/>
              </w:rPr>
            </w:pPr>
          </w:p>
        </w:tc>
        <w:tc>
          <w:tcPr>
            <w:tcW w:w="1140" w:type="dxa"/>
            <w:vAlign w:val="bottom"/>
            <w:gridSpan w:val="2"/>
          </w:tcPr>
          <w:p>
            <w:pPr>
              <w:ind w:left="240"/>
              <w:spacing w:after="0"/>
              <w:rPr>
                <w:sz w:val="20"/>
                <w:szCs w:val="20"/>
                <w:color w:val="auto"/>
              </w:rPr>
            </w:pPr>
            <w:r>
              <w:rPr>
                <w:rFonts w:ascii="Arial" w:cs="Arial" w:eastAsia="Arial" w:hAnsi="Arial"/>
                <w:sz w:val="13"/>
                <w:szCs w:val="13"/>
                <w:b w:val="1"/>
                <w:bCs w:val="1"/>
                <w:color w:val="auto"/>
              </w:rPr>
              <w:t>% Change</w:t>
            </w:r>
          </w:p>
        </w:tc>
        <w:tc>
          <w:tcPr>
            <w:tcW w:w="200" w:type="dxa"/>
            <w:vAlign w:val="bottom"/>
          </w:tcPr>
          <w:p>
            <w:pPr>
              <w:spacing w:after="0"/>
              <w:rPr>
                <w:sz w:val="19"/>
                <w:szCs w:val="19"/>
                <w:color w:val="auto"/>
              </w:rPr>
            </w:pPr>
          </w:p>
        </w:tc>
        <w:tc>
          <w:tcPr>
            <w:tcW w:w="700" w:type="dxa"/>
            <w:vAlign w:val="bottom"/>
          </w:tcPr>
          <w:p>
            <w:pPr>
              <w:jc w:val="right"/>
              <w:ind w:right="253"/>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9"/>
                <w:szCs w:val="19"/>
                <w:color w:val="auto"/>
              </w:rPr>
            </w:pPr>
          </w:p>
        </w:tc>
        <w:tc>
          <w:tcPr>
            <w:tcW w:w="680" w:type="dxa"/>
            <w:vAlign w:val="bottom"/>
          </w:tcPr>
          <w:p>
            <w:pPr>
              <w:jc w:val="right"/>
              <w:ind w:right="25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1040" w:type="dxa"/>
            <w:vAlign w:val="bottom"/>
          </w:tcPr>
          <w:p>
            <w:pPr>
              <w:jc w:val="right"/>
              <w:ind w:right="172"/>
              <w:spacing w:after="0"/>
              <w:rPr>
                <w:sz w:val="20"/>
                <w:szCs w:val="20"/>
                <w:color w:val="auto"/>
              </w:rPr>
            </w:pPr>
            <w:r>
              <w:rPr>
                <w:rFonts w:ascii="Arial" w:cs="Arial" w:eastAsia="Arial" w:hAnsi="Arial"/>
                <w:sz w:val="13"/>
                <w:szCs w:val="13"/>
                <w:b w:val="1"/>
                <w:bCs w:val="1"/>
                <w:color w:val="auto"/>
              </w:rPr>
              <w:t>% Change</w:t>
            </w:r>
          </w:p>
        </w:tc>
      </w:tr>
      <w:tr>
        <w:trPr>
          <w:trHeight w:val="224"/>
        </w:trPr>
        <w:tc>
          <w:tcPr>
            <w:tcW w:w="50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gridSpan w:val="3"/>
          </w:tcPr>
          <w:p>
            <w:pPr>
              <w:jc w:val="right"/>
              <w:ind w:right="471"/>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07"/>
        </w:trPr>
        <w:tc>
          <w:tcPr>
            <w:tcW w:w="5080" w:type="dxa"/>
            <w:vAlign w:val="bottom"/>
          </w:tcPr>
          <w:p>
            <w:pPr>
              <w:ind w:left="20"/>
              <w:spacing w:after="0"/>
              <w:rPr>
                <w:sz w:val="20"/>
                <w:szCs w:val="20"/>
                <w:color w:val="auto"/>
              </w:rPr>
            </w:pPr>
            <w:r>
              <w:rPr>
                <w:rFonts w:ascii="Arial" w:cs="Arial" w:eastAsia="Arial" w:hAnsi="Arial"/>
                <w:sz w:val="14"/>
                <w:szCs w:val="14"/>
                <w:color w:val="auto"/>
              </w:rPr>
              <w:t>Revenue by Segment:</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9"/>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5"/>
        </w:trPr>
        <w:tc>
          <w:tcPr>
            <w:tcW w:w="508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Business</w:t>
            </w:r>
          </w:p>
        </w:tc>
        <w:tc>
          <w:tcPr>
            <w:tcW w:w="20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86,923</w:t>
            </w:r>
          </w:p>
        </w:tc>
        <w:tc>
          <w:tcPr>
            <w:tcW w:w="120" w:type="dxa"/>
            <w:vAlign w:val="bottom"/>
            <w:tcBorders>
              <w:bottom w:val="single" w:sz="8" w:color="CCFFCC"/>
            </w:tcBorders>
            <w:shd w:val="clear" w:color="auto" w:fill="CCFFCC"/>
          </w:tcPr>
          <w:p>
            <w:pPr>
              <w:spacing w:after="0"/>
              <w:rPr>
                <w:sz w:val="18"/>
                <w:szCs w:val="18"/>
                <w:color w:val="auto"/>
              </w:rPr>
            </w:pPr>
          </w:p>
        </w:tc>
        <w:tc>
          <w:tcPr>
            <w:tcW w:w="320" w:type="dxa"/>
            <w:vAlign w:val="bottom"/>
            <w:tcBorders>
              <w:bottom w:val="single" w:sz="8" w:color="CCFFCC"/>
            </w:tcBorders>
            <w:shd w:val="clear" w:color="auto" w:fill="CCFFCC"/>
          </w:tcPr>
          <w:p>
            <w:pPr>
              <w:jc w:val="right"/>
              <w:ind w:right="1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68,471</w:t>
            </w:r>
          </w:p>
        </w:tc>
        <w:tc>
          <w:tcPr>
            <w:tcW w:w="100" w:type="dxa"/>
            <w:vAlign w:val="bottom"/>
          </w:tcPr>
          <w:p>
            <w:pPr>
              <w:spacing w:after="0"/>
              <w:rPr>
                <w:sz w:val="18"/>
                <w:szCs w:val="18"/>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242,788</w:t>
            </w:r>
          </w:p>
        </w:tc>
        <w:tc>
          <w:tcPr>
            <w:tcW w:w="30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194,301</w:t>
            </w:r>
          </w:p>
        </w:tc>
        <w:tc>
          <w:tcPr>
            <w:tcW w:w="100" w:type="dxa"/>
            <w:vAlign w:val="bottom"/>
          </w:tcPr>
          <w:p>
            <w:pPr>
              <w:spacing w:after="0"/>
              <w:rPr>
                <w:sz w:val="18"/>
                <w:szCs w:val="18"/>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25%</w:t>
            </w:r>
          </w:p>
        </w:tc>
      </w:tr>
      <w:tr>
        <w:trPr>
          <w:trHeight w:val="207"/>
        </w:trPr>
        <w:tc>
          <w:tcPr>
            <w:tcW w:w="5080" w:type="dxa"/>
            <w:vAlign w:val="bottom"/>
          </w:tcPr>
          <w:p>
            <w:pPr>
              <w:ind w:left="220"/>
              <w:spacing w:after="0"/>
              <w:rPr>
                <w:sz w:val="20"/>
                <w:szCs w:val="20"/>
                <w:color w:val="auto"/>
              </w:rPr>
            </w:pPr>
            <w:r>
              <w:rPr>
                <w:rFonts w:ascii="Arial" w:cs="Arial" w:eastAsia="Arial" w:hAnsi="Arial"/>
                <w:sz w:val="14"/>
                <w:szCs w:val="14"/>
                <w:color w:val="auto"/>
              </w:rPr>
              <w:t>Consumer</w:t>
            </w:r>
          </w:p>
        </w:tc>
        <w:tc>
          <w:tcPr>
            <w:tcW w:w="200" w:type="dxa"/>
            <w:vAlign w:val="bottom"/>
          </w:tcPr>
          <w:p>
            <w:pPr>
              <w:spacing w:after="0"/>
              <w:rPr>
                <w:sz w:val="17"/>
                <w:szCs w:val="17"/>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7,881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color w:val="auto"/>
              </w:rPr>
              <w:t>6,704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21,707</w:t>
            </w:r>
          </w:p>
        </w:tc>
        <w:tc>
          <w:tcPr>
            <w:tcW w:w="300" w:type="dxa"/>
            <w:vAlign w:val="bottom"/>
          </w:tcPr>
          <w:p>
            <w:pPr>
              <w:spacing w:after="0"/>
              <w:rPr>
                <w:sz w:val="17"/>
                <w:szCs w:val="17"/>
                <w:color w:val="auto"/>
              </w:rPr>
            </w:pPr>
          </w:p>
        </w:tc>
        <w:tc>
          <w:tcPr>
            <w:tcW w:w="680" w:type="dxa"/>
            <w:vAlign w:val="bottom"/>
          </w:tcPr>
          <w:p>
            <w:pPr>
              <w:jc w:val="right"/>
              <w:ind w:right="51"/>
              <w:spacing w:after="0"/>
              <w:rPr>
                <w:sz w:val="20"/>
                <w:szCs w:val="20"/>
                <w:color w:val="auto"/>
              </w:rPr>
            </w:pPr>
            <w:r>
              <w:rPr>
                <w:rFonts w:ascii="Arial" w:cs="Arial" w:eastAsia="Arial" w:hAnsi="Arial"/>
                <w:sz w:val="14"/>
                <w:szCs w:val="14"/>
                <w:color w:val="auto"/>
              </w:rPr>
              <w:t>18,235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9"/>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19"/>
        </w:trPr>
        <w:tc>
          <w:tcPr>
            <w:tcW w:w="5080" w:type="dxa"/>
            <w:vAlign w:val="bottom"/>
            <w:tcBorders>
              <w:top w:val="single" w:sz="8" w:color="CCFFCC"/>
              <w:bottom w:val="single" w:sz="8" w:color="CCFFCC"/>
            </w:tcBorders>
            <w:shd w:val="clear" w:color="auto" w:fill="CCFFCC"/>
          </w:tcPr>
          <w:p>
            <w:pPr>
              <w:ind w:left="32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FFCC"/>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FFCC"/>
          </w:tcPr>
          <w:p>
            <w:pPr>
              <w:jc w:val="right"/>
              <w:ind w:right="33"/>
              <w:spacing w:after="0"/>
              <w:rPr>
                <w:sz w:val="20"/>
                <w:szCs w:val="20"/>
                <w:color w:val="auto"/>
              </w:rPr>
            </w:pPr>
            <w:r>
              <w:rPr>
                <w:rFonts w:ascii="Arial" w:cs="Arial" w:eastAsia="Arial" w:hAnsi="Arial"/>
                <w:sz w:val="14"/>
                <w:szCs w:val="14"/>
                <w:color w:val="auto"/>
              </w:rPr>
              <w:t>94,804</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jc w:val="right"/>
              <w:ind w:right="14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FFCC"/>
          </w:tcPr>
          <w:p>
            <w:pPr>
              <w:jc w:val="right"/>
              <w:ind w:right="31"/>
              <w:spacing w:after="0"/>
              <w:rPr>
                <w:sz w:val="20"/>
                <w:szCs w:val="20"/>
                <w:color w:val="auto"/>
              </w:rPr>
            </w:pPr>
            <w:r>
              <w:rPr>
                <w:rFonts w:ascii="Arial" w:cs="Arial" w:eastAsia="Arial" w:hAnsi="Arial"/>
                <w:sz w:val="14"/>
                <w:szCs w:val="14"/>
                <w:color w:val="auto"/>
              </w:rPr>
              <w:t>75,175</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FFCC"/>
          </w:tcPr>
          <w:p>
            <w:pPr>
              <w:jc w:val="right"/>
              <w:ind w:right="53"/>
              <w:spacing w:after="0"/>
              <w:rPr>
                <w:sz w:val="20"/>
                <w:szCs w:val="20"/>
                <w:color w:val="auto"/>
              </w:rPr>
            </w:pPr>
            <w:r>
              <w:rPr>
                <w:rFonts w:ascii="Arial" w:cs="Arial" w:eastAsia="Arial" w:hAnsi="Arial"/>
                <w:sz w:val="14"/>
                <w:szCs w:val="14"/>
                <w:color w:val="auto"/>
              </w:rPr>
              <w:t>264,495</w:t>
            </w:r>
          </w:p>
        </w:tc>
        <w:tc>
          <w:tcPr>
            <w:tcW w:w="300" w:type="dxa"/>
            <w:vAlign w:val="bottom"/>
            <w:tcBorders>
              <w:top w:val="single" w:sz="8" w:color="auto"/>
              <w:bottom w:val="single" w:sz="8" w:color="auto"/>
            </w:tcBorders>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FFCC"/>
          </w:tcPr>
          <w:p>
            <w:pPr>
              <w:jc w:val="right"/>
              <w:ind w:right="51"/>
              <w:spacing w:after="0"/>
              <w:rPr>
                <w:sz w:val="20"/>
                <w:szCs w:val="20"/>
                <w:color w:val="auto"/>
              </w:rPr>
            </w:pPr>
            <w:r>
              <w:rPr>
                <w:rFonts w:ascii="Arial" w:cs="Arial" w:eastAsia="Arial" w:hAnsi="Arial"/>
                <w:sz w:val="14"/>
                <w:szCs w:val="14"/>
                <w:color w:val="auto"/>
              </w:rPr>
              <w:t>212,536</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24%</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both"/>
        <w:ind w:firstLine="564"/>
        <w:spacing w:after="0" w:line="322" w:lineRule="auto"/>
        <w:rPr>
          <w:sz w:val="20"/>
          <w:szCs w:val="20"/>
          <w:color w:val="auto"/>
        </w:rPr>
      </w:pPr>
      <w:r>
        <w:rPr>
          <w:rFonts w:ascii="Arial" w:cs="Arial" w:eastAsia="Arial" w:hAnsi="Arial"/>
          <w:sz w:val="13"/>
          <w:szCs w:val="13"/>
          <w:color w:val="222222"/>
        </w:rPr>
        <w:t xml:space="preserve">Business revenue increased by 27% to $86.9 million and by 25% to $242.8 million in the three months and </w:t>
      </w:r>
      <w:r>
        <w:rPr>
          <w:rFonts w:ascii="Arial" w:cs="Arial" w:eastAsia="Arial" w:hAnsi="Arial"/>
          <w:sz w:val="13"/>
          <w:szCs w:val="13"/>
          <w:color w:val="000000"/>
        </w:rPr>
        <w:t>nine months ended September 30, 2020</w:t>
      </w:r>
      <w:r>
        <w:rPr>
          <w:rFonts w:ascii="Arial" w:cs="Arial" w:eastAsia="Arial" w:hAnsi="Arial"/>
          <w:sz w:val="13"/>
          <w:szCs w:val="13"/>
          <w:color w:val="222222"/>
        </w:rPr>
        <w:t xml:space="preserve">, respectively, from $68.5 million and $194.3 million, respectively, in the comparable periods in 2019. The increase in B2B revenue is driven mainly by increases in hosted services of $16.6 million and $44.8 million during the three months and </w:t>
      </w:r>
      <w:r>
        <w:rPr>
          <w:rFonts w:ascii="Arial" w:cs="Arial" w:eastAsia="Arial" w:hAnsi="Arial"/>
          <w:sz w:val="13"/>
          <w:szCs w:val="13"/>
          <w:color w:val="000000"/>
        </w:rPr>
        <w:t>nine months ended September 30, 2020</w:t>
      </w:r>
      <w:r>
        <w:rPr>
          <w:rFonts w:ascii="Arial" w:cs="Arial" w:eastAsia="Arial" w:hAnsi="Arial"/>
          <w:sz w:val="13"/>
          <w:szCs w:val="13"/>
          <w:color w:val="222222"/>
        </w:rPr>
        <w:t xml:space="preserve">, respectively, and an increase in professional services of $1.9 million and $3.7 million during the three months and </w:t>
      </w:r>
      <w:r>
        <w:rPr>
          <w:rFonts w:ascii="Arial" w:cs="Arial" w:eastAsia="Arial" w:hAnsi="Arial"/>
          <w:sz w:val="13"/>
          <w:szCs w:val="13"/>
          <w:color w:val="000000"/>
        </w:rPr>
        <w:t>nine months ended September 30, 2020</w:t>
      </w:r>
      <w:r>
        <w:rPr>
          <w:rFonts w:ascii="Arial" w:cs="Arial" w:eastAsia="Arial" w:hAnsi="Arial"/>
          <w:sz w:val="13"/>
          <w:szCs w:val="13"/>
          <w:color w:val="222222"/>
        </w:rPr>
        <w:t xml:space="preserve">, respectively. Included in hosted services, is an increase in revenue that is variable based on interactions and usage of approximately $9.8 million and $35.3 million during the three and </w:t>
      </w:r>
      <w:r>
        <w:rPr>
          <w:rFonts w:ascii="Arial" w:cs="Arial" w:eastAsia="Arial" w:hAnsi="Arial"/>
          <w:sz w:val="13"/>
          <w:szCs w:val="13"/>
          <w:color w:val="000000"/>
        </w:rPr>
        <w:t>nine months ended September 30, 2020</w:t>
      </w:r>
      <w:r>
        <w:rPr>
          <w:rFonts w:ascii="Arial" w:cs="Arial" w:eastAsia="Arial" w:hAnsi="Arial"/>
          <w:sz w:val="13"/>
          <w:szCs w:val="13"/>
          <w:color w:val="222222"/>
        </w:rPr>
        <w:t>, respectively.</w:t>
      </w:r>
    </w:p>
    <w:p>
      <w:pPr>
        <w:spacing w:after="0" w:line="125"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222222"/>
        </w:rPr>
        <w:t>The increase in Business revenue was driven in nearly equal parts by existing and new customers as LivePerson generated greater demand for its Conversational Commerce software and gainshare solutions. In the wake of the COVID-19 pandemic, leading brands are turning to LivePerson's AI-powered messaging to overcome a capacity gap created by voice call agent work-from-home measures and increased demand for digital engagement as consumers practice social distancing. LivePerson is powering Conversational AI, automation and messaging strategies across a growing number of use cases from care and sales, to marketing, social, conversational advertising and brick and mortar. As adoption increases, we are seeing higher revenue per customer. Our average annual revenue per enterprise and midmarket customer increased approximately 30% year over year to $425,000 in the trailing twelve months ended September 30, 2020, from $330,000 in the prior year period. Similarly, we are seeing strong revenue retention rates. Revenue retention for our enterprise and midmarket customers was above our target range of 105% to 115% for the period ended September 30, 2020, which marked the 14th consecutive quarter of a greater than 100% revenue retention rate.</w:t>
      </w:r>
    </w:p>
    <w:p>
      <w:pPr>
        <w:spacing w:after="0" w:line="345"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Consumer revenue increased by 18% and 19% to $7.9 million and $21.7 million in the three and nine months ended September 30, 2020, respectively, from $6.7 million and $18.2 million, respectively, in the comparable periods in 2019. This improvement was driven by an increasingly effective digital marketing program and stronger demand by consumers to engage with experts and advisors through conversational messaging channels.</w:t>
      </w:r>
    </w:p>
    <w:p>
      <w:pPr>
        <w:spacing w:after="0" w:line="354"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Cost of Revenue - Business</w:t>
      </w:r>
    </w:p>
    <w:p>
      <w:pPr>
        <w:spacing w:after="0" w:line="98" w:lineRule="exact"/>
        <w:rPr>
          <w:sz w:val="20"/>
          <w:szCs w:val="20"/>
          <w:color w:val="auto"/>
        </w:rPr>
      </w:pPr>
    </w:p>
    <w:p>
      <w:pPr>
        <w:jc w:val="both"/>
        <w:ind w:right="20" w:firstLine="564"/>
        <w:spacing w:after="0" w:line="299" w:lineRule="auto"/>
        <w:rPr>
          <w:sz w:val="20"/>
          <w:szCs w:val="20"/>
          <w:color w:val="auto"/>
        </w:rPr>
      </w:pPr>
      <w:r>
        <w:rPr>
          <w:rFonts w:ascii="Arial" w:cs="Arial" w:eastAsia="Arial" w:hAnsi="Arial"/>
          <w:sz w:val="15"/>
          <w:szCs w:val="15"/>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60"/>
          </w:cols>
          <w:pgMar w:left="320" w:top="499"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7"/>
        </w:trPr>
        <w:tc>
          <w:tcPr>
            <w:tcW w:w="5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397"/>
              <w:spacing w:after="0"/>
              <w:rPr>
                <w:sz w:val="20"/>
                <w:szCs w:val="20"/>
                <w:color w:val="auto"/>
              </w:rPr>
            </w:pPr>
            <w:r>
              <w:rPr>
                <w:rFonts w:ascii="Arial" w:cs="Arial" w:eastAsia="Arial" w:hAnsi="Arial"/>
                <w:sz w:val="13"/>
                <w:szCs w:val="13"/>
                <w:b w:val="1"/>
                <w:bCs w:val="1"/>
                <w:color w:val="auto"/>
                <w:w w:val="98"/>
              </w:rPr>
              <w:t>Three Months Ended September 30,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437"/>
              <w:spacing w:after="0"/>
              <w:rPr>
                <w:sz w:val="20"/>
                <w:szCs w:val="20"/>
                <w:color w:val="auto"/>
              </w:rPr>
            </w:pPr>
            <w:r>
              <w:rPr>
                <w:rFonts w:ascii="Arial" w:cs="Arial" w:eastAsia="Arial" w:hAnsi="Arial"/>
                <w:sz w:val="13"/>
                <w:szCs w:val="13"/>
                <w:b w:val="1"/>
                <w:bCs w:val="1"/>
                <w:color w:val="auto"/>
              </w:rPr>
              <w:t>Nine Months Ended September 30,</w:t>
            </w:r>
          </w:p>
        </w:tc>
      </w:tr>
      <w:tr>
        <w:trPr>
          <w:trHeight w:val="227"/>
        </w:trPr>
        <w:tc>
          <w:tcPr>
            <w:tcW w:w="5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53"/>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9"/>
                <w:szCs w:val="19"/>
                <w:color w:val="auto"/>
              </w:rPr>
            </w:pPr>
          </w:p>
        </w:tc>
        <w:tc>
          <w:tcPr>
            <w:tcW w:w="700" w:type="dxa"/>
            <w:vAlign w:val="bottom"/>
          </w:tcPr>
          <w:p>
            <w:pPr>
              <w:jc w:val="right"/>
              <w:ind w:right="251"/>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9"/>
                <w:szCs w:val="19"/>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b w:val="1"/>
                <w:bCs w:val="1"/>
                <w:color w:val="auto"/>
              </w:rPr>
              <w:t>% Change</w:t>
            </w:r>
          </w:p>
        </w:tc>
        <w:tc>
          <w:tcPr>
            <w:tcW w:w="220" w:type="dxa"/>
            <w:vAlign w:val="bottom"/>
          </w:tcPr>
          <w:p>
            <w:pPr>
              <w:spacing w:after="0"/>
              <w:rPr>
                <w:sz w:val="19"/>
                <w:szCs w:val="19"/>
                <w:color w:val="auto"/>
              </w:rPr>
            </w:pPr>
          </w:p>
        </w:tc>
        <w:tc>
          <w:tcPr>
            <w:tcW w:w="700" w:type="dxa"/>
            <w:vAlign w:val="bottom"/>
          </w:tcPr>
          <w:p>
            <w:pPr>
              <w:jc w:val="right"/>
              <w:ind w:right="273"/>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9"/>
                <w:szCs w:val="19"/>
                <w:color w:val="auto"/>
              </w:rPr>
            </w:pPr>
          </w:p>
        </w:tc>
        <w:tc>
          <w:tcPr>
            <w:tcW w:w="700" w:type="dxa"/>
            <w:vAlign w:val="bottom"/>
          </w:tcPr>
          <w:p>
            <w:pPr>
              <w:jc w:val="right"/>
              <w:ind w:right="27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 Change</w:t>
            </w:r>
          </w:p>
        </w:tc>
      </w:tr>
      <w:tr>
        <w:trPr>
          <w:trHeight w:val="227"/>
        </w:trPr>
        <w:tc>
          <w:tcPr>
            <w:tcW w:w="5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3"/>
          </w:tcPr>
          <w:p>
            <w:pPr>
              <w:jc w:val="right"/>
              <w:ind w:right="411"/>
              <w:spacing w:after="0"/>
              <w:rPr>
                <w:sz w:val="20"/>
                <w:szCs w:val="20"/>
                <w:color w:val="auto"/>
              </w:rPr>
            </w:pPr>
            <w:r>
              <w:rPr>
                <w:rFonts w:ascii="Arial" w:cs="Arial" w:eastAsia="Arial" w:hAnsi="Arial"/>
                <w:sz w:val="13"/>
                <w:szCs w:val="13"/>
                <w:b w:val="1"/>
                <w:bCs w:val="1"/>
                <w:color w:val="auto"/>
              </w:rPr>
              <w:t>($ in thousands)</w:t>
            </w: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3"/>
          </w:tcPr>
          <w:p>
            <w:pPr>
              <w:jc w:val="right"/>
              <w:ind w:right="411"/>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192"/>
        </w:trPr>
        <w:tc>
          <w:tcPr>
            <w:tcW w:w="5420" w:type="dxa"/>
            <w:vAlign w:val="bottom"/>
          </w:tcPr>
          <w:p>
            <w:pPr>
              <w:ind w:left="20"/>
              <w:spacing w:after="0"/>
              <w:rPr>
                <w:sz w:val="20"/>
                <w:szCs w:val="20"/>
                <w:color w:val="auto"/>
              </w:rPr>
            </w:pPr>
            <w:r>
              <w:rPr>
                <w:rFonts w:ascii="Arial" w:cs="Arial" w:eastAsia="Arial" w:hAnsi="Arial"/>
                <w:sz w:val="14"/>
                <w:szCs w:val="14"/>
                <w:color w:val="auto"/>
              </w:rPr>
              <w:t>Cost of revenue - business</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25,862</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18,950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73,291</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53,572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37%</w:t>
            </w:r>
          </w:p>
        </w:tc>
      </w:tr>
      <w:tr>
        <w:trPr>
          <w:trHeight w:val="29"/>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5"/>
        </w:trPr>
        <w:tc>
          <w:tcPr>
            <w:tcW w:w="54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Percentage of total revenue</w:t>
            </w:r>
          </w:p>
        </w:tc>
        <w:tc>
          <w:tcPr>
            <w:tcW w:w="20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27%</w:t>
            </w:r>
          </w:p>
        </w:tc>
        <w:tc>
          <w:tcPr>
            <w:tcW w:w="22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28%</w:t>
            </w:r>
          </w:p>
        </w:tc>
        <w:tc>
          <w:tcPr>
            <w:tcW w:w="22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CCFFCC"/>
            </w:tcBorders>
            <w:shd w:val="clear" w:color="auto" w:fill="CCFFCC"/>
          </w:tcPr>
          <w:p>
            <w:pPr>
              <w:spacing w:after="0"/>
              <w:rPr>
                <w:sz w:val="18"/>
                <w:szCs w:val="18"/>
                <w:color w:val="auto"/>
              </w:rPr>
            </w:pPr>
          </w:p>
        </w:tc>
      </w:tr>
      <w:tr>
        <w:trPr>
          <w:trHeight w:val="207"/>
        </w:trPr>
        <w:tc>
          <w:tcPr>
            <w:tcW w:w="5420" w:type="dxa"/>
            <w:vAlign w:val="bottom"/>
          </w:tcPr>
          <w:p>
            <w:pPr>
              <w:ind w:left="20"/>
              <w:spacing w:after="0"/>
              <w:rPr>
                <w:sz w:val="20"/>
                <w:szCs w:val="20"/>
                <w:color w:val="auto"/>
              </w:rPr>
            </w:pPr>
            <w:r>
              <w:rPr>
                <w:rFonts w:ascii="Arial" w:cs="Arial" w:eastAsia="Arial" w:hAnsi="Arial"/>
                <w:sz w:val="14"/>
                <w:szCs w:val="14"/>
                <w:color w:val="auto"/>
              </w:rPr>
              <w:t>Headcount (at period end):</w:t>
            </w:r>
          </w:p>
        </w:tc>
        <w:tc>
          <w:tcPr>
            <w:tcW w:w="200" w:type="dxa"/>
            <w:vAlign w:val="bottom"/>
          </w:tcPr>
          <w:p>
            <w:pPr>
              <w:spacing w:after="0"/>
              <w:rPr>
                <w:sz w:val="17"/>
                <w:szCs w:val="17"/>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234</w:t>
            </w:r>
          </w:p>
        </w:tc>
        <w:tc>
          <w:tcPr>
            <w:tcW w:w="220" w:type="dxa"/>
            <w:vAlign w:val="bottom"/>
          </w:tcPr>
          <w:p>
            <w:pPr>
              <w:spacing w:after="0"/>
              <w:rPr>
                <w:sz w:val="17"/>
                <w:szCs w:val="17"/>
                <w:color w:val="auto"/>
              </w:rPr>
            </w:pP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230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234</w:t>
            </w:r>
          </w:p>
        </w:tc>
        <w:tc>
          <w:tcPr>
            <w:tcW w:w="220" w:type="dxa"/>
            <w:vAlign w:val="bottom"/>
          </w:tcPr>
          <w:p>
            <w:pPr>
              <w:spacing w:after="0"/>
              <w:rPr>
                <w:sz w:val="17"/>
                <w:szCs w:val="17"/>
                <w:color w:val="auto"/>
              </w:rPr>
            </w:pP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230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w:t>
            </w:r>
          </w:p>
        </w:tc>
      </w:tr>
    </w:tbl>
    <w:p>
      <w:pPr>
        <w:spacing w:after="0" w:line="110"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Cost of revenue - Business increased by 36% to $25.9 million in the three months ended September 30, 2020, from $19.0 million in the comparable period in 2019. This increase in expense is primarily attributable to business services and outsourced subcontracted labor of approximately $4.6 million as the Company saw a sharp increase in demand for its gainshare services, which power Conversational Commerce programs on behalf of customers. The Company also recognized an increase in salary and related employee expenses of approximately $0.8 million, and an increase in total compensation of approximately $1.5 million, the majority of which are primarily associated with supporting an expanding customer base and increased platform volumes.</w:t>
      </w:r>
    </w:p>
    <w:p>
      <w:pPr>
        <w:spacing w:after="0" w:line="264" w:lineRule="exact"/>
        <w:rPr>
          <w:sz w:val="20"/>
          <w:szCs w:val="20"/>
          <w:color w:val="auto"/>
        </w:rPr>
      </w:pPr>
    </w:p>
    <w:p>
      <w:pPr>
        <w:jc w:val="both"/>
        <w:ind w:right="20" w:firstLine="564"/>
        <w:spacing w:after="0" w:line="342" w:lineRule="auto"/>
        <w:rPr>
          <w:sz w:val="20"/>
          <w:szCs w:val="20"/>
          <w:color w:val="auto"/>
        </w:rPr>
      </w:pPr>
      <w:r>
        <w:rPr>
          <w:rFonts w:ascii="Arial" w:cs="Arial" w:eastAsia="Arial" w:hAnsi="Arial"/>
          <w:sz w:val="13"/>
          <w:szCs w:val="13"/>
          <w:color w:val="auto"/>
        </w:rPr>
        <w:t>Cost of revenue - Business increased by 37% to $73.3 million in the nine months ended September 30, 2020, from $53.6 million in the comparable period in 2019. This increase in expense is primarily attributable to business services and outsourced subcontracted labor of approximately $11.2 million, an increase in salary and related employee expenses of approximately $3.0 million, an increase in share- based compensation of approximately $3.8 million and in depreciation of approximately $1.1 million.</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Cost of Revenue - Consumer</w:t>
      </w:r>
    </w:p>
    <w:p>
      <w:pPr>
        <w:spacing w:after="0" w:line="9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457"/>
              <w:spacing w:after="0"/>
              <w:rPr>
                <w:sz w:val="20"/>
                <w:szCs w:val="20"/>
                <w:color w:val="auto"/>
              </w:rPr>
            </w:pPr>
            <w:r>
              <w:rPr>
                <w:rFonts w:ascii="Arial" w:cs="Arial" w:eastAsia="Arial" w:hAnsi="Arial"/>
                <w:sz w:val="13"/>
                <w:szCs w:val="13"/>
                <w:b w:val="1"/>
                <w:bCs w:val="1"/>
                <w:color w:val="auto"/>
              </w:rPr>
              <w:t>Three Months Ended September 30,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477"/>
              <w:spacing w:after="0"/>
              <w:rPr>
                <w:sz w:val="20"/>
                <w:szCs w:val="20"/>
                <w:color w:val="auto"/>
              </w:rPr>
            </w:pPr>
            <w:r>
              <w:rPr>
                <w:rFonts w:ascii="Arial" w:cs="Arial" w:eastAsia="Arial" w:hAnsi="Arial"/>
                <w:sz w:val="13"/>
                <w:szCs w:val="13"/>
                <w:b w:val="1"/>
                <w:bCs w:val="1"/>
                <w:color w:val="auto"/>
              </w:rPr>
              <w:t>Nine Months Ended September 30,</w:t>
            </w:r>
          </w:p>
        </w:tc>
      </w:tr>
      <w:tr>
        <w:trPr>
          <w:trHeight w:val="227"/>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333"/>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7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1040" w:type="dxa"/>
            <w:vAlign w:val="bottom"/>
            <w:gridSpan w:val="2"/>
          </w:tcPr>
          <w:p>
            <w:pPr>
              <w:ind w:left="180"/>
              <w:spacing w:after="0"/>
              <w:rPr>
                <w:sz w:val="20"/>
                <w:szCs w:val="20"/>
                <w:color w:val="auto"/>
              </w:rPr>
            </w:pPr>
            <w:r>
              <w:rPr>
                <w:rFonts w:ascii="Arial" w:cs="Arial" w:eastAsia="Arial" w:hAnsi="Arial"/>
                <w:sz w:val="13"/>
                <w:szCs w:val="13"/>
                <w:b w:val="1"/>
                <w:bCs w:val="1"/>
                <w:color w:val="auto"/>
              </w:rPr>
              <w:t>% Change</w:t>
            </w:r>
          </w:p>
        </w:tc>
        <w:tc>
          <w:tcPr>
            <w:tcW w:w="220" w:type="dxa"/>
            <w:vAlign w:val="bottom"/>
          </w:tcPr>
          <w:p>
            <w:pPr>
              <w:spacing w:after="0"/>
              <w:rPr>
                <w:sz w:val="19"/>
                <w:szCs w:val="19"/>
                <w:color w:val="auto"/>
              </w:rPr>
            </w:pPr>
          </w:p>
        </w:tc>
        <w:tc>
          <w:tcPr>
            <w:tcW w:w="760" w:type="dxa"/>
            <w:vAlign w:val="bottom"/>
          </w:tcPr>
          <w:p>
            <w:pPr>
              <w:jc w:val="right"/>
              <w:ind w:right="333"/>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7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 Change</w:t>
            </w:r>
          </w:p>
        </w:tc>
      </w:tr>
      <w:tr>
        <w:trPr>
          <w:trHeight w:val="227"/>
        </w:trPr>
        <w:tc>
          <w:tcPr>
            <w:tcW w:w="5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3"/>
          </w:tcPr>
          <w:p>
            <w:pPr>
              <w:jc w:val="right"/>
              <w:ind w:right="451"/>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3"/>
          </w:tcPr>
          <w:p>
            <w:pPr>
              <w:jc w:val="right"/>
              <w:ind w:right="471"/>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04"/>
        </w:trPr>
        <w:tc>
          <w:tcPr>
            <w:tcW w:w="5200" w:type="dxa"/>
            <w:vAlign w:val="bottom"/>
          </w:tcPr>
          <w:p>
            <w:pPr>
              <w:ind w:left="20"/>
              <w:spacing w:after="0"/>
              <w:rPr>
                <w:sz w:val="20"/>
                <w:szCs w:val="20"/>
                <w:color w:val="auto"/>
              </w:rPr>
            </w:pPr>
            <w:r>
              <w:rPr>
                <w:rFonts w:ascii="Arial" w:cs="Arial" w:eastAsia="Arial" w:hAnsi="Arial"/>
                <w:sz w:val="14"/>
                <w:szCs w:val="14"/>
                <w:color w:val="auto"/>
              </w:rPr>
              <w:t>Cost of revenue - consumer</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1,830</w:t>
            </w:r>
          </w:p>
        </w:tc>
        <w:tc>
          <w:tcPr>
            <w:tcW w:w="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1,170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4,927</w:t>
            </w:r>
          </w:p>
        </w:tc>
        <w:tc>
          <w:tcPr>
            <w:tcW w:w="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3,246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52%</w:t>
            </w:r>
          </w:p>
        </w:tc>
      </w:tr>
      <w:tr>
        <w:trPr>
          <w:trHeight w:val="29"/>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5"/>
        </w:trPr>
        <w:tc>
          <w:tcPr>
            <w:tcW w:w="5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Percentage of total revenue</w:t>
            </w:r>
          </w:p>
        </w:tc>
        <w:tc>
          <w:tcPr>
            <w:tcW w:w="22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CCFFCC"/>
            </w:tcBorders>
            <w:shd w:val="clear" w:color="auto" w:fill="CCFFCC"/>
          </w:tcPr>
          <w:p>
            <w:pPr>
              <w:spacing w:after="0"/>
              <w:rPr>
                <w:sz w:val="18"/>
                <w:szCs w:val="18"/>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4"/>
                <w:szCs w:val="14"/>
                <w:color w:val="auto"/>
              </w:rPr>
              <w:t>Headcount (at period end)</w:t>
            </w:r>
          </w:p>
        </w:tc>
        <w:tc>
          <w:tcPr>
            <w:tcW w:w="22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7"/>
                <w:szCs w:val="17"/>
                <w:color w:val="auto"/>
              </w:rPr>
            </w:pP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15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7"/>
                <w:szCs w:val="17"/>
                <w:color w:val="auto"/>
              </w:rPr>
            </w:pP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15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33%</w:t>
            </w:r>
          </w:p>
        </w:tc>
      </w:tr>
    </w:tbl>
    <w:p>
      <w:pPr>
        <w:spacing w:after="0" w:line="110"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Cost of revenue - consumer increased by 56% to $1.8 million in the three months ended September 30, 2020 from $1.2 million in the comparable period in 2019. This variance was primarily attributable to increases in business services and outsourced subcontracted labor of approximately $0.3 million, depreciation expense and credit card processing fees of approximately $0.1 million, and salary, benefits and related employee expenses of approximately $0.2 million.</w:t>
      </w:r>
    </w:p>
    <w:p>
      <w:pPr>
        <w:spacing w:after="0" w:line="55" w:lineRule="exact"/>
        <w:rPr>
          <w:sz w:val="20"/>
          <w:szCs w:val="20"/>
          <w:color w:val="auto"/>
        </w:rPr>
      </w:pPr>
    </w:p>
    <w:p>
      <w:pPr>
        <w:jc w:val="both"/>
        <w:ind w:right="20" w:firstLine="564"/>
        <w:spacing w:after="0" w:line="342" w:lineRule="auto"/>
        <w:rPr>
          <w:sz w:val="20"/>
          <w:szCs w:val="20"/>
          <w:color w:val="auto"/>
        </w:rPr>
      </w:pPr>
      <w:r>
        <w:rPr>
          <w:rFonts w:ascii="Arial" w:cs="Arial" w:eastAsia="Arial" w:hAnsi="Arial"/>
          <w:sz w:val="13"/>
          <w:szCs w:val="13"/>
          <w:color w:val="auto"/>
        </w:rPr>
        <w:t>Cost of revenue - consumer increased by 52% to $4.9 million in the nine months ended September 30, 2020 from $3.2 million in the comparable period in 2019. This variance was primarily attributable to increases in business services and outsourced subcontracted labor of approximately $0.7 million, depreciation of approximately $0.3 million, salary and benefits of approximately $0.3 million, backup server facilities of $0.1 million, and credit card processing fees of approximately $0.2 million.</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Sales and Marketing - Business</w:t>
      </w:r>
    </w:p>
    <w:p>
      <w:pPr>
        <w:spacing w:after="0" w:line="98"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Our 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ind w:left="320"/>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3"/>
                <w:szCs w:val="13"/>
                <w:b w:val="1"/>
                <w:bCs w:val="1"/>
                <w:color w:val="auto"/>
              </w:rPr>
              <w:t>Nine Months Ended September 30,</w:t>
            </w:r>
          </w:p>
        </w:tc>
      </w:tr>
      <w:tr>
        <w:trPr>
          <w:trHeight w:val="227"/>
        </w:trPr>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13"/>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9"/>
                <w:szCs w:val="19"/>
                <w:color w:val="auto"/>
              </w:rPr>
            </w:pPr>
          </w:p>
        </w:tc>
        <w:tc>
          <w:tcPr>
            <w:tcW w:w="700" w:type="dxa"/>
            <w:vAlign w:val="bottom"/>
          </w:tcPr>
          <w:p>
            <w:pPr>
              <w:jc w:val="right"/>
              <w:ind w:right="271"/>
              <w:spacing w:after="0"/>
              <w:rPr>
                <w:sz w:val="20"/>
                <w:szCs w:val="20"/>
                <w:color w:val="auto"/>
              </w:rPr>
            </w:pPr>
            <w:r>
              <w:rPr>
                <w:rFonts w:ascii="Arial" w:cs="Arial" w:eastAsia="Arial" w:hAnsi="Arial"/>
                <w:sz w:val="13"/>
                <w:szCs w:val="13"/>
                <w:b w:val="1"/>
                <w:bCs w:val="1"/>
                <w:color w:val="auto"/>
              </w:rPr>
              <w:t>2019</w:t>
            </w:r>
          </w:p>
        </w:tc>
        <w:tc>
          <w:tcPr>
            <w:tcW w:w="1380" w:type="dxa"/>
            <w:vAlign w:val="bottom"/>
            <w:gridSpan w:val="3"/>
          </w:tcPr>
          <w:p>
            <w:pPr>
              <w:ind w:left="300"/>
              <w:spacing w:after="0"/>
              <w:rPr>
                <w:sz w:val="20"/>
                <w:szCs w:val="20"/>
                <w:color w:val="auto"/>
              </w:rPr>
            </w:pPr>
            <w:r>
              <w:rPr>
                <w:rFonts w:ascii="Arial" w:cs="Arial" w:eastAsia="Arial" w:hAnsi="Arial"/>
                <w:sz w:val="13"/>
                <w:szCs w:val="13"/>
                <w:b w:val="1"/>
                <w:bCs w:val="1"/>
                <w:color w:val="auto"/>
              </w:rPr>
              <w:t>% Change</w:t>
            </w:r>
          </w:p>
        </w:tc>
        <w:tc>
          <w:tcPr>
            <w:tcW w:w="760" w:type="dxa"/>
            <w:vAlign w:val="bottom"/>
          </w:tcPr>
          <w:p>
            <w:pPr>
              <w:jc w:val="right"/>
              <w:ind w:right="313"/>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9"/>
                <w:szCs w:val="19"/>
                <w:color w:val="auto"/>
              </w:rPr>
            </w:pPr>
          </w:p>
        </w:tc>
        <w:tc>
          <w:tcPr>
            <w:tcW w:w="720" w:type="dxa"/>
            <w:vAlign w:val="bottom"/>
          </w:tcPr>
          <w:p>
            <w:pPr>
              <w:jc w:val="right"/>
              <w:ind w:right="271"/>
              <w:spacing w:after="0"/>
              <w:rPr>
                <w:sz w:val="20"/>
                <w:szCs w:val="20"/>
                <w:color w:val="auto"/>
              </w:rPr>
            </w:pPr>
            <w:r>
              <w:rPr>
                <w:rFonts w:ascii="Arial" w:cs="Arial" w:eastAsia="Arial" w:hAnsi="Arial"/>
                <w:sz w:val="13"/>
                <w:szCs w:val="13"/>
                <w:b w:val="1"/>
                <w:bCs w:val="1"/>
                <w:color w:val="auto"/>
              </w:rPr>
              <w:t>2019</w:t>
            </w:r>
          </w:p>
        </w:tc>
        <w:tc>
          <w:tcPr>
            <w:tcW w:w="1080" w:type="dxa"/>
            <w:vAlign w:val="bottom"/>
          </w:tcPr>
          <w:p>
            <w:pPr>
              <w:jc w:val="right"/>
              <w:ind w:right="152"/>
              <w:spacing w:after="0"/>
              <w:rPr>
                <w:sz w:val="20"/>
                <w:szCs w:val="20"/>
                <w:color w:val="auto"/>
              </w:rPr>
            </w:pPr>
            <w:r>
              <w:rPr>
                <w:rFonts w:ascii="Arial" w:cs="Arial" w:eastAsia="Arial" w:hAnsi="Arial"/>
                <w:sz w:val="13"/>
                <w:szCs w:val="13"/>
                <w:b w:val="1"/>
                <w:bCs w:val="1"/>
                <w:color w:val="auto"/>
              </w:rPr>
              <w:t>% Change</w:t>
            </w:r>
          </w:p>
        </w:tc>
      </w:tr>
      <w:tr>
        <w:trPr>
          <w:trHeight w:val="227"/>
        </w:trPr>
        <w:tc>
          <w:tcPr>
            <w:tcW w:w="5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rPr>
              <w:t>($ in thousands)</w:t>
            </w: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3"/>
          </w:tcPr>
          <w:p>
            <w:pPr>
              <w:jc w:val="right"/>
              <w:ind w:right="471"/>
              <w:spacing w:after="0"/>
              <w:rPr>
                <w:sz w:val="20"/>
                <w:szCs w:val="20"/>
                <w:color w:val="auto"/>
              </w:rPr>
            </w:pPr>
            <w:r>
              <w:rPr>
                <w:rFonts w:ascii="Arial" w:cs="Arial" w:eastAsia="Arial" w:hAnsi="Arial"/>
                <w:sz w:val="13"/>
                <w:szCs w:val="13"/>
                <w:b w:val="1"/>
                <w:bCs w:val="1"/>
                <w:color w:val="auto"/>
              </w:rPr>
              <w:t>($ in thousands)</w:t>
            </w:r>
          </w:p>
        </w:tc>
        <w:tc>
          <w:tcPr>
            <w:tcW w:w="1080" w:type="dxa"/>
            <w:vAlign w:val="bottom"/>
            <w:tcBorders>
              <w:top w:val="single" w:sz="8" w:color="auto"/>
            </w:tcBorders>
          </w:tcPr>
          <w:p>
            <w:pPr>
              <w:spacing w:after="0"/>
              <w:rPr>
                <w:sz w:val="19"/>
                <w:szCs w:val="19"/>
                <w:color w:val="auto"/>
              </w:rPr>
            </w:pPr>
          </w:p>
        </w:tc>
      </w:tr>
      <w:tr>
        <w:trPr>
          <w:trHeight w:val="204"/>
        </w:trPr>
        <w:tc>
          <w:tcPr>
            <w:tcW w:w="5120" w:type="dxa"/>
            <w:vAlign w:val="bottom"/>
          </w:tcPr>
          <w:p>
            <w:pPr>
              <w:ind w:left="20"/>
              <w:spacing w:after="0"/>
              <w:rPr>
                <w:sz w:val="20"/>
                <w:szCs w:val="20"/>
                <w:color w:val="auto"/>
              </w:rPr>
            </w:pPr>
            <w:r>
              <w:rPr>
                <w:rFonts w:ascii="Arial" w:cs="Arial" w:eastAsia="Arial" w:hAnsi="Arial"/>
                <w:sz w:val="14"/>
                <w:szCs w:val="14"/>
                <w:color w:val="auto"/>
              </w:rPr>
              <w:t>Sales and marketing - business</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3"/>
              <w:spacing w:after="0"/>
              <w:rPr>
                <w:sz w:val="20"/>
                <w:szCs w:val="20"/>
                <w:color w:val="auto"/>
              </w:rPr>
            </w:pPr>
            <w:r>
              <w:rPr>
                <w:rFonts w:ascii="Arial" w:cs="Arial" w:eastAsia="Arial" w:hAnsi="Arial"/>
                <w:sz w:val="14"/>
                <w:szCs w:val="14"/>
                <w:color w:val="auto"/>
              </w:rPr>
              <w:t>27,525</w:t>
            </w: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37,512</w:t>
            </w:r>
          </w:p>
        </w:tc>
        <w:tc>
          <w:tcPr>
            <w:tcW w:w="1380" w:type="dxa"/>
            <w:vAlign w:val="bottom"/>
            <w:gridSpan w:val="3"/>
          </w:tcPr>
          <w:p>
            <w:pPr>
              <w:ind w:left="700"/>
              <w:spacing w:after="0"/>
              <w:rPr>
                <w:sz w:val="20"/>
                <w:szCs w:val="20"/>
                <w:color w:val="auto"/>
              </w:rPr>
            </w:pPr>
            <w:r>
              <w:rPr>
                <w:rFonts w:ascii="Arial" w:cs="Arial" w:eastAsia="Arial" w:hAnsi="Arial"/>
                <w:sz w:val="14"/>
                <w:szCs w:val="14"/>
                <w:color w:val="auto"/>
              </w:rPr>
              <w:t>(27)%  $</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93,920</w:t>
            </w:r>
          </w:p>
        </w:tc>
        <w:tc>
          <w:tcPr>
            <w:tcW w:w="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103,171</w:t>
            </w: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9"/>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5"/>
        </w:trPr>
        <w:tc>
          <w:tcPr>
            <w:tcW w:w="51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Percentage of total revenue</w:t>
            </w:r>
          </w:p>
        </w:tc>
        <w:tc>
          <w:tcPr>
            <w:tcW w:w="22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29%</w:t>
            </w:r>
          </w:p>
        </w:tc>
        <w:tc>
          <w:tcPr>
            <w:tcW w:w="28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50%</w:t>
            </w:r>
          </w:p>
        </w:tc>
        <w:tc>
          <w:tcPr>
            <w:tcW w:w="10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4"/>
                <w:szCs w:val="14"/>
                <w:color w:val="auto"/>
              </w:rPr>
              <w:t>36%</w:t>
            </w:r>
          </w:p>
        </w:tc>
        <w:tc>
          <w:tcPr>
            <w:tcW w:w="260" w:type="dxa"/>
            <w:vAlign w:val="bottom"/>
            <w:tcBorders>
              <w:bottom w:val="single" w:sz="8" w:color="CCFFCC"/>
            </w:tcBorders>
            <w:shd w:val="clear" w:color="auto" w:fill="CCFFCC"/>
          </w:tcPr>
          <w:p>
            <w:pPr>
              <w:spacing w:after="0"/>
              <w:rPr>
                <w:sz w:val="18"/>
                <w:szCs w:val="18"/>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49%</w:t>
            </w:r>
          </w:p>
        </w:tc>
        <w:tc>
          <w:tcPr>
            <w:tcW w:w="1080" w:type="dxa"/>
            <w:vAlign w:val="bottom"/>
            <w:tcBorders>
              <w:bottom w:val="single" w:sz="8" w:color="CCFFCC"/>
            </w:tcBorders>
            <w:shd w:val="clear" w:color="auto" w:fill="CCFFCC"/>
          </w:tcPr>
          <w:p>
            <w:pPr>
              <w:spacing w:after="0"/>
              <w:rPr>
                <w:sz w:val="18"/>
                <w:szCs w:val="18"/>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4"/>
                <w:szCs w:val="14"/>
                <w:color w:val="auto"/>
              </w:rPr>
              <w:t>Headcount (at period end):</w:t>
            </w:r>
          </w:p>
        </w:tc>
        <w:tc>
          <w:tcPr>
            <w:tcW w:w="220" w:type="dxa"/>
            <w:vAlign w:val="bottom"/>
          </w:tcPr>
          <w:p>
            <w:pPr>
              <w:spacing w:after="0"/>
              <w:rPr>
                <w:sz w:val="17"/>
                <w:szCs w:val="17"/>
                <w:color w:val="auto"/>
              </w:rPr>
            </w:pPr>
          </w:p>
        </w:tc>
        <w:tc>
          <w:tcPr>
            <w:tcW w:w="740" w:type="dxa"/>
            <w:vAlign w:val="bottom"/>
          </w:tcPr>
          <w:p>
            <w:pPr>
              <w:jc w:val="right"/>
              <w:ind w:right="113"/>
              <w:spacing w:after="0"/>
              <w:rPr>
                <w:sz w:val="20"/>
                <w:szCs w:val="20"/>
                <w:color w:val="auto"/>
              </w:rPr>
            </w:pPr>
            <w:r>
              <w:rPr>
                <w:rFonts w:ascii="Arial" w:cs="Arial" w:eastAsia="Arial" w:hAnsi="Arial"/>
                <w:sz w:val="14"/>
                <w:szCs w:val="14"/>
                <w:color w:val="auto"/>
              </w:rPr>
              <w:t>334</w:t>
            </w:r>
          </w:p>
        </w:tc>
        <w:tc>
          <w:tcPr>
            <w:tcW w:w="280" w:type="dxa"/>
            <w:vAlign w:val="bottom"/>
          </w:tcPr>
          <w:p>
            <w:pPr>
              <w:spacing w:after="0"/>
              <w:rPr>
                <w:sz w:val="17"/>
                <w:szCs w:val="17"/>
                <w:color w:val="auto"/>
              </w:rPr>
            </w:pP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463</w:t>
            </w:r>
          </w:p>
        </w:tc>
        <w:tc>
          <w:tcPr>
            <w:tcW w:w="1060" w:type="dxa"/>
            <w:vAlign w:val="bottom"/>
          </w:tcPr>
          <w:p>
            <w:pPr>
              <w:ind w:left="700"/>
              <w:spacing w:after="0"/>
              <w:rPr>
                <w:sz w:val="20"/>
                <w:szCs w:val="20"/>
                <w:color w:val="auto"/>
              </w:rPr>
            </w:pPr>
            <w:r>
              <w:rPr>
                <w:rFonts w:ascii="Arial" w:cs="Arial" w:eastAsia="Arial" w:hAnsi="Arial"/>
                <w:sz w:val="14"/>
                <w:szCs w:val="14"/>
                <w:color w:val="auto"/>
                <w:w w:val="90"/>
              </w:rPr>
              <w:t>(28)%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334</w:t>
            </w:r>
          </w:p>
        </w:tc>
        <w:tc>
          <w:tcPr>
            <w:tcW w:w="260" w:type="dxa"/>
            <w:vAlign w:val="bottom"/>
          </w:tcPr>
          <w:p>
            <w:pPr>
              <w:spacing w:after="0"/>
              <w:rPr>
                <w:sz w:val="17"/>
                <w:szCs w:val="17"/>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463</w:t>
            </w: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60"/>
          </w:cols>
          <w:pgMar w:left="320" w:top="696" w:right="319" w:bottom="1440" w:gutter="0" w:footer="0" w:header="0"/>
        </w:sectPr>
      </w:pPr>
    </w:p>
    <w:bookmarkStart w:id="53" w:name="page54"/>
    <w:bookmarkEnd w:id="53"/>
    <w:p>
      <w:pPr>
        <w:jc w:val="both"/>
        <w:ind w:firstLine="564"/>
        <w:spacing w:after="0" w:line="328" w:lineRule="auto"/>
        <w:rPr>
          <w:sz w:val="20"/>
          <w:szCs w:val="20"/>
          <w:color w:val="auto"/>
        </w:rPr>
      </w:pPr>
      <w:r>
        <w:rPr>
          <w:rFonts w:ascii="Arial" w:cs="Arial" w:eastAsia="Arial" w:hAnsi="Arial"/>
          <w:sz w:val="13"/>
          <w:szCs w:val="13"/>
          <w:color w:val="auto"/>
        </w:rPr>
        <w:t>Sales and marketing - business expenses decreased by 27% to $27.5 million in the three months ended September 30, 2020 from $37.5 million in the comparable period in 2019. This variance was primarily attributable to a decrease in salary, recruitment, and related employee expenses of approximately $3.8 million, a decrease in travel expense of approximately $2.1 million, a decrease in business services of approximately $1.9 million, a decrease in in marketing expense of approximately $1.4 million, and a decrease in bonus expense and benefits of approximately $1.1 million. This was partially offset by an increase in outsourced subcontracted labor of approximately $0.3 million.</w:t>
      </w:r>
    </w:p>
    <w:p>
      <w:pPr>
        <w:spacing w:after="0" w:line="29"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Sales and marketing - business expenses decreased by 9% to $93.9 million in the nine months ended September 30, 2020 from $103.2 million in the comparable period in 2019. This variance was primarily attributable to a decrease of salary and recruitment of approximately $6.1 million, a decrease of marketing expense of approximately $4.3 million and a decrease in outsourced subcontracted of approximately $2.6 million. This was partially offset by an increase in commission expense of approximately of $4.1 million and depreciation of approximately $0.5 million.</w:t>
      </w:r>
    </w:p>
    <w:p>
      <w:pPr>
        <w:spacing w:after="0" w:line="74" w:lineRule="exact"/>
        <w:rPr>
          <w:sz w:val="20"/>
          <w:szCs w:val="20"/>
          <w:color w:val="auto"/>
        </w:rPr>
      </w:pPr>
    </w:p>
    <w:p>
      <w:pPr>
        <w:ind w:right="440" w:firstLine="564"/>
        <w:spacing w:after="0" w:line="299" w:lineRule="auto"/>
        <w:rPr>
          <w:sz w:val="20"/>
          <w:szCs w:val="20"/>
          <w:color w:val="auto"/>
        </w:rPr>
      </w:pPr>
      <w:r>
        <w:rPr>
          <w:rFonts w:ascii="Arial" w:cs="Arial" w:eastAsia="Arial" w:hAnsi="Arial"/>
          <w:sz w:val="15"/>
          <w:szCs w:val="15"/>
          <w:color w:val="auto"/>
        </w:rPr>
        <w:t>The Company delayed its planned marketing events due to the COVID-19 pandemic during the first half of the year, and has also seen an impact in terms of the on-boarding and hiring of new employees. The Company has been able to adjust its marketing and hiring efforts in this new environment going forward.</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Sales and Marketing - Consumer</w:t>
      </w:r>
    </w:p>
    <w:p>
      <w:pPr>
        <w:spacing w:after="0" w:line="9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Our sales and marketing expenses consist of compensation and related expenses for marketing personnel, as well as online promotion, public relations and allocated occupancy costs and related overhead.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457"/>
              <w:spacing w:after="0"/>
              <w:rPr>
                <w:sz w:val="20"/>
                <w:szCs w:val="20"/>
                <w:color w:val="auto"/>
              </w:rPr>
            </w:pPr>
            <w:r>
              <w:rPr>
                <w:rFonts w:ascii="Arial" w:cs="Arial" w:eastAsia="Arial" w:hAnsi="Arial"/>
                <w:sz w:val="13"/>
                <w:szCs w:val="13"/>
                <w:b w:val="1"/>
                <w:bCs w:val="1"/>
                <w:color w:val="auto"/>
              </w:rPr>
              <w:t>Three Months Ended September 30,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477"/>
              <w:spacing w:after="0"/>
              <w:rPr>
                <w:sz w:val="20"/>
                <w:szCs w:val="20"/>
                <w:color w:val="auto"/>
              </w:rPr>
            </w:pPr>
            <w:r>
              <w:rPr>
                <w:rFonts w:ascii="Arial" w:cs="Arial" w:eastAsia="Arial" w:hAnsi="Arial"/>
                <w:sz w:val="13"/>
                <w:szCs w:val="13"/>
                <w:b w:val="1"/>
                <w:bCs w:val="1"/>
                <w:color w:val="auto"/>
              </w:rPr>
              <w:t>Nine Months Ended September 30,</w:t>
            </w:r>
          </w:p>
        </w:tc>
      </w:tr>
      <w:tr>
        <w:trPr>
          <w:trHeight w:val="227"/>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333"/>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7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1040" w:type="dxa"/>
            <w:vAlign w:val="bottom"/>
            <w:gridSpan w:val="2"/>
          </w:tcPr>
          <w:p>
            <w:pPr>
              <w:ind w:left="180"/>
              <w:spacing w:after="0"/>
              <w:rPr>
                <w:sz w:val="20"/>
                <w:szCs w:val="20"/>
                <w:color w:val="auto"/>
              </w:rPr>
            </w:pPr>
            <w:r>
              <w:rPr>
                <w:rFonts w:ascii="Arial" w:cs="Arial" w:eastAsia="Arial" w:hAnsi="Arial"/>
                <w:sz w:val="13"/>
                <w:szCs w:val="13"/>
                <w:b w:val="1"/>
                <w:bCs w:val="1"/>
                <w:color w:val="auto"/>
              </w:rPr>
              <w:t>% Change</w:t>
            </w:r>
          </w:p>
        </w:tc>
        <w:tc>
          <w:tcPr>
            <w:tcW w:w="220" w:type="dxa"/>
            <w:vAlign w:val="bottom"/>
          </w:tcPr>
          <w:p>
            <w:pPr>
              <w:spacing w:after="0"/>
              <w:rPr>
                <w:sz w:val="19"/>
                <w:szCs w:val="19"/>
                <w:color w:val="auto"/>
              </w:rPr>
            </w:pPr>
          </w:p>
        </w:tc>
        <w:tc>
          <w:tcPr>
            <w:tcW w:w="760" w:type="dxa"/>
            <w:vAlign w:val="bottom"/>
          </w:tcPr>
          <w:p>
            <w:pPr>
              <w:jc w:val="right"/>
              <w:ind w:right="333"/>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7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 Change</w:t>
            </w:r>
          </w:p>
        </w:tc>
      </w:tr>
      <w:tr>
        <w:trPr>
          <w:trHeight w:val="227"/>
        </w:trPr>
        <w:tc>
          <w:tcPr>
            <w:tcW w:w="5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3"/>
          </w:tcPr>
          <w:p>
            <w:pPr>
              <w:jc w:val="right"/>
              <w:ind w:right="451"/>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3"/>
          </w:tcPr>
          <w:p>
            <w:pPr>
              <w:jc w:val="right"/>
              <w:ind w:right="471"/>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04"/>
        </w:trPr>
        <w:tc>
          <w:tcPr>
            <w:tcW w:w="5200" w:type="dxa"/>
            <w:vAlign w:val="bottom"/>
          </w:tcPr>
          <w:p>
            <w:pPr>
              <w:ind w:left="20"/>
              <w:spacing w:after="0"/>
              <w:rPr>
                <w:sz w:val="20"/>
                <w:szCs w:val="20"/>
                <w:color w:val="auto"/>
              </w:rPr>
            </w:pPr>
            <w:r>
              <w:rPr>
                <w:rFonts w:ascii="Arial" w:cs="Arial" w:eastAsia="Arial" w:hAnsi="Arial"/>
                <w:sz w:val="14"/>
                <w:szCs w:val="14"/>
                <w:color w:val="auto"/>
              </w:rPr>
              <w:t>Sales and marketing - consumer</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5,250</w:t>
            </w:r>
          </w:p>
        </w:tc>
        <w:tc>
          <w:tcPr>
            <w:tcW w:w="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4,262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16,153</w:t>
            </w:r>
          </w:p>
        </w:tc>
        <w:tc>
          <w:tcPr>
            <w:tcW w:w="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10,982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47%</w:t>
            </w:r>
          </w:p>
        </w:tc>
      </w:tr>
      <w:tr>
        <w:trPr>
          <w:trHeight w:val="29"/>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5"/>
        </w:trPr>
        <w:tc>
          <w:tcPr>
            <w:tcW w:w="5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Percentage of total revenue</w:t>
            </w:r>
          </w:p>
        </w:tc>
        <w:tc>
          <w:tcPr>
            <w:tcW w:w="22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CCFFCC"/>
            </w:tcBorders>
            <w:shd w:val="clear" w:color="auto" w:fill="CCFFCC"/>
          </w:tcPr>
          <w:p>
            <w:pPr>
              <w:spacing w:after="0"/>
              <w:rPr>
                <w:sz w:val="18"/>
                <w:szCs w:val="18"/>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4"/>
                <w:szCs w:val="14"/>
                <w:color w:val="auto"/>
              </w:rPr>
              <w:t>Headcount (at period end):</w:t>
            </w:r>
          </w:p>
        </w:tc>
        <w:tc>
          <w:tcPr>
            <w:tcW w:w="22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7"/>
                <w:szCs w:val="17"/>
                <w:color w:val="auto"/>
              </w:rPr>
            </w:pP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15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7"/>
                <w:szCs w:val="17"/>
                <w:color w:val="auto"/>
              </w:rPr>
            </w:pP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15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13%</w:t>
            </w:r>
          </w:p>
        </w:tc>
      </w:tr>
    </w:tbl>
    <w:p>
      <w:pPr>
        <w:spacing w:after="0" w:line="110" w:lineRule="exact"/>
        <w:rPr>
          <w:sz w:val="20"/>
          <w:szCs w:val="20"/>
          <w:color w:val="auto"/>
        </w:rPr>
      </w:pPr>
    </w:p>
    <w:p>
      <w:pPr>
        <w:jc w:val="both"/>
        <w:ind w:right="20" w:firstLine="564"/>
        <w:spacing w:after="0" w:line="299" w:lineRule="auto"/>
        <w:rPr>
          <w:sz w:val="20"/>
          <w:szCs w:val="20"/>
          <w:color w:val="auto"/>
        </w:rPr>
      </w:pPr>
      <w:r>
        <w:rPr>
          <w:rFonts w:ascii="Arial" w:cs="Arial" w:eastAsia="Arial" w:hAnsi="Arial"/>
          <w:sz w:val="15"/>
          <w:szCs w:val="15"/>
          <w:color w:val="auto"/>
        </w:rPr>
        <w:t>Sales and marketing - consumer expenses increased by 23% to $5.3 million in the three months ended September 30, 2020 from $4.3 million in the comparable period in 2019. This variance was primarily attributable to increases in marketing and outsourced subcontracted labor expenses of approximately $0.9 million.</w:t>
      </w:r>
    </w:p>
    <w:p>
      <w:pPr>
        <w:spacing w:after="0" w:line="40" w:lineRule="exact"/>
        <w:rPr>
          <w:sz w:val="20"/>
          <w:szCs w:val="20"/>
          <w:color w:val="auto"/>
        </w:rPr>
      </w:pPr>
    </w:p>
    <w:p>
      <w:pPr>
        <w:jc w:val="both"/>
        <w:ind w:right="20" w:firstLine="564"/>
        <w:spacing w:after="0" w:line="252" w:lineRule="auto"/>
        <w:rPr>
          <w:sz w:val="20"/>
          <w:szCs w:val="20"/>
          <w:color w:val="auto"/>
        </w:rPr>
      </w:pPr>
      <w:r>
        <w:rPr>
          <w:rFonts w:ascii="Arial" w:cs="Arial" w:eastAsia="Arial" w:hAnsi="Arial"/>
          <w:sz w:val="16"/>
          <w:szCs w:val="16"/>
          <w:color w:val="auto"/>
        </w:rPr>
        <w:t>Sales and marketing - consumer expenses increased by 47% to $16.2 million in the nine months ended September 30, 2020 from $11.0 million in the comparable period in 2019. This variance was primarily attributable to increases in marketing expenses of approximately $4.8 million, an increase in outsourced subcontracted labor expenses of approximately $0.2 million, an increase in software expense and credit card processing fees of approximately $0.1 million, and an increase in salary and benefits of approximately $0.1 million.</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General and Administrative</w:t>
      </w:r>
    </w:p>
    <w:p>
      <w:pPr>
        <w:spacing w:after="0" w:line="9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Our general and administrative expenses consist of compensation and related expenses for executive, accounting, legal, human resources and administrative personnel, professional fees and other general corporate expenses.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ind w:left="320"/>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right"/>
              <w:ind w:right="517"/>
              <w:spacing w:after="0"/>
              <w:rPr>
                <w:sz w:val="20"/>
                <w:szCs w:val="20"/>
                <w:color w:val="auto"/>
              </w:rPr>
            </w:pPr>
            <w:r>
              <w:rPr>
                <w:rFonts w:ascii="Arial" w:cs="Arial" w:eastAsia="Arial" w:hAnsi="Arial"/>
                <w:sz w:val="13"/>
                <w:szCs w:val="13"/>
                <w:b w:val="1"/>
                <w:bCs w:val="1"/>
                <w:color w:val="auto"/>
              </w:rPr>
              <w:t>Nine Months Ended September 30,</w:t>
            </w:r>
          </w:p>
        </w:tc>
      </w:tr>
      <w:tr>
        <w:trPr>
          <w:trHeight w:val="227"/>
        </w:trPr>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13"/>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9"/>
                <w:szCs w:val="19"/>
                <w:color w:val="auto"/>
              </w:rPr>
            </w:pPr>
          </w:p>
        </w:tc>
        <w:tc>
          <w:tcPr>
            <w:tcW w:w="700" w:type="dxa"/>
            <w:vAlign w:val="bottom"/>
          </w:tcPr>
          <w:p>
            <w:pPr>
              <w:jc w:val="right"/>
              <w:ind w:right="27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rPr>
              <w:t>% Change</w:t>
            </w:r>
          </w:p>
        </w:tc>
        <w:tc>
          <w:tcPr>
            <w:tcW w:w="760" w:type="dxa"/>
            <w:vAlign w:val="bottom"/>
          </w:tcPr>
          <w:p>
            <w:pPr>
              <w:jc w:val="right"/>
              <w:ind w:right="313"/>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9"/>
                <w:szCs w:val="19"/>
                <w:color w:val="auto"/>
              </w:rPr>
            </w:pPr>
          </w:p>
        </w:tc>
        <w:tc>
          <w:tcPr>
            <w:tcW w:w="720" w:type="dxa"/>
            <w:vAlign w:val="bottom"/>
          </w:tcPr>
          <w:p>
            <w:pPr>
              <w:jc w:val="right"/>
              <w:ind w:right="27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980" w:type="dxa"/>
            <w:vAlign w:val="bottom"/>
          </w:tcPr>
          <w:p>
            <w:pPr>
              <w:jc w:val="right"/>
              <w:ind w:right="157"/>
              <w:spacing w:after="0"/>
              <w:rPr>
                <w:sz w:val="20"/>
                <w:szCs w:val="20"/>
                <w:color w:val="auto"/>
              </w:rPr>
            </w:pPr>
            <w:r>
              <w:rPr>
                <w:rFonts w:ascii="Arial" w:cs="Arial" w:eastAsia="Arial" w:hAnsi="Arial"/>
                <w:sz w:val="13"/>
                <w:szCs w:val="13"/>
                <w:b w:val="1"/>
                <w:bCs w:val="1"/>
                <w:color w:val="auto"/>
              </w:rPr>
              <w:t>% Change</w:t>
            </w:r>
          </w:p>
        </w:tc>
      </w:tr>
      <w:tr>
        <w:trPr>
          <w:trHeight w:val="227"/>
        </w:trPr>
        <w:tc>
          <w:tcPr>
            <w:tcW w:w="5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3"/>
          </w:tcPr>
          <w:p>
            <w:pPr>
              <w:jc w:val="right"/>
              <w:ind w:right="471"/>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04"/>
        </w:trPr>
        <w:tc>
          <w:tcPr>
            <w:tcW w:w="51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3"/>
              <w:spacing w:after="0"/>
              <w:rPr>
                <w:sz w:val="20"/>
                <w:szCs w:val="20"/>
                <w:color w:val="auto"/>
              </w:rPr>
            </w:pPr>
            <w:r>
              <w:rPr>
                <w:rFonts w:ascii="Arial" w:cs="Arial" w:eastAsia="Arial" w:hAnsi="Arial"/>
                <w:sz w:val="14"/>
                <w:szCs w:val="14"/>
                <w:color w:val="auto"/>
              </w:rPr>
              <w:t>14,891</w:t>
            </w: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13,958</w:t>
            </w:r>
          </w:p>
        </w:tc>
        <w:tc>
          <w:tcPr>
            <w:tcW w:w="1380" w:type="dxa"/>
            <w:vAlign w:val="bottom"/>
            <w:gridSpan w:val="4"/>
          </w:tcPr>
          <w:p>
            <w:pPr>
              <w:jc w:val="right"/>
              <w:ind w:right="120"/>
              <w:spacing w:after="0"/>
              <w:rPr>
                <w:sz w:val="20"/>
                <w:szCs w:val="20"/>
                <w:color w:val="auto"/>
              </w:rPr>
            </w:pPr>
            <w:r>
              <w:rPr>
                <w:rFonts w:ascii="Arial" w:cs="Arial" w:eastAsia="Arial" w:hAnsi="Arial"/>
                <w:sz w:val="14"/>
                <w:szCs w:val="14"/>
                <w:color w:val="auto"/>
              </w:rPr>
              <w:t>7 %   $</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47,713</w:t>
            </w:r>
          </w:p>
        </w:tc>
        <w:tc>
          <w:tcPr>
            <w:tcW w:w="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41,889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14 %</w:t>
            </w:r>
          </w:p>
        </w:tc>
      </w:tr>
      <w:tr>
        <w:trPr>
          <w:trHeight w:val="29"/>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5"/>
        </w:trPr>
        <w:tc>
          <w:tcPr>
            <w:tcW w:w="51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Percentage of total revenue</w:t>
            </w:r>
          </w:p>
        </w:tc>
        <w:tc>
          <w:tcPr>
            <w:tcW w:w="22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16%</w:t>
            </w:r>
          </w:p>
        </w:tc>
        <w:tc>
          <w:tcPr>
            <w:tcW w:w="28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4"/>
                <w:szCs w:val="14"/>
                <w:color w:val="auto"/>
              </w:rPr>
              <w:t>18%</w:t>
            </w:r>
          </w:p>
        </w:tc>
        <w:tc>
          <w:tcPr>
            <w:tcW w:w="260" w:type="dxa"/>
            <w:vAlign w:val="bottom"/>
            <w:tcBorders>
              <w:bottom w:val="single" w:sz="8" w:color="CCFFCC"/>
            </w:tcBorders>
            <w:shd w:val="clear" w:color="auto" w:fill="CCFFCC"/>
          </w:tcPr>
          <w:p>
            <w:pPr>
              <w:spacing w:after="0"/>
              <w:rPr>
                <w:sz w:val="18"/>
                <w:szCs w:val="18"/>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FFCC"/>
            </w:tcBorders>
            <w:shd w:val="clear" w:color="auto" w:fill="CCFFCC"/>
          </w:tcPr>
          <w:p>
            <w:pPr>
              <w:spacing w:after="0"/>
              <w:rPr>
                <w:sz w:val="18"/>
                <w:szCs w:val="18"/>
                <w:color w:val="auto"/>
              </w:rPr>
            </w:pPr>
          </w:p>
        </w:tc>
        <w:tc>
          <w:tcPr>
            <w:tcW w:w="980" w:type="dxa"/>
            <w:vAlign w:val="bottom"/>
            <w:tcBorders>
              <w:bottom w:val="single" w:sz="8" w:color="CCFFCC"/>
            </w:tcBorders>
            <w:shd w:val="clear" w:color="auto" w:fill="CCFFCC"/>
          </w:tcPr>
          <w:p>
            <w:pPr>
              <w:spacing w:after="0"/>
              <w:rPr>
                <w:sz w:val="18"/>
                <w:szCs w:val="18"/>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4"/>
                <w:szCs w:val="14"/>
                <w:color w:val="auto"/>
              </w:rPr>
              <w:t>Headcount (at period end):</w:t>
            </w:r>
          </w:p>
        </w:tc>
        <w:tc>
          <w:tcPr>
            <w:tcW w:w="220" w:type="dxa"/>
            <w:vAlign w:val="bottom"/>
          </w:tcPr>
          <w:p>
            <w:pPr>
              <w:spacing w:after="0"/>
              <w:rPr>
                <w:sz w:val="17"/>
                <w:szCs w:val="17"/>
                <w:color w:val="auto"/>
              </w:rPr>
            </w:pPr>
          </w:p>
        </w:tc>
        <w:tc>
          <w:tcPr>
            <w:tcW w:w="740" w:type="dxa"/>
            <w:vAlign w:val="bottom"/>
          </w:tcPr>
          <w:p>
            <w:pPr>
              <w:jc w:val="right"/>
              <w:ind w:right="113"/>
              <w:spacing w:after="0"/>
              <w:rPr>
                <w:sz w:val="20"/>
                <w:szCs w:val="20"/>
                <w:color w:val="auto"/>
              </w:rPr>
            </w:pPr>
            <w:r>
              <w:rPr>
                <w:rFonts w:ascii="Arial" w:cs="Arial" w:eastAsia="Arial" w:hAnsi="Arial"/>
                <w:sz w:val="14"/>
                <w:szCs w:val="14"/>
                <w:color w:val="auto"/>
              </w:rPr>
              <w:t>141</w:t>
            </w:r>
          </w:p>
        </w:tc>
        <w:tc>
          <w:tcPr>
            <w:tcW w:w="280" w:type="dxa"/>
            <w:vAlign w:val="bottom"/>
          </w:tcPr>
          <w:p>
            <w:pPr>
              <w:spacing w:after="0"/>
              <w:rPr>
                <w:sz w:val="17"/>
                <w:szCs w:val="17"/>
                <w:color w:val="auto"/>
              </w:rPr>
            </w:pP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159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141</w:t>
            </w:r>
          </w:p>
        </w:tc>
        <w:tc>
          <w:tcPr>
            <w:tcW w:w="260" w:type="dxa"/>
            <w:vAlign w:val="bottom"/>
          </w:tcPr>
          <w:p>
            <w:pPr>
              <w:spacing w:after="0"/>
              <w:rPr>
                <w:sz w:val="17"/>
                <w:szCs w:val="17"/>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159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w:t>
            </w:r>
          </w:p>
        </w:tc>
      </w:tr>
    </w:tbl>
    <w:p>
      <w:pPr>
        <w:spacing w:after="0" w:line="110" w:lineRule="exact"/>
        <w:rPr>
          <w:sz w:val="20"/>
          <w:szCs w:val="20"/>
          <w:color w:val="auto"/>
        </w:rPr>
      </w:pPr>
    </w:p>
    <w:p>
      <w:pPr>
        <w:jc w:val="both"/>
        <w:ind w:right="20" w:firstLine="564"/>
        <w:spacing w:after="0" w:line="255" w:lineRule="auto"/>
        <w:rPr>
          <w:sz w:val="20"/>
          <w:szCs w:val="20"/>
          <w:color w:val="auto"/>
        </w:rPr>
      </w:pPr>
      <w:r>
        <w:rPr>
          <w:rFonts w:ascii="Arial" w:cs="Arial" w:eastAsia="Arial" w:hAnsi="Arial"/>
          <w:sz w:val="16"/>
          <w:szCs w:val="16"/>
          <w:color w:val="auto"/>
        </w:rPr>
        <w:t>General and administrative expenses increased by 7% to $14.9 million in the three months ended September 30, 2020 from $14.0 million in the comparable period in 2019. This variance was primarily attributable to an increase in total compensation of approximately $1.0 million and an increase in business services of approximately $0.3 million. This was partially offset by a decrease in travel and employee related expenses of approximately $0.4 million.</w:t>
      </w:r>
    </w:p>
    <w:p>
      <w:pPr>
        <w:spacing w:after="0" w:line="72"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General and administrative expenses increased by 14% to $47.7 million in the nine months ended September 30, 2020 from $41.9 million in the comparable period in 2019. This variance was primarily attributable to an increase in salary and total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60"/>
          </w:cols>
          <w:pgMar w:left="320" w:top="503" w:right="319" w:bottom="1440" w:gutter="0" w:footer="0" w:header="0"/>
        </w:sectPr>
      </w:pPr>
    </w:p>
    <w:bookmarkStart w:id="54" w:name="page55"/>
    <w:bookmarkEnd w:id="54"/>
    <w:p>
      <w:pPr>
        <w:spacing w:after="0"/>
        <w:rPr>
          <w:sz w:val="20"/>
          <w:szCs w:val="20"/>
          <w:color w:val="auto"/>
        </w:rPr>
      </w:pPr>
      <w:r>
        <w:rPr>
          <w:rFonts w:ascii="Arial" w:cs="Arial" w:eastAsia="Arial" w:hAnsi="Arial"/>
          <w:sz w:val="13"/>
          <w:szCs w:val="13"/>
          <w:color w:val="auto"/>
        </w:rPr>
        <w:t>compensation of approximately $3.7 million, an increase in business services of approximately $1.4 million, and an increase in software expense of approximately $0.7 million.</w:t>
      </w:r>
    </w:p>
    <w:p>
      <w:pPr>
        <w:spacing w:after="0" w:line="133" w:lineRule="exact"/>
        <w:rPr>
          <w:sz w:val="20"/>
          <w:szCs w:val="20"/>
          <w:color w:val="auto"/>
        </w:rPr>
      </w:pPr>
    </w:p>
    <w:p>
      <w:pPr>
        <w:jc w:val="both"/>
        <w:ind w:right="140" w:firstLine="564"/>
        <w:spacing w:after="0" w:line="255" w:lineRule="auto"/>
        <w:rPr>
          <w:sz w:val="20"/>
          <w:szCs w:val="20"/>
          <w:color w:val="auto"/>
        </w:rPr>
      </w:pPr>
      <w:r>
        <w:rPr>
          <w:rFonts w:ascii="Arial" w:cs="Arial" w:eastAsia="Arial" w:hAnsi="Arial"/>
          <w:sz w:val="16"/>
          <w:szCs w:val="16"/>
          <w:color w:val="auto"/>
        </w:rPr>
        <w:t>The General and administrative expense as a percentage of revenue has decreased primarily as a result our continued deferral of hiring, outside of core growth areas, as our internal automation initiatives have enhanced employee productivity. Additionally, the reduction in rent expense after officially transitioning to a "work from home" model in the three month period ended September 30, 2020, also contributed to the decrease.</w:t>
      </w:r>
    </w:p>
    <w:p>
      <w:pPr>
        <w:spacing w:after="0" w:line="260"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Product Development</w:t>
      </w:r>
    </w:p>
    <w:p>
      <w:pPr>
        <w:spacing w:after="0" w:line="98"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457"/>
              <w:spacing w:after="0"/>
              <w:rPr>
                <w:sz w:val="20"/>
                <w:szCs w:val="20"/>
                <w:color w:val="auto"/>
              </w:rPr>
            </w:pPr>
            <w:r>
              <w:rPr>
                <w:rFonts w:ascii="Arial" w:cs="Arial" w:eastAsia="Arial" w:hAnsi="Arial"/>
                <w:sz w:val="13"/>
                <w:szCs w:val="13"/>
                <w:b w:val="1"/>
                <w:bCs w:val="1"/>
                <w:color w:val="auto"/>
              </w:rPr>
              <w:t>Three Months Ended September 30,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477"/>
              <w:spacing w:after="0"/>
              <w:rPr>
                <w:sz w:val="20"/>
                <w:szCs w:val="20"/>
                <w:color w:val="auto"/>
              </w:rPr>
            </w:pPr>
            <w:r>
              <w:rPr>
                <w:rFonts w:ascii="Arial" w:cs="Arial" w:eastAsia="Arial" w:hAnsi="Arial"/>
                <w:sz w:val="13"/>
                <w:szCs w:val="13"/>
                <w:b w:val="1"/>
                <w:bCs w:val="1"/>
                <w:color w:val="auto"/>
              </w:rPr>
              <w:t>Nine Months Ended September 30,</w:t>
            </w:r>
          </w:p>
        </w:tc>
      </w:tr>
      <w:tr>
        <w:trPr>
          <w:trHeight w:val="227"/>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333"/>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7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1040" w:type="dxa"/>
            <w:vAlign w:val="bottom"/>
            <w:gridSpan w:val="2"/>
          </w:tcPr>
          <w:p>
            <w:pPr>
              <w:ind w:left="180"/>
              <w:spacing w:after="0"/>
              <w:rPr>
                <w:sz w:val="20"/>
                <w:szCs w:val="20"/>
                <w:color w:val="auto"/>
              </w:rPr>
            </w:pPr>
            <w:r>
              <w:rPr>
                <w:rFonts w:ascii="Arial" w:cs="Arial" w:eastAsia="Arial" w:hAnsi="Arial"/>
                <w:sz w:val="13"/>
                <w:szCs w:val="13"/>
                <w:b w:val="1"/>
                <w:bCs w:val="1"/>
                <w:color w:val="auto"/>
              </w:rPr>
              <w:t>% Change</w:t>
            </w:r>
          </w:p>
        </w:tc>
        <w:tc>
          <w:tcPr>
            <w:tcW w:w="220" w:type="dxa"/>
            <w:vAlign w:val="bottom"/>
          </w:tcPr>
          <w:p>
            <w:pPr>
              <w:spacing w:after="0"/>
              <w:rPr>
                <w:sz w:val="19"/>
                <w:szCs w:val="19"/>
                <w:color w:val="auto"/>
              </w:rPr>
            </w:pPr>
          </w:p>
        </w:tc>
        <w:tc>
          <w:tcPr>
            <w:tcW w:w="760" w:type="dxa"/>
            <w:vAlign w:val="bottom"/>
          </w:tcPr>
          <w:p>
            <w:pPr>
              <w:jc w:val="right"/>
              <w:ind w:right="333"/>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7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 Change</w:t>
            </w:r>
          </w:p>
        </w:tc>
      </w:tr>
      <w:tr>
        <w:trPr>
          <w:trHeight w:val="227"/>
        </w:trPr>
        <w:tc>
          <w:tcPr>
            <w:tcW w:w="5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3"/>
          </w:tcPr>
          <w:p>
            <w:pPr>
              <w:jc w:val="right"/>
              <w:ind w:right="451"/>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3"/>
          </w:tcPr>
          <w:p>
            <w:pPr>
              <w:jc w:val="right"/>
              <w:ind w:right="471"/>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04"/>
        </w:trPr>
        <w:tc>
          <w:tcPr>
            <w:tcW w:w="5200" w:type="dxa"/>
            <w:vAlign w:val="bottom"/>
          </w:tcPr>
          <w:p>
            <w:pPr>
              <w:ind w:left="20"/>
              <w:spacing w:after="0"/>
              <w:rPr>
                <w:sz w:val="20"/>
                <w:szCs w:val="20"/>
                <w:color w:val="auto"/>
              </w:rPr>
            </w:pPr>
            <w:r>
              <w:rPr>
                <w:rFonts w:ascii="Arial" w:cs="Arial" w:eastAsia="Arial" w:hAnsi="Arial"/>
                <w:sz w:val="14"/>
                <w:szCs w:val="14"/>
                <w:color w:val="auto"/>
              </w:rPr>
              <w:t>Product development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27,736</w:t>
            </w:r>
          </w:p>
        </w:tc>
        <w:tc>
          <w:tcPr>
            <w:tcW w:w="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20,577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80,417</w:t>
            </w:r>
          </w:p>
        </w:tc>
        <w:tc>
          <w:tcPr>
            <w:tcW w:w="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58,932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36%</w:t>
            </w:r>
          </w:p>
        </w:tc>
      </w:tr>
      <w:tr>
        <w:trPr>
          <w:trHeight w:val="29"/>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5"/>
        </w:trPr>
        <w:tc>
          <w:tcPr>
            <w:tcW w:w="5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Percentage of total revenue</w:t>
            </w:r>
          </w:p>
        </w:tc>
        <w:tc>
          <w:tcPr>
            <w:tcW w:w="22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4"/>
                <w:szCs w:val="14"/>
                <w:color w:val="auto"/>
              </w:rPr>
              <w:t>29%</w:t>
            </w:r>
          </w:p>
        </w:tc>
        <w:tc>
          <w:tcPr>
            <w:tcW w:w="2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4"/>
                <w:szCs w:val="14"/>
                <w:color w:val="auto"/>
              </w:rPr>
              <w:t>30%</w:t>
            </w:r>
          </w:p>
        </w:tc>
        <w:tc>
          <w:tcPr>
            <w:tcW w:w="2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CCFFCC"/>
            </w:tcBorders>
            <w:shd w:val="clear" w:color="auto" w:fill="CCFFCC"/>
          </w:tcPr>
          <w:p>
            <w:pPr>
              <w:spacing w:after="0"/>
              <w:rPr>
                <w:sz w:val="18"/>
                <w:szCs w:val="18"/>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4"/>
                <w:szCs w:val="14"/>
                <w:color w:val="auto"/>
              </w:rPr>
              <w:t>Headcount (at period end):</w:t>
            </w:r>
          </w:p>
        </w:tc>
        <w:tc>
          <w:tcPr>
            <w:tcW w:w="22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467</w:t>
            </w:r>
          </w:p>
        </w:tc>
        <w:tc>
          <w:tcPr>
            <w:tcW w:w="260" w:type="dxa"/>
            <w:vAlign w:val="bottom"/>
          </w:tcPr>
          <w:p>
            <w:pPr>
              <w:spacing w:after="0"/>
              <w:rPr>
                <w:sz w:val="17"/>
                <w:szCs w:val="17"/>
                <w:color w:val="auto"/>
              </w:rPr>
            </w:pP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446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467</w:t>
            </w:r>
          </w:p>
        </w:tc>
        <w:tc>
          <w:tcPr>
            <w:tcW w:w="260" w:type="dxa"/>
            <w:vAlign w:val="bottom"/>
          </w:tcPr>
          <w:p>
            <w:pPr>
              <w:spacing w:after="0"/>
              <w:rPr>
                <w:sz w:val="17"/>
                <w:szCs w:val="17"/>
                <w:color w:val="auto"/>
              </w:rPr>
            </w:pP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446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w:t>
            </w:r>
          </w:p>
        </w:tc>
      </w:tr>
    </w:tbl>
    <w:p>
      <w:pPr>
        <w:spacing w:after="0" w:line="110" w:lineRule="exact"/>
        <w:rPr>
          <w:sz w:val="20"/>
          <w:szCs w:val="20"/>
          <w:color w:val="auto"/>
        </w:rPr>
      </w:pPr>
    </w:p>
    <w:p>
      <w:pPr>
        <w:jc w:val="both"/>
        <w:ind w:right="20" w:firstLine="564"/>
        <w:spacing w:after="0" w:line="255" w:lineRule="auto"/>
        <w:rPr>
          <w:sz w:val="20"/>
          <w:szCs w:val="20"/>
          <w:color w:val="auto"/>
        </w:rPr>
      </w:pPr>
      <w:r>
        <w:rPr>
          <w:rFonts w:ascii="Arial" w:cs="Arial" w:eastAsia="Arial" w:hAnsi="Arial"/>
          <w:sz w:val="16"/>
          <w:szCs w:val="16"/>
          <w:color w:val="auto"/>
        </w:rPr>
        <w:t>Product development costs increased by 35% to $27.7 million in the three months ended September 30, 2020 from $20.6 million in the comparable period in 2019. This variance was primarily attributable to increases in total compensation of approximately $4.1 million, outsourcing and business services of approximately $1.3 million, depreciation expense of approximately $1.3 million and hosting expense of approximately $0.4 million.</w:t>
      </w:r>
    </w:p>
    <w:p>
      <w:pPr>
        <w:spacing w:after="0" w:line="7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Product development costs increased by 36% to $80.4 million in the nine months ended September 30, 2020 from $58.9 million in the comparable period in 2019. This variance was primarily attributable to increases in total compensation, salary and benefits of approximately $17.1 million, and depreciation and software expense of approximately $4.4 million.</w:t>
      </w:r>
    </w:p>
    <w:p>
      <w:pPr>
        <w:spacing w:after="0" w:line="72"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We continue to invest in new product development efforts to expand the capability of Conversational Cloud. In accordance with ASC 350-40 - “Internal- Use Software,” as new projects are initiated that provide functionality to the Conversational Cloud platform, the associated development and employee costs will be capitalized. Upon completion, the project costs will be depreciated over five years. In the three and nine months ended September 30, 2020, $9.3 million and $26.5 million was capitalized, respectively, compared to $7.9 million and $20.8 million, respectively, in the comparable periods in 2019.</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Restructuring Costs</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Restructuring costs consist of reprioritizing and reallocating resources to focus on areas showing high growth potential.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457"/>
              <w:spacing w:after="0"/>
              <w:rPr>
                <w:sz w:val="20"/>
                <w:szCs w:val="20"/>
                <w:color w:val="auto"/>
              </w:rPr>
            </w:pPr>
            <w:r>
              <w:rPr>
                <w:rFonts w:ascii="Arial" w:cs="Arial" w:eastAsia="Arial" w:hAnsi="Arial"/>
                <w:sz w:val="13"/>
                <w:szCs w:val="13"/>
                <w:b w:val="1"/>
                <w:bCs w:val="1"/>
                <w:color w:val="auto"/>
              </w:rPr>
              <w:t>Three Months Ended September 30,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477"/>
              <w:spacing w:after="0"/>
              <w:rPr>
                <w:sz w:val="20"/>
                <w:szCs w:val="20"/>
                <w:color w:val="auto"/>
              </w:rPr>
            </w:pPr>
            <w:r>
              <w:rPr>
                <w:rFonts w:ascii="Arial" w:cs="Arial" w:eastAsia="Arial" w:hAnsi="Arial"/>
                <w:sz w:val="13"/>
                <w:szCs w:val="13"/>
                <w:b w:val="1"/>
                <w:bCs w:val="1"/>
                <w:color w:val="auto"/>
              </w:rPr>
              <w:t>Nine Months Ended September 30,</w:t>
            </w:r>
          </w:p>
        </w:tc>
      </w:tr>
      <w:tr>
        <w:trPr>
          <w:trHeight w:val="227"/>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334"/>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72"/>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3"/>
                <w:szCs w:val="13"/>
                <w:b w:val="1"/>
                <w:bCs w:val="1"/>
                <w:color w:val="auto"/>
              </w:rPr>
              <w:t>% Change</w:t>
            </w:r>
          </w:p>
        </w:tc>
        <w:tc>
          <w:tcPr>
            <w:tcW w:w="760" w:type="dxa"/>
            <w:vAlign w:val="bottom"/>
          </w:tcPr>
          <w:p>
            <w:pPr>
              <w:jc w:val="right"/>
              <w:ind w:right="334"/>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72"/>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 Change</w:t>
            </w:r>
          </w:p>
        </w:tc>
      </w:tr>
      <w:tr>
        <w:trPr>
          <w:trHeight w:val="227"/>
        </w:trPr>
        <w:tc>
          <w:tcPr>
            <w:tcW w:w="5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3"/>
          </w:tcPr>
          <w:p>
            <w:pPr>
              <w:jc w:val="right"/>
              <w:ind w:right="452"/>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3"/>
          </w:tcPr>
          <w:p>
            <w:pPr>
              <w:jc w:val="right"/>
              <w:ind w:right="472"/>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04"/>
        </w:trPr>
        <w:tc>
          <w:tcPr>
            <w:tcW w:w="5200" w:type="dxa"/>
            <w:vAlign w:val="bottom"/>
          </w:tcPr>
          <w:p>
            <w:pPr>
              <w:ind w:left="20"/>
              <w:spacing w:after="0"/>
              <w:rPr>
                <w:sz w:val="20"/>
                <w:szCs w:val="20"/>
                <w:color w:val="auto"/>
              </w:rPr>
            </w:pPr>
            <w:r>
              <w:rPr>
                <w:rFonts w:ascii="Arial" w:cs="Arial" w:eastAsia="Arial" w:hAnsi="Arial"/>
                <w:sz w:val="14"/>
                <w:szCs w:val="14"/>
                <w:color w:val="auto"/>
              </w:rPr>
              <w:t>Restructuring costs</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4"/>
              <w:spacing w:after="0"/>
              <w:rPr>
                <w:sz w:val="20"/>
                <w:szCs w:val="20"/>
                <w:color w:val="auto"/>
              </w:rPr>
            </w:pPr>
            <w:r>
              <w:rPr>
                <w:rFonts w:ascii="Arial" w:cs="Arial" w:eastAsia="Arial" w:hAnsi="Arial"/>
                <w:sz w:val="14"/>
                <w:szCs w:val="14"/>
                <w:color w:val="auto"/>
              </w:rPr>
              <w:t>26,442</w:t>
            </w:r>
          </w:p>
        </w:tc>
        <w:tc>
          <w:tcPr>
            <w:tcW w:w="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1,425</w:t>
            </w:r>
          </w:p>
        </w:tc>
        <w:tc>
          <w:tcPr>
            <w:tcW w:w="1360" w:type="dxa"/>
            <w:vAlign w:val="bottom"/>
            <w:gridSpan w:val="4"/>
          </w:tcPr>
          <w:p>
            <w:pPr>
              <w:jc w:val="right"/>
              <w:ind w:right="120"/>
              <w:spacing w:after="0"/>
              <w:rPr>
                <w:sz w:val="20"/>
                <w:szCs w:val="20"/>
                <w:color w:val="auto"/>
              </w:rPr>
            </w:pPr>
            <w:r>
              <w:rPr>
                <w:rFonts w:ascii="Arial" w:cs="Arial" w:eastAsia="Arial" w:hAnsi="Arial"/>
                <w:sz w:val="14"/>
                <w:szCs w:val="14"/>
                <w:color w:val="auto"/>
              </w:rPr>
              <w:t>1,756%  $</w:t>
            </w:r>
          </w:p>
        </w:tc>
        <w:tc>
          <w:tcPr>
            <w:tcW w:w="760" w:type="dxa"/>
            <w:vAlign w:val="bottom"/>
          </w:tcPr>
          <w:p>
            <w:pPr>
              <w:jc w:val="right"/>
              <w:ind w:right="134"/>
              <w:spacing w:after="0"/>
              <w:rPr>
                <w:sz w:val="20"/>
                <w:szCs w:val="20"/>
                <w:color w:val="auto"/>
              </w:rPr>
            </w:pPr>
            <w:r>
              <w:rPr>
                <w:rFonts w:ascii="Arial" w:cs="Arial" w:eastAsia="Arial" w:hAnsi="Arial"/>
                <w:sz w:val="14"/>
                <w:szCs w:val="14"/>
                <w:color w:val="auto"/>
              </w:rPr>
              <w:t>29,635</w:t>
            </w:r>
          </w:p>
        </w:tc>
        <w:tc>
          <w:tcPr>
            <w:tcW w:w="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1,909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1,452%</w:t>
            </w:r>
          </w:p>
        </w:tc>
      </w:tr>
      <w:tr>
        <w:trPr>
          <w:trHeight w:val="29"/>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7"/>
        </w:trPr>
        <w:tc>
          <w:tcPr>
            <w:tcW w:w="5200" w:type="dxa"/>
            <w:vAlign w:val="bottom"/>
            <w:shd w:val="clear" w:color="auto" w:fill="CCFFCC"/>
          </w:tcPr>
          <w:p>
            <w:pPr>
              <w:ind w:left="20"/>
              <w:spacing w:after="0"/>
              <w:rPr>
                <w:sz w:val="20"/>
                <w:szCs w:val="20"/>
                <w:color w:val="auto"/>
              </w:rPr>
            </w:pPr>
            <w:r>
              <w:rPr>
                <w:rFonts w:ascii="Arial" w:cs="Arial" w:eastAsia="Arial" w:hAnsi="Arial"/>
                <w:sz w:val="14"/>
                <w:szCs w:val="14"/>
                <w:color w:val="auto"/>
              </w:rPr>
              <w:t>Percentage of total revenue</w:t>
            </w:r>
          </w:p>
        </w:tc>
        <w:tc>
          <w:tcPr>
            <w:tcW w:w="22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14"/>
              <w:spacing w:after="0"/>
              <w:rPr>
                <w:sz w:val="20"/>
                <w:szCs w:val="20"/>
                <w:color w:val="auto"/>
              </w:rPr>
            </w:pPr>
            <w:r>
              <w:rPr>
                <w:rFonts w:ascii="Arial" w:cs="Arial" w:eastAsia="Arial" w:hAnsi="Arial"/>
                <w:sz w:val="14"/>
                <w:szCs w:val="14"/>
                <w:color w:val="auto"/>
              </w:rPr>
              <w:t>28%</w:t>
            </w:r>
          </w:p>
        </w:tc>
        <w:tc>
          <w:tcPr>
            <w:tcW w:w="26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14"/>
              <w:spacing w:after="0"/>
              <w:rPr>
                <w:sz w:val="20"/>
                <w:szCs w:val="20"/>
                <w:color w:val="auto"/>
              </w:rPr>
            </w:pPr>
            <w:r>
              <w:rPr>
                <w:rFonts w:ascii="Arial" w:cs="Arial" w:eastAsia="Arial" w:hAnsi="Arial"/>
                <w:sz w:val="14"/>
                <w:szCs w:val="14"/>
                <w:color w:val="auto"/>
              </w:rPr>
              <w:t>11%</w:t>
            </w:r>
          </w:p>
        </w:tc>
        <w:tc>
          <w:tcPr>
            <w:tcW w:w="26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r>
      <w:tr>
        <w:trPr>
          <w:trHeight w:val="29"/>
        </w:trPr>
        <w:tc>
          <w:tcPr>
            <w:tcW w:w="52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r>
    </w:tbl>
    <w:p>
      <w:pPr>
        <w:spacing w:after="0" w:line="81"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Restructuring costs increased by to approximately $26.4 million during the three months ended September 30, 2020 from $1.4 million in the comparable period in 2019, and increased to approximately $29.6 million during the nine months ended September 30, 2020, from $1.9 million in the comparable period in 2019. This variance was primarily attributable to an increase in restructuring costs related to lease abandonment, along with severance and other compensation costs.</w:t>
      </w:r>
    </w:p>
    <w:p>
      <w:pPr>
        <w:spacing w:after="0" w:line="149"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In response to the COVID-19 pandemic, the Company went through a re-evaluation of our real estate needs. In connection with this re-evaluation, and the success we have had working remotely, it was decided in July 2020 that we would significantly reduce the real estate space we lease. This decision resulted in the significant reduction of the real estate space we lease and the removal of the associated ROU assets. The majority of the restructuring costs noted above are the result of various one-time expenses in connection with the early termination of many of our leases towards an employee-centric work model.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60"/>
          </w:cols>
          <w:pgMar w:left="320" w:top="503" w:right="319" w:bottom="1440" w:gutter="0" w:footer="0" w:header="0"/>
        </w:sectPr>
      </w:pPr>
    </w:p>
    <w:bookmarkStart w:id="55" w:name="page56"/>
    <w:bookmarkEnd w:id="55"/>
    <w:p>
      <w:pPr>
        <w:ind w:left="560"/>
        <w:spacing w:after="0"/>
        <w:rPr>
          <w:sz w:val="20"/>
          <w:szCs w:val="20"/>
          <w:color w:val="auto"/>
        </w:rPr>
      </w:pPr>
      <w:r>
        <w:rPr>
          <w:rFonts w:ascii="Arial" w:cs="Arial" w:eastAsia="Arial" w:hAnsi="Arial"/>
          <w:sz w:val="16"/>
          <w:szCs w:val="16"/>
          <w:i w:val="1"/>
          <w:iCs w:val="1"/>
          <w:color w:val="auto"/>
        </w:rPr>
        <w:t>Amortization of Purchased Intangibles</w:t>
      </w:r>
    </w:p>
    <w:p>
      <w:pPr>
        <w:spacing w:after="0" w:line="244" w:lineRule="exact"/>
        <w:rPr>
          <w:sz w:val="20"/>
          <w:szCs w:val="20"/>
          <w:color w:val="auto"/>
        </w:rPr>
      </w:pPr>
    </w:p>
    <w:tbl>
      <w:tblPr>
        <w:tblLayout w:type="fixed"/>
        <w:tblInd w:w="48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Three Months Ended September 30,</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jc w:val="right"/>
              <w:ind w:right="517"/>
              <w:spacing w:after="0"/>
              <w:rPr>
                <w:sz w:val="20"/>
                <w:szCs w:val="20"/>
                <w:color w:val="auto"/>
              </w:rPr>
            </w:pPr>
            <w:r>
              <w:rPr>
                <w:rFonts w:ascii="Arial" w:cs="Arial" w:eastAsia="Arial" w:hAnsi="Arial"/>
                <w:sz w:val="13"/>
                <w:szCs w:val="13"/>
                <w:b w:val="1"/>
                <w:bCs w:val="1"/>
                <w:color w:val="auto"/>
              </w:rPr>
              <w:t>Nine Months Ended September 30,</w:t>
            </w:r>
          </w:p>
        </w:tc>
      </w:tr>
      <w:tr>
        <w:trPr>
          <w:trHeight w:val="227"/>
        </w:trPr>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ind w:left="140"/>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9"/>
                <w:szCs w:val="19"/>
                <w:color w:val="auto"/>
              </w:rPr>
            </w:pPr>
          </w:p>
        </w:tc>
        <w:tc>
          <w:tcPr>
            <w:tcW w:w="720" w:type="dxa"/>
            <w:vAlign w:val="bottom"/>
          </w:tcPr>
          <w:p>
            <w:pPr>
              <w:jc w:val="right"/>
              <w:ind w:right="272"/>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130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rPr>
              <w:t>% Change</w:t>
            </w:r>
          </w:p>
        </w:tc>
        <w:tc>
          <w:tcPr>
            <w:tcW w:w="780" w:type="dxa"/>
            <w:vAlign w:val="bottom"/>
          </w:tcPr>
          <w:p>
            <w:pPr>
              <w:jc w:val="right"/>
              <w:ind w:right="334"/>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9"/>
                <w:szCs w:val="19"/>
                <w:color w:val="auto"/>
              </w:rPr>
            </w:pPr>
          </w:p>
        </w:tc>
        <w:tc>
          <w:tcPr>
            <w:tcW w:w="740" w:type="dxa"/>
            <w:vAlign w:val="bottom"/>
          </w:tcPr>
          <w:p>
            <w:pPr>
              <w:jc w:val="right"/>
              <w:ind w:right="292"/>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9"/>
                <w:szCs w:val="19"/>
                <w:color w:val="auto"/>
              </w:rPr>
            </w:pPr>
          </w:p>
        </w:tc>
        <w:tc>
          <w:tcPr>
            <w:tcW w:w="1000" w:type="dxa"/>
            <w:vAlign w:val="bottom"/>
          </w:tcPr>
          <w:p>
            <w:pPr>
              <w:jc w:val="right"/>
              <w:ind w:right="157"/>
              <w:spacing w:after="0"/>
              <w:rPr>
                <w:sz w:val="20"/>
                <w:szCs w:val="20"/>
                <w:color w:val="auto"/>
              </w:rPr>
            </w:pPr>
            <w:r>
              <w:rPr>
                <w:rFonts w:ascii="Arial" w:cs="Arial" w:eastAsia="Arial" w:hAnsi="Arial"/>
                <w:sz w:val="13"/>
                <w:szCs w:val="13"/>
                <w:b w:val="1"/>
                <w:bCs w:val="1"/>
                <w:color w:val="auto"/>
              </w:rPr>
              <w:t>% Change</w:t>
            </w:r>
          </w:p>
        </w:tc>
      </w:tr>
      <w:tr>
        <w:trPr>
          <w:trHeight w:val="227"/>
        </w:trPr>
        <w:tc>
          <w:tcPr>
            <w:tcW w:w="408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gridSpan w:val="3"/>
          </w:tcPr>
          <w:p>
            <w:pPr>
              <w:ind w:left="360"/>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Borders>
              <w:bottom w:val="single" w:sz="8" w:color="CCFFCC"/>
            </w:tcBorders>
          </w:tcPr>
          <w:p>
            <w:pPr>
              <w:spacing w:after="0"/>
              <w:rPr>
                <w:sz w:val="19"/>
                <w:szCs w:val="19"/>
                <w:color w:val="auto"/>
              </w:rPr>
            </w:pPr>
          </w:p>
        </w:tc>
        <w:tc>
          <w:tcPr>
            <w:tcW w:w="1000" w:type="dxa"/>
            <w:vAlign w:val="bottom"/>
            <w:tcBorders>
              <w:top w:val="single" w:sz="8" w:color="auto"/>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gridSpan w:val="3"/>
          </w:tcPr>
          <w:p>
            <w:pPr>
              <w:jc w:val="right"/>
              <w:ind w:right="492"/>
              <w:spacing w:after="0"/>
              <w:rPr>
                <w:sz w:val="20"/>
                <w:szCs w:val="20"/>
                <w:color w:val="auto"/>
              </w:rPr>
            </w:pPr>
            <w:r>
              <w:rPr>
                <w:rFonts w:ascii="Arial" w:cs="Arial" w:eastAsia="Arial" w:hAnsi="Arial"/>
                <w:sz w:val="13"/>
                <w:szCs w:val="13"/>
                <w:b w:val="1"/>
                <w:bCs w:val="1"/>
                <w:color w:val="auto"/>
              </w:rPr>
              <w:t>($ in thousands)</w:t>
            </w:r>
          </w:p>
        </w:tc>
        <w:tc>
          <w:tcPr>
            <w:tcW w:w="80" w:type="dxa"/>
            <w:vAlign w:val="bottom"/>
            <w:tcBorders>
              <w:bottom w:val="single" w:sz="8" w:color="CCFFCC"/>
            </w:tcBorders>
          </w:tcPr>
          <w:p>
            <w:pPr>
              <w:spacing w:after="0"/>
              <w:rPr>
                <w:sz w:val="19"/>
                <w:szCs w:val="19"/>
                <w:color w:val="auto"/>
              </w:rPr>
            </w:pPr>
          </w:p>
        </w:tc>
        <w:tc>
          <w:tcPr>
            <w:tcW w:w="1000" w:type="dxa"/>
            <w:vAlign w:val="bottom"/>
            <w:tcBorders>
              <w:top w:val="single" w:sz="8" w:color="auto"/>
              <w:bottom w:val="single" w:sz="8" w:color="CCFFCC"/>
            </w:tcBorders>
          </w:tcPr>
          <w:p>
            <w:pPr>
              <w:spacing w:after="0"/>
              <w:rPr>
                <w:sz w:val="19"/>
                <w:szCs w:val="19"/>
                <w:color w:val="auto"/>
              </w:rPr>
            </w:pPr>
          </w:p>
        </w:tc>
      </w:tr>
      <w:tr>
        <w:trPr>
          <w:trHeight w:val="212"/>
        </w:trPr>
        <w:tc>
          <w:tcPr>
            <w:tcW w:w="4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Amortization of purchased intangibles</w:t>
            </w:r>
          </w:p>
        </w:tc>
        <w:tc>
          <w:tcPr>
            <w:tcW w:w="20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4"/>
                <w:szCs w:val="14"/>
                <w:color w:val="auto"/>
              </w:rPr>
              <w:t>411</w:t>
            </w:r>
          </w:p>
        </w:tc>
        <w:tc>
          <w:tcPr>
            <w:tcW w:w="26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FFCC"/>
            </w:tcBorders>
            <w:shd w:val="clear" w:color="auto" w:fill="CCFFCC"/>
          </w:tcPr>
          <w:p>
            <w:pPr>
              <w:jc w:val="right"/>
              <w:ind w:right="72"/>
              <w:spacing w:after="0"/>
              <w:rPr>
                <w:sz w:val="20"/>
                <w:szCs w:val="20"/>
                <w:color w:val="auto"/>
              </w:rPr>
            </w:pPr>
            <w:r>
              <w:rPr>
                <w:rFonts w:ascii="Arial" w:cs="Arial" w:eastAsia="Arial" w:hAnsi="Arial"/>
                <w:sz w:val="14"/>
                <w:szCs w:val="14"/>
                <w:color w:val="auto"/>
              </w:rPr>
              <w:t>447</w:t>
            </w:r>
          </w:p>
        </w:tc>
        <w:tc>
          <w:tcPr>
            <w:tcW w:w="1400" w:type="dxa"/>
            <w:vAlign w:val="bottom"/>
            <w:tcBorders>
              <w:bottom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4"/>
                <w:szCs w:val="14"/>
                <w:color w:val="auto"/>
              </w:rPr>
              <w:t>(8)%  $</w:t>
            </w:r>
          </w:p>
        </w:tc>
        <w:tc>
          <w:tcPr>
            <w:tcW w:w="780" w:type="dxa"/>
            <w:vAlign w:val="bottom"/>
            <w:tcBorders>
              <w:bottom w:val="single" w:sz="8" w:color="CCFFCC"/>
            </w:tcBorders>
            <w:shd w:val="clear" w:color="auto" w:fill="CCFFCC"/>
          </w:tcPr>
          <w:p>
            <w:pPr>
              <w:jc w:val="right"/>
              <w:ind w:right="134"/>
              <w:spacing w:after="0"/>
              <w:rPr>
                <w:sz w:val="20"/>
                <w:szCs w:val="20"/>
                <w:color w:val="auto"/>
              </w:rPr>
            </w:pPr>
            <w:r>
              <w:rPr>
                <w:rFonts w:ascii="Arial" w:cs="Arial" w:eastAsia="Arial" w:hAnsi="Arial"/>
                <w:sz w:val="14"/>
                <w:szCs w:val="14"/>
                <w:color w:val="auto"/>
              </w:rPr>
              <w:t>1,219</w:t>
            </w:r>
          </w:p>
        </w:tc>
        <w:tc>
          <w:tcPr>
            <w:tcW w:w="26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4"/>
                <w:szCs w:val="14"/>
                <w:color w:val="auto"/>
              </w:rPr>
              <w:t>1,346</w:t>
            </w:r>
          </w:p>
        </w:tc>
        <w:tc>
          <w:tcPr>
            <w:tcW w:w="10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4"/>
                <w:szCs w:val="14"/>
                <w:color w:val="auto"/>
              </w:rPr>
              <w:t>(9)%</w:t>
            </w:r>
          </w:p>
        </w:tc>
      </w:tr>
      <w:tr>
        <w:trPr>
          <w:trHeight w:val="207"/>
        </w:trPr>
        <w:tc>
          <w:tcPr>
            <w:tcW w:w="4080" w:type="dxa"/>
            <w:vAlign w:val="bottom"/>
          </w:tcPr>
          <w:p>
            <w:pPr>
              <w:ind w:left="20"/>
              <w:spacing w:after="0"/>
              <w:rPr>
                <w:sz w:val="20"/>
                <w:szCs w:val="20"/>
                <w:color w:val="auto"/>
              </w:rPr>
            </w:pPr>
            <w:r>
              <w:rPr>
                <w:rFonts w:ascii="Arial" w:cs="Arial" w:eastAsia="Arial" w:hAnsi="Arial"/>
                <w:sz w:val="14"/>
                <w:szCs w:val="14"/>
                <w:color w:val="auto"/>
              </w:rPr>
              <w:t>Percentage of total revenues</w:t>
            </w:r>
          </w:p>
        </w:tc>
        <w:tc>
          <w:tcPr>
            <w:tcW w:w="200" w:type="dxa"/>
            <w:vAlign w:val="bottom"/>
          </w:tcPr>
          <w:p>
            <w:pPr>
              <w:spacing w:after="0"/>
              <w:rPr>
                <w:sz w:val="17"/>
                <w:szCs w:val="17"/>
                <w:color w:val="auto"/>
              </w:rPr>
            </w:pPr>
          </w:p>
        </w:tc>
        <w:tc>
          <w:tcPr>
            <w:tcW w:w="780" w:type="dxa"/>
            <w:vAlign w:val="bottom"/>
          </w:tcPr>
          <w:p>
            <w:pPr>
              <w:ind w:left="4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110"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Amortization expense for purchased intangibles decreased by 8% and 9% to $0.4 million and $1.2 million in the three and nine months ended September 30, 2020 from $0.4 million and $1.3 million in the comparable period in 2019.</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Additional amortization expense in the amount of $0.3 million and $0.9 million in the three and nine months ended September 30, 2020 and 2019 is included in cost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revenue.</w:t>
      </w:r>
    </w:p>
    <w:p>
      <w:pPr>
        <w:spacing w:after="0" w:line="36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Other Expense (Income), net</w:t>
      </w:r>
    </w:p>
    <w:p>
      <w:pPr>
        <w:spacing w:after="0" w:line="98" w:lineRule="exact"/>
        <w:rPr>
          <w:sz w:val="20"/>
          <w:szCs w:val="20"/>
          <w:color w:val="auto"/>
        </w:rPr>
      </w:pPr>
    </w:p>
    <w:p>
      <w:pPr>
        <w:jc w:val="both"/>
        <w:ind w:right="20" w:firstLine="564"/>
        <w:spacing w:after="0" w:line="382" w:lineRule="auto"/>
        <w:rPr>
          <w:sz w:val="20"/>
          <w:szCs w:val="20"/>
          <w:color w:val="auto"/>
        </w:rPr>
      </w:pPr>
      <w:r>
        <w:rPr>
          <w:rFonts w:ascii="Arial" w:cs="Arial" w:eastAsia="Arial" w:hAnsi="Arial"/>
          <w:sz w:val="13"/>
          <w:szCs w:val="13"/>
          <w:color w:val="auto"/>
        </w:rPr>
        <w:t>Other expense (income),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187" w:lineRule="exact"/>
        <w:rPr>
          <w:sz w:val="20"/>
          <w:szCs w:val="20"/>
          <w:color w:val="auto"/>
        </w:rPr>
      </w:pPr>
    </w:p>
    <w:tbl>
      <w:tblPr>
        <w:tblLayout w:type="fixed"/>
        <w:tblInd w:w="480" w:type="dxa"/>
        <w:tblCellMar>
          <w:top w:w="0" w:type="dxa"/>
          <w:left w:w="0" w:type="dxa"/>
          <w:bottom w:w="0" w:type="dxa"/>
          <w:right w:w="0" w:type="dxa"/>
        </w:tblCellMar>
      </w:tblPr>
      <w:tr>
        <w:trPr>
          <w:trHeight w:val="167"/>
        </w:trPr>
        <w:tc>
          <w:tcPr>
            <w:tcW w:w="4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jc w:val="right"/>
              <w:ind w:right="457"/>
              <w:spacing w:after="0"/>
              <w:rPr>
                <w:sz w:val="20"/>
                <w:szCs w:val="20"/>
                <w:color w:val="auto"/>
              </w:rPr>
            </w:pPr>
            <w:r>
              <w:rPr>
                <w:rFonts w:ascii="Arial" w:cs="Arial" w:eastAsia="Arial" w:hAnsi="Arial"/>
                <w:sz w:val="13"/>
                <w:szCs w:val="13"/>
                <w:b w:val="1"/>
                <w:bCs w:val="1"/>
                <w:color w:val="auto"/>
              </w:rPr>
              <w:t>Three Months Ended September 30,</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right"/>
              <w:ind w:right="517"/>
              <w:spacing w:after="0"/>
              <w:rPr>
                <w:sz w:val="20"/>
                <w:szCs w:val="20"/>
                <w:color w:val="auto"/>
              </w:rPr>
            </w:pPr>
            <w:r>
              <w:rPr>
                <w:rFonts w:ascii="Arial" w:cs="Arial" w:eastAsia="Arial" w:hAnsi="Arial"/>
                <w:sz w:val="13"/>
                <w:szCs w:val="13"/>
                <w:b w:val="1"/>
                <w:bCs w:val="1"/>
                <w:color w:val="auto"/>
              </w:rPr>
              <w:t>Nine Months Ended September 30,</w:t>
            </w:r>
          </w:p>
        </w:tc>
      </w:tr>
      <w:tr>
        <w:trPr>
          <w:trHeight w:val="227"/>
        </w:trPr>
        <w:tc>
          <w:tcPr>
            <w:tcW w:w="4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93"/>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5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130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rPr>
              <w:t>% Change</w:t>
            </w:r>
          </w:p>
        </w:tc>
        <w:tc>
          <w:tcPr>
            <w:tcW w:w="740" w:type="dxa"/>
            <w:vAlign w:val="bottom"/>
          </w:tcPr>
          <w:p>
            <w:pPr>
              <w:jc w:val="right"/>
              <w:ind w:right="293"/>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5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1020" w:type="dxa"/>
            <w:vAlign w:val="bottom"/>
          </w:tcPr>
          <w:p>
            <w:pPr>
              <w:jc w:val="right"/>
              <w:ind w:right="177"/>
              <w:spacing w:after="0"/>
              <w:rPr>
                <w:sz w:val="20"/>
                <w:szCs w:val="20"/>
                <w:color w:val="auto"/>
              </w:rPr>
            </w:pPr>
            <w:r>
              <w:rPr>
                <w:rFonts w:ascii="Arial" w:cs="Arial" w:eastAsia="Arial" w:hAnsi="Arial"/>
                <w:sz w:val="13"/>
                <w:szCs w:val="13"/>
                <w:b w:val="1"/>
                <w:bCs w:val="1"/>
                <w:color w:val="auto"/>
              </w:rPr>
              <w:t>% Change</w:t>
            </w:r>
          </w:p>
        </w:tc>
      </w:tr>
      <w:tr>
        <w:trPr>
          <w:trHeight w:val="227"/>
        </w:trPr>
        <w:tc>
          <w:tcPr>
            <w:tcW w:w="418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451"/>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Borders>
              <w:bottom w:val="single" w:sz="8" w:color="CCFFCC"/>
            </w:tcBorders>
          </w:tcPr>
          <w:p>
            <w:pPr>
              <w:spacing w:after="0"/>
              <w:rPr>
                <w:sz w:val="19"/>
                <w:szCs w:val="19"/>
                <w:color w:val="auto"/>
              </w:rPr>
            </w:pPr>
          </w:p>
        </w:tc>
        <w:tc>
          <w:tcPr>
            <w:tcW w:w="1000" w:type="dxa"/>
            <w:vAlign w:val="bottom"/>
            <w:tcBorders>
              <w:top w:val="single" w:sz="8" w:color="auto"/>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451"/>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Borders>
              <w:bottom w:val="single" w:sz="8" w:color="CCFFCC"/>
            </w:tcBorders>
          </w:tcPr>
          <w:p>
            <w:pPr>
              <w:spacing w:after="0"/>
              <w:rPr>
                <w:sz w:val="19"/>
                <w:szCs w:val="19"/>
                <w:color w:val="auto"/>
              </w:rPr>
            </w:pPr>
          </w:p>
        </w:tc>
        <w:tc>
          <w:tcPr>
            <w:tcW w:w="1020" w:type="dxa"/>
            <w:vAlign w:val="bottom"/>
            <w:tcBorders>
              <w:top w:val="single" w:sz="8" w:color="auto"/>
              <w:bottom w:val="single" w:sz="8" w:color="CCFFCC"/>
            </w:tcBorders>
          </w:tcPr>
          <w:p>
            <w:pPr>
              <w:spacing w:after="0"/>
              <w:rPr>
                <w:sz w:val="19"/>
                <w:szCs w:val="19"/>
                <w:color w:val="auto"/>
              </w:rPr>
            </w:pPr>
          </w:p>
        </w:tc>
      </w:tr>
      <w:tr>
        <w:trPr>
          <w:trHeight w:val="212"/>
        </w:trPr>
        <w:tc>
          <w:tcPr>
            <w:tcW w:w="41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4"/>
                <w:szCs w:val="14"/>
                <w:color w:val="auto"/>
              </w:rPr>
              <w:t>(3,159)</w:t>
            </w:r>
          </w:p>
        </w:tc>
        <w:tc>
          <w:tcPr>
            <w:tcW w:w="2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(2,189)</w:t>
            </w:r>
          </w:p>
        </w:tc>
        <w:tc>
          <w:tcPr>
            <w:tcW w:w="11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4"/>
                <w:szCs w:val="14"/>
                <w:color w:val="auto"/>
              </w:rPr>
              <w:t>44 %</w:t>
            </w:r>
          </w:p>
        </w:tc>
        <w:tc>
          <w:tcPr>
            <w:tcW w:w="10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4"/>
                <w:szCs w:val="14"/>
                <w:color w:val="auto"/>
              </w:rPr>
              <w:t>(9,161)</w:t>
            </w:r>
          </w:p>
        </w:tc>
        <w:tc>
          <w:tcPr>
            <w:tcW w:w="2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(4,873)</w:t>
            </w:r>
          </w:p>
        </w:tc>
        <w:tc>
          <w:tcPr>
            <w:tcW w:w="11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4"/>
                <w:szCs w:val="14"/>
                <w:color w:val="auto"/>
              </w:rPr>
              <w:t>88 %</w:t>
            </w:r>
          </w:p>
        </w:tc>
      </w:tr>
      <w:tr>
        <w:trPr>
          <w:trHeight w:val="207"/>
        </w:trPr>
        <w:tc>
          <w:tcPr>
            <w:tcW w:w="4180" w:type="dxa"/>
            <w:vAlign w:val="bottom"/>
          </w:tcPr>
          <w:p>
            <w:pPr>
              <w:ind w:left="20"/>
              <w:spacing w:after="0"/>
              <w:rPr>
                <w:sz w:val="20"/>
                <w:szCs w:val="20"/>
                <w:color w:val="auto"/>
              </w:rPr>
            </w:pPr>
            <w:r>
              <w:rPr>
                <w:rFonts w:ascii="Arial" w:cs="Arial" w:eastAsia="Arial" w:hAnsi="Arial"/>
                <w:sz w:val="14"/>
                <w:szCs w:val="14"/>
                <w:color w:val="auto"/>
              </w:rPr>
              <w:t>Other (expense) income</w:t>
            </w:r>
          </w:p>
        </w:tc>
        <w:tc>
          <w:tcPr>
            <w:tcW w:w="200" w:type="dxa"/>
            <w:vAlign w:val="bottom"/>
          </w:tcPr>
          <w:p>
            <w:pPr>
              <w:spacing w:after="0"/>
              <w:rPr>
                <w:sz w:val="17"/>
                <w:szCs w:val="17"/>
                <w:color w:val="auto"/>
              </w:rPr>
            </w:pPr>
          </w:p>
        </w:tc>
        <w:tc>
          <w:tcPr>
            <w:tcW w:w="740" w:type="dxa"/>
            <w:vAlign w:val="bottom"/>
          </w:tcPr>
          <w:p>
            <w:pPr>
              <w:jc w:val="right"/>
              <w:ind w:right="13"/>
              <w:spacing w:after="0"/>
              <w:rPr>
                <w:sz w:val="20"/>
                <w:szCs w:val="20"/>
                <w:color w:val="auto"/>
              </w:rPr>
            </w:pPr>
            <w:r>
              <w:rPr>
                <w:rFonts w:ascii="Arial" w:cs="Arial" w:eastAsia="Arial" w:hAnsi="Arial"/>
                <w:sz w:val="14"/>
                <w:szCs w:val="14"/>
                <w:color w:val="auto"/>
              </w:rPr>
              <w:t>(508)</w:t>
            </w:r>
          </w:p>
        </w:tc>
        <w:tc>
          <w:tcPr>
            <w:tcW w:w="260" w:type="dxa"/>
            <w:vAlign w:val="bottom"/>
          </w:tcPr>
          <w:p>
            <w:pPr>
              <w:spacing w:after="0"/>
              <w:rPr>
                <w:sz w:val="17"/>
                <w:szCs w:val="17"/>
                <w:color w:val="auto"/>
              </w:rPr>
            </w:pP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379</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3"/>
              <w:spacing w:after="0"/>
              <w:rPr>
                <w:sz w:val="20"/>
                <w:szCs w:val="20"/>
                <w:color w:val="auto"/>
              </w:rPr>
            </w:pPr>
            <w:r>
              <w:rPr>
                <w:rFonts w:ascii="Arial" w:cs="Arial" w:eastAsia="Arial" w:hAnsi="Arial"/>
                <w:sz w:val="14"/>
                <w:szCs w:val="14"/>
                <w:color w:val="auto"/>
              </w:rPr>
              <w:t>(2,484)</w:t>
            </w:r>
          </w:p>
        </w:tc>
        <w:tc>
          <w:tcPr>
            <w:tcW w:w="260" w:type="dxa"/>
            <w:vAlign w:val="bottom"/>
          </w:tcPr>
          <w:p>
            <w:pPr>
              <w:spacing w:after="0"/>
              <w:rPr>
                <w:sz w:val="17"/>
                <w:szCs w:val="17"/>
                <w:color w:val="auto"/>
              </w:rPr>
            </w:pP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862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(388)%</w:t>
            </w:r>
          </w:p>
        </w:tc>
      </w:tr>
      <w:tr>
        <w:trPr>
          <w:trHeight w:val="29"/>
        </w:trPr>
        <w:tc>
          <w:tcPr>
            <w:tcW w:w="4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20" w:type="dxa"/>
            <w:vAlign w:val="bottom"/>
            <w:tcBorders>
              <w:bottom w:val="single" w:sz="8" w:color="CCFFCC"/>
            </w:tcBorders>
          </w:tcPr>
          <w:p>
            <w:pPr>
              <w:spacing w:after="0"/>
              <w:rPr>
                <w:sz w:val="2"/>
                <w:szCs w:val="2"/>
                <w:color w:val="auto"/>
              </w:rPr>
            </w:pPr>
          </w:p>
        </w:tc>
      </w:tr>
      <w:tr>
        <w:trPr>
          <w:trHeight w:val="198"/>
        </w:trPr>
        <w:tc>
          <w:tcPr>
            <w:tcW w:w="4180" w:type="dxa"/>
            <w:vAlign w:val="bottom"/>
            <w:shd w:val="clear" w:color="auto" w:fill="CCFFCC"/>
          </w:tcPr>
          <w:p>
            <w:pPr>
              <w:ind w:left="20"/>
              <w:spacing w:after="0"/>
              <w:rPr>
                <w:sz w:val="20"/>
                <w:szCs w:val="20"/>
                <w:color w:val="auto"/>
              </w:rPr>
            </w:pPr>
            <w:r>
              <w:rPr>
                <w:rFonts w:ascii="Arial" w:cs="Arial" w:eastAsia="Arial" w:hAnsi="Arial"/>
                <w:sz w:val="14"/>
                <w:szCs w:val="14"/>
                <w:color w:val="auto"/>
              </w:rPr>
              <w:t>Other expense, net</w:t>
            </w:r>
          </w:p>
        </w:tc>
        <w:tc>
          <w:tcPr>
            <w:tcW w:w="200" w:type="dxa"/>
            <w:vAlign w:val="bottom"/>
            <w:shd w:val="clear" w:color="auto" w:fill="CCFFCC"/>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FFCC"/>
          </w:tcPr>
          <w:p>
            <w:pPr>
              <w:jc w:val="right"/>
              <w:ind w:right="13"/>
              <w:spacing w:after="0"/>
              <w:rPr>
                <w:sz w:val="20"/>
                <w:szCs w:val="20"/>
                <w:color w:val="auto"/>
              </w:rPr>
            </w:pPr>
            <w:r>
              <w:rPr>
                <w:rFonts w:ascii="Arial" w:cs="Arial" w:eastAsia="Arial" w:hAnsi="Arial"/>
                <w:sz w:val="14"/>
                <w:szCs w:val="14"/>
                <w:color w:val="auto"/>
              </w:rPr>
              <w:t>(3,667)</w:t>
            </w:r>
          </w:p>
        </w:tc>
        <w:tc>
          <w:tcPr>
            <w:tcW w:w="260" w:type="dxa"/>
            <w:vAlign w:val="bottom"/>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(1,810)</w:t>
            </w:r>
          </w:p>
        </w:tc>
        <w:tc>
          <w:tcPr>
            <w:tcW w:w="1400" w:type="dxa"/>
            <w:vAlign w:val="bottom"/>
            <w:gridSpan w:val="4"/>
            <w:shd w:val="clear" w:color="auto" w:fill="CCFFCC"/>
          </w:tcPr>
          <w:p>
            <w:pPr>
              <w:jc w:val="right"/>
              <w:ind w:right="100"/>
              <w:spacing w:after="0"/>
              <w:rPr>
                <w:sz w:val="20"/>
                <w:szCs w:val="20"/>
                <w:color w:val="auto"/>
              </w:rPr>
            </w:pPr>
            <w:r>
              <w:rPr>
                <w:rFonts w:ascii="Arial" w:cs="Arial" w:eastAsia="Arial" w:hAnsi="Arial"/>
                <w:sz w:val="14"/>
                <w:szCs w:val="14"/>
                <w:color w:val="auto"/>
              </w:rPr>
              <w:t>103%  $</w:t>
            </w:r>
          </w:p>
        </w:tc>
        <w:tc>
          <w:tcPr>
            <w:tcW w:w="740" w:type="dxa"/>
            <w:vAlign w:val="bottom"/>
            <w:shd w:val="clear" w:color="auto" w:fill="CCFFCC"/>
          </w:tcPr>
          <w:p>
            <w:pPr>
              <w:jc w:val="right"/>
              <w:ind w:right="13"/>
              <w:spacing w:after="0"/>
              <w:rPr>
                <w:sz w:val="20"/>
                <w:szCs w:val="20"/>
                <w:color w:val="auto"/>
              </w:rPr>
            </w:pPr>
            <w:r>
              <w:rPr>
                <w:rFonts w:ascii="Arial" w:cs="Arial" w:eastAsia="Arial" w:hAnsi="Arial"/>
                <w:sz w:val="14"/>
                <w:szCs w:val="14"/>
                <w:color w:val="auto"/>
              </w:rPr>
              <w:t>(11,645)</w:t>
            </w:r>
          </w:p>
        </w:tc>
        <w:tc>
          <w:tcPr>
            <w:tcW w:w="260" w:type="dxa"/>
            <w:vAlign w:val="bottom"/>
            <w:shd w:val="clear" w:color="auto" w:fill="CCFFCC"/>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(4,011)</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190 %</w:t>
            </w:r>
          </w:p>
        </w:tc>
      </w:tr>
      <w:tr>
        <w:trPr>
          <w:trHeight w:val="29"/>
        </w:trPr>
        <w:tc>
          <w:tcPr>
            <w:tcW w:w="418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81" w:lineRule="exact"/>
        <w:rPr>
          <w:sz w:val="20"/>
          <w:szCs w:val="20"/>
          <w:color w:val="auto"/>
        </w:rPr>
      </w:pPr>
    </w:p>
    <w:p>
      <w:pPr>
        <w:jc w:val="both"/>
        <w:ind w:right="20" w:firstLine="564"/>
        <w:spacing w:after="0" w:line="255" w:lineRule="auto"/>
        <w:rPr>
          <w:sz w:val="20"/>
          <w:szCs w:val="20"/>
          <w:color w:val="auto"/>
        </w:rPr>
      </w:pPr>
      <w:r>
        <w:rPr>
          <w:rFonts w:ascii="Arial" w:cs="Arial" w:eastAsia="Arial" w:hAnsi="Arial"/>
          <w:sz w:val="16"/>
          <w:szCs w:val="16"/>
          <w:color w:val="auto"/>
        </w:rPr>
        <w:t>Other expense increased to $3.7 million and $11.6 million in the three and nine months ended September 30, 2020, respectively, from other expense of $1.8 million and $4.0 million, respectively, in the comparable periods in 2019 due to interest expense attributable to the 0.750% Convertible Senior Notes due 2024 (the ‘‘Notes’’), partially offset by interest income on cash and cash equivalents and financial income which is attributable to currency rate fluctuations.</w:t>
      </w:r>
    </w:p>
    <w:p>
      <w:pPr>
        <w:spacing w:after="0" w:line="354"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(Benefit from) Provision For Income Taxes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Three Months Ended September 30,</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477"/>
              <w:spacing w:after="0"/>
              <w:rPr>
                <w:sz w:val="20"/>
                <w:szCs w:val="20"/>
                <w:color w:val="auto"/>
              </w:rPr>
            </w:pPr>
            <w:r>
              <w:rPr>
                <w:rFonts w:ascii="Arial" w:cs="Arial" w:eastAsia="Arial" w:hAnsi="Arial"/>
                <w:sz w:val="13"/>
                <w:szCs w:val="13"/>
                <w:b w:val="1"/>
                <w:bCs w:val="1"/>
                <w:color w:val="auto"/>
              </w:rPr>
              <w:t>Nine Months Ended September 30,</w:t>
            </w:r>
          </w:p>
        </w:tc>
      </w:tr>
      <w:tr>
        <w:trPr>
          <w:trHeight w:val="227"/>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275"/>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9"/>
                <w:szCs w:val="19"/>
                <w:color w:val="auto"/>
              </w:rPr>
            </w:pPr>
          </w:p>
        </w:tc>
        <w:tc>
          <w:tcPr>
            <w:tcW w:w="680" w:type="dxa"/>
            <w:vAlign w:val="bottom"/>
          </w:tcPr>
          <w:p>
            <w:pPr>
              <w:jc w:val="right"/>
              <w:ind w:right="253"/>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3"/>
                <w:szCs w:val="13"/>
                <w:b w:val="1"/>
                <w:bCs w:val="1"/>
                <w:color w:val="auto"/>
              </w:rPr>
              <w:t>% Change</w:t>
            </w:r>
          </w:p>
        </w:tc>
        <w:tc>
          <w:tcPr>
            <w:tcW w:w="720" w:type="dxa"/>
            <w:vAlign w:val="bottom"/>
          </w:tcPr>
          <w:p>
            <w:pPr>
              <w:jc w:val="right"/>
              <w:ind w:right="295"/>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9"/>
                <w:szCs w:val="19"/>
                <w:color w:val="auto"/>
              </w:rPr>
            </w:pPr>
          </w:p>
        </w:tc>
        <w:tc>
          <w:tcPr>
            <w:tcW w:w="680" w:type="dxa"/>
            <w:vAlign w:val="bottom"/>
          </w:tcPr>
          <w:p>
            <w:pPr>
              <w:jc w:val="right"/>
              <w:ind w:right="253"/>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980" w:type="dxa"/>
            <w:vAlign w:val="bottom"/>
          </w:tcPr>
          <w:p>
            <w:pPr>
              <w:jc w:val="right"/>
              <w:ind w:right="157"/>
              <w:spacing w:after="0"/>
              <w:rPr>
                <w:sz w:val="20"/>
                <w:szCs w:val="20"/>
                <w:color w:val="auto"/>
              </w:rPr>
            </w:pPr>
            <w:r>
              <w:rPr>
                <w:rFonts w:ascii="Arial" w:cs="Arial" w:eastAsia="Arial" w:hAnsi="Arial"/>
                <w:sz w:val="13"/>
                <w:szCs w:val="13"/>
                <w:b w:val="1"/>
                <w:bCs w:val="1"/>
                <w:color w:val="auto"/>
              </w:rPr>
              <w:t>% Change</w:t>
            </w:r>
          </w:p>
        </w:tc>
      </w:tr>
      <w:tr>
        <w:trPr>
          <w:trHeight w:val="227"/>
        </w:trPr>
        <w:tc>
          <w:tcPr>
            <w:tcW w:w="5240" w:type="dxa"/>
            <w:vAlign w:val="bottom"/>
            <w:tcBorders>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Borders>
              <w:bottom w:val="single" w:sz="8" w:color="CCFFCC"/>
            </w:tcBorders>
          </w:tcPr>
          <w:p>
            <w:pPr>
              <w:spacing w:after="0"/>
              <w:rPr>
                <w:sz w:val="19"/>
                <w:szCs w:val="19"/>
                <w:color w:val="auto"/>
              </w:rPr>
            </w:pPr>
          </w:p>
        </w:tc>
        <w:tc>
          <w:tcPr>
            <w:tcW w:w="980" w:type="dxa"/>
            <w:vAlign w:val="bottom"/>
            <w:tcBorders>
              <w:top w:val="single" w:sz="8" w:color="auto"/>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gridSpan w:val="3"/>
          </w:tcPr>
          <w:p>
            <w:pPr>
              <w:jc w:val="right"/>
              <w:ind w:right="433"/>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Borders>
              <w:bottom w:val="single" w:sz="8" w:color="CCFFCC"/>
            </w:tcBorders>
          </w:tcPr>
          <w:p>
            <w:pPr>
              <w:spacing w:after="0"/>
              <w:rPr>
                <w:sz w:val="19"/>
                <w:szCs w:val="19"/>
                <w:color w:val="auto"/>
              </w:rPr>
            </w:pPr>
          </w:p>
        </w:tc>
        <w:tc>
          <w:tcPr>
            <w:tcW w:w="980" w:type="dxa"/>
            <w:vAlign w:val="bottom"/>
            <w:tcBorders>
              <w:top w:val="single" w:sz="8" w:color="auto"/>
              <w:bottom w:val="single" w:sz="8" w:color="CCFFCC"/>
            </w:tcBorders>
          </w:tcPr>
          <w:p>
            <w:pPr>
              <w:spacing w:after="0"/>
              <w:rPr>
                <w:sz w:val="19"/>
                <w:szCs w:val="19"/>
                <w:color w:val="auto"/>
              </w:rPr>
            </w:pPr>
          </w:p>
        </w:tc>
      </w:tr>
      <w:tr>
        <w:trPr>
          <w:trHeight w:val="204"/>
        </w:trPr>
        <w:tc>
          <w:tcPr>
            <w:tcW w:w="5240" w:type="dxa"/>
            <w:vAlign w:val="bottom"/>
            <w:shd w:val="clear" w:color="auto" w:fill="CCFFCC"/>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20" w:type="dxa"/>
            <w:vAlign w:val="bottom"/>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FFCC"/>
          </w:tcPr>
          <w:p>
            <w:pPr>
              <w:ind w:left="300"/>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jc w:val="right"/>
              <w:ind w:right="33"/>
              <w:spacing w:after="0"/>
              <w:rPr>
                <w:sz w:val="20"/>
                <w:szCs w:val="20"/>
                <w:color w:val="auto"/>
              </w:rPr>
            </w:pPr>
            <w:r>
              <w:rPr>
                <w:rFonts w:ascii="Arial" w:cs="Arial" w:eastAsia="Arial" w:hAnsi="Arial"/>
                <w:sz w:val="14"/>
                <w:szCs w:val="14"/>
                <w:color w:val="auto"/>
              </w:rPr>
              <w:t>936</w:t>
            </w:r>
          </w:p>
        </w:tc>
        <w:tc>
          <w:tcPr>
            <w:tcW w:w="1380" w:type="dxa"/>
            <w:vAlign w:val="bottom"/>
            <w:gridSpan w:val="4"/>
            <w:shd w:val="clear" w:color="auto" w:fill="CCFFCC"/>
          </w:tcPr>
          <w:p>
            <w:pPr>
              <w:jc w:val="right"/>
              <w:ind w:right="100"/>
              <w:spacing w:after="0"/>
              <w:rPr>
                <w:sz w:val="20"/>
                <w:szCs w:val="20"/>
                <w:color w:val="auto"/>
              </w:rPr>
            </w:pPr>
            <w:r>
              <w:rPr>
                <w:rFonts w:ascii="Arial" w:cs="Arial" w:eastAsia="Arial" w:hAnsi="Arial"/>
                <w:sz w:val="14"/>
                <w:szCs w:val="14"/>
                <w:color w:val="auto"/>
              </w:rPr>
              <w:t>(111)%  $</w:t>
            </w:r>
          </w:p>
        </w:tc>
        <w:tc>
          <w:tcPr>
            <w:tcW w:w="720" w:type="dxa"/>
            <w:vAlign w:val="bottom"/>
            <w:shd w:val="clear" w:color="auto" w:fill="CCFFCC"/>
          </w:tcPr>
          <w:p>
            <w:pPr>
              <w:jc w:val="right"/>
              <w:ind w:right="35"/>
              <w:spacing w:after="0"/>
              <w:rPr>
                <w:sz w:val="20"/>
                <w:szCs w:val="20"/>
                <w:color w:val="auto"/>
              </w:rPr>
            </w:pPr>
            <w:r>
              <w:rPr>
                <w:rFonts w:ascii="Arial" w:cs="Arial" w:eastAsia="Arial" w:hAnsi="Arial"/>
                <w:sz w:val="14"/>
                <w:szCs w:val="14"/>
                <w:color w:val="auto"/>
              </w:rPr>
              <w:t>(87)</w:t>
            </w:r>
          </w:p>
        </w:tc>
        <w:tc>
          <w:tcPr>
            <w:tcW w:w="280" w:type="dxa"/>
            <w:vAlign w:val="bottom"/>
            <w:shd w:val="clear" w:color="auto" w:fill="CCFFCC"/>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jc w:val="right"/>
              <w:ind w:right="53"/>
              <w:spacing w:after="0"/>
              <w:rPr>
                <w:sz w:val="20"/>
                <w:szCs w:val="20"/>
                <w:color w:val="auto"/>
              </w:rPr>
            </w:pPr>
            <w:r>
              <w:rPr>
                <w:rFonts w:ascii="Arial" w:cs="Arial" w:eastAsia="Arial" w:hAnsi="Arial"/>
                <w:sz w:val="14"/>
                <w:szCs w:val="14"/>
                <w:color w:val="auto"/>
              </w:rPr>
              <w:t>2,227</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(104)%</w:t>
            </w:r>
          </w:p>
        </w:tc>
      </w:tr>
      <w:tr>
        <w:trPr>
          <w:trHeight w:val="29"/>
        </w:trPr>
        <w:tc>
          <w:tcPr>
            <w:tcW w:w="524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r>
    </w:tbl>
    <w:p>
      <w:pPr>
        <w:spacing w:after="0" w:line="8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Benefit from provision for income taxes was $0.1 million in the three and nine months ended September 30, 2020, respectively, and provision for income taxes was $0.9 million and $2.2 million in the three and nine months ended September 30, 2019, respectively. Our consolidated effective tax rate was impacted by the statutory income tax rates applicable to each of the jurisdictions in which we operate.</w:t>
      </w:r>
    </w:p>
    <w:p>
      <w:pPr>
        <w:spacing w:after="0" w:line="354"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Net Loss</w:t>
      </w:r>
    </w:p>
    <w:p>
      <w:pPr>
        <w:spacing w:after="0" w:line="98" w:lineRule="exact"/>
        <w:rPr>
          <w:sz w:val="20"/>
          <w:szCs w:val="20"/>
          <w:color w:val="auto"/>
        </w:rPr>
      </w:pPr>
    </w:p>
    <w:p>
      <w:pPr>
        <w:jc w:val="both"/>
        <w:ind w:firstLine="564"/>
        <w:spacing w:after="0" w:line="342" w:lineRule="auto"/>
        <w:rPr>
          <w:sz w:val="20"/>
          <w:szCs w:val="20"/>
          <w:color w:val="auto"/>
        </w:rPr>
      </w:pPr>
      <w:r>
        <w:rPr>
          <w:rFonts w:ascii="Arial" w:cs="Arial" w:eastAsia="Arial" w:hAnsi="Arial"/>
          <w:sz w:val="13"/>
          <w:szCs w:val="13"/>
          <w:color w:val="auto"/>
        </w:rPr>
        <w:t>We had a net loss of $38.7 million in the three months ended September 30, 2020 compared to a net loss of $25.9 million for the three months ended September 30, 2019. During the three months ended September 30, 2020, there were increases in revenue of approximately $19.6 million, increases in operating expenses of approximately $31.6 million, increase in other (expense) income, net of approximately $1.9 million, and decrease in provision for income taxes of approximately $1.0 million.</w:t>
      </w:r>
    </w:p>
    <w:p>
      <w:pPr>
        <w:spacing w:after="0" w:line="19" w:lineRule="exact"/>
        <w:rPr>
          <w:sz w:val="20"/>
          <w:szCs w:val="20"/>
          <w:color w:val="auto"/>
        </w:rPr>
      </w:pPr>
    </w:p>
    <w:p>
      <w:pPr>
        <w:jc w:val="both"/>
        <w:ind w:firstLine="564"/>
        <w:spacing w:after="0" w:line="342" w:lineRule="auto"/>
        <w:rPr>
          <w:sz w:val="20"/>
          <w:szCs w:val="20"/>
          <w:color w:val="auto"/>
        </w:rPr>
      </w:pPr>
      <w:r>
        <w:rPr>
          <w:rFonts w:ascii="Arial" w:cs="Arial" w:eastAsia="Arial" w:hAnsi="Arial"/>
          <w:sz w:val="13"/>
          <w:szCs w:val="13"/>
          <w:color w:val="auto"/>
        </w:rPr>
        <w:t>We had a net loss of $94.3 million in the nine months ended September 30, 2020 compared to a net loss of $68.7 million for the nine months ended September 30, 2019. During the nine months ended September 30, 2020, there were increases in revenue of approximately $52.0 million, increases in operating expenses of approximately $72.2 million, increase in other (expense) income, net of approximately $7.6 million, and decrease in provision for income taxes of approximately $2.3 million.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60"/>
          </w:cols>
          <w:pgMar w:left="320" w:top="503"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color w:val="auto"/>
        </w:rPr>
        <w:t>Liquidity and Capital Resources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left="394"/>
              <w:spacing w:after="0"/>
              <w:rPr>
                <w:sz w:val="20"/>
                <w:szCs w:val="20"/>
                <w:color w:val="auto"/>
              </w:rPr>
            </w:pPr>
            <w:r>
              <w:rPr>
                <w:rFonts w:ascii="Arial" w:cs="Arial" w:eastAsia="Arial" w:hAnsi="Arial"/>
                <w:sz w:val="13"/>
                <w:szCs w:val="13"/>
                <w:b w:val="1"/>
                <w:bCs w:val="1"/>
                <w:color w:val="auto"/>
                <w:w w:val="87"/>
              </w:rPr>
              <w:t>Nine Months Ended</w:t>
            </w:r>
          </w:p>
        </w:tc>
        <w:tc>
          <w:tcPr>
            <w:tcW w:w="720" w:type="dxa"/>
            <w:vAlign w:val="bottom"/>
          </w:tcPr>
          <w:p>
            <w:pPr>
              <w:spacing w:after="0"/>
              <w:rPr>
                <w:sz w:val="14"/>
                <w:szCs w:val="14"/>
                <w:color w:val="auto"/>
              </w:rPr>
            </w:pPr>
          </w:p>
        </w:tc>
      </w:t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left="414"/>
              <w:spacing w:after="0"/>
              <w:rPr>
                <w:sz w:val="20"/>
                <w:szCs w:val="20"/>
                <w:color w:val="auto"/>
              </w:rPr>
            </w:pPr>
            <w:r>
              <w:rPr>
                <w:rFonts w:ascii="Arial" w:cs="Arial" w:eastAsia="Arial" w:hAnsi="Arial"/>
                <w:sz w:val="13"/>
                <w:szCs w:val="13"/>
                <w:b w:val="1"/>
                <w:bCs w:val="1"/>
                <w:color w:val="auto"/>
                <w:w w:val="85"/>
              </w:rPr>
              <w:t>September 30,</w:t>
            </w:r>
          </w:p>
        </w:tc>
        <w:tc>
          <w:tcPr>
            <w:tcW w:w="720" w:type="dxa"/>
            <w:vAlign w:val="bottom"/>
            <w:tcBorders>
              <w:bottom w:val="single" w:sz="8" w:color="auto"/>
            </w:tcBorders>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w w:val="89"/>
              </w:rPr>
              <w:t>2019</w:t>
            </w:r>
          </w:p>
        </w:tc>
      </w:tr>
      <w:tr>
        <w:trPr>
          <w:trHeight w:val="215"/>
        </w:trPr>
        <w:tc>
          <w:tcPr>
            <w:tcW w:w="20" w:type="dxa"/>
            <w:vAlign w:val="bottom"/>
            <w:tcBorders>
              <w:bottom w:val="single" w:sz="8" w:color="CCFFCC"/>
            </w:tcBorders>
          </w:tcPr>
          <w:p>
            <w:pPr>
              <w:spacing w:after="0"/>
              <w:rPr>
                <w:sz w:val="18"/>
                <w:szCs w:val="18"/>
                <w:color w:val="auto"/>
              </w:rPr>
            </w:pPr>
          </w:p>
        </w:tc>
        <w:tc>
          <w:tcPr>
            <w:tcW w:w="2740" w:type="dxa"/>
            <w:vAlign w:val="bottom"/>
            <w:tcBorders>
              <w:bottom w:val="single" w:sz="8" w:color="CCFFCC"/>
            </w:tcBorders>
          </w:tcPr>
          <w:p>
            <w:pPr>
              <w:spacing w:after="0"/>
              <w:rPr>
                <w:sz w:val="18"/>
                <w:szCs w:val="18"/>
                <w:color w:val="auto"/>
              </w:rPr>
            </w:pPr>
          </w:p>
        </w:tc>
        <w:tc>
          <w:tcPr>
            <w:tcW w:w="590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left="414"/>
              <w:spacing w:after="0"/>
              <w:rPr>
                <w:sz w:val="20"/>
                <w:szCs w:val="20"/>
                <w:color w:val="auto"/>
              </w:rPr>
            </w:pPr>
            <w:r>
              <w:rPr>
                <w:rFonts w:ascii="Arial" w:cs="Arial" w:eastAsia="Arial" w:hAnsi="Arial"/>
                <w:sz w:val="13"/>
                <w:szCs w:val="13"/>
                <w:b w:val="1"/>
                <w:bCs w:val="1"/>
                <w:color w:val="auto"/>
                <w:w w:val="84"/>
              </w:rPr>
              <w:t>(in thousands)</w:t>
            </w:r>
          </w:p>
        </w:tc>
        <w:tc>
          <w:tcPr>
            <w:tcW w:w="720" w:type="dxa"/>
            <w:vAlign w:val="bottom"/>
            <w:tcBorders>
              <w:bottom w:val="single" w:sz="8" w:color="auto"/>
            </w:tcBorders>
          </w:tcPr>
          <w:p>
            <w:pPr>
              <w:spacing w:after="0"/>
              <w:rPr>
                <w:sz w:val="18"/>
                <w:szCs w:val="18"/>
                <w:color w:val="auto"/>
              </w:rPr>
            </w:pPr>
          </w:p>
        </w:tc>
      </w:tr>
      <w:tr>
        <w:trPr>
          <w:trHeight w:val="174"/>
        </w:trPr>
        <w:tc>
          <w:tcPr>
            <w:tcW w:w="20" w:type="dxa"/>
            <w:vAlign w:val="bottom"/>
            <w:shd w:val="clear" w:color="auto" w:fill="CCFFCC"/>
          </w:tcPr>
          <w:p>
            <w:pPr>
              <w:spacing w:after="0"/>
              <w:rPr>
                <w:sz w:val="15"/>
                <w:szCs w:val="15"/>
                <w:color w:val="auto"/>
              </w:rPr>
            </w:pPr>
          </w:p>
        </w:tc>
        <w:tc>
          <w:tcPr>
            <w:tcW w:w="864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Consolidated Statements of Cash Flows Data:</w:t>
            </w:r>
          </w:p>
        </w:tc>
        <w:tc>
          <w:tcPr>
            <w:tcW w:w="28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r>
      <w:tr>
        <w:trPr>
          <w:trHeight w:val="39"/>
        </w:trPr>
        <w:tc>
          <w:tcPr>
            <w:tcW w:w="20" w:type="dxa"/>
            <w:vAlign w:val="bottom"/>
            <w:tcBorders>
              <w:top w:val="single" w:sz="8" w:color="CCFFCC"/>
            </w:tcBorders>
            <w:shd w:val="clear" w:color="auto" w:fill="CCFFCC"/>
          </w:tcPr>
          <w:p>
            <w:pPr>
              <w:spacing w:after="0"/>
              <w:rPr>
                <w:sz w:val="3"/>
                <w:szCs w:val="3"/>
                <w:color w:val="auto"/>
              </w:rPr>
            </w:pPr>
          </w:p>
        </w:tc>
        <w:tc>
          <w:tcPr>
            <w:tcW w:w="2740" w:type="dxa"/>
            <w:vAlign w:val="bottom"/>
            <w:tcBorders>
              <w:top w:val="single" w:sz="8" w:color="auto"/>
            </w:tcBorders>
            <w:shd w:val="clear" w:color="auto" w:fill="CCFFCC"/>
          </w:tcPr>
          <w:p>
            <w:pPr>
              <w:spacing w:after="0"/>
              <w:rPr>
                <w:sz w:val="3"/>
                <w:szCs w:val="3"/>
                <w:color w:val="auto"/>
              </w:rPr>
            </w:pPr>
          </w:p>
        </w:tc>
        <w:tc>
          <w:tcPr>
            <w:tcW w:w="5900" w:type="dxa"/>
            <w:vAlign w:val="bottom"/>
            <w:tcBorders>
              <w:top w:val="single" w:sz="8" w:color="CCFFCC"/>
            </w:tcBorders>
            <w:shd w:val="clear" w:color="auto" w:fill="CCFFCC"/>
          </w:tcPr>
          <w:p>
            <w:pPr>
              <w:spacing w:after="0"/>
              <w:rPr>
                <w:sz w:val="3"/>
                <w:szCs w:val="3"/>
                <w:color w:val="auto"/>
              </w:rPr>
            </w:pPr>
          </w:p>
        </w:tc>
        <w:tc>
          <w:tcPr>
            <w:tcW w:w="280" w:type="dxa"/>
            <w:vAlign w:val="bottom"/>
            <w:tcBorders>
              <w:top w:val="single" w:sz="8" w:color="CCFFCC"/>
            </w:tcBorders>
            <w:shd w:val="clear" w:color="auto" w:fill="CCFFCC"/>
          </w:tcPr>
          <w:p>
            <w:pPr>
              <w:spacing w:after="0"/>
              <w:rPr>
                <w:sz w:val="3"/>
                <w:szCs w:val="3"/>
                <w:color w:val="auto"/>
              </w:rPr>
            </w:pPr>
          </w:p>
        </w:tc>
        <w:tc>
          <w:tcPr>
            <w:tcW w:w="1020" w:type="dxa"/>
            <w:vAlign w:val="bottom"/>
            <w:tcBorders>
              <w:top w:val="single" w:sz="8" w:color="CCFFCC"/>
            </w:tcBorders>
            <w:shd w:val="clear" w:color="auto" w:fill="CCFFCC"/>
          </w:tcPr>
          <w:p>
            <w:pPr>
              <w:spacing w:after="0"/>
              <w:rPr>
                <w:sz w:val="3"/>
                <w:szCs w:val="3"/>
                <w:color w:val="auto"/>
              </w:rPr>
            </w:pPr>
          </w:p>
        </w:tc>
        <w:tc>
          <w:tcPr>
            <w:tcW w:w="580" w:type="dxa"/>
            <w:vAlign w:val="bottom"/>
            <w:tcBorders>
              <w:top w:val="single" w:sz="8" w:color="CCFFCC"/>
            </w:tcBorders>
            <w:shd w:val="clear" w:color="auto" w:fill="CCFFCC"/>
          </w:tcPr>
          <w:p>
            <w:pPr>
              <w:spacing w:after="0"/>
              <w:rPr>
                <w:sz w:val="3"/>
                <w:szCs w:val="3"/>
                <w:color w:val="auto"/>
              </w:rPr>
            </w:pPr>
          </w:p>
        </w:tc>
        <w:tc>
          <w:tcPr>
            <w:tcW w:w="720" w:type="dxa"/>
            <w:vAlign w:val="bottom"/>
            <w:tcBorders>
              <w:top w:val="single" w:sz="8" w:color="CCFFCC"/>
            </w:tcBorders>
            <w:shd w:val="clear" w:color="auto" w:fill="CCFFCC"/>
          </w:tcPr>
          <w:p>
            <w:pPr>
              <w:spacing w:after="0"/>
              <w:rPr>
                <w:sz w:val="3"/>
                <w:szCs w:val="3"/>
                <w:color w:val="auto"/>
              </w:rPr>
            </w:pPr>
          </w:p>
        </w:tc>
      </w:tr>
      <w:tr>
        <w:trPr>
          <w:trHeight w:val="207"/>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4"/>
                <w:szCs w:val="14"/>
                <w:color w:val="auto"/>
              </w:rPr>
              <w:t>Cash flows provided by (used in) operating activities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94"/>
              <w:spacing w:after="0"/>
              <w:rPr>
                <w:sz w:val="20"/>
                <w:szCs w:val="20"/>
                <w:color w:val="auto"/>
              </w:rPr>
            </w:pPr>
            <w:r>
              <w:rPr>
                <w:rFonts w:ascii="Arial" w:cs="Arial" w:eastAsia="Arial" w:hAnsi="Arial"/>
                <w:sz w:val="14"/>
                <w:szCs w:val="14"/>
                <w:color w:val="auto"/>
              </w:rPr>
              <w:t>37,655</w:t>
            </w:r>
          </w:p>
        </w:tc>
        <w:tc>
          <w:tcPr>
            <w:tcW w:w="5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(40,444)</w:t>
            </w:r>
          </w:p>
        </w:tc>
      </w:tr>
      <w:tr>
        <w:trPr>
          <w:trHeight w:val="29"/>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5"/>
        </w:trPr>
        <w:tc>
          <w:tcPr>
            <w:tcW w:w="20" w:type="dxa"/>
            <w:vAlign w:val="bottom"/>
            <w:tcBorders>
              <w:bottom w:val="single" w:sz="8" w:color="CCFFCC"/>
            </w:tcBorders>
            <w:shd w:val="clear" w:color="auto" w:fill="CCFFCC"/>
          </w:tcPr>
          <w:p>
            <w:pPr>
              <w:spacing w:after="0"/>
              <w:rPr>
                <w:sz w:val="18"/>
                <w:szCs w:val="18"/>
                <w:color w:val="auto"/>
              </w:rPr>
            </w:pPr>
          </w:p>
        </w:tc>
        <w:tc>
          <w:tcPr>
            <w:tcW w:w="86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4"/>
                <w:szCs w:val="14"/>
                <w:color w:val="auto"/>
              </w:rPr>
              <w:t>Cash flows used in investing activities</w:t>
            </w:r>
          </w:p>
        </w:tc>
        <w:tc>
          <w:tcPr>
            <w:tcW w:w="28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4"/>
                <w:szCs w:val="14"/>
                <w:color w:val="auto"/>
              </w:rPr>
              <w:t>(34,163)</w:t>
            </w:r>
          </w:p>
        </w:tc>
        <w:tc>
          <w:tcPr>
            <w:tcW w:w="580" w:type="dxa"/>
            <w:vAlign w:val="bottom"/>
            <w:tcBorders>
              <w:bottom w:val="single" w:sz="8" w:color="CCFFCC"/>
            </w:tcBorders>
            <w:shd w:val="clear" w:color="auto" w:fill="CCFFCC"/>
          </w:tcPr>
          <w:p>
            <w:pPr>
              <w:spacing w:after="0"/>
              <w:rPr>
                <w:sz w:val="18"/>
                <w:szCs w:val="18"/>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(34,254)</w:t>
            </w:r>
          </w:p>
        </w:tc>
      </w:tr>
      <w:tr>
        <w:trPr>
          <w:trHeight w:val="207"/>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4"/>
                <w:szCs w:val="14"/>
                <w:color w:val="auto"/>
              </w:rPr>
              <w:t>Cash flows provided by financing activities</w:t>
            </w:r>
          </w:p>
        </w:tc>
        <w:tc>
          <w:tcPr>
            <w:tcW w:w="280" w:type="dxa"/>
            <w:vAlign w:val="bottom"/>
          </w:tcPr>
          <w:p>
            <w:pPr>
              <w:spacing w:after="0"/>
              <w:rPr>
                <w:sz w:val="17"/>
                <w:szCs w:val="17"/>
                <w:color w:val="auto"/>
              </w:rPr>
            </w:pPr>
          </w:p>
        </w:tc>
        <w:tc>
          <w:tcPr>
            <w:tcW w:w="1020" w:type="dxa"/>
            <w:vAlign w:val="bottom"/>
          </w:tcPr>
          <w:p>
            <w:pPr>
              <w:jc w:val="right"/>
              <w:ind w:right="194"/>
              <w:spacing w:after="0"/>
              <w:rPr>
                <w:sz w:val="20"/>
                <w:szCs w:val="20"/>
                <w:color w:val="auto"/>
              </w:rPr>
            </w:pPr>
            <w:r>
              <w:rPr>
                <w:rFonts w:ascii="Arial" w:cs="Arial" w:eastAsia="Arial" w:hAnsi="Arial"/>
                <w:sz w:val="14"/>
                <w:szCs w:val="14"/>
                <w:color w:val="auto"/>
              </w:rPr>
              <w:t>17,147</w:t>
            </w:r>
          </w:p>
        </w:tc>
        <w:tc>
          <w:tcPr>
            <w:tcW w:w="580" w:type="dxa"/>
            <w:vAlign w:val="bottom"/>
          </w:tcPr>
          <w:p>
            <w:pPr>
              <w:spacing w:after="0"/>
              <w:rPr>
                <w:sz w:val="17"/>
                <w:szCs w:val="17"/>
                <w:color w:val="auto"/>
              </w:rPr>
            </w:pPr>
          </w:p>
        </w:tc>
        <w:tc>
          <w:tcPr>
            <w:tcW w:w="720" w:type="dxa"/>
            <w:vAlign w:val="bottom"/>
          </w:tcPr>
          <w:p>
            <w:pPr>
              <w:jc w:val="right"/>
              <w:ind w:right="51"/>
              <w:spacing w:after="0"/>
              <w:rPr>
                <w:sz w:val="20"/>
                <w:szCs w:val="20"/>
                <w:color w:val="auto"/>
              </w:rPr>
            </w:pPr>
            <w:r>
              <w:rPr>
                <w:rFonts w:ascii="Arial" w:cs="Arial" w:eastAsia="Arial" w:hAnsi="Arial"/>
                <w:sz w:val="14"/>
                <w:szCs w:val="14"/>
                <w:color w:val="auto"/>
              </w:rPr>
              <w:t>214,763</w:t>
            </w:r>
          </w:p>
        </w:tc>
      </w:tr>
    </w:tbl>
    <w:p>
      <w:pPr>
        <w:spacing w:after="0" w:line="110"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As of September 30, 2020, we had approximately $198.7 million in cash and cash equivalents, an increase of approximately $22.2 million from December 31, 2019. The increase is primarily attributable to cash flows provided by financing activities related to issuance of common stock in connection with exercise of options and ESPP and an increase in operating activities.</w:t>
      </w:r>
    </w:p>
    <w:p>
      <w:pPr>
        <w:spacing w:after="0" w:line="72"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Net cash provided by operating activities was $37.7 million for the nine months ended September 30, 2020. Our net loss of $94.3 million was offset by non-cash expenses: stock-based compensation of $46.2 million; depreciation and amortization of $17.2 million; an increase in accounts receivable of $19.2 million and accrued expenses of $36.9 million Net cash used in operating activities was $40.4 million for the nine months ended September 30, 2019 and consisted primarily of net loss, a decrease in accrued expenses and accounts payable, and increases in prepaid expenses and accounts receivable. This was partially offset by increases in deferred revenue and non-cash expenses related to depreciation, stock compensation, and amortization of purchased intangibles. The primary drivers for the increase in net cash provided by (used in) operating activities of ($40.4) million for the nine months ended September 30, 2019, to $37.7 million for the nine months ended September 30, 2020, relate to changes in operating assets and liabilities, specifically large changes in accounts receivable, accrued expenses and deferred revenue, along with other non-cash items, specifically large changes in stock-based compensation and restructuring charges.</w:t>
      </w:r>
    </w:p>
    <w:p>
      <w:pPr>
        <w:spacing w:after="0" w:line="63" w:lineRule="exact"/>
        <w:rPr>
          <w:sz w:val="20"/>
          <w:szCs w:val="20"/>
          <w:color w:val="auto"/>
        </w:rPr>
      </w:pPr>
    </w:p>
    <w:p>
      <w:pPr>
        <w:jc w:val="both"/>
        <w:ind w:right="20" w:firstLine="564"/>
        <w:spacing w:after="0" w:line="280" w:lineRule="auto"/>
        <w:rPr>
          <w:sz w:val="20"/>
          <w:szCs w:val="20"/>
          <w:color w:val="auto"/>
        </w:rPr>
      </w:pPr>
      <w:r>
        <w:rPr>
          <w:rFonts w:ascii="Arial" w:cs="Arial" w:eastAsia="Arial" w:hAnsi="Arial"/>
          <w:sz w:val="15"/>
          <w:szCs w:val="15"/>
          <w:color w:val="auto"/>
        </w:rPr>
        <w:t>Net cash used in investing activities was $34.2 million in the nine months ended September 30, 2020 and consisted primarily of the purchase of fixed assets for our co-location facilities and capitalization of internally developed software. Net cash used in investing activities was $34.3 million in the nine months ended September 30, 2019 and consisted primarily of the purchase of fixed assets for our co-location facilities and capitalization of internally developed software.</w:t>
      </w:r>
    </w:p>
    <w:p>
      <w:pPr>
        <w:spacing w:after="0" w:line="55" w:lineRule="exact"/>
        <w:rPr>
          <w:sz w:val="20"/>
          <w:szCs w:val="20"/>
          <w:color w:val="auto"/>
        </w:rPr>
      </w:pPr>
    </w:p>
    <w:p>
      <w:pPr>
        <w:jc w:val="both"/>
        <w:ind w:firstLine="564"/>
        <w:spacing w:after="0" w:line="322" w:lineRule="auto"/>
        <w:rPr>
          <w:sz w:val="20"/>
          <w:szCs w:val="20"/>
          <w:color w:val="auto"/>
        </w:rPr>
      </w:pPr>
      <w:r>
        <w:rPr>
          <w:rFonts w:ascii="Arial" w:cs="Arial" w:eastAsia="Arial" w:hAnsi="Arial"/>
          <w:sz w:val="13"/>
          <w:szCs w:val="13"/>
          <w:color w:val="auto"/>
        </w:rPr>
        <w:t>Net cash provided by financing activities was $17.1 million in the nine months ended September 30, 2020 and consisted of proceeds from issuance of common stock in connection with the exercise of stock options by employees. Net cash provided by financing activities was $214.8 million in the nine months ended September 30, 2019 and consisted primarily of proceeds from issuance of the Notes and proceeds from issuance of common stock in connection with the exercise of stock options by employees. This was partially offset by purchases of capped calls, debt issuance costs, and repurchase of our common stock. The net proceeds of the Notes was approximately $221.0 million, after deducting initial purchaser debt issuance costs paid or payable by us, from issuance of the Notes, as described in Note 8 to the Condensed Consolidated Financial Statements.</w:t>
      </w:r>
    </w:p>
    <w:p>
      <w:pPr>
        <w:spacing w:after="0" w:line="31" w:lineRule="exact"/>
        <w:rPr>
          <w:sz w:val="20"/>
          <w:szCs w:val="20"/>
          <w:color w:val="auto"/>
        </w:rPr>
      </w:pPr>
    </w:p>
    <w:p>
      <w:pPr>
        <w:jc w:val="both"/>
        <w:ind w:right="20" w:firstLine="564"/>
        <w:spacing w:after="0" w:line="252" w:lineRule="auto"/>
        <w:rPr>
          <w:sz w:val="20"/>
          <w:szCs w:val="20"/>
          <w:color w:val="auto"/>
        </w:rPr>
      </w:pPr>
      <w:r>
        <w:rPr>
          <w:rFonts w:ascii="Arial" w:cs="Arial" w:eastAsia="Arial" w:hAnsi="Arial"/>
          <w:sz w:val="16"/>
          <w:szCs w:val="16"/>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September 30, 2020, we had an accumulated deficit of approximately $378.6 million.</w:t>
      </w:r>
    </w:p>
    <w:p>
      <w:pPr>
        <w:spacing w:after="0" w:line="74"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 response to the COVID-19 pandemic, we have undertaken a re-evaluation of our real estate needs. In connection with this re-evaluation, and the success we have had working remotely for the past several months, we have significantly reduced the real estate space we lease. This will likely result in various one-time cash expenses in connection with early termination of some or all of our leases.</w:t>
      </w:r>
    </w:p>
    <w:p>
      <w:pPr>
        <w:spacing w:after="0" w:line="72"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Our principal sources of liquidity are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60"/>
          </w:cols>
          <w:pgMar w:left="320" w:top="785" w:right="31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rapid expansion, to develop new or enhanced services or products or to invest in or acquire complementary businesses, technologies, services or products.</w:t>
      </w:r>
    </w:p>
    <w:p>
      <w:pPr>
        <w:spacing w:after="0" w:line="98"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Off-Balance Sheet Arrangements</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do not engage in off-balance sheet financing arrangements.</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Exchange Risks</w:t>
      </w:r>
    </w:p>
    <w:p>
      <w:pPr>
        <w:spacing w:after="0" w:line="98" w:lineRule="exact"/>
        <w:rPr>
          <w:sz w:val="20"/>
          <w:szCs w:val="20"/>
          <w:color w:val="auto"/>
        </w:rPr>
      </w:pPr>
    </w:p>
    <w:p>
      <w:pPr>
        <w:jc w:val="both"/>
        <w:ind w:firstLine="564"/>
        <w:spacing w:after="0" w:line="313" w:lineRule="auto"/>
        <w:rPr>
          <w:sz w:val="20"/>
          <w:szCs w:val="20"/>
          <w:color w:val="auto"/>
        </w:rPr>
      </w:pPr>
      <w:r>
        <w:rPr>
          <w:rFonts w:ascii="Arial" w:cs="Arial" w:eastAsia="Arial" w:hAnsi="Arial"/>
          <w:sz w:val="13"/>
          <w:szCs w:val="13"/>
          <w:color w:val="auto"/>
        </w:rPr>
        <w:t>Our Israeli operations have currency rate fluctuation risk associated with the exchange rate movement of the U.S. dollar against the New Israeli Shekel (“NIS”). During the three months ended September 30, 2020, the U.S. dollar depreciated by approximately 6% as compared to the NIS and during the nine months ended September 30, 2020, the U.S. dollar depreciated by approximately 2% as compared to the NIS. During the three and nine months ended September 30, 2020, expenses generated by our Israeli operations totaled approximately $18.0 million and $55.2 million, respectively.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Collection Risks</w:t>
      </w:r>
    </w:p>
    <w:p>
      <w:pPr>
        <w:spacing w:after="0" w:line="98"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Our accounts receivable are subject, in the normal course of business, to collection risks. We regularly assess these risks and have established policies and business practices to protect against the adverse effects of collection risks. During the nine months ended September 30, 2020, our allowance for doubtful accounts increased by $1.2 million to approximately $5.0 million. During the year ended December 31, 2019, we increased our allowance for doubtful accounts increased from $2.3 million to approximately $3.1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w:t>
      </w:r>
    </w:p>
    <w:p>
      <w:pPr>
        <w:spacing w:after="0" w:line="80" w:lineRule="exact"/>
        <w:rPr>
          <w:sz w:val="20"/>
          <w:szCs w:val="20"/>
          <w:color w:val="auto"/>
        </w:rPr>
      </w:pPr>
    </w:p>
    <w:p>
      <w:pPr>
        <w:jc w:val="both"/>
        <w:ind w:right="20" w:firstLine="564"/>
        <w:spacing w:after="0" w:line="269" w:lineRule="auto"/>
        <w:rPr>
          <w:sz w:val="20"/>
          <w:szCs w:val="20"/>
          <w:color w:val="auto"/>
        </w:rPr>
      </w:pPr>
      <w:r>
        <w:rPr>
          <w:rFonts w:ascii="Arial" w:cs="Arial" w:eastAsia="Arial" w:hAnsi="Arial"/>
          <w:sz w:val="15"/>
          <w:szCs w:val="15"/>
          <w:color w:val="auto"/>
        </w:rPr>
        <w:t>An allowance for doubtful accounts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customers or industry. Accounts receivable are written off against the allowance for uncollectible accounts when we determine amounts are no longer collectible.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98"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Our investments consist of cash and cash equivalents. Therefore, changes in the market’s interest rates do not affect in any material respect the value of the investments as recorded by us.</w:t>
      </w:r>
    </w:p>
    <w:p>
      <w:pPr>
        <w:spacing w:after="0" w:line="64"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 March 2019, we issued $230.0 million in aggregate principal amount of the Notes, as discussed in Note 8 to the Condensed Consolidated Financial Statements. As the Notes have a fixed annual interest rate, we have no financial and economic interest exposure associated with changes in interest rates. However, the fair value of the Notes changes when the market price of our stock fluctuates or interest rates change.</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Inflation Risk</w:t>
      </w:r>
    </w:p>
    <w:p>
      <w:pPr>
        <w:spacing w:after="0" w:line="98" w:lineRule="exact"/>
        <w:rPr>
          <w:sz w:val="20"/>
          <w:szCs w:val="20"/>
          <w:color w:val="auto"/>
        </w:rPr>
      </w:pPr>
    </w:p>
    <w:p>
      <w:pPr>
        <w:jc w:val="both"/>
        <w:ind w:right="20" w:firstLine="564"/>
        <w:spacing w:after="0" w:line="255" w:lineRule="auto"/>
        <w:rPr>
          <w:sz w:val="20"/>
          <w:szCs w:val="20"/>
          <w:color w:val="auto"/>
        </w:rPr>
      </w:pPr>
      <w:r>
        <w:rPr>
          <w:rFonts w:ascii="Arial" w:cs="Arial" w:eastAsia="Arial" w:hAnsi="Arial"/>
          <w:sz w:val="16"/>
          <w:szCs w:val="16"/>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60"/>
          </w:cols>
          <w:pgMar w:left="320" w:top="503"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color w:val="auto"/>
        </w:rPr>
        <w:t>Item 4. Controls and Procedures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98"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September 30, 2020. Based on that evaluation, the Chief Executive Officer and Chief Financial Officer concluded that our disclosure controls and procedures were effective as of September 30, 2020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9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There were no changes in our internal control over financial reporting during the quarter ended September 30, 2020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Limitations of the Effectiveness of Internal Control</w:t>
      </w:r>
    </w:p>
    <w:p>
      <w:pPr>
        <w:spacing w:after="0" w:line="98" w:lineRule="exact"/>
        <w:rPr>
          <w:sz w:val="20"/>
          <w:szCs w:val="20"/>
          <w:color w:val="auto"/>
        </w:rPr>
      </w:pPr>
    </w:p>
    <w:p>
      <w:pPr>
        <w:jc w:val="both"/>
        <w:ind w:right="20" w:firstLine="564"/>
        <w:spacing w:after="0" w:line="382" w:lineRule="auto"/>
        <w:rPr>
          <w:sz w:val="20"/>
          <w:szCs w:val="20"/>
          <w:color w:val="auto"/>
        </w:rPr>
      </w:pPr>
      <w:r>
        <w:rPr>
          <w:rFonts w:ascii="Arial" w:cs="Arial" w:eastAsia="Arial" w:hAnsi="Arial"/>
          <w:sz w:val="13"/>
          <w:szCs w:val="13"/>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Part II.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96" w:lineRule="exact"/>
        <w:rPr>
          <w:sz w:val="20"/>
          <w:szCs w:val="20"/>
          <w:color w:val="auto"/>
        </w:rPr>
      </w:pPr>
    </w:p>
    <w:p>
      <w:pPr>
        <w:ind w:right="120" w:firstLine="564"/>
        <w:spacing w:after="0" w:line="267" w:lineRule="auto"/>
        <w:rPr>
          <w:sz w:val="20"/>
          <w:szCs w:val="20"/>
          <w:color w:val="auto"/>
        </w:rPr>
      </w:pPr>
      <w:r>
        <w:rPr>
          <w:rFonts w:ascii="Arial" w:cs="Arial" w:eastAsia="Arial" w:hAnsi="Arial"/>
          <w:sz w:val="15"/>
          <w:szCs w:val="15"/>
          <w:color w:val="auto"/>
        </w:rPr>
        <w:t>The Company previously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the Company’s favor have invalidated the majority of [24]7 patents that were asserted in the patent cases. Trial for the Company’s intellectual property and other claims asserted against [24]7 is set for March 15, 2021. Trial for [24]7’s patent infringement claims has been vacated, to be reset after the trial on LivePerson’s claims. The Company believes the claims filed by [24]7 are entirely without merit and intends to defend them vigorously.</w:t>
      </w:r>
    </w:p>
    <w:p>
      <w:pPr>
        <w:spacing w:after="0" w:line="87" w:lineRule="exact"/>
        <w:rPr>
          <w:sz w:val="20"/>
          <w:szCs w:val="20"/>
          <w:color w:val="auto"/>
        </w:rPr>
      </w:pPr>
    </w:p>
    <w:p>
      <w:pPr>
        <w:jc w:val="both"/>
        <w:ind w:right="160" w:firstLine="564"/>
        <w:spacing w:after="0" w:line="252" w:lineRule="auto"/>
        <w:rPr>
          <w:sz w:val="20"/>
          <w:szCs w:val="20"/>
          <w:color w:val="auto"/>
        </w:rPr>
      </w:pPr>
      <w:r>
        <w:rPr>
          <w:rFonts w:ascii="Arial" w:cs="Arial" w:eastAsia="Arial" w:hAnsi="Arial"/>
          <w:sz w:val="16"/>
          <w:szCs w:val="16"/>
          <w:color w:val="auto"/>
        </w:rPr>
        <w:t>In July 2020, we made a decision to exit our office leases due to the COVID-19 pandemic. We are in the process of negotiating termination agreements with each of our landlords. Landlords in certain locations have initiated proceedings with respect to lease terminations. We have fully accrued unpaid rent through date of this update and believe we have adequately reserved on our books, and that this amount should be adequate to cover our liability. We do not expect these matters to have a material adverse effect on our results of operations.</w:t>
      </w:r>
    </w:p>
    <w:p>
      <w:pPr>
        <w:spacing w:after="0" w:line="285" w:lineRule="exact"/>
        <w:rPr>
          <w:sz w:val="20"/>
          <w:szCs w:val="20"/>
          <w:color w:val="auto"/>
        </w:rPr>
      </w:pPr>
    </w:p>
    <w:p>
      <w:pPr>
        <w:ind w:right="320" w:firstLine="564"/>
        <w:spacing w:after="0" w:line="265" w:lineRule="auto"/>
        <w:rPr>
          <w:sz w:val="20"/>
          <w:szCs w:val="20"/>
          <w:color w:val="auto"/>
        </w:rPr>
      </w:pPr>
      <w:r>
        <w:rPr>
          <w:rFonts w:ascii="Arial" w:cs="Arial" w:eastAsia="Arial" w:hAnsi="Arial"/>
          <w:sz w:val="16"/>
          <w:szCs w:val="16"/>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87" w:lineRule="exact"/>
        <w:rPr>
          <w:sz w:val="20"/>
          <w:szCs w:val="20"/>
          <w:color w:val="auto"/>
        </w:rPr>
      </w:pPr>
    </w:p>
    <w:p>
      <w:pPr>
        <w:ind w:right="40" w:firstLine="564"/>
        <w:spacing w:after="0" w:line="322" w:lineRule="auto"/>
        <w:rPr>
          <w:sz w:val="20"/>
          <w:szCs w:val="20"/>
          <w:color w:val="auto"/>
        </w:rPr>
      </w:pPr>
      <w:r>
        <w:rPr>
          <w:rFonts w:ascii="Arial" w:cs="Arial" w:eastAsia="Arial" w:hAnsi="Arial"/>
          <w:sz w:val="13"/>
          <w:szCs w:val="13"/>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60"/>
          </w:cols>
          <w:pgMar w:left="320" w:top="503" w:right="319" w:bottom="1440" w:gutter="0" w:footer="0" w:header="0"/>
        </w:sectPr>
      </w:pPr>
    </w:p>
    <w:bookmarkStart w:id="59" w:name="page60"/>
    <w:bookmarkEnd w:id="59"/>
    <w:p>
      <w:pPr>
        <w:ind w:right="20"/>
        <w:spacing w:after="0" w:line="269" w:lineRule="auto"/>
        <w:rPr>
          <w:sz w:val="20"/>
          <w:szCs w:val="20"/>
          <w:color w:val="auto"/>
        </w:rPr>
      </w:pPr>
      <w:r>
        <w:rPr>
          <w:rFonts w:ascii="Arial" w:cs="Arial" w:eastAsia="Arial" w:hAnsi="Arial"/>
          <w:sz w:val="15"/>
          <w:szCs w:val="15"/>
          <w:color w:val="auto"/>
        </w:rPr>
        <w:t>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86" w:lineRule="exact"/>
        <w:rPr>
          <w:sz w:val="20"/>
          <w:szCs w:val="20"/>
          <w:color w:val="auto"/>
        </w:rPr>
      </w:pPr>
    </w:p>
    <w:p>
      <w:pPr>
        <w:ind w:right="60" w:firstLine="564"/>
        <w:spacing w:after="0" w:line="322" w:lineRule="auto"/>
        <w:rPr>
          <w:sz w:val="20"/>
          <w:szCs w:val="20"/>
          <w:color w:val="auto"/>
        </w:rPr>
      </w:pPr>
      <w:r>
        <w:rPr>
          <w:rFonts w:ascii="Arial" w:cs="Arial" w:eastAsia="Arial" w:hAnsi="Arial"/>
          <w:sz w:val="13"/>
          <w:szCs w:val="13"/>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Item 1A. Risk Factors</w:t>
      </w:r>
    </w:p>
    <w:p>
      <w:pPr>
        <w:spacing w:after="0" w:line="98"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16"/>
          <w:szCs w:val="16"/>
          <w:color w:val="auto"/>
        </w:rPr>
        <w:t>Our operations and financial results are subject to various risks and uncertainties, including those described in Part I, Item 1A. “Risk Factors” in our Annual Report on Form 10-K for the year ended December 31, 2019, filed on March 2, 2020, which could adversely affect our business, financial condition, results of operations, cash flows, and the trading price of our common stock. Other than as set forth below, there have been no material changes to the risk factors described in our most recent Annual Report on Form 10-K.</w:t>
      </w:r>
    </w:p>
    <w:p>
      <w:pPr>
        <w:spacing w:after="0" w:line="16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b w:val="1"/>
          <w:bCs w:val="1"/>
          <w:i w:val="1"/>
          <w:iCs w:val="1"/>
          <w:color w:val="auto"/>
        </w:rPr>
        <w:t>The ongoing coronavirus (COVID-19) pandemic and measures intended to prevent its spread could have a material adverse effect on our business, results of operations, cash flows, financial condition and/or stock price.</w:t>
      </w:r>
    </w:p>
    <w:p>
      <w:pPr>
        <w:spacing w:after="0" w:line="15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5"/>
          <w:szCs w:val="15"/>
          <w:color w:val="auto"/>
        </w:rPr>
        <w:t>Our results of operations have been adversely affected and could in the future be materially adversely impacted by the coronavirus (COVID-19) pandemic. The global spread of the coronavirus (COVID-19) has created significant volatility and uncertainty and economic disruption. The extent to which the coronavirus (COVID-19) pandemic impacts our business, operations and financial results will depend on numerous evolving factors that we may not be able to accurately predict, including: the duration and scope of the pandemic; governmental, business and individuals’ actions that have been and continue to be taken in response to the pandemic; the impact of the pandemic on economic activity and actions taken in response; the effect on our clients and client demand for our services and solutions, including the potential lengthening of the sales cycle; our ability to sell and provide our services and solutions, including as a result of travel restrictions and people working from home; the ability of our clients to pay for our services and solutions; and any closures of our and our clients’ offices and facilities. Clients may also slow down decision making, delay planned work, seek to terminate existing agreements and/or delay payment terms. Any of these events or other currently unforeseen consequences of the coronavirus (COVID-19) pandemic could cause or contribute to the risks and uncertainties enumerated in our Annual Report on Form 10-K, and could materially adversely affect our business, results of operations, cash flows, financial condition and/or stock price.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Industry-specific regulation is evolving and unfavorable industry-specific laws, regulations or interpretive positions could harm our business.</w:t>
      </w:r>
    </w:p>
    <w:p>
      <w:pPr>
        <w:spacing w:after="0" w:line="192" w:lineRule="exact"/>
        <w:rPr>
          <w:sz w:val="20"/>
          <w:szCs w:val="20"/>
          <w:color w:val="auto"/>
        </w:rPr>
      </w:pPr>
    </w:p>
    <w:p>
      <w:pPr>
        <w:ind w:firstLine="564"/>
        <w:spacing w:after="0" w:line="313" w:lineRule="auto"/>
        <w:rPr>
          <w:sz w:val="20"/>
          <w:szCs w:val="20"/>
          <w:color w:val="auto"/>
        </w:rPr>
      </w:pPr>
      <w:r>
        <w:rPr>
          <w:rFonts w:ascii="Arial" w:cs="Arial" w:eastAsia="Arial" w:hAnsi="Arial"/>
          <w:sz w:val="13"/>
          <w:szCs w:val="13"/>
          <w:color w:val="auto"/>
        </w:rPr>
        <w:t>Our customers and potential customers do business in a variety of industries, including financial services, the public sector, healthcare and telecommunications. Regulators of various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our customers’ use and adoption of our services and reduce overall demand. For example, some financial services regulators have imposed guidelines for use of cloud computing services that mandate specific controls or that require financial services providers to obtain regulatory approval prior to outsourcing certain functions. If we are unable to comply with these guidelines or controls, or if our customers are unable to obtain regulatory approval to use our service where required, our business may be harmed and we may be unable to conduct business with customers in such industries. In addition, an inability to satisfy the standards of certain third-party certification bodies that our customers may expect, such as the Payment Card Industry (PCI) Data Security Standards, may have an adverse impact on our business. If we are unable in the future to achieve or maintain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60"/>
          </w:cols>
          <w:pgMar w:left="320" w:top="503" w:right="319" w:bottom="1440" w:gutter="0" w:footer="0" w:header="0"/>
        </w:sectPr>
      </w:pPr>
    </w:p>
    <w:bookmarkStart w:id="60" w:name="page61"/>
    <w:bookmarkEnd w:id="60"/>
    <w:p>
      <w:pPr>
        <w:ind w:right="260"/>
        <w:spacing w:after="0" w:line="265" w:lineRule="auto"/>
        <w:rPr>
          <w:sz w:val="20"/>
          <w:szCs w:val="20"/>
          <w:color w:val="auto"/>
        </w:rPr>
      </w:pPr>
      <w:r>
        <w:rPr>
          <w:rFonts w:ascii="Arial" w:cs="Arial" w:eastAsia="Arial" w:hAnsi="Arial"/>
          <w:sz w:val="16"/>
          <w:szCs w:val="16"/>
          <w:color w:val="auto"/>
        </w:rPr>
        <w:t>these industry-specific certifications or comply with other similar requirements or standards that are relevant to our customers, our business and our revenue may be adversely impacted.</w:t>
      </w:r>
    </w:p>
    <w:p>
      <w:pPr>
        <w:spacing w:after="0" w:line="158" w:lineRule="exact"/>
        <w:rPr>
          <w:sz w:val="20"/>
          <w:szCs w:val="20"/>
          <w:color w:val="auto"/>
        </w:rPr>
      </w:pPr>
    </w:p>
    <w:p>
      <w:pPr>
        <w:ind w:right="220" w:firstLine="564"/>
        <w:spacing w:after="0" w:line="265" w:lineRule="auto"/>
        <w:rPr>
          <w:sz w:val="20"/>
          <w:szCs w:val="20"/>
          <w:color w:val="auto"/>
        </w:rPr>
      </w:pPr>
      <w:r>
        <w:rPr>
          <w:rFonts w:ascii="Arial" w:cs="Arial" w:eastAsia="Arial" w:hAnsi="Arial"/>
          <w:sz w:val="16"/>
          <w:szCs w:val="16"/>
          <w:color w:val="auto"/>
        </w:rPr>
        <w:t>In some cases, industry-specific laws, regulations or interpretive positions may also apply directly to us as a service provider. Any failure or perceived failure by us to comply with such requirements could have a material adverse impact on our business and results of operations.</w:t>
      </w:r>
    </w:p>
    <w:p>
      <w:pPr>
        <w:spacing w:after="0" w:line="158" w:lineRule="exact"/>
        <w:rPr>
          <w:sz w:val="20"/>
          <w:szCs w:val="20"/>
          <w:color w:val="auto"/>
        </w:rPr>
      </w:pPr>
    </w:p>
    <w:p>
      <w:pPr>
        <w:ind w:firstLine="564"/>
        <w:spacing w:after="0" w:line="322" w:lineRule="auto"/>
        <w:rPr>
          <w:sz w:val="20"/>
          <w:szCs w:val="20"/>
          <w:color w:val="auto"/>
        </w:rPr>
      </w:pPr>
      <w:r>
        <w:rPr>
          <w:rFonts w:ascii="Arial" w:cs="Arial" w:eastAsia="Arial" w:hAnsi="Arial"/>
          <w:sz w:val="13"/>
          <w:szCs w:val="13"/>
          <w:color w:val="auto"/>
        </w:rPr>
        <w:t>In addition, we may become subject to additional regulatory and compliance burdens as we expand our product offerings into new conversational businesses. For example, we recently launched a new conversational banking initiative in the online banking vertical. While we are relying on the banking license and regulatory compliance of a third party and certain of their compliance programs for this initiative, if we or our partner fail to comply with applicable laws, rules and regulations, fail to successfully manage our regulatory or compliance obligations, or fail to obtain and maintain required licenses, we could be subject to fines and/or proceedings by governmental agencies, regulatory bodies, and/or private litigation, which could materially and adversely affect our business, financial condition and results of operations.</w:t>
      </w: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Item 2. Unregistered Sales of Equity Securities and Use of Proceeds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Unregistered Sales of Equity Securities</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unregistered sales of equity securities by the issuer during the three months ended September 30, 2020.</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of Equity Securities by the Issuer</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repurchases of equity securities by the issuer during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Item 3. Defaults Upon Senior Securities</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Item 4. Mine Safety Disclosures</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Item 5. Other Information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180"/>
          </w:cols>
          <w:pgMar w:left="320" w:top="503" w:right="399" w:bottom="1440" w:gutter="0" w:footer="0" w:header="0"/>
        </w:sectPr>
      </w:pPr>
    </w:p>
    <w:bookmarkStart w:id="61" w:name="page62"/>
    <w:bookmarkEnd w:id="61"/>
    <w:tbl>
      <w:tblPr>
        <w:tblLayout w:type="fixed"/>
        <w:tblInd w:w="6" w:type="dxa"/>
        <w:tblCellMar>
          <w:top w:w="0" w:type="dxa"/>
          <w:left w:w="0" w:type="dxa"/>
          <w:bottom w:w="0" w:type="dxa"/>
          <w:right w:w="0" w:type="dxa"/>
        </w:tblCellMar>
      </w:tblPr>
      <w:tr>
        <w:trPr>
          <w:trHeight w:val="200"/>
        </w:trPr>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Pr>
          <w:p>
            <w:pPr>
              <w:ind w:left="3640"/>
              <w:spacing w:after="0"/>
              <w:rPr>
                <w:sz w:val="20"/>
                <w:szCs w:val="20"/>
                <w:color w:val="auto"/>
              </w:rPr>
            </w:pPr>
            <w:r>
              <w:rPr>
                <w:rFonts w:ascii="Arial" w:cs="Arial" w:eastAsia="Arial" w:hAnsi="Arial"/>
                <w:sz w:val="16"/>
                <w:szCs w:val="16"/>
                <w:color w:val="auto"/>
              </w:rPr>
              <w:t>ITEM 6. EXHIBITS</w:t>
            </w:r>
          </w:p>
        </w:tc>
        <w:tc>
          <w:tcPr>
            <w:tcW w:w="0" w:type="dxa"/>
            <w:vAlign w:val="bottom"/>
          </w:tcPr>
          <w:p>
            <w:pPr>
              <w:spacing w:after="0"/>
              <w:rPr>
                <w:sz w:val="1"/>
                <w:szCs w:val="1"/>
                <w:color w:val="auto"/>
              </w:rPr>
            </w:pPr>
          </w:p>
        </w:tc>
      </w:tr>
      <w:tr>
        <w:trPr>
          <w:trHeight w:val="705"/>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89"/>
              </w:rPr>
              <w:t>31.1</w:t>
            </w:r>
          </w:p>
        </w:tc>
        <w:tc>
          <w:tcPr>
            <w:tcW w:w="420" w:type="dxa"/>
            <w:vAlign w:val="bottom"/>
          </w:tcPr>
          <w:p>
            <w:pPr>
              <w:ind w:left="10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rFonts w:ascii="Arial" w:cs="Arial" w:eastAsia="Arial" w:hAnsi="Arial"/>
                <w:sz w:val="16"/>
                <w:szCs w:val="16"/>
                <w:u w:val="single" w:color="auto"/>
                <w:color w:val="0000FF"/>
                <w:w w:val="89"/>
              </w:rPr>
            </w:pPr>
            <w:hyperlink w:anchor="page64">
              <w:r>
                <w:rPr>
                  <w:rFonts w:ascii="Arial" w:cs="Arial" w:eastAsia="Arial" w:hAnsi="Arial"/>
                  <w:sz w:val="16"/>
                  <w:szCs w:val="16"/>
                  <w:u w:val="single" w:color="auto"/>
                  <w:color w:val="0000FF"/>
                  <w:w w:val="89"/>
                </w:rPr>
                <w:t>Certification by Chief Executive Officer pursuant to Exchange Act Rule 13a-14(a), as adopted pursuant to Section 302 of the Sarbanes-Oxley Act of 2002</w:t>
              </w:r>
            </w:hyperlink>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920" w:type="dxa"/>
            <w:vAlign w:val="bottom"/>
            <w:shd w:val="clear" w:color="auto" w:fill="CCFFCC"/>
          </w:tcPr>
          <w:p>
            <w:pPr>
              <w:spacing w:after="0"/>
              <w:rPr>
                <w:sz w:val="22"/>
                <w:szCs w:val="22"/>
                <w:color w:val="auto"/>
              </w:rPr>
            </w:pPr>
          </w:p>
        </w:tc>
        <w:tc>
          <w:tcPr>
            <w:tcW w:w="420" w:type="dxa"/>
            <w:vAlign w:val="bottom"/>
            <w:shd w:val="clear" w:color="auto" w:fill="CCFFCC"/>
          </w:tcPr>
          <w:p>
            <w:pPr>
              <w:spacing w:after="0"/>
              <w:rPr>
                <w:sz w:val="22"/>
                <w:szCs w:val="22"/>
                <w:color w:val="auto"/>
              </w:rPr>
            </w:pPr>
          </w:p>
        </w:tc>
        <w:tc>
          <w:tcPr>
            <w:tcW w:w="986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89"/>
              </w:rPr>
              <w:t>31.2</w:t>
            </w:r>
          </w:p>
        </w:tc>
        <w:tc>
          <w:tcPr>
            <w:tcW w:w="420" w:type="dxa"/>
            <w:vAlign w:val="bottom"/>
          </w:tcPr>
          <w:p>
            <w:pPr>
              <w:ind w:left="10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rFonts w:ascii="Arial" w:cs="Arial" w:eastAsia="Arial" w:hAnsi="Arial"/>
                <w:sz w:val="16"/>
                <w:szCs w:val="16"/>
                <w:u w:val="single" w:color="auto"/>
                <w:color w:val="0000FF"/>
                <w:w w:val="90"/>
              </w:rPr>
            </w:pPr>
            <w:hyperlink w:anchor="page65">
              <w:r>
                <w:rPr>
                  <w:rFonts w:ascii="Arial" w:cs="Arial" w:eastAsia="Arial" w:hAnsi="Arial"/>
                  <w:sz w:val="16"/>
                  <w:szCs w:val="16"/>
                  <w:u w:val="single" w:color="auto"/>
                  <w:color w:val="0000FF"/>
                  <w:w w:val="90"/>
                </w:rPr>
                <w:t>Certification by Chief Financial Officer pursuant to Exchange Act Rule 13a-14(a), as adopted pursuant to Section 302 of the Sarbanes-Oxley Act of 2002</w:t>
              </w:r>
            </w:hyperlink>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89"/>
              </w:rPr>
              <w:t>32.1</w:t>
            </w:r>
          </w:p>
        </w:tc>
        <w:tc>
          <w:tcPr>
            <w:tcW w:w="420" w:type="dxa"/>
            <w:vAlign w:val="bottom"/>
          </w:tcPr>
          <w:p>
            <w:pPr>
              <w:ind w:left="10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rFonts w:ascii="Arial" w:cs="Arial" w:eastAsia="Arial" w:hAnsi="Arial"/>
                <w:sz w:val="16"/>
                <w:szCs w:val="16"/>
                <w:u w:val="single" w:color="auto"/>
                <w:color w:val="0000FF"/>
                <w:w w:val="93"/>
              </w:rPr>
            </w:pPr>
            <w:hyperlink w:anchor="page66">
              <w:r>
                <w:rPr>
                  <w:rFonts w:ascii="Arial" w:cs="Arial" w:eastAsia="Arial" w:hAnsi="Arial"/>
                  <w:sz w:val="16"/>
                  <w:szCs w:val="16"/>
                  <w:u w:val="single" w:color="auto"/>
                  <w:color w:val="0000FF"/>
                  <w:w w:val="93"/>
                </w:rPr>
                <w:t>Certification by Chief Executive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89"/>
              </w:rPr>
              <w:t>32.2</w:t>
            </w:r>
          </w:p>
        </w:tc>
        <w:tc>
          <w:tcPr>
            <w:tcW w:w="420" w:type="dxa"/>
            <w:vAlign w:val="bottom"/>
          </w:tcPr>
          <w:p>
            <w:pPr>
              <w:ind w:left="10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rFonts w:ascii="Arial" w:cs="Arial" w:eastAsia="Arial" w:hAnsi="Arial"/>
                <w:sz w:val="16"/>
                <w:szCs w:val="16"/>
                <w:u w:val="single" w:color="auto"/>
                <w:color w:val="0000FF"/>
                <w:w w:val="93"/>
              </w:rPr>
            </w:pPr>
            <w:hyperlink w:anchor="page67">
              <w:r>
                <w:rPr>
                  <w:rFonts w:ascii="Arial" w:cs="Arial" w:eastAsia="Arial" w:hAnsi="Arial"/>
                  <w:sz w:val="16"/>
                  <w:szCs w:val="16"/>
                  <w:u w:val="single" w:color="auto"/>
                  <w:color w:val="0000FF"/>
                  <w:w w:val="93"/>
                </w:rPr>
                <w:t>Certification by Chief Financial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920" w:type="dxa"/>
            <w:vAlign w:val="bottom"/>
            <w:vMerge w:val="restart"/>
          </w:tcPr>
          <w:p>
            <w:pPr>
              <w:jc w:val="center"/>
              <w:ind w:left="2"/>
              <w:spacing w:after="0"/>
              <w:rPr>
                <w:sz w:val="20"/>
                <w:szCs w:val="20"/>
                <w:color w:val="auto"/>
              </w:rPr>
            </w:pPr>
            <w:r>
              <w:rPr>
                <w:rFonts w:ascii="Arial" w:cs="Arial" w:eastAsia="Arial" w:hAnsi="Arial"/>
                <w:sz w:val="16"/>
                <w:szCs w:val="16"/>
                <w:color w:val="auto"/>
                <w:w w:val="89"/>
              </w:rPr>
              <w:t>101.INS</w:t>
            </w:r>
          </w:p>
        </w:tc>
        <w:tc>
          <w:tcPr>
            <w:tcW w:w="420" w:type="dxa"/>
            <w:vAlign w:val="bottom"/>
          </w:tcPr>
          <w:p>
            <w:pPr>
              <w:spacing w:after="0"/>
              <w:rPr>
                <w:sz w:val="17"/>
                <w:szCs w:val="17"/>
                <w:color w:val="auto"/>
              </w:rPr>
            </w:pPr>
          </w:p>
        </w:tc>
        <w:tc>
          <w:tcPr>
            <w:tcW w:w="9860" w:type="dxa"/>
            <w:vAlign w:val="bottom"/>
          </w:tcPr>
          <w:p>
            <w:pPr>
              <w:ind w:left="140"/>
              <w:spacing w:after="0"/>
              <w:rPr>
                <w:sz w:val="20"/>
                <w:szCs w:val="20"/>
                <w:color w:val="auto"/>
              </w:rPr>
            </w:pPr>
            <w:r>
              <w:rPr>
                <w:rFonts w:ascii="Arial" w:cs="Arial" w:eastAsia="Arial" w:hAnsi="Arial"/>
                <w:sz w:val="16"/>
                <w:szCs w:val="16"/>
                <w:color w:val="auto"/>
                <w:w w:val="90"/>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60"/>
        </w:trPr>
        <w:tc>
          <w:tcPr>
            <w:tcW w:w="920" w:type="dxa"/>
            <w:vAlign w:val="bottom"/>
            <w:vMerge w:val="continue"/>
          </w:tcPr>
          <w:p>
            <w:pPr>
              <w:spacing w:after="0"/>
              <w:rPr>
                <w:sz w:val="5"/>
                <w:szCs w:val="5"/>
                <w:color w:val="auto"/>
              </w:rPr>
            </w:pPr>
          </w:p>
        </w:tc>
        <w:tc>
          <w:tcPr>
            <w:tcW w:w="42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9860" w:type="dxa"/>
            <w:vAlign w:val="bottom"/>
            <w:vMerge w:val="restart"/>
          </w:tcPr>
          <w:p>
            <w:pPr>
              <w:ind w:left="140"/>
              <w:spacing w:after="0"/>
              <w:rPr>
                <w:sz w:val="20"/>
                <w:szCs w:val="20"/>
                <w:color w:val="auto"/>
              </w:rPr>
            </w:pPr>
            <w:r>
              <w:rPr>
                <w:rFonts w:ascii="Arial" w:cs="Arial" w:eastAsia="Arial" w:hAnsi="Arial"/>
                <w:sz w:val="16"/>
                <w:szCs w:val="16"/>
                <w:color w:val="auto"/>
              </w:rPr>
              <w:t>Inline XBRL document</w:t>
            </w:r>
          </w:p>
        </w:tc>
        <w:tc>
          <w:tcPr>
            <w:tcW w:w="0" w:type="dxa"/>
            <w:vAlign w:val="bottom"/>
          </w:tcPr>
          <w:p>
            <w:pPr>
              <w:spacing w:after="0"/>
              <w:rPr>
                <w:sz w:val="1"/>
                <w:szCs w:val="1"/>
                <w:color w:val="auto"/>
              </w:rPr>
            </w:pPr>
          </w:p>
        </w:tc>
      </w:tr>
      <w:tr>
        <w:trPr>
          <w:trHeight w:val="140"/>
        </w:trPr>
        <w:tc>
          <w:tcPr>
            <w:tcW w:w="9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9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86"/>
              </w:rPr>
              <w:t>101.SCH</w:t>
            </w:r>
          </w:p>
        </w:tc>
        <w:tc>
          <w:tcPr>
            <w:tcW w:w="420" w:type="dxa"/>
            <w:vAlign w:val="bottom"/>
          </w:tcPr>
          <w:p>
            <w:pPr>
              <w:ind w:left="10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96"/>
              </w:rPr>
              <w:t>101.CAL</w:t>
            </w:r>
          </w:p>
        </w:tc>
        <w:tc>
          <w:tcPr>
            <w:tcW w:w="420" w:type="dxa"/>
            <w:vAlign w:val="bottom"/>
          </w:tcPr>
          <w:p>
            <w:pPr>
              <w:ind w:left="10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88"/>
              </w:rPr>
              <w:t>101.DEF</w:t>
            </w:r>
          </w:p>
        </w:tc>
        <w:tc>
          <w:tcPr>
            <w:tcW w:w="420" w:type="dxa"/>
            <w:vAlign w:val="bottom"/>
          </w:tcPr>
          <w:p>
            <w:pPr>
              <w:ind w:left="10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97"/>
              </w:rPr>
              <w:t>101.LAB</w:t>
            </w:r>
          </w:p>
        </w:tc>
        <w:tc>
          <w:tcPr>
            <w:tcW w:w="420" w:type="dxa"/>
            <w:vAlign w:val="bottom"/>
          </w:tcPr>
          <w:p>
            <w:pPr>
              <w:ind w:left="10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87"/>
              </w:rPr>
              <w:t>101.PRE</w:t>
            </w:r>
          </w:p>
        </w:tc>
        <w:tc>
          <w:tcPr>
            <w:tcW w:w="420" w:type="dxa"/>
            <w:vAlign w:val="bottom"/>
          </w:tcPr>
          <w:p>
            <w:pPr>
              <w:ind w:left="10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6" w:right="5880" w:firstLine="382"/>
        <w:spacing w:after="0" w:line="383" w:lineRule="auto"/>
        <w:tabs>
          <w:tab w:leader="none" w:pos="10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 Cover Page Interactive Data File (formatted as Inline XBRL) * Filed herewith</w:t>
      </w:r>
    </w:p>
    <w:p>
      <w:pPr>
        <w:ind w:left="306" w:hanging="306"/>
        <w:spacing w:after="0"/>
        <w:tabs>
          <w:tab w:leader="none" w:pos="306" w:val="left"/>
        </w:tabs>
        <w:numPr>
          <w:ilvl w:val="0"/>
          <w:numId w:val="31"/>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5"/>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06"/>
          </w:cols>
          <w:pgMar w:left="314" w:top="503" w:right="379" w:bottom="1440" w:gutter="0" w:footer="0" w:header="0"/>
        </w:sectPr>
      </w:pPr>
    </w:p>
    <w:bookmarkStart w:id="62" w:name="page63"/>
    <w:bookmarkEnd w:id="62"/>
    <w:p>
      <w:pPr>
        <w:jc w:val="center"/>
        <w:ind w:right="-119"/>
        <w:spacing w:after="0"/>
        <w:rPr>
          <w:sz w:val="20"/>
          <w:szCs w:val="20"/>
          <w:color w:val="auto"/>
        </w:rPr>
      </w:pPr>
      <w:r>
        <w:rPr>
          <w:rFonts w:ascii="Arial" w:cs="Arial" w:eastAsia="Arial" w:hAnsi="Arial"/>
          <w:sz w:val="16"/>
          <w:szCs w:val="16"/>
          <w:b w:val="1"/>
          <w:bCs w:val="1"/>
          <w:color w:val="auto"/>
        </w:rPr>
        <w:t>SIGNATURES</w:t>
      </w:r>
    </w:p>
    <w:p>
      <w:pPr>
        <w:spacing w:after="0" w:line="102"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620" w:type="dxa"/>
            <w:vAlign w:val="bottom"/>
            <w:gridSpan w:val="2"/>
          </w:tcPr>
          <w:p>
            <w:pPr>
              <w:ind w:left="1560"/>
              <w:spacing w:after="0"/>
              <w:rPr>
                <w:sz w:val="20"/>
                <w:szCs w:val="20"/>
                <w:color w:val="auto"/>
              </w:rPr>
            </w:pPr>
            <w:r>
              <w:rPr>
                <w:rFonts w:ascii="Arial" w:cs="Arial" w:eastAsia="Arial" w:hAnsi="Arial"/>
                <w:sz w:val="16"/>
                <w:szCs w:val="16"/>
                <w:b w:val="1"/>
                <w:bCs w:val="1"/>
                <w:color w:val="auto"/>
              </w:rPr>
              <w:t>LIVEPERSON, INC.</w:t>
            </w:r>
          </w:p>
        </w:tc>
      </w:tr>
      <w:tr>
        <w:trPr>
          <w:trHeight w:val="235"/>
        </w:trPr>
        <w:tc>
          <w:tcPr>
            <w:tcW w:w="5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20" w:type="dxa"/>
            <w:vAlign w:val="bottom"/>
          </w:tcPr>
          <w:p>
            <w:pPr>
              <w:ind w:left="1560"/>
              <w:spacing w:after="0"/>
              <w:rPr>
                <w:sz w:val="20"/>
                <w:szCs w:val="20"/>
                <w:color w:val="auto"/>
              </w:rPr>
            </w:pPr>
            <w:r>
              <w:rPr>
                <w:rFonts w:ascii="Arial" w:cs="Arial" w:eastAsia="Arial" w:hAnsi="Arial"/>
                <w:sz w:val="16"/>
                <w:szCs w:val="16"/>
                <w:color w:val="auto"/>
              </w:rPr>
              <w:t>(Registrant)</w:t>
            </w:r>
          </w:p>
        </w:tc>
        <w:tc>
          <w:tcPr>
            <w:tcW w:w="5200" w:type="dxa"/>
            <w:vAlign w:val="bottom"/>
          </w:tcPr>
          <w:p>
            <w:pPr>
              <w:spacing w:after="0"/>
              <w:rPr>
                <w:sz w:val="20"/>
                <w:szCs w:val="20"/>
                <w:color w:val="auto"/>
              </w:rPr>
            </w:pPr>
          </w:p>
        </w:tc>
      </w:tr>
      <w:tr>
        <w:trPr>
          <w:trHeight w:val="470"/>
        </w:trPr>
        <w:tc>
          <w:tcPr>
            <w:tcW w:w="500" w:type="dxa"/>
            <w:vAlign w:val="bottom"/>
          </w:tcPr>
          <w:p>
            <w:pPr>
              <w:spacing w:after="0"/>
              <w:rPr>
                <w:sz w:val="20"/>
                <w:szCs w:val="20"/>
                <w:color w:val="auto"/>
              </w:rPr>
            </w:pPr>
            <w:r>
              <w:rPr>
                <w:rFonts w:ascii="Arial" w:cs="Arial" w:eastAsia="Arial" w:hAnsi="Arial"/>
                <w:sz w:val="16"/>
                <w:szCs w:val="16"/>
                <w:color w:val="auto"/>
              </w:rPr>
              <w:t>Date:</w:t>
            </w:r>
          </w:p>
        </w:tc>
        <w:tc>
          <w:tcPr>
            <w:tcW w:w="2900" w:type="dxa"/>
            <w:vAlign w:val="bottom"/>
          </w:tcPr>
          <w:p>
            <w:pPr>
              <w:ind w:left="160"/>
              <w:spacing w:after="0"/>
              <w:rPr>
                <w:sz w:val="20"/>
                <w:szCs w:val="20"/>
                <w:color w:val="auto"/>
              </w:rPr>
            </w:pPr>
            <w:r>
              <w:rPr>
                <w:rFonts w:ascii="Arial" w:cs="Arial" w:eastAsia="Arial" w:hAnsi="Arial"/>
                <w:sz w:val="16"/>
                <w:szCs w:val="16"/>
                <w:color w:val="auto"/>
              </w:rPr>
              <w:t>November 6, 2020</w:t>
            </w:r>
          </w:p>
        </w:tc>
        <w:tc>
          <w:tcPr>
            <w:tcW w:w="2420" w:type="dxa"/>
            <w:vAlign w:val="bottom"/>
          </w:tcPr>
          <w:p>
            <w:pPr>
              <w:ind w:left="1560"/>
              <w:spacing w:after="0"/>
              <w:rPr>
                <w:sz w:val="20"/>
                <w:szCs w:val="20"/>
                <w:color w:val="auto"/>
              </w:rPr>
            </w:pPr>
            <w:r>
              <w:rPr>
                <w:rFonts w:ascii="Arial" w:cs="Arial" w:eastAsia="Arial" w:hAnsi="Arial"/>
                <w:sz w:val="16"/>
                <w:szCs w:val="16"/>
                <w:color w:val="auto"/>
              </w:rPr>
              <w:t>By:</w:t>
            </w:r>
          </w:p>
        </w:tc>
        <w:tc>
          <w:tcPr>
            <w:tcW w:w="5200" w:type="dxa"/>
            <w:vAlign w:val="bottom"/>
          </w:tcPr>
          <w:p>
            <w:pPr>
              <w:ind w:left="40"/>
              <w:spacing w:after="0"/>
              <w:rPr>
                <w:sz w:val="20"/>
                <w:szCs w:val="20"/>
                <w:color w:val="auto"/>
              </w:rPr>
            </w:pPr>
            <w:r>
              <w:rPr>
                <w:rFonts w:ascii="Arial" w:cs="Arial" w:eastAsia="Arial" w:hAnsi="Arial"/>
                <w:sz w:val="16"/>
                <w:szCs w:val="16"/>
                <w:color w:val="auto"/>
              </w:rPr>
              <w:t>/s/ ROBERT P. LOCASCIO</w:t>
            </w:r>
          </w:p>
        </w:tc>
      </w:tr>
      <w:tr>
        <w:trPr>
          <w:trHeight w:val="25"/>
        </w:trPr>
        <w:tc>
          <w:tcPr>
            <w:tcW w:w="5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02"/>
        </w:trPr>
        <w:tc>
          <w:tcPr>
            <w:tcW w:w="5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420" w:type="dxa"/>
            <w:vAlign w:val="bottom"/>
          </w:tcPr>
          <w:p>
            <w:pPr>
              <w:ind w:left="1560"/>
              <w:spacing w:after="0"/>
              <w:rPr>
                <w:sz w:val="20"/>
                <w:szCs w:val="20"/>
                <w:color w:val="auto"/>
              </w:rPr>
            </w:pPr>
            <w:r>
              <w:rPr>
                <w:rFonts w:ascii="Arial" w:cs="Arial" w:eastAsia="Arial" w:hAnsi="Arial"/>
                <w:sz w:val="16"/>
                <w:szCs w:val="16"/>
                <w:color w:val="auto"/>
              </w:rPr>
              <w:t>Name:</w:t>
            </w:r>
          </w:p>
        </w:tc>
        <w:tc>
          <w:tcPr>
            <w:tcW w:w="5200" w:type="dxa"/>
            <w:vAlign w:val="bottom"/>
          </w:tcPr>
          <w:p>
            <w:pPr>
              <w:ind w:left="40"/>
              <w:spacing w:after="0"/>
              <w:rPr>
                <w:sz w:val="20"/>
                <w:szCs w:val="20"/>
                <w:color w:val="auto"/>
              </w:rPr>
            </w:pPr>
            <w:r>
              <w:rPr>
                <w:rFonts w:ascii="Arial" w:cs="Arial" w:eastAsia="Arial" w:hAnsi="Arial"/>
                <w:sz w:val="16"/>
                <w:szCs w:val="16"/>
                <w:color w:val="auto"/>
              </w:rPr>
              <w:t>Robert P. LoCascio</w:t>
            </w:r>
          </w:p>
        </w:tc>
      </w:tr>
      <w:tr>
        <w:trPr>
          <w:trHeight w:val="235"/>
        </w:trPr>
        <w:tc>
          <w:tcPr>
            <w:tcW w:w="5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20" w:type="dxa"/>
            <w:vAlign w:val="bottom"/>
          </w:tcPr>
          <w:p>
            <w:pPr>
              <w:ind w:left="1560"/>
              <w:spacing w:after="0"/>
              <w:rPr>
                <w:sz w:val="20"/>
                <w:szCs w:val="20"/>
                <w:color w:val="auto"/>
              </w:rPr>
            </w:pPr>
            <w:r>
              <w:rPr>
                <w:rFonts w:ascii="Arial" w:cs="Arial" w:eastAsia="Arial" w:hAnsi="Arial"/>
                <w:sz w:val="16"/>
                <w:szCs w:val="16"/>
                <w:color w:val="auto"/>
              </w:rPr>
              <w:t>Title:</w:t>
            </w:r>
          </w:p>
        </w:tc>
        <w:tc>
          <w:tcPr>
            <w:tcW w:w="5200" w:type="dxa"/>
            <w:vAlign w:val="bottom"/>
          </w:tcPr>
          <w:p>
            <w:pPr>
              <w:ind w:left="40"/>
              <w:spacing w:after="0"/>
              <w:rPr>
                <w:sz w:val="20"/>
                <w:szCs w:val="20"/>
                <w:color w:val="auto"/>
              </w:rPr>
            </w:pPr>
            <w:r>
              <w:rPr>
                <w:rFonts w:ascii="Arial" w:cs="Arial" w:eastAsia="Arial" w:hAnsi="Arial"/>
                <w:sz w:val="16"/>
                <w:szCs w:val="16"/>
                <w:color w:val="auto"/>
              </w:rPr>
              <w:t>Chief Executive Officer (principal executive officer)</w:t>
            </w:r>
          </w:p>
        </w:tc>
      </w:tr>
      <w:tr>
        <w:trPr>
          <w:trHeight w:val="470"/>
        </w:trPr>
        <w:tc>
          <w:tcPr>
            <w:tcW w:w="500" w:type="dxa"/>
            <w:vAlign w:val="bottom"/>
          </w:tcPr>
          <w:p>
            <w:pPr>
              <w:spacing w:after="0"/>
              <w:rPr>
                <w:sz w:val="20"/>
                <w:szCs w:val="20"/>
                <w:color w:val="auto"/>
              </w:rPr>
            </w:pPr>
            <w:r>
              <w:rPr>
                <w:rFonts w:ascii="Arial" w:cs="Arial" w:eastAsia="Arial" w:hAnsi="Arial"/>
                <w:sz w:val="16"/>
                <w:szCs w:val="16"/>
                <w:color w:val="auto"/>
              </w:rPr>
              <w:t>Date:</w:t>
            </w:r>
          </w:p>
        </w:tc>
        <w:tc>
          <w:tcPr>
            <w:tcW w:w="2900" w:type="dxa"/>
            <w:vAlign w:val="bottom"/>
          </w:tcPr>
          <w:p>
            <w:pPr>
              <w:ind w:left="160"/>
              <w:spacing w:after="0"/>
              <w:rPr>
                <w:sz w:val="20"/>
                <w:szCs w:val="20"/>
                <w:color w:val="auto"/>
              </w:rPr>
            </w:pPr>
            <w:r>
              <w:rPr>
                <w:rFonts w:ascii="Arial" w:cs="Arial" w:eastAsia="Arial" w:hAnsi="Arial"/>
                <w:sz w:val="16"/>
                <w:szCs w:val="16"/>
                <w:color w:val="auto"/>
              </w:rPr>
              <w:t>November 6, 2020</w:t>
            </w:r>
          </w:p>
        </w:tc>
        <w:tc>
          <w:tcPr>
            <w:tcW w:w="2420" w:type="dxa"/>
            <w:vAlign w:val="bottom"/>
          </w:tcPr>
          <w:p>
            <w:pPr>
              <w:ind w:left="1560"/>
              <w:spacing w:after="0"/>
              <w:rPr>
                <w:sz w:val="20"/>
                <w:szCs w:val="20"/>
                <w:color w:val="auto"/>
              </w:rPr>
            </w:pPr>
            <w:r>
              <w:rPr>
                <w:rFonts w:ascii="Arial" w:cs="Arial" w:eastAsia="Arial" w:hAnsi="Arial"/>
                <w:sz w:val="16"/>
                <w:szCs w:val="16"/>
                <w:color w:val="auto"/>
              </w:rPr>
              <w:t>By:</w:t>
            </w:r>
          </w:p>
        </w:tc>
        <w:tc>
          <w:tcPr>
            <w:tcW w:w="5200" w:type="dxa"/>
            <w:vAlign w:val="bottom"/>
          </w:tcPr>
          <w:p>
            <w:pPr>
              <w:ind w:left="40"/>
              <w:spacing w:after="0"/>
              <w:rPr>
                <w:sz w:val="20"/>
                <w:szCs w:val="20"/>
                <w:color w:val="auto"/>
              </w:rPr>
            </w:pPr>
            <w:r>
              <w:rPr>
                <w:rFonts w:ascii="Arial" w:cs="Arial" w:eastAsia="Arial" w:hAnsi="Arial"/>
                <w:sz w:val="16"/>
                <w:szCs w:val="16"/>
                <w:color w:val="auto"/>
              </w:rPr>
              <w:t>/s/ JOHN COLLINS</w:t>
            </w:r>
          </w:p>
        </w:tc>
      </w:tr>
      <w:tr>
        <w:trPr>
          <w:trHeight w:val="25"/>
        </w:trPr>
        <w:tc>
          <w:tcPr>
            <w:tcW w:w="5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02"/>
        </w:trPr>
        <w:tc>
          <w:tcPr>
            <w:tcW w:w="5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420" w:type="dxa"/>
            <w:vAlign w:val="bottom"/>
          </w:tcPr>
          <w:p>
            <w:pPr>
              <w:ind w:left="1560"/>
              <w:spacing w:after="0"/>
              <w:rPr>
                <w:sz w:val="20"/>
                <w:szCs w:val="20"/>
                <w:color w:val="auto"/>
              </w:rPr>
            </w:pPr>
            <w:r>
              <w:rPr>
                <w:rFonts w:ascii="Arial" w:cs="Arial" w:eastAsia="Arial" w:hAnsi="Arial"/>
                <w:sz w:val="16"/>
                <w:szCs w:val="16"/>
                <w:color w:val="auto"/>
              </w:rPr>
              <w:t>Name:</w:t>
            </w:r>
          </w:p>
        </w:tc>
        <w:tc>
          <w:tcPr>
            <w:tcW w:w="5200" w:type="dxa"/>
            <w:vAlign w:val="bottom"/>
          </w:tcPr>
          <w:p>
            <w:pPr>
              <w:ind w:left="40"/>
              <w:spacing w:after="0"/>
              <w:rPr>
                <w:sz w:val="20"/>
                <w:szCs w:val="20"/>
                <w:color w:val="auto"/>
              </w:rPr>
            </w:pPr>
            <w:r>
              <w:rPr>
                <w:rFonts w:ascii="Arial" w:cs="Arial" w:eastAsia="Arial" w:hAnsi="Arial"/>
                <w:sz w:val="16"/>
                <w:szCs w:val="16"/>
                <w:color w:val="auto"/>
              </w:rPr>
              <w:t>John Collins</w:t>
            </w:r>
          </w:p>
        </w:tc>
      </w:tr>
      <w:tr>
        <w:trPr>
          <w:trHeight w:val="235"/>
        </w:trPr>
        <w:tc>
          <w:tcPr>
            <w:tcW w:w="5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20" w:type="dxa"/>
            <w:vAlign w:val="bottom"/>
          </w:tcPr>
          <w:p>
            <w:pPr>
              <w:ind w:left="1560"/>
              <w:spacing w:after="0"/>
              <w:rPr>
                <w:sz w:val="20"/>
                <w:szCs w:val="20"/>
                <w:color w:val="auto"/>
              </w:rPr>
            </w:pPr>
            <w:r>
              <w:rPr>
                <w:rFonts w:ascii="Arial" w:cs="Arial" w:eastAsia="Arial" w:hAnsi="Arial"/>
                <w:sz w:val="16"/>
                <w:szCs w:val="16"/>
                <w:color w:val="auto"/>
              </w:rPr>
              <w:t>Title:</w:t>
            </w:r>
          </w:p>
        </w:tc>
        <w:tc>
          <w:tcPr>
            <w:tcW w:w="5200" w:type="dxa"/>
            <w:vAlign w:val="bottom"/>
          </w:tcPr>
          <w:p>
            <w:pPr>
              <w:ind w:left="40"/>
              <w:spacing w:after="0"/>
              <w:rPr>
                <w:sz w:val="20"/>
                <w:szCs w:val="20"/>
                <w:color w:val="auto"/>
              </w:rPr>
            </w:pPr>
            <w:r>
              <w:rPr>
                <w:rFonts w:ascii="Arial" w:cs="Arial" w:eastAsia="Arial" w:hAnsi="Arial"/>
                <w:sz w:val="16"/>
                <w:szCs w:val="16"/>
                <w:color w:val="auto"/>
              </w:rPr>
              <w:t>Chief Financial Officer (principal financial officer)</w:t>
            </w:r>
          </w:p>
        </w:tc>
      </w:tr>
      <w:tr>
        <w:trPr>
          <w:trHeight w:val="494"/>
        </w:trPr>
        <w:tc>
          <w:tcPr>
            <w:tcW w:w="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20" w:type="dxa"/>
            <w:vAlign w:val="bottom"/>
          </w:tcPr>
          <w:p>
            <w:pPr>
              <w:ind w:left="2120"/>
              <w:spacing w:after="0"/>
              <w:rPr>
                <w:sz w:val="20"/>
                <w:szCs w:val="20"/>
                <w:color w:val="auto"/>
              </w:rPr>
            </w:pPr>
            <w:r>
              <w:rPr>
                <w:rFonts w:ascii="Arial" w:cs="Arial" w:eastAsia="Arial" w:hAnsi="Arial"/>
                <w:sz w:val="16"/>
                <w:szCs w:val="16"/>
                <w:color w:val="auto"/>
              </w:rPr>
              <w:t>63</w:t>
            </w:r>
          </w:p>
        </w:tc>
        <w:tc>
          <w:tcPr>
            <w:tcW w:w="5200" w:type="dxa"/>
            <w:vAlign w:val="bottom"/>
          </w:tcPr>
          <w:p>
            <w:pPr>
              <w:spacing w:after="0"/>
              <w:rPr>
                <w:sz w:val="24"/>
                <w:szCs w:val="24"/>
                <w:color w:val="auto"/>
              </w:rPr>
            </w:pPr>
          </w:p>
        </w:tc>
      </w:tr>
    </w:tbl>
    <w:p>
      <w:pPr>
        <w:sectPr>
          <w:pgSz w:w="11900" w:h="16838" w:orient="portrait"/>
          <w:cols w:equalWidth="0" w:num="1">
            <w:col w:w="11120"/>
          </w:cols>
          <w:pgMar w:left="320" w:top="499" w:right="45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u w:val="single" w:color="auto"/>
          <w:color w:val="auto"/>
        </w:rPr>
        <w:t>Exhibit 31.1</w:t>
      </w:r>
    </w:p>
    <w:p>
      <w:pPr>
        <w:spacing w:after="0" w:line="26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CERTIFICATIONS</w:t>
      </w:r>
    </w:p>
    <w:p>
      <w:pPr>
        <w:spacing w:after="0" w:line="145" w:lineRule="exact"/>
        <w:rPr>
          <w:sz w:val="20"/>
          <w:szCs w:val="20"/>
          <w:color w:val="auto"/>
        </w:rPr>
      </w:pPr>
    </w:p>
    <w:p>
      <w:pPr>
        <w:ind w:left="6"/>
        <w:spacing w:after="0"/>
        <w:rPr>
          <w:sz w:val="20"/>
          <w:szCs w:val="20"/>
          <w:color w:val="auto"/>
        </w:rPr>
      </w:pPr>
      <w:r>
        <w:rPr>
          <w:rFonts w:ascii="Arial" w:cs="Arial" w:eastAsia="Arial" w:hAnsi="Arial"/>
          <w:sz w:val="16"/>
          <w:szCs w:val="16"/>
          <w:color w:val="auto"/>
        </w:rPr>
        <w:t>I, Robert P. LoCascio, certify that:</w:t>
      </w:r>
    </w:p>
    <w:p>
      <w:pPr>
        <w:spacing w:after="0" w:line="145" w:lineRule="exact"/>
        <w:rPr>
          <w:sz w:val="20"/>
          <w:szCs w:val="20"/>
          <w:color w:val="auto"/>
        </w:rPr>
      </w:pPr>
    </w:p>
    <w:p>
      <w:pPr>
        <w:ind w:left="286" w:hanging="286"/>
        <w:spacing w:after="0"/>
        <w:tabs>
          <w:tab w:leader="none" w:pos="286"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LivePerson, Inc.;</w:t>
      </w:r>
    </w:p>
    <w:p>
      <w:pPr>
        <w:spacing w:after="0" w:line="145" w:lineRule="exact"/>
        <w:rPr>
          <w:rFonts w:ascii="Arial" w:cs="Arial" w:eastAsia="Arial" w:hAnsi="Arial"/>
          <w:sz w:val="16"/>
          <w:szCs w:val="16"/>
          <w:color w:val="auto"/>
        </w:rPr>
      </w:pPr>
    </w:p>
    <w:p>
      <w:pPr>
        <w:ind w:left="286" w:right="100" w:hanging="286"/>
        <w:spacing w:after="0" w:line="265" w:lineRule="auto"/>
        <w:tabs>
          <w:tab w:leader="none" w:pos="286"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286" w:right="140" w:hanging="286"/>
        <w:spacing w:after="0" w:line="265" w:lineRule="auto"/>
        <w:tabs>
          <w:tab w:leader="none" w:pos="286"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Arial" w:cs="Arial" w:eastAsia="Arial" w:hAnsi="Arial"/>
          <w:sz w:val="16"/>
          <w:szCs w:val="16"/>
          <w:color w:val="auto"/>
        </w:rPr>
      </w:pPr>
    </w:p>
    <w:p>
      <w:pPr>
        <w:ind w:left="286" w:right="240" w:hanging="286"/>
        <w:spacing w:after="0" w:line="382" w:lineRule="auto"/>
        <w:tabs>
          <w:tab w:leader="none" w:pos="286"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left="286" w:right="20" w:hanging="286"/>
        <w:spacing w:after="0" w:line="255" w:lineRule="auto"/>
        <w:tabs>
          <w:tab w:leader="none" w:pos="286"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Arial" w:cs="Arial" w:eastAsia="Arial" w:hAnsi="Arial"/>
          <w:sz w:val="16"/>
          <w:szCs w:val="16"/>
          <w:color w:val="auto"/>
        </w:rPr>
      </w:pPr>
    </w:p>
    <w:p>
      <w:pPr>
        <w:jc w:val="both"/>
        <w:ind w:left="286" w:right="260" w:hanging="286"/>
        <w:spacing w:after="0" w:line="255" w:lineRule="auto"/>
        <w:tabs>
          <w:tab w:leader="none" w:pos="286"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Arial" w:cs="Arial" w:eastAsia="Arial" w:hAnsi="Arial"/>
          <w:sz w:val="16"/>
          <w:szCs w:val="16"/>
          <w:color w:val="auto"/>
        </w:rPr>
      </w:pPr>
    </w:p>
    <w:p>
      <w:pPr>
        <w:ind w:left="286" w:right="60" w:hanging="286"/>
        <w:spacing w:after="0" w:line="265" w:lineRule="auto"/>
        <w:tabs>
          <w:tab w:leader="none" w:pos="286" w:val="left"/>
        </w:tabs>
        <w:numPr>
          <w:ilvl w:val="0"/>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286" w:right="220" w:hanging="286"/>
        <w:spacing w:after="0" w:line="255" w:lineRule="auto"/>
        <w:tabs>
          <w:tab w:leader="none" w:pos="286"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sz w:val="20"/>
          <w:szCs w:val="20"/>
          <w:color w:val="auto"/>
        </w:rPr>
      </w:pPr>
    </w:p>
    <w:p>
      <w:pPr>
        <w:ind w:left="286" w:right="60" w:hanging="286"/>
        <w:spacing w:after="0" w:line="265" w:lineRule="auto"/>
        <w:tabs>
          <w:tab w:leader="none" w:pos="286"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left="286" w:right="200" w:hanging="286"/>
        <w:spacing w:after="0" w:line="265" w:lineRule="auto"/>
        <w:tabs>
          <w:tab w:leader="none" w:pos="286"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286" w:hanging="286"/>
        <w:spacing w:after="0"/>
        <w:tabs>
          <w:tab w:leader="none" w:pos="286" w:val="left"/>
        </w:tabs>
        <w:numPr>
          <w:ilvl w:val="0"/>
          <w:numId w:val="3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tbl>
      <w:tblPr>
        <w:tblLayout w:type="fixed"/>
        <w:tblInd w:w="86" w:type="dxa"/>
        <w:tblCellMar>
          <w:top w:w="0" w:type="dxa"/>
          <w:left w:w="0" w:type="dxa"/>
          <w:bottom w:w="0" w:type="dxa"/>
          <w:right w:w="0" w:type="dxa"/>
        </w:tblCellMar>
      </w:tblPr>
      <w:tr>
        <w:trPr>
          <w:trHeight w:val="200"/>
        </w:trPr>
        <w:tc>
          <w:tcPr>
            <w:tcW w:w="620" w:type="dxa"/>
            <w:vAlign w:val="bottom"/>
          </w:tcPr>
          <w:p>
            <w:pPr>
              <w:spacing w:after="0"/>
              <w:rPr>
                <w:sz w:val="20"/>
                <w:szCs w:val="20"/>
                <w:color w:val="auto"/>
              </w:rPr>
            </w:pPr>
            <w:r>
              <w:rPr>
                <w:rFonts w:ascii="Arial" w:cs="Arial" w:eastAsia="Arial" w:hAnsi="Arial"/>
                <w:sz w:val="16"/>
                <w:szCs w:val="16"/>
                <w:color w:val="auto"/>
              </w:rPr>
              <w:t>Date:</w:t>
            </w:r>
          </w:p>
        </w:tc>
        <w:tc>
          <w:tcPr>
            <w:tcW w:w="3080" w:type="dxa"/>
            <w:vAlign w:val="bottom"/>
          </w:tcPr>
          <w:p>
            <w:pPr>
              <w:ind w:left="260"/>
              <w:spacing w:after="0"/>
              <w:rPr>
                <w:sz w:val="20"/>
                <w:szCs w:val="20"/>
                <w:color w:val="auto"/>
              </w:rPr>
            </w:pPr>
            <w:r>
              <w:rPr>
                <w:rFonts w:ascii="Arial" w:cs="Arial" w:eastAsia="Arial" w:hAnsi="Arial"/>
                <w:sz w:val="16"/>
                <w:szCs w:val="16"/>
                <w:color w:val="auto"/>
              </w:rPr>
              <w:t>November 6, 2020</w:t>
            </w:r>
          </w:p>
        </w:tc>
        <w:tc>
          <w:tcPr>
            <w:tcW w:w="2400" w:type="dxa"/>
            <w:vAlign w:val="bottom"/>
          </w:tcPr>
          <w:p>
            <w:pPr>
              <w:ind w:left="1660"/>
              <w:spacing w:after="0"/>
              <w:rPr>
                <w:sz w:val="20"/>
                <w:szCs w:val="20"/>
                <w:color w:val="auto"/>
              </w:rPr>
            </w:pPr>
            <w:r>
              <w:rPr>
                <w:rFonts w:ascii="Arial" w:cs="Arial" w:eastAsia="Arial" w:hAnsi="Arial"/>
                <w:sz w:val="16"/>
                <w:szCs w:val="16"/>
                <w:color w:val="auto"/>
              </w:rPr>
              <w:t>By:</w:t>
            </w:r>
          </w:p>
        </w:tc>
        <w:tc>
          <w:tcPr>
            <w:tcW w:w="5020" w:type="dxa"/>
            <w:vAlign w:val="bottom"/>
          </w:tcPr>
          <w:p>
            <w:pPr>
              <w:ind w:left="40"/>
              <w:spacing w:after="0"/>
              <w:rPr>
                <w:sz w:val="20"/>
                <w:szCs w:val="20"/>
                <w:color w:val="auto"/>
              </w:rPr>
            </w:pPr>
            <w:r>
              <w:rPr>
                <w:rFonts w:ascii="Arial" w:cs="Arial" w:eastAsia="Arial" w:hAnsi="Arial"/>
                <w:sz w:val="16"/>
                <w:szCs w:val="16"/>
                <w:color w:val="auto"/>
              </w:rPr>
              <w:t>/s/ ROBERT P. LOCASCIO</w:t>
            </w:r>
          </w:p>
        </w:tc>
        <w:tc>
          <w:tcPr>
            <w:tcW w:w="0" w:type="dxa"/>
            <w:vAlign w:val="bottom"/>
          </w:tcPr>
          <w:p>
            <w:pPr>
              <w:spacing w:after="0"/>
              <w:rPr>
                <w:sz w:val="1"/>
                <w:szCs w:val="1"/>
                <w:color w:val="auto"/>
              </w:rPr>
            </w:pPr>
          </w:p>
        </w:tc>
      </w:tr>
      <w:tr>
        <w:trPr>
          <w:trHeight w:val="25"/>
        </w:trPr>
        <w:tc>
          <w:tcPr>
            <w:tcW w:w="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0" w:type="dxa"/>
            <w:vAlign w:val="bottom"/>
            <w:vMerge w:val="restart"/>
          </w:tcPr>
          <w:p>
            <w:pPr>
              <w:ind w:left="1660"/>
              <w:spacing w:after="0"/>
              <w:rPr>
                <w:sz w:val="20"/>
                <w:szCs w:val="20"/>
                <w:color w:val="auto"/>
              </w:rPr>
            </w:pPr>
            <w:r>
              <w:rPr>
                <w:rFonts w:ascii="Arial" w:cs="Arial" w:eastAsia="Arial" w:hAnsi="Arial"/>
                <w:sz w:val="16"/>
                <w:szCs w:val="16"/>
                <w:color w:val="auto"/>
              </w:rPr>
              <w:t>Name:</w:t>
            </w: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00" w:type="dxa"/>
            <w:vAlign w:val="bottom"/>
            <w:vMerge w:val="continue"/>
          </w:tcPr>
          <w:p>
            <w:pPr>
              <w:spacing w:after="0"/>
              <w:rPr>
                <w:sz w:val="17"/>
                <w:szCs w:val="17"/>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Robert P. LoCascio</w:t>
            </w:r>
          </w:p>
        </w:tc>
        <w:tc>
          <w:tcPr>
            <w:tcW w:w="0" w:type="dxa"/>
            <w:vAlign w:val="bottom"/>
          </w:tcPr>
          <w:p>
            <w:pPr>
              <w:spacing w:after="0"/>
              <w:rPr>
                <w:sz w:val="1"/>
                <w:szCs w:val="1"/>
                <w:color w:val="auto"/>
              </w:rPr>
            </w:pPr>
          </w:p>
        </w:tc>
      </w:tr>
      <w:tr>
        <w:trPr>
          <w:trHeight w:val="235"/>
        </w:trPr>
        <w:tc>
          <w:tcPr>
            <w:tcW w:w="6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0" w:type="dxa"/>
            <w:vAlign w:val="bottom"/>
          </w:tcPr>
          <w:p>
            <w:pPr>
              <w:ind w:left="1660"/>
              <w:spacing w:after="0"/>
              <w:rPr>
                <w:sz w:val="20"/>
                <w:szCs w:val="20"/>
                <w:color w:val="auto"/>
              </w:rPr>
            </w:pPr>
            <w:r>
              <w:rPr>
                <w:rFonts w:ascii="Arial" w:cs="Arial" w:eastAsia="Arial" w:hAnsi="Arial"/>
                <w:sz w:val="16"/>
                <w:szCs w:val="16"/>
                <w:color w:val="auto"/>
              </w:rPr>
              <w:t>Title:</w:t>
            </w:r>
          </w:p>
        </w:tc>
        <w:tc>
          <w:tcPr>
            <w:tcW w:w="5020" w:type="dxa"/>
            <w:vAlign w:val="bottom"/>
          </w:tcPr>
          <w:p>
            <w:pPr>
              <w:ind w:left="40"/>
              <w:spacing w:after="0"/>
              <w:rPr>
                <w:sz w:val="20"/>
                <w:szCs w:val="20"/>
                <w:color w:val="auto"/>
              </w:rPr>
            </w:pPr>
            <w:r>
              <w:rPr>
                <w:rFonts w:ascii="Arial" w:cs="Arial" w:eastAsia="Arial" w:hAnsi="Arial"/>
                <w:sz w:val="16"/>
                <w:szCs w:val="16"/>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266"/>
          </w:cols>
          <w:pgMar w:left="314" w:top="127" w:right="31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u w:val="single" w:color="auto"/>
          <w:color w:val="auto"/>
        </w:rPr>
        <w:t>Exhibit 31.2</w:t>
      </w:r>
    </w:p>
    <w:p>
      <w:pPr>
        <w:spacing w:after="0" w:line="26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CERTIFICATIONS</w:t>
      </w:r>
    </w:p>
    <w:p>
      <w:pPr>
        <w:spacing w:after="0" w:line="145" w:lineRule="exact"/>
        <w:rPr>
          <w:sz w:val="20"/>
          <w:szCs w:val="20"/>
          <w:color w:val="auto"/>
        </w:rPr>
      </w:pPr>
    </w:p>
    <w:p>
      <w:pPr>
        <w:ind w:left="6"/>
        <w:spacing w:after="0"/>
        <w:rPr>
          <w:sz w:val="20"/>
          <w:szCs w:val="20"/>
          <w:color w:val="auto"/>
        </w:rPr>
      </w:pPr>
      <w:r>
        <w:rPr>
          <w:rFonts w:ascii="Arial" w:cs="Arial" w:eastAsia="Arial" w:hAnsi="Arial"/>
          <w:sz w:val="16"/>
          <w:szCs w:val="16"/>
          <w:color w:val="auto"/>
        </w:rPr>
        <w:t>I, John Collins, certify that:</w:t>
      </w:r>
    </w:p>
    <w:p>
      <w:pPr>
        <w:spacing w:after="0" w:line="145" w:lineRule="exact"/>
        <w:rPr>
          <w:sz w:val="20"/>
          <w:szCs w:val="20"/>
          <w:color w:val="auto"/>
        </w:rPr>
      </w:pPr>
    </w:p>
    <w:p>
      <w:pPr>
        <w:ind w:left="286" w:hanging="286"/>
        <w:spacing w:after="0"/>
        <w:tabs>
          <w:tab w:leader="none" w:pos="286"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LivePerson, Inc.;</w:t>
      </w:r>
    </w:p>
    <w:p>
      <w:pPr>
        <w:spacing w:after="0" w:line="145" w:lineRule="exact"/>
        <w:rPr>
          <w:rFonts w:ascii="Arial" w:cs="Arial" w:eastAsia="Arial" w:hAnsi="Arial"/>
          <w:sz w:val="16"/>
          <w:szCs w:val="16"/>
          <w:color w:val="auto"/>
        </w:rPr>
      </w:pPr>
    </w:p>
    <w:p>
      <w:pPr>
        <w:ind w:left="286" w:right="100" w:hanging="286"/>
        <w:spacing w:after="0" w:line="265" w:lineRule="auto"/>
        <w:tabs>
          <w:tab w:leader="none" w:pos="286"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286" w:right="140" w:hanging="286"/>
        <w:spacing w:after="0" w:line="265" w:lineRule="auto"/>
        <w:tabs>
          <w:tab w:leader="none" w:pos="286"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Arial" w:cs="Arial" w:eastAsia="Arial" w:hAnsi="Arial"/>
          <w:sz w:val="16"/>
          <w:szCs w:val="16"/>
          <w:color w:val="auto"/>
        </w:rPr>
      </w:pPr>
    </w:p>
    <w:p>
      <w:pPr>
        <w:ind w:left="286" w:right="240" w:hanging="286"/>
        <w:spacing w:after="0" w:line="382" w:lineRule="auto"/>
        <w:tabs>
          <w:tab w:leader="none" w:pos="286"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left="286" w:right="20" w:hanging="286"/>
        <w:spacing w:after="0" w:line="255" w:lineRule="auto"/>
        <w:tabs>
          <w:tab w:leader="none" w:pos="286"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Arial" w:cs="Arial" w:eastAsia="Arial" w:hAnsi="Arial"/>
          <w:sz w:val="16"/>
          <w:szCs w:val="16"/>
          <w:color w:val="auto"/>
        </w:rPr>
      </w:pPr>
    </w:p>
    <w:p>
      <w:pPr>
        <w:jc w:val="both"/>
        <w:ind w:left="286" w:right="260" w:hanging="286"/>
        <w:spacing w:after="0" w:line="255" w:lineRule="auto"/>
        <w:tabs>
          <w:tab w:leader="none" w:pos="286"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Arial" w:cs="Arial" w:eastAsia="Arial" w:hAnsi="Arial"/>
          <w:sz w:val="16"/>
          <w:szCs w:val="16"/>
          <w:color w:val="auto"/>
        </w:rPr>
      </w:pPr>
    </w:p>
    <w:p>
      <w:pPr>
        <w:ind w:left="286" w:right="60" w:hanging="286"/>
        <w:spacing w:after="0" w:line="265" w:lineRule="auto"/>
        <w:tabs>
          <w:tab w:leader="none" w:pos="28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286" w:right="220" w:hanging="286"/>
        <w:spacing w:after="0" w:line="255" w:lineRule="auto"/>
        <w:tabs>
          <w:tab w:leader="none" w:pos="286"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sz w:val="20"/>
          <w:szCs w:val="20"/>
          <w:color w:val="auto"/>
        </w:rPr>
      </w:pPr>
    </w:p>
    <w:p>
      <w:pPr>
        <w:ind w:left="286" w:right="60" w:hanging="286"/>
        <w:spacing w:after="0" w:line="265" w:lineRule="auto"/>
        <w:tabs>
          <w:tab w:leader="none" w:pos="28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left="286" w:right="200" w:hanging="286"/>
        <w:spacing w:after="0" w:line="265" w:lineRule="auto"/>
        <w:tabs>
          <w:tab w:leader="none" w:pos="286"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286" w:hanging="286"/>
        <w:spacing w:after="0"/>
        <w:tabs>
          <w:tab w:leader="none" w:pos="286" w:val="left"/>
        </w:tabs>
        <w:numPr>
          <w:ilvl w:val="0"/>
          <w:numId w:val="3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tbl>
      <w:tblPr>
        <w:tblLayout w:type="fixed"/>
        <w:tblInd w:w="86" w:type="dxa"/>
        <w:tblCellMar>
          <w:top w:w="0" w:type="dxa"/>
          <w:left w:w="0" w:type="dxa"/>
          <w:bottom w:w="0" w:type="dxa"/>
          <w:right w:w="0" w:type="dxa"/>
        </w:tblCellMar>
      </w:tblPr>
      <w:tr>
        <w:trPr>
          <w:trHeight w:val="200"/>
        </w:trPr>
        <w:tc>
          <w:tcPr>
            <w:tcW w:w="620" w:type="dxa"/>
            <w:vAlign w:val="bottom"/>
          </w:tcPr>
          <w:p>
            <w:pPr>
              <w:spacing w:after="0"/>
              <w:rPr>
                <w:sz w:val="20"/>
                <w:szCs w:val="20"/>
                <w:color w:val="auto"/>
              </w:rPr>
            </w:pPr>
            <w:r>
              <w:rPr>
                <w:rFonts w:ascii="Arial" w:cs="Arial" w:eastAsia="Arial" w:hAnsi="Arial"/>
                <w:sz w:val="16"/>
                <w:szCs w:val="16"/>
                <w:color w:val="auto"/>
              </w:rPr>
              <w:t>Date:</w:t>
            </w:r>
          </w:p>
        </w:tc>
        <w:tc>
          <w:tcPr>
            <w:tcW w:w="2980" w:type="dxa"/>
            <w:vAlign w:val="bottom"/>
          </w:tcPr>
          <w:p>
            <w:pPr>
              <w:ind w:left="280"/>
              <w:spacing w:after="0"/>
              <w:rPr>
                <w:sz w:val="20"/>
                <w:szCs w:val="20"/>
                <w:color w:val="auto"/>
              </w:rPr>
            </w:pPr>
            <w:r>
              <w:rPr>
                <w:rFonts w:ascii="Arial" w:cs="Arial" w:eastAsia="Arial" w:hAnsi="Arial"/>
                <w:sz w:val="16"/>
                <w:szCs w:val="16"/>
                <w:color w:val="auto"/>
              </w:rPr>
              <w:t>November 6, 2020</w:t>
            </w:r>
          </w:p>
        </w:tc>
        <w:tc>
          <w:tcPr>
            <w:tcW w:w="2280" w:type="dxa"/>
            <w:vAlign w:val="bottom"/>
          </w:tcPr>
          <w:p>
            <w:pPr>
              <w:ind w:left="1540"/>
              <w:spacing w:after="0"/>
              <w:rPr>
                <w:sz w:val="20"/>
                <w:szCs w:val="20"/>
                <w:color w:val="auto"/>
              </w:rPr>
            </w:pPr>
            <w:r>
              <w:rPr>
                <w:rFonts w:ascii="Arial" w:cs="Arial" w:eastAsia="Arial" w:hAnsi="Arial"/>
                <w:sz w:val="16"/>
                <w:szCs w:val="16"/>
                <w:color w:val="auto"/>
              </w:rPr>
              <w:t>By:</w:t>
            </w:r>
          </w:p>
        </w:tc>
        <w:tc>
          <w:tcPr>
            <w:tcW w:w="5220" w:type="dxa"/>
            <w:vAlign w:val="bottom"/>
          </w:tcPr>
          <w:p>
            <w:pPr>
              <w:ind w:left="20"/>
              <w:spacing w:after="0"/>
              <w:rPr>
                <w:sz w:val="20"/>
                <w:szCs w:val="20"/>
                <w:color w:val="auto"/>
              </w:rPr>
            </w:pPr>
            <w:r>
              <w:rPr>
                <w:rFonts w:ascii="Arial" w:cs="Arial" w:eastAsia="Arial" w:hAnsi="Arial"/>
                <w:sz w:val="16"/>
                <w:szCs w:val="16"/>
                <w:color w:val="auto"/>
              </w:rPr>
              <w:t>/s/ John Collins</w:t>
            </w:r>
          </w:p>
        </w:tc>
        <w:tc>
          <w:tcPr>
            <w:tcW w:w="0" w:type="dxa"/>
            <w:vAlign w:val="bottom"/>
          </w:tcPr>
          <w:p>
            <w:pPr>
              <w:spacing w:after="0"/>
              <w:rPr>
                <w:sz w:val="1"/>
                <w:szCs w:val="1"/>
                <w:color w:val="auto"/>
              </w:rPr>
            </w:pPr>
          </w:p>
        </w:tc>
      </w:tr>
      <w:tr>
        <w:trPr>
          <w:trHeight w:val="25"/>
        </w:trPr>
        <w:tc>
          <w:tcPr>
            <w:tcW w:w="6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80" w:type="dxa"/>
            <w:vAlign w:val="bottom"/>
            <w:vMerge w:val="restart"/>
          </w:tcPr>
          <w:p>
            <w:pPr>
              <w:ind w:left="1540"/>
              <w:spacing w:after="0"/>
              <w:rPr>
                <w:sz w:val="20"/>
                <w:szCs w:val="20"/>
                <w:color w:val="auto"/>
              </w:rPr>
            </w:pPr>
            <w:r>
              <w:rPr>
                <w:rFonts w:ascii="Arial" w:cs="Arial" w:eastAsia="Arial" w:hAnsi="Arial"/>
                <w:sz w:val="16"/>
                <w:szCs w:val="16"/>
                <w:color w:val="auto"/>
              </w:rPr>
              <w:t>Name:</w:t>
            </w:r>
          </w:p>
        </w:tc>
        <w:tc>
          <w:tcPr>
            <w:tcW w:w="5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280" w:type="dxa"/>
            <w:vAlign w:val="bottom"/>
            <w:vMerge w:val="continue"/>
          </w:tcPr>
          <w:p>
            <w:pPr>
              <w:spacing w:after="0"/>
              <w:rPr>
                <w:sz w:val="17"/>
                <w:szCs w:val="17"/>
                <w:color w:val="auto"/>
              </w:rPr>
            </w:pPr>
          </w:p>
        </w:tc>
        <w:tc>
          <w:tcPr>
            <w:tcW w:w="5220" w:type="dxa"/>
            <w:vAlign w:val="bottom"/>
          </w:tcPr>
          <w:p>
            <w:pPr>
              <w:ind w:left="20"/>
              <w:spacing w:after="0"/>
              <w:rPr>
                <w:sz w:val="20"/>
                <w:szCs w:val="20"/>
                <w:color w:val="auto"/>
              </w:rPr>
            </w:pPr>
            <w:r>
              <w:rPr>
                <w:rFonts w:ascii="Arial" w:cs="Arial" w:eastAsia="Arial" w:hAnsi="Arial"/>
                <w:sz w:val="16"/>
                <w:szCs w:val="16"/>
                <w:color w:val="auto"/>
              </w:rPr>
              <w:t>John Collins</w:t>
            </w:r>
          </w:p>
        </w:tc>
        <w:tc>
          <w:tcPr>
            <w:tcW w:w="0" w:type="dxa"/>
            <w:vAlign w:val="bottom"/>
          </w:tcPr>
          <w:p>
            <w:pPr>
              <w:spacing w:after="0"/>
              <w:rPr>
                <w:sz w:val="1"/>
                <w:szCs w:val="1"/>
                <w:color w:val="auto"/>
              </w:rPr>
            </w:pPr>
          </w:p>
        </w:tc>
      </w:tr>
      <w:tr>
        <w:trPr>
          <w:trHeight w:val="235"/>
        </w:trPr>
        <w:tc>
          <w:tcPr>
            <w:tcW w:w="6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80" w:type="dxa"/>
            <w:vAlign w:val="bottom"/>
          </w:tcPr>
          <w:p>
            <w:pPr>
              <w:ind w:left="1540"/>
              <w:spacing w:after="0"/>
              <w:rPr>
                <w:sz w:val="20"/>
                <w:szCs w:val="20"/>
                <w:color w:val="auto"/>
              </w:rPr>
            </w:pPr>
            <w:r>
              <w:rPr>
                <w:rFonts w:ascii="Arial" w:cs="Arial" w:eastAsia="Arial" w:hAnsi="Arial"/>
                <w:sz w:val="16"/>
                <w:szCs w:val="16"/>
                <w:color w:val="auto"/>
              </w:rPr>
              <w:t>Title:</w:t>
            </w:r>
          </w:p>
        </w:tc>
        <w:tc>
          <w:tcPr>
            <w:tcW w:w="5220" w:type="dxa"/>
            <w:vAlign w:val="bottom"/>
          </w:tcPr>
          <w:p>
            <w:pPr>
              <w:ind w:left="20"/>
              <w:spacing w:after="0"/>
              <w:rPr>
                <w:sz w:val="20"/>
                <w:szCs w:val="20"/>
                <w:color w:val="auto"/>
              </w:rPr>
            </w:pPr>
            <w:r>
              <w:rPr>
                <w:rFonts w:ascii="Arial" w:cs="Arial" w:eastAsia="Arial" w:hAnsi="Arial"/>
                <w:sz w:val="16"/>
                <w:szCs w:val="16"/>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266"/>
          </w:cols>
          <w:pgMar w:left="314" w:top="127" w:right="31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u w:val="single" w:color="auto"/>
          <w:color w:val="auto"/>
        </w:rPr>
        <w:t>Exhibit 32.1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I, Robert P. LoCascio, Chief Executive Officer of LivePerson, Inc. (the “Company”), certify, pursuant to 18 U.S.C. Section 1350, as adopted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Sarbanes-Oxley Act of 2002, that:</w:t>
      </w:r>
    </w:p>
    <w:p>
      <w:pPr>
        <w:spacing w:after="0" w:line="134" w:lineRule="exact"/>
        <w:rPr>
          <w:sz w:val="20"/>
          <w:szCs w:val="20"/>
          <w:color w:val="auto"/>
        </w:rPr>
      </w:pPr>
    </w:p>
    <w:p>
      <w:pPr>
        <w:ind w:left="560" w:right="20" w:hanging="284"/>
        <w:spacing w:after="0" w:line="265"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2020, as filed with the Securities and Exchange Commission (the “Report”), fully complies with the requirements of Section 13(a) or 15(d) of the Securities Exchange Act of 1934; and</w:t>
      </w:r>
    </w:p>
    <w:p>
      <w:pPr>
        <w:spacing w:after="0" w:line="110" w:lineRule="exact"/>
        <w:rPr>
          <w:rFonts w:ascii="Arial" w:cs="Arial" w:eastAsia="Arial" w:hAnsi="Arial"/>
          <w:sz w:val="16"/>
          <w:szCs w:val="16"/>
          <w:color w:val="auto"/>
        </w:rPr>
      </w:pPr>
    </w:p>
    <w:p>
      <w:pPr>
        <w:ind w:left="560" w:hanging="284"/>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200"/>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3060" w:type="dxa"/>
            <w:vAlign w:val="bottom"/>
          </w:tcPr>
          <w:p>
            <w:pPr>
              <w:ind w:left="200"/>
              <w:spacing w:after="0"/>
              <w:rPr>
                <w:sz w:val="20"/>
                <w:szCs w:val="20"/>
                <w:color w:val="auto"/>
              </w:rPr>
            </w:pPr>
            <w:r>
              <w:rPr>
                <w:rFonts w:ascii="Arial" w:cs="Arial" w:eastAsia="Arial" w:hAnsi="Arial"/>
                <w:sz w:val="16"/>
                <w:szCs w:val="16"/>
                <w:color w:val="auto"/>
              </w:rPr>
              <w:t>November 6, 2020</w:t>
            </w:r>
          </w:p>
        </w:tc>
        <w:tc>
          <w:tcPr>
            <w:tcW w:w="2400" w:type="dxa"/>
            <w:vAlign w:val="bottom"/>
          </w:tcPr>
          <w:p>
            <w:pPr>
              <w:ind w:left="1660"/>
              <w:spacing w:after="0"/>
              <w:rPr>
                <w:sz w:val="20"/>
                <w:szCs w:val="20"/>
                <w:color w:val="auto"/>
              </w:rPr>
            </w:pPr>
            <w:r>
              <w:rPr>
                <w:rFonts w:ascii="Arial" w:cs="Arial" w:eastAsia="Arial" w:hAnsi="Arial"/>
                <w:sz w:val="16"/>
                <w:szCs w:val="16"/>
                <w:color w:val="auto"/>
              </w:rPr>
              <w:t>By:</w:t>
            </w:r>
          </w:p>
        </w:tc>
        <w:tc>
          <w:tcPr>
            <w:tcW w:w="4940" w:type="dxa"/>
            <w:vAlign w:val="bottom"/>
          </w:tcPr>
          <w:p>
            <w:pPr>
              <w:ind w:left="20"/>
              <w:spacing w:after="0"/>
              <w:rPr>
                <w:sz w:val="20"/>
                <w:szCs w:val="20"/>
                <w:color w:val="auto"/>
              </w:rPr>
            </w:pPr>
            <w:r>
              <w:rPr>
                <w:rFonts w:ascii="Arial" w:cs="Arial" w:eastAsia="Arial" w:hAnsi="Arial"/>
                <w:sz w:val="16"/>
                <w:szCs w:val="16"/>
                <w:color w:val="auto"/>
              </w:rPr>
              <w:t>/s/ ROBERT P. LOCASCIO</w:t>
            </w:r>
          </w:p>
        </w:tc>
        <w:tc>
          <w:tcPr>
            <w:tcW w:w="0" w:type="dxa"/>
            <w:vAlign w:val="bottom"/>
          </w:tcPr>
          <w:p>
            <w:pPr>
              <w:spacing w:after="0"/>
              <w:rPr>
                <w:sz w:val="1"/>
                <w:szCs w:val="1"/>
                <w:color w:val="auto"/>
              </w:rPr>
            </w:pPr>
          </w:p>
        </w:tc>
      </w:tr>
      <w:tr>
        <w:trPr>
          <w:trHeight w:val="25"/>
        </w:trPr>
        <w:tc>
          <w:tcPr>
            <w:tcW w:w="5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0" w:type="dxa"/>
            <w:vAlign w:val="bottom"/>
            <w:vMerge w:val="restart"/>
          </w:tcPr>
          <w:p>
            <w:pPr>
              <w:ind w:left="1660"/>
              <w:spacing w:after="0"/>
              <w:rPr>
                <w:sz w:val="20"/>
                <w:szCs w:val="20"/>
                <w:color w:val="auto"/>
              </w:rPr>
            </w:pPr>
            <w:r>
              <w:rPr>
                <w:rFonts w:ascii="Arial" w:cs="Arial" w:eastAsia="Arial" w:hAnsi="Arial"/>
                <w:sz w:val="16"/>
                <w:szCs w:val="16"/>
                <w:color w:val="auto"/>
              </w:rPr>
              <w:t>Name: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400" w:type="dxa"/>
            <w:vAlign w:val="bottom"/>
            <w:vMerge w:val="continue"/>
          </w:tcPr>
          <w:p>
            <w:pPr>
              <w:spacing w:after="0"/>
              <w:rPr>
                <w:sz w:val="17"/>
                <w:szCs w:val="17"/>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Robert P. LoCascio</w:t>
            </w:r>
          </w:p>
        </w:tc>
        <w:tc>
          <w:tcPr>
            <w:tcW w:w="0" w:type="dxa"/>
            <w:vAlign w:val="bottom"/>
          </w:tcPr>
          <w:p>
            <w:pPr>
              <w:spacing w:after="0"/>
              <w:rPr>
                <w:sz w:val="1"/>
                <w:szCs w:val="1"/>
                <w:color w:val="auto"/>
              </w:rPr>
            </w:pPr>
          </w:p>
        </w:tc>
      </w:tr>
      <w:tr>
        <w:trPr>
          <w:trHeight w:val="235"/>
        </w:trPr>
        <w:tc>
          <w:tcPr>
            <w:tcW w:w="5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00" w:type="dxa"/>
            <w:vAlign w:val="bottom"/>
          </w:tcPr>
          <w:p>
            <w:pPr>
              <w:ind w:left="1660"/>
              <w:spacing w:after="0"/>
              <w:rPr>
                <w:sz w:val="20"/>
                <w:szCs w:val="20"/>
                <w:color w:val="auto"/>
              </w:rPr>
            </w:pPr>
            <w:r>
              <w:rPr>
                <w:rFonts w:ascii="Arial" w:cs="Arial" w:eastAsia="Arial" w:hAnsi="Arial"/>
                <w:sz w:val="16"/>
                <w:szCs w:val="16"/>
                <w:color w:val="auto"/>
              </w:rPr>
              <w:t>Title:</w:t>
            </w:r>
          </w:p>
        </w:tc>
        <w:tc>
          <w:tcPr>
            <w:tcW w:w="4940" w:type="dxa"/>
            <w:vAlign w:val="bottom"/>
          </w:tcPr>
          <w:p>
            <w:pPr>
              <w:ind w:left="20"/>
              <w:spacing w:after="0"/>
              <w:rPr>
                <w:sz w:val="20"/>
                <w:szCs w:val="20"/>
                <w:color w:val="auto"/>
              </w:rPr>
            </w:pPr>
            <w:r>
              <w:rPr>
                <w:rFonts w:ascii="Arial" w:cs="Arial" w:eastAsia="Arial" w:hAnsi="Arial"/>
                <w:sz w:val="16"/>
                <w:szCs w:val="16"/>
                <w:color w:val="auto"/>
              </w:rPr>
              <w:t>Chief Executive Officer (principal executive officer)</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260"/>
          </w:cols>
          <w:pgMar w:left="320" w:top="127" w:right="31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u w:val="single" w:color="auto"/>
          <w:color w:val="auto"/>
        </w:rPr>
        <w:t>Exhibit 32.2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I, John Collins, Chief Financial Officer of LivePerson, Inc. (the “Company”), certify, pursuant to 18 U.S.C. Section 1350, as adopted pursuant to Section 906 of the Sarbanes-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Oxley Act of 2002, that:</w:t>
      </w:r>
    </w:p>
    <w:p>
      <w:pPr>
        <w:spacing w:after="0" w:line="134" w:lineRule="exact"/>
        <w:rPr>
          <w:sz w:val="20"/>
          <w:szCs w:val="20"/>
          <w:color w:val="auto"/>
        </w:rPr>
      </w:pPr>
    </w:p>
    <w:p>
      <w:pPr>
        <w:ind w:left="560" w:right="20" w:hanging="284"/>
        <w:spacing w:after="0" w:line="265" w:lineRule="auto"/>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2020, as filed with the Securities and Exchange Commission (the “Report”), fully complies with the requirements of Section 13(a) or 15(d) of the Securities Exchange Act of 1934; and</w:t>
      </w:r>
    </w:p>
    <w:p>
      <w:pPr>
        <w:spacing w:after="0" w:line="110" w:lineRule="exact"/>
        <w:rPr>
          <w:rFonts w:ascii="Arial" w:cs="Arial" w:eastAsia="Arial" w:hAnsi="Arial"/>
          <w:sz w:val="16"/>
          <w:szCs w:val="16"/>
          <w:color w:val="auto"/>
        </w:rPr>
      </w:pPr>
    </w:p>
    <w:p>
      <w:pPr>
        <w:ind w:left="560" w:hanging="284"/>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00"/>
        </w:trPr>
        <w:tc>
          <w:tcPr>
            <w:tcW w:w="660" w:type="dxa"/>
            <w:vAlign w:val="bottom"/>
          </w:tcPr>
          <w:p>
            <w:pPr>
              <w:spacing w:after="0"/>
              <w:rPr>
                <w:sz w:val="20"/>
                <w:szCs w:val="20"/>
                <w:color w:val="auto"/>
              </w:rPr>
            </w:pPr>
            <w:r>
              <w:rPr>
                <w:rFonts w:ascii="Arial" w:cs="Arial" w:eastAsia="Arial" w:hAnsi="Arial"/>
                <w:sz w:val="16"/>
                <w:szCs w:val="16"/>
                <w:color w:val="auto"/>
              </w:rPr>
              <w:t>Date:</w:t>
            </w:r>
          </w:p>
        </w:tc>
        <w:tc>
          <w:tcPr>
            <w:tcW w:w="3200" w:type="dxa"/>
            <w:vAlign w:val="bottom"/>
          </w:tcPr>
          <w:p>
            <w:pPr>
              <w:ind w:left="340"/>
              <w:spacing w:after="0"/>
              <w:rPr>
                <w:sz w:val="20"/>
                <w:szCs w:val="20"/>
                <w:color w:val="auto"/>
              </w:rPr>
            </w:pPr>
            <w:r>
              <w:rPr>
                <w:rFonts w:ascii="Arial" w:cs="Arial" w:eastAsia="Arial" w:hAnsi="Arial"/>
                <w:sz w:val="16"/>
                <w:szCs w:val="16"/>
                <w:color w:val="auto"/>
              </w:rPr>
              <w:t>November 6, 2020</w:t>
            </w:r>
          </w:p>
        </w:tc>
        <w:tc>
          <w:tcPr>
            <w:tcW w:w="2440" w:type="dxa"/>
            <w:vAlign w:val="bottom"/>
          </w:tcPr>
          <w:p>
            <w:pPr>
              <w:ind w:left="1680"/>
              <w:spacing w:after="0"/>
              <w:rPr>
                <w:sz w:val="20"/>
                <w:szCs w:val="20"/>
                <w:color w:val="auto"/>
              </w:rPr>
            </w:pPr>
            <w:r>
              <w:rPr>
                <w:rFonts w:ascii="Arial" w:cs="Arial" w:eastAsia="Arial" w:hAnsi="Arial"/>
                <w:sz w:val="16"/>
                <w:szCs w:val="16"/>
                <w:color w:val="auto"/>
              </w:rPr>
              <w:t>By:</w:t>
            </w:r>
          </w:p>
        </w:tc>
        <w:tc>
          <w:tcPr>
            <w:tcW w:w="4740" w:type="dxa"/>
            <w:vAlign w:val="bottom"/>
          </w:tcPr>
          <w:p>
            <w:pPr>
              <w:spacing w:after="0"/>
              <w:rPr>
                <w:sz w:val="20"/>
                <w:szCs w:val="20"/>
                <w:color w:val="auto"/>
              </w:rPr>
            </w:pPr>
            <w:r>
              <w:rPr>
                <w:rFonts w:ascii="Arial" w:cs="Arial" w:eastAsia="Arial" w:hAnsi="Arial"/>
                <w:sz w:val="16"/>
                <w:szCs w:val="16"/>
                <w:color w:val="auto"/>
              </w:rPr>
              <w:t>/s/ John Collins</w:t>
            </w:r>
          </w:p>
        </w:tc>
        <w:tc>
          <w:tcPr>
            <w:tcW w:w="0" w:type="dxa"/>
            <w:vAlign w:val="bottom"/>
          </w:tcPr>
          <w:p>
            <w:pPr>
              <w:spacing w:after="0"/>
              <w:rPr>
                <w:sz w:val="1"/>
                <w:szCs w:val="1"/>
                <w:color w:val="auto"/>
              </w:rPr>
            </w:pPr>
          </w:p>
        </w:tc>
      </w:tr>
      <w:tr>
        <w:trPr>
          <w:trHeight w:val="25"/>
        </w:trPr>
        <w:tc>
          <w:tcPr>
            <w:tcW w:w="6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440" w:type="dxa"/>
            <w:vAlign w:val="bottom"/>
            <w:vMerge w:val="restart"/>
          </w:tcPr>
          <w:p>
            <w:pPr>
              <w:ind w:left="1680"/>
              <w:spacing w:after="0"/>
              <w:rPr>
                <w:sz w:val="20"/>
                <w:szCs w:val="20"/>
                <w:color w:val="auto"/>
              </w:rPr>
            </w:pPr>
            <w:r>
              <w:rPr>
                <w:rFonts w:ascii="Arial" w:cs="Arial" w:eastAsia="Arial" w:hAnsi="Arial"/>
                <w:sz w:val="16"/>
                <w:szCs w:val="16"/>
                <w:color w:val="auto"/>
              </w:rPr>
              <w:t>Name:</w:t>
            </w:r>
          </w:p>
        </w:tc>
        <w:tc>
          <w:tcPr>
            <w:tcW w:w="4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440" w:type="dxa"/>
            <w:vAlign w:val="bottom"/>
            <w:vMerge w:val="continue"/>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6"/>
                <w:szCs w:val="16"/>
                <w:color w:val="auto"/>
              </w:rPr>
              <w:t>John Collins</w:t>
            </w:r>
          </w:p>
        </w:tc>
        <w:tc>
          <w:tcPr>
            <w:tcW w:w="0" w:type="dxa"/>
            <w:vAlign w:val="bottom"/>
          </w:tcPr>
          <w:p>
            <w:pPr>
              <w:spacing w:after="0"/>
              <w:rPr>
                <w:sz w:val="1"/>
                <w:szCs w:val="1"/>
                <w:color w:val="auto"/>
              </w:rPr>
            </w:pPr>
          </w:p>
        </w:tc>
      </w:tr>
      <w:tr>
        <w:trPr>
          <w:trHeight w:val="235"/>
        </w:trPr>
        <w:tc>
          <w:tcPr>
            <w:tcW w:w="6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40" w:type="dxa"/>
            <w:vAlign w:val="bottom"/>
          </w:tcPr>
          <w:p>
            <w:pPr>
              <w:ind w:left="1680"/>
              <w:spacing w:after="0"/>
              <w:rPr>
                <w:sz w:val="20"/>
                <w:szCs w:val="20"/>
                <w:color w:val="auto"/>
              </w:rPr>
            </w:pPr>
            <w:r>
              <w:rPr>
                <w:rFonts w:ascii="Arial" w:cs="Arial" w:eastAsia="Arial" w:hAnsi="Arial"/>
                <w:sz w:val="16"/>
                <w:szCs w:val="16"/>
                <w:color w:val="auto"/>
              </w:rPr>
              <w:t>Title:</w:t>
            </w:r>
          </w:p>
        </w:tc>
        <w:tc>
          <w:tcPr>
            <w:tcW w:w="4740" w:type="dxa"/>
            <w:vAlign w:val="bottom"/>
          </w:tcPr>
          <w:p>
            <w:pPr>
              <w:spacing w:after="0"/>
              <w:rPr>
                <w:sz w:val="20"/>
                <w:szCs w:val="20"/>
                <w:color w:val="auto"/>
              </w:rPr>
            </w:pPr>
            <w:r>
              <w:rPr>
                <w:rFonts w:ascii="Arial" w:cs="Arial" w:eastAsia="Arial" w:hAnsi="Arial"/>
                <w:sz w:val="16"/>
                <w:szCs w:val="16"/>
                <w:color w:val="auto"/>
              </w:rPr>
              <w:t>Chief Financial Officer (principal financial officer)</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260"/>
      </w:cols>
      <w:pgMar w:left="320" w:top="1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2"/>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4"/>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7"/>
    </w:lvl>
  </w:abstractNum>
  <w:abstractNum w:abstractNumId="13">
    <w:nsid w:val="71F32454"/>
    <w:multiLevelType w:val="hybridMultilevel"/>
    <w:lvl w:ilvl="0">
      <w:lvlJc w:val="left"/>
      <w:lvlText w:val="%1."/>
      <w:numFmt w:val="decimal"/>
      <w:start w:val="8"/>
    </w:lvl>
  </w:abstractNum>
  <w:abstractNum w:abstractNumId="14">
    <w:nsid w:val="2CA88611"/>
    <w:multiLevelType w:val="hybridMultilevel"/>
    <w:lvl w:ilvl="0">
      <w:lvlJc w:val="left"/>
      <w:lvlText w:val="%1."/>
      <w:numFmt w:val="decimal"/>
      <w:start w:val="9"/>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lvl w:ilvl="1">
      <w:lvlJc w:val="left"/>
      <w:lvlText w:val="%2"/>
      <w:numFmt w:val="decimal"/>
      <w:start w:val="104"/>
    </w:lvl>
  </w:abstractNum>
  <w:abstractNum w:abstractNumId="30">
    <w:nsid w:val="5072367"/>
    <w:multiLevelType w:val="hybridMultilevel"/>
    <w:lvl w:ilvl="0">
      <w:lvlJc w:val="left"/>
      <w:lvlText w:val="**"/>
      <w:numFmt w:val="bullet"/>
      <w:start w:val="1"/>
    </w:lvl>
    <w:lvl w:ilvl="1">
      <w:lvlJc w:val="left"/>
      <w:lvlText w:val="%2"/>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5"/>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2020-11-09T05:55:14Z</dcterms:created>
  <dcterms:modified xsi:type="dcterms:W3CDTF">2020-11-09T05:55:14Z</dcterms:modified>
</cp:coreProperties>
</file>