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bookmarkStart w:id="0" w:name="d554017d1512g.htm"/>
      <w:bookmarkStart w:id="1" w:name="ksd554017d1512g"/>
      <w:bookmarkEnd w:id="0"/>
      <w:bookmarkEnd w:id="1"/>
      <w:r>
        <w:rPr>
          <w:rFonts w:ascii="Times New Roman" w:hAnsi="Times New Roman"/>
          <w:b/>
          <w:sz w:val="20"/>
        </w:rPr>
        <w:t xml:space="preserve">As filed with the Securities and Exchange Commission on September 14, 2026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15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CERTIFICATION AND NOTICE OF TERMINATION OF REGISTRATION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SECTION 12(g) OF THE 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OR SUSPENSION OF DUTY TO FILE REPORTS UNDER SECTIONS 13 AND 15(d)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OF THE SECURITIES EXCHANGE ACT OF 1934.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Commission File Number: 001-41926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LIVEPERSON,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(Exact name of registrant as specified in its charter)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530 7th Avenue, Floor M1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New York, NY 10018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(212) 609-4200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(Address, including zip code, and telephone number, including area code, of registrant’s principal executive offices)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Common Stock, par value $0.001 per share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 of each class of securities covered by this Form)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None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(Titles of all other classes of securities for which a duty to file reports under section 13(a) or 15(d) remains)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Please place an X in the box(es) to designate the appropriate rule provision(s) relied upon to terminate or suspend the duty to file reports: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1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3"/>
        <w:gridCol w:w="60"/>
        <w:gridCol w:w="258"/>
      </w:tblGrid>
      <w:tr>
        <w:trPr/>
        <w:tc>
          <w:tcPr>
            <w:tcW w:w="17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12g-4(a)(1)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12g-4(a)(2)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12h-3(b)(1)(i)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12h-3(b)(1)(ii)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15d-6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15d-22(b)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Approximate number of holders of record as of the certification or notice date: One (1).*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*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u w:val="single"/>
              </w:rPr>
              <w:t>Explanatory Note</w:t>
            </w:r>
            <w:r>
              <w:rPr>
                <w:rFonts w:ascii="Times New Roman" w:hAnsi="Times New Roman"/>
                <w:sz w:val="20"/>
              </w:rPr>
              <w:t>: Effective as of September 4, 2026, pursuant to that certain Amended and Restated Agreement and Plan of Merger, dated as of July 2, 2026, by and among LivePerson, Inc., a Delaware corporation (“</w:t>
            </w:r>
            <w:r>
              <w:rPr>
                <w:rFonts w:ascii="Times New Roman" w:hAnsi="Times New Roman"/>
                <w:sz w:val="20"/>
                <w:u w:val="single"/>
              </w:rPr>
              <w:t>LivePerson</w:t>
            </w:r>
            <w:r>
              <w:rPr>
                <w:rFonts w:ascii="Times New Roman" w:hAnsi="Times New Roman"/>
                <w:sz w:val="20"/>
              </w:rPr>
              <w:t>”), SoundHound AI, Inc., a Delaware corporation (“</w:t>
            </w:r>
            <w:r>
              <w:rPr>
                <w:rFonts w:ascii="Times New Roman" w:hAnsi="Times New Roman"/>
                <w:sz w:val="20"/>
                <w:u w:val="single"/>
              </w:rPr>
              <w:t>SoundHound</w:t>
            </w:r>
            <w:r>
              <w:rPr>
                <w:rFonts w:ascii="Times New Roman" w:hAnsi="Times New Roman"/>
                <w:sz w:val="20"/>
              </w:rPr>
              <w:t>”), Lightspeed Merger Sub Inc., a Delaware corporation and an indirect wholly owned subsidiary of SoundHound (“</w:t>
            </w:r>
            <w:r>
              <w:rPr>
                <w:rFonts w:ascii="Times New Roman" w:hAnsi="Times New Roman"/>
                <w:sz w:val="20"/>
                <w:u w:val="single"/>
              </w:rPr>
              <w:t>Merger Sub I</w:t>
            </w:r>
            <w:r>
              <w:rPr>
                <w:rFonts w:ascii="Times New Roman" w:hAnsi="Times New Roman"/>
                <w:sz w:val="20"/>
              </w:rPr>
              <w:t>”), and Lightspeed Merger Sub II Inc., a Delaware corporation and an indirect wholly owned subsidiary of SoundHound (“</w:t>
            </w:r>
            <w:r>
              <w:rPr>
                <w:rFonts w:ascii="Times New Roman" w:hAnsi="Times New Roman"/>
                <w:sz w:val="20"/>
                <w:u w:val="single"/>
              </w:rPr>
              <w:t>Merger Sub II</w:t>
            </w:r>
            <w:r>
              <w:rPr>
                <w:rFonts w:ascii="Times New Roman" w:hAnsi="Times New Roman"/>
                <w:sz w:val="20"/>
              </w:rPr>
              <w:t>”), Merger Sub I merged with and into LivePerson (the “</w:t>
            </w:r>
            <w:r>
              <w:rPr>
                <w:rFonts w:ascii="Times New Roman" w:hAnsi="Times New Roman"/>
                <w:sz w:val="20"/>
                <w:u w:val="single"/>
              </w:rPr>
              <w:t>First Merger</w:t>
            </w:r>
            <w:r>
              <w:rPr>
                <w:rFonts w:ascii="Times New Roman" w:hAnsi="Times New Roman"/>
                <w:sz w:val="20"/>
              </w:rPr>
              <w:t>”), with LivePerson surviving the First Merger as an indirect wholly owned subsidiary of SoundHound. Immediately thereafter, Merger Sub II merged with and LivePerson (the “</w:t>
            </w:r>
            <w:r>
              <w:rPr>
                <w:rFonts w:ascii="Times New Roman" w:hAnsi="Times New Roman"/>
                <w:sz w:val="20"/>
                <w:u w:val="single"/>
              </w:rPr>
              <w:t>Second Merger</w:t>
            </w:r>
            <w:r>
              <w:rPr>
                <w:rFonts w:ascii="Times New Roman" w:hAnsi="Times New Roman"/>
                <w:sz w:val="20"/>
              </w:rPr>
              <w:t xml:space="preserve">”), with LivePerson surviving the Second Merger as an indirect wholly owned subsidiary of SoundHound. 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LivePerson, Inc., has caused this certification/notice to be signed on its behalf by the undersigned duly authorized person.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Date: September 14, 2026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2000" w:type="pct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4"/>
        <w:gridCol w:w="60"/>
        <w:gridCol w:w="3368"/>
      </w:tblGrid>
      <w:tr>
        <w:trPr/>
        <w:tc>
          <w:tcPr>
            <w:tcW w:w="6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LIVEPERSON, INC.</w:t>
            </w:r>
          </w:p>
        </w:tc>
      </w:tr>
      <w:tr>
        <w:trPr>
          <w:trHeight w:val="240" w:hRule="atLeast"/>
        </w:trPr>
        <w:tc>
          <w:tcPr>
            <w:tcW w:w="6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68" w:type="dxa"/>
            <w:tcBorders/>
          </w:tcPr>
          <w:p>
            <w:pPr>
              <w:pStyle w:val="TableContents"/>
              <w:pBdr>
                <w:bottom w:val="single" w:sz="2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John Collins</w:t>
            </w:r>
          </w:p>
        </w:tc>
      </w:tr>
      <w:tr>
        <w:trPr/>
        <w:tc>
          <w:tcPr>
            <w:tcW w:w="6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6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John Collins</w:t>
            </w:r>
          </w:p>
        </w:tc>
      </w:tr>
      <w:tr>
        <w:trPr/>
        <w:tc>
          <w:tcPr>
            <w:tcW w:w="6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6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Financial Officer &amp; Chief Operating Officer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377</Words>
  <Characters>2068</Characters>
  <CharactersWithSpaces>2455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15-12G</dc:title>
</cp:coreProperties>
</file>