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ind w:left="0" w:right="0" w:firstLine="48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8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ind w:left="0" w:right="0" w:firstLine="48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80"/>
        <w:jc w:val="center"/>
        <w:rPr/>
      </w:pPr>
      <w:r>
        <w:rPr>
          <w:color w:val="000000"/>
        </w:rPr>
        <w:t xml:space="preserve">☒ </w:t>
      </w:r>
      <w:r>
        <w:rPr>
          <w:rFonts w:ascii="Times New Roman;sans-serif" w:hAnsi="Times New Roman;sans-serif"/>
          <w:b/>
          <w:color w:val="000000"/>
          <w:sz w:val="19"/>
        </w:rPr>
        <w:t>QUARTERLY REPORT PURSUANT TO SECTION 13 OR 15(d) OF THE SECURITIES EXCHANGE ACT OF 1934</w:t>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120"/>
        <w:jc w:val="center"/>
        <w:rPr/>
      </w:pPr>
      <w:r>
        <w:rPr>
          <w:color w:val="000000"/>
        </w:rPr>
        <w:t xml:space="preserve">☐ </w:t>
      </w:r>
      <w:r>
        <w:rPr>
          <w:rFonts w:ascii="Times New Roman;sans-serif" w:hAnsi="Times New Roman;sans-serif"/>
          <w:b/>
          <w:color w:val="000000"/>
          <w:sz w:val="19"/>
        </w:rPr>
        <w:t>TRANSITION REPORT PURSUANT TO SECTION 13 OR 15(d) OF THE SECURITIES EXCHANGE ACT OF 1934</w:t>
      </w:r>
    </w:p>
    <w:p>
      <w:pPr>
        <w:pStyle w:val="TextBody"/>
        <w:bidi w:val="0"/>
        <w:spacing w:lineRule="auto" w:line="288" w:before="0" w:after="18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lineRule="auto" w:line="288" w:before="0" w:after="4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Commission File Number: 000-30141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40"/>
        <w:ind w:left="0" w:right="0" w:firstLine="480"/>
        <w:jc w:val="center"/>
        <w:rPr>
          <w:rFonts w:ascii="Times New Roman;sans-serif" w:hAnsi="Times New Roman;sans-serif"/>
          <w:b/>
          <w:color w:val="000000"/>
          <w:sz w:val="32"/>
        </w:rPr>
      </w:pPr>
      <w:r>
        <w:rPr>
          <w:rFonts w:ascii="Times New Roman;sans-serif" w:hAnsi="Times New Roman;sans-serif"/>
          <w:b/>
          <w:color w:val="000000"/>
          <w:sz w:val="32"/>
        </w:rPr>
        <w:t>LIVEPERSON, INC.</w:t>
      </w:r>
    </w:p>
    <w:p>
      <w:pPr>
        <w:pStyle w:val="TextBody"/>
        <w:bidi w:val="0"/>
        <w:spacing w:lineRule="auto" w:line="228" w:before="0" w:after="40"/>
        <w:ind w:left="0" w:right="0" w:firstLine="48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13-3861628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530 7th Ave, Floor 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(212) 609-4200 </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9867" w:type="dxa"/>
        <w:jc w:val="center"/>
        <w:tblInd w:w="0" w:type="dxa"/>
        <w:tblLayout w:type="fixed"/>
        <w:tblCellMar>
          <w:top w:w="28" w:type="dxa"/>
          <w:left w:w="28" w:type="dxa"/>
          <w:bottom w:w="28" w:type="dxa"/>
          <w:right w:w="28" w:type="dxa"/>
        </w:tblCellMar>
      </w:tblPr>
      <w:tblGrid>
        <w:gridCol w:w="1157"/>
        <w:gridCol w:w="1019"/>
        <w:gridCol w:w="1019"/>
        <w:gridCol w:w="272"/>
        <w:gridCol w:w="272"/>
        <w:gridCol w:w="272"/>
        <w:gridCol w:w="520"/>
        <w:gridCol w:w="520"/>
        <w:gridCol w:w="520"/>
        <w:gridCol w:w="272"/>
        <w:gridCol w:w="272"/>
        <w:gridCol w:w="272"/>
        <w:gridCol w:w="1020"/>
        <w:gridCol w:w="1020"/>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9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LPSN</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3"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August 4,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77,957,463 </w:t>
      </w:r>
      <w:r>
        <w:rPr>
          <w:rFonts w:ascii="Times New Roman;sans-serif" w:hAnsi="Times New Roman;sans-serif"/>
          <w:b w:val="false"/>
          <w:color w:val="000000"/>
          <w:sz w:val="20"/>
        </w:rPr>
        <w:t>shares of the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before="0" w:after="0"/>
        <w:ind w:left="0" w:right="0" w:firstLine="480"/>
        <w:jc w:val="center"/>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68"/>
        <w:gridCol w:w="236"/>
        <w:gridCol w:w="237"/>
        <w:gridCol w:w="2961"/>
        <w:gridCol w:w="2961"/>
        <w:gridCol w:w="2968"/>
        <w:gridCol w:w="167"/>
        <w:gridCol w:w="167"/>
        <w:gridCol w:w="240"/>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3">
              <w:r>
                <w:rPr>
                  <w:rStyle w:val="InternetLink"/>
                  <w:rFonts w:ascii="Times New Roman;sans-serif" w:hAnsi="Times New Roman;sans-serif"/>
                  <w:b/>
                  <w:color w:val="0000FF"/>
                  <w:sz w:val="20"/>
                  <w:u w:val="single"/>
                </w:rPr>
                <w:t>PART I. FINANCIAL INFORMATION</w:t>
              </w:r>
            </w:hyperlink>
          </w:p>
        </w:tc>
        <w:tc>
          <w:tcPr>
            <w:tcW w:w="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6">
              <w:r>
                <w:rPr>
                  <w:rStyle w:val="InternetLink"/>
                  <w:rFonts w:ascii="Times New Roman;sans-serif" w:hAnsi="Times New Roman;sans-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6">
              <w:r>
                <w:rPr>
                  <w:rStyle w:val="InternetLink"/>
                  <w:rFonts w:ascii="Times New Roman;sans-serif" w:hAnsi="Times New Roman;sans-serif"/>
                  <w:b w:val="false"/>
                  <w:strike w:val="false"/>
                  <w:dstrike w:val="false"/>
                  <w:color w:val="0000FF"/>
                  <w:sz w:val="20"/>
                  <w:u w:val="none"/>
                  <w:effect w:val="none"/>
                </w:rPr>
                <w:t>3</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9">
              <w:r>
                <w:rPr>
                  <w:rStyle w:val="InternetLink"/>
                  <w:rFonts w:ascii="Times New Roman;sans-serif" w:hAnsi="Times New Roman;sans-serif"/>
                  <w:b w:val="false"/>
                  <w:color w:val="0000FF"/>
                  <w:sz w:val="20"/>
                  <w:u w:val="single"/>
                </w:rPr>
                <w:t>Condensed Consolidated Balance Sheets as of June 30, 2023 and December 31, 2022</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9">
              <w:r>
                <w:rPr>
                  <w:rStyle w:val="InternetLink"/>
                  <w:rFonts w:ascii="Times New Roman;sans-serif" w:hAnsi="Times New Roman;sans-serif"/>
                  <w:b w:val="false"/>
                  <w:strike w:val="false"/>
                  <w:dstrike w:val="false"/>
                  <w:color w:val="0000FF"/>
                  <w:sz w:val="20"/>
                  <w:u w:val="none"/>
                  <w:effect w:val="none"/>
                </w:rPr>
                <w:t>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22">
              <w:r>
                <w:rPr>
                  <w:rStyle w:val="InternetLink"/>
                  <w:rFonts w:ascii="Times New Roman;sans-serif" w:hAnsi="Times New Roman;sans-serif"/>
                  <w:b w:val="false"/>
                  <w:color w:val="000080"/>
                  <w:sz w:val="20"/>
                  <w:u w:val="single"/>
                </w:rPr>
                <w:t>Condensed Consolidated Statements of Operations for the</w:t>
              </w:r>
            </w:hyperlink>
            <w:hyperlink w:anchor="iffe6f58d0f114dfa8788981e383a55d6_22">
              <w:r>
                <w:rPr>
                  <w:rStyle w:val="InternetLink"/>
                  <w:rFonts w:ascii="Times New Roman;sans-serif" w:hAnsi="Times New Roman;sans-serif"/>
                  <w:b w:val="false"/>
                  <w:color w:val="000080"/>
                  <w:sz w:val="20"/>
                  <w:u w:val="single"/>
                </w:rPr>
                <w:t xml:space="preserve"> </w:t>
              </w:r>
            </w:hyperlink>
            <w:hyperlink w:anchor="iffe6f58d0f114dfa8788981e383a55d6_22">
              <w:r>
                <w:rPr>
                  <w:rStyle w:val="InternetLink"/>
                  <w:rFonts w:ascii="Times New Roman;sans-serif" w:hAnsi="Times New Roman;sans-serif"/>
                  <w:b w:val="false"/>
                  <w:color w:val="000080"/>
                  <w:sz w:val="20"/>
                  <w:u w:val="single"/>
                </w:rPr>
                <w:t>Three and</w:t>
              </w:r>
            </w:hyperlink>
            <w:hyperlink w:anchor="iffe6f58d0f114dfa8788981e383a55d6_22">
              <w:r>
                <w:rPr>
                  <w:rStyle w:val="InternetLink"/>
                  <w:rFonts w:ascii="Times New Roman;sans-serif" w:hAnsi="Times New Roman;sans-serif"/>
                  <w:b w:val="false"/>
                  <w:color w:val="000080"/>
                  <w:sz w:val="20"/>
                  <w:u w:val="single"/>
                </w:rPr>
                <w:t xml:space="preserve"> Six Months Ended June 30, 2023 and 2022</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22">
              <w:r>
                <w:rPr>
                  <w:rStyle w:val="InternetLink"/>
                  <w:rFonts w:ascii="Times New Roman;sans-serif" w:hAnsi="Times New Roman;sans-serif"/>
                  <w:b w:val="false"/>
                  <w:strike w:val="false"/>
                  <w:dstrike w:val="false"/>
                  <w:color w:val="0000FF"/>
                  <w:sz w:val="20"/>
                  <w:u w:val="none"/>
                  <w:effect w:val="none"/>
                </w:rPr>
                <w:t>5</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31">
              <w:r>
                <w:rPr>
                  <w:rStyle w:val="InternetLink"/>
                  <w:rFonts w:ascii="Times New Roman;sans-serif" w:hAnsi="Times New Roman;sans-serif"/>
                  <w:b w:val="false"/>
                  <w:color w:val="000080"/>
                  <w:sz w:val="20"/>
                  <w:u w:val="single"/>
                </w:rPr>
                <w:t>Condensed Consolidated Statements of Comprehensive</w:t>
              </w:r>
            </w:hyperlink>
            <w:hyperlink w:anchor="iffe6f58d0f114dfa8788981e383a55d6_31">
              <w:r>
                <w:rPr>
                  <w:rStyle w:val="InternetLink"/>
                  <w:rFonts w:ascii="Times New Roman;sans-serif" w:hAnsi="Times New Roman;sans-serif"/>
                  <w:b w:val="false"/>
                  <w:color w:val="000080"/>
                  <w:sz w:val="20"/>
                  <w:u w:val="single"/>
                </w:rPr>
                <w:t xml:space="preserve"> Income (</w:t>
              </w:r>
            </w:hyperlink>
            <w:hyperlink w:anchor="iffe6f58d0f114dfa8788981e383a55d6_31">
              <w:r>
                <w:rPr>
                  <w:rStyle w:val="InternetLink"/>
                  <w:rFonts w:ascii="Times New Roman;sans-serif" w:hAnsi="Times New Roman;sans-serif"/>
                  <w:b w:val="false"/>
                  <w:color w:val="000080"/>
                  <w:sz w:val="20"/>
                  <w:u w:val="single"/>
                </w:rPr>
                <w:t>Loss</w:t>
              </w:r>
            </w:hyperlink>
            <w:hyperlink w:anchor="iffe6f58d0f114dfa8788981e383a55d6_31">
              <w:r>
                <w:rPr>
                  <w:rStyle w:val="InternetLink"/>
                  <w:rFonts w:ascii="Times New Roman;sans-serif" w:hAnsi="Times New Roman;sans-serif"/>
                  <w:b w:val="false"/>
                  <w:color w:val="000080"/>
                  <w:sz w:val="20"/>
                  <w:u w:val="single"/>
                </w:rPr>
                <w:t>)</w:t>
              </w:r>
            </w:hyperlink>
            <w:hyperlink w:anchor="iffe6f58d0f114dfa8788981e383a55d6_31">
              <w:r>
                <w:rPr>
                  <w:rStyle w:val="InternetLink"/>
                  <w:rFonts w:ascii="Times New Roman;sans-serif" w:hAnsi="Times New Roman;sans-serif"/>
                  <w:b w:val="false"/>
                  <w:color w:val="000080"/>
                  <w:sz w:val="20"/>
                  <w:u w:val="single"/>
                </w:rPr>
                <w:t xml:space="preserve"> for the Three and Six Months Ended June 30, 2023 and 2022</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31">
              <w:r>
                <w:rPr>
                  <w:rStyle w:val="InternetLink"/>
                  <w:rFonts w:ascii="Times New Roman;sans-serif" w:hAnsi="Times New Roman;sans-serif"/>
                  <w:b w:val="false"/>
                  <w:strike w:val="false"/>
                  <w:dstrike w:val="false"/>
                  <w:color w:val="0000FF"/>
                  <w:sz w:val="20"/>
                  <w:u w:val="none"/>
                  <w:effect w:val="none"/>
                </w:rPr>
                <w:t>6</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37">
              <w:r>
                <w:rPr>
                  <w:rStyle w:val="InternetLink"/>
                  <w:rFonts w:ascii="Times New Roman;sans-serif" w:hAnsi="Times New Roman;sans-serif"/>
                  <w:b w:val="false"/>
                  <w:color w:val="000080"/>
                  <w:sz w:val="20"/>
                  <w:u w:val="single"/>
                </w:rPr>
                <w:t>Condensed Consolidated Statements of Stockholders’ Equity for the</w:t>
              </w:r>
            </w:hyperlink>
            <w:hyperlink w:anchor="iffe6f58d0f114dfa8788981e383a55d6_37">
              <w:r>
                <w:rPr>
                  <w:rStyle w:val="InternetLink"/>
                  <w:rFonts w:ascii="Times New Roman;sans-serif" w:hAnsi="Times New Roman;sans-serif"/>
                  <w:b w:val="false"/>
                  <w:color w:val="000080"/>
                  <w:sz w:val="20"/>
                  <w:u w:val="single"/>
                </w:rPr>
                <w:t xml:space="preserve"> Three and</w:t>
              </w:r>
            </w:hyperlink>
            <w:hyperlink w:anchor="iffe6f58d0f114dfa8788981e383a55d6_37">
              <w:r>
                <w:rPr>
                  <w:rStyle w:val="InternetLink"/>
                  <w:rFonts w:ascii="Times New Roman;sans-serif" w:hAnsi="Times New Roman;sans-serif"/>
                  <w:b w:val="false"/>
                  <w:color w:val="000080"/>
                  <w:sz w:val="20"/>
                  <w:u w:val="single"/>
                </w:rPr>
                <w:t xml:space="preserve"> Six Months Ended June 30, 2023 and 2022</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40">
              <w:r>
                <w:rPr>
                  <w:rStyle w:val="InternetLink"/>
                  <w:rFonts w:ascii="Times New Roman;sans-serif" w:hAnsi="Times New Roman;sans-serif"/>
                  <w:b w:val="false"/>
                  <w:strike w:val="false"/>
                  <w:dstrike w:val="false"/>
                  <w:color w:val="0000FF"/>
                  <w:sz w:val="20"/>
                  <w:u w:val="none"/>
                  <w:effect w:val="none"/>
                </w:rPr>
                <w:t>7</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43">
              <w:r>
                <w:rPr>
                  <w:rStyle w:val="InternetLink"/>
                  <w:rFonts w:ascii="Times New Roman;sans-serif" w:hAnsi="Times New Roman;sans-serif"/>
                  <w:b w:val="false"/>
                  <w:color w:val="000080"/>
                  <w:sz w:val="20"/>
                  <w:u w:val="single"/>
                </w:rPr>
                <w:t>Condensed Consolidated Statements of Cash Flows</w:t>
              </w:r>
            </w:hyperlink>
            <w:hyperlink w:anchor="iffe6f58d0f114dfa8788981e383a55d6_43">
              <w:r>
                <w:rPr>
                  <w:rStyle w:val="InternetLink"/>
                  <w:rFonts w:ascii="Times New Roman;sans-serif" w:hAnsi="Times New Roman;sans-serif"/>
                  <w:b w:val="false"/>
                  <w:color w:val="000080"/>
                  <w:sz w:val="20"/>
                  <w:u w:val="single"/>
                </w:rPr>
                <w:t xml:space="preserve"> for the </w:t>
              </w:r>
            </w:hyperlink>
            <w:hyperlink w:anchor="iffe6f58d0f114dfa8788981e383a55d6_43">
              <w:r>
                <w:rPr>
                  <w:rStyle w:val="InternetLink"/>
                  <w:rFonts w:ascii="Times New Roman;sans-serif" w:hAnsi="Times New Roman;sans-serif"/>
                  <w:b w:val="false"/>
                  <w:color w:val="000080"/>
                  <w:sz w:val="20"/>
                  <w:u w:val="single"/>
                </w:rPr>
                <w:t xml:space="preserve">Three and </w:t>
              </w:r>
            </w:hyperlink>
            <w:hyperlink w:anchor="iffe6f58d0f114dfa8788981e383a55d6_43">
              <w:r>
                <w:rPr>
                  <w:rStyle w:val="InternetLink"/>
                  <w:rFonts w:ascii="Times New Roman;sans-serif" w:hAnsi="Times New Roman;sans-serif"/>
                  <w:b w:val="false"/>
                  <w:color w:val="000080"/>
                  <w:sz w:val="20"/>
                  <w:u w:val="single"/>
                </w:rPr>
                <w:t>Six Months Ended June 30, 2023 and 2022</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43">
              <w:r>
                <w:rPr>
                  <w:rStyle w:val="InternetLink"/>
                  <w:rFonts w:ascii="Times New Roman;sans-serif" w:hAnsi="Times New Roman;sans-serif"/>
                  <w:b w:val="false"/>
                  <w:strike w:val="false"/>
                  <w:dstrike w:val="false"/>
                  <w:color w:val="0000FF"/>
                  <w:sz w:val="20"/>
                  <w:u w:val="none"/>
                  <w:effect w:val="none"/>
                </w:rPr>
                <w:t>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49">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49">
              <w:r>
                <w:rPr>
                  <w:rStyle w:val="InternetLink"/>
                  <w:rFonts w:ascii="Times New Roman;sans-serif" w:hAnsi="Times New Roman;sans-serif"/>
                  <w:b w:val="false"/>
                  <w:strike w:val="false"/>
                  <w:dstrike w:val="false"/>
                  <w:color w:val="0000FF"/>
                  <w:sz w:val="20"/>
                  <w:u w:val="none"/>
                  <w:effect w:val="none"/>
                </w:rPr>
                <w:t>11</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4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48">
              <w:r>
                <w:rPr>
                  <w:rStyle w:val="InternetLink"/>
                  <w:rFonts w:ascii="Times New Roman;sans-serif" w:hAnsi="Times New Roman;sans-serif"/>
                  <w:b w:val="false"/>
                  <w:strike w:val="false"/>
                  <w:dstrike w:val="false"/>
                  <w:color w:val="0000FF"/>
                  <w:sz w:val="20"/>
                  <w:u w:val="none"/>
                  <w:effect w:val="none"/>
                </w:rPr>
                <w:t>38</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81">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81">
              <w:r>
                <w:rPr>
                  <w:rStyle w:val="InternetLink"/>
                  <w:rFonts w:ascii="Times New Roman;sans-serif" w:hAnsi="Times New Roman;sans-serif"/>
                  <w:b w:val="false"/>
                  <w:strike w:val="false"/>
                  <w:dstrike w:val="false"/>
                  <w:color w:val="0000FF"/>
                  <w:sz w:val="20"/>
                  <w:u w:val="none"/>
                  <w:effect w:val="none"/>
                </w:rPr>
                <w:t>55</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84">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84">
              <w:r>
                <w:rPr>
                  <w:rStyle w:val="InternetLink"/>
                  <w:rFonts w:ascii="Times New Roman;sans-serif" w:hAnsi="Times New Roman;sans-serif"/>
                  <w:b w:val="false"/>
                  <w:strike w:val="false"/>
                  <w:dstrike w:val="false"/>
                  <w:color w:val="0000FF"/>
                  <w:sz w:val="20"/>
                  <w:u w:val="none"/>
                  <w:effect w:val="none"/>
                </w:rPr>
                <w:t>57</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87">
              <w:r>
                <w:rPr>
                  <w:rStyle w:val="InternetLink"/>
                  <w:rFonts w:ascii="Times New Roman;sans-serif" w:hAnsi="Times New Roman;sans-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90">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90">
              <w:r>
                <w:rPr>
                  <w:rStyle w:val="InternetLink"/>
                  <w:rFonts w:ascii="Times New Roman;sans-serif" w:hAnsi="Times New Roman;sans-serif"/>
                  <w:b w:val="false"/>
                  <w:strike w:val="false"/>
                  <w:dstrike w:val="false"/>
                  <w:color w:val="0000FF"/>
                  <w:sz w:val="20"/>
                  <w:u w:val="none"/>
                  <w:effect w:val="none"/>
                </w:rPr>
                <w:t>57</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93">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93">
              <w:r>
                <w:rPr>
                  <w:rStyle w:val="InternetLink"/>
                  <w:rFonts w:ascii="Times New Roman;sans-serif" w:hAnsi="Times New Roman;sans-serif"/>
                  <w:b w:val="false"/>
                  <w:strike w:val="false"/>
                  <w:dstrike w:val="false"/>
                  <w:color w:val="0000FF"/>
                  <w:sz w:val="20"/>
                  <w:u w:val="none"/>
                  <w:effect w:val="none"/>
                </w:rPr>
                <w:t>59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96">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96">
              <w:r>
                <w:rPr>
                  <w:rStyle w:val="InternetLink"/>
                  <w:rFonts w:ascii="Times New Roman;sans-serif" w:hAnsi="Times New Roman;sans-serif"/>
                  <w:b w:val="false"/>
                  <w:strike w:val="false"/>
                  <w:dstrike w:val="false"/>
                  <w:color w:val="0000FF"/>
                  <w:sz w:val="20"/>
                  <w:u w:val="none"/>
                  <w:effect w:val="none"/>
                </w:rPr>
                <w:t>59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199">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199">
              <w:r>
                <w:rPr>
                  <w:rStyle w:val="InternetLink"/>
                  <w:rFonts w:ascii="Times New Roman;sans-serif" w:hAnsi="Times New Roman;sans-serif"/>
                  <w:b w:val="false"/>
                  <w:strike w:val="false"/>
                  <w:dstrike w:val="false"/>
                  <w:color w:val="0000FF"/>
                  <w:sz w:val="20"/>
                  <w:u w:val="none"/>
                  <w:effect w:val="none"/>
                </w:rPr>
                <w:t>59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202">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202">
              <w:r>
                <w:rPr>
                  <w:rStyle w:val="InternetLink"/>
                  <w:rFonts w:ascii="Times New Roman;sans-serif" w:hAnsi="Times New Roman;sans-serif"/>
                  <w:b w:val="false"/>
                  <w:strike w:val="false"/>
                  <w:dstrike w:val="false"/>
                  <w:color w:val="0000FF"/>
                  <w:sz w:val="20"/>
                  <w:u w:val="none"/>
                  <w:effect w:val="none"/>
                </w:rPr>
                <w:t>59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205">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205">
              <w:r>
                <w:rPr>
                  <w:rStyle w:val="InternetLink"/>
                  <w:rFonts w:ascii="Times New Roman;sans-serif" w:hAnsi="Times New Roman;sans-serif"/>
                  <w:b w:val="false"/>
                  <w:strike w:val="false"/>
                  <w:dstrike w:val="false"/>
                  <w:color w:val="0000FF"/>
                  <w:sz w:val="20"/>
                  <w:u w:val="none"/>
                  <w:effect w:val="none"/>
                </w:rPr>
                <w:t>59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208">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208">
              <w:r>
                <w:rPr>
                  <w:rStyle w:val="InternetLink"/>
                  <w:rFonts w:ascii="Times New Roman;sans-serif" w:hAnsi="Times New Roman;sans-serif"/>
                  <w:b w:val="false"/>
                  <w:strike w:val="false"/>
                  <w:dstrike w:val="false"/>
                  <w:color w:val="0000FF"/>
                  <w:sz w:val="20"/>
                  <w:u w:val="none"/>
                  <w:effect w:val="none"/>
                </w:rPr>
                <w:t>60</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fe6f58d0f114dfa8788981e383a55d6_211">
              <w:r>
                <w:rPr>
                  <w:rStyle w:val="InternetLink"/>
                  <w:rFonts w:ascii="Times New Roman;sans-serif" w:hAnsi="Times New Roman;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e6f58d0f114dfa8788981e383a55d6_211">
              <w:r>
                <w:rPr>
                  <w:rStyle w:val="InternetLink"/>
                  <w:rFonts w:ascii="Times New Roman;sans-serif" w:hAnsi="Times New Roman;sans-serif"/>
                  <w:b w:val="false"/>
                  <w:strike w:val="false"/>
                  <w:dstrike w:val="false"/>
                  <w:color w:val="0000FF"/>
                  <w:sz w:val="20"/>
                  <w:u w:val="none"/>
                  <w:effect w:val="non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Quarterly Report on Form 10-Q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our Annual Report on Form 10-K filed with the Securities and Exchange Commission (the “SEC”) on March 16, 2023 (as amended on May 1, 2023) in the section entitled Part 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29"/>
        <w:gridCol w:w="2195"/>
        <w:gridCol w:w="2165"/>
        <w:gridCol w:w="211"/>
        <w:gridCol w:w="826"/>
        <w:gridCol w:w="109"/>
        <w:gridCol w:w="109"/>
        <w:gridCol w:w="109"/>
        <w:gridCol w:w="109"/>
        <w:gridCol w:w="211"/>
        <w:gridCol w:w="976"/>
        <w:gridCol w:w="156"/>
      </w:tblGrid>
      <w:tr>
        <w:trPr/>
        <w:tc>
          <w:tcPr>
            <w:tcW w:w="302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br/>
              <w:t>2022</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 thousands)</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391,781 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r>
              <w:rPr>
                <w:rFonts w:ascii="Times New Roman;sans-serif" w:hAnsi="Times New Roman;sans-serif"/>
                <w:b w:val="false"/>
                <w:color w:val="000000"/>
                <w:sz w:val="19"/>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 of allowances of $9,047 and $9,239 as of June 30,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354,270 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533,466 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 of use assets (Note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Goodwill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 joint venture (Note 17)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1,088,940 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current liabilities (Note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Convertible senior notes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(Note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associated with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251,558 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net of current portion (Note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Convertible senior notes, net of current portion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net of current portion (Note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1,020,852 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$0.001 par value - 5,000,000 shares authorized, none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$0.001 par value - 200,000,000 shares authorized, 80,312,090 and 78,350,984 shares issued, 77,546,017 and 75,584,911 shares outstanding as of June 30,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771,052 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- 2,766,073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(692,362)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68,088 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898,287 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1,088,940 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xml:space="preserve">     </w:t>
      </w:r>
    </w:p>
    <w:p>
      <w:pPr>
        <w:pStyle w:val="TextBody"/>
        <w:bidi w:val="0"/>
        <w:spacing w:lineRule="auto" w:line="288" w:before="0" w:after="120"/>
        <w:jc w:val="center"/>
        <w:rPr>
          <w:color w:val="000000"/>
        </w:rPr>
      </w:pPr>
      <w:r>
        <w:rPr>
          <w:color w:val="000000"/>
        </w:rPr>
        <w:t>    </w:t>
      </w:r>
      <w:r>
        <w:rPr>
          <w:rFonts w:ascii="Times New Roman;sans-serif" w:hAnsi="Times New Roman;sans-serif"/>
          <w:b w:val="false"/>
          <w:color w:val="000000"/>
          <w:sz w:val="20"/>
        </w:rPr>
        <w:t>+</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6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tbl>
      <w:tblPr>
        <w:tblW w:w="10205" w:type="dxa"/>
        <w:jc w:val="center"/>
        <w:tblInd w:w="0" w:type="dxa"/>
        <w:tblLayout w:type="fixed"/>
        <w:tblCellMar>
          <w:top w:w="28" w:type="dxa"/>
          <w:left w:w="28" w:type="dxa"/>
          <w:bottom w:w="28" w:type="dxa"/>
          <w:right w:w="28" w:type="dxa"/>
        </w:tblCellMar>
      </w:tblPr>
      <w:tblGrid>
        <w:gridCol w:w="1731"/>
        <w:gridCol w:w="1333"/>
        <w:gridCol w:w="1337"/>
        <w:gridCol w:w="244"/>
        <w:gridCol w:w="837"/>
        <w:gridCol w:w="109"/>
        <w:gridCol w:w="109"/>
        <w:gridCol w:w="109"/>
        <w:gridCol w:w="109"/>
        <w:gridCol w:w="219"/>
        <w:gridCol w:w="862"/>
        <w:gridCol w:w="109"/>
        <w:gridCol w:w="109"/>
        <w:gridCol w:w="109"/>
        <w:gridCol w:w="109"/>
        <w:gridCol w:w="219"/>
        <w:gridCol w:w="862"/>
        <w:gridCol w:w="109"/>
        <w:gridCol w:w="109"/>
        <w:gridCol w:w="109"/>
        <w:gridCol w:w="109"/>
        <w:gridCol w:w="211"/>
        <w:gridCol w:w="886"/>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expenses and other:</w:t>
            </w:r>
            <w:r>
              <w:rPr>
                <w:color w:val="000000"/>
              </w:rPr>
              <w:t xml:space="preserve"> </w:t>
            </w:r>
            <w:r>
              <w:rPr>
                <w:rFonts w:ascii="Times New Roman;sans-serif" w:hAnsi="Times New Roman;sans-serif"/>
                <w:b w:val="false"/>
                <w:color w:val="000000"/>
                <w:sz w:val="14"/>
              </w:rPr>
              <w:t>(1) (2)</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color w:val="000000"/>
              </w:rPr>
              <w:t xml:space="preserve"> </w:t>
            </w:r>
            <w:r>
              <w:rPr>
                <w:rFonts w:ascii="Times New Roman;sans-serif" w:hAnsi="Times New Roman;sans-serif"/>
                <w:b w:val="false"/>
                <w:color w:val="000000"/>
                <w:sz w:val="14"/>
              </w:rPr>
              <w:t>(3)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expenses and other</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before (benefit from)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(benefit from) provision for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common stock:</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76,555,518 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91,500,059 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77,290,465 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76,555,518 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14"/>
              </w:rPr>
              <w:t xml:space="preserve">(1) </w:t>
            </w:r>
            <w:r>
              <w:rPr>
                <w:rFonts w:ascii="Times New Roman;sans-serif" w:hAnsi="Times New Roman;sans-serif"/>
                <w:b w:val="false"/>
                <w:color w:val="000000"/>
                <w:sz w:val="19"/>
              </w:rPr>
              <w:t>Amounts include stock-based compensation expense, as follows: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Cost of revenue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Sales and marketing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General and administrative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Product development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19"/>
              </w:rPr>
              <w:t>Amounts include depreciation expense, as follows: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Cost of revenue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Sales and marketing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General and administrative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Product development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(3) </w:t>
            </w:r>
            <w:r>
              <w:rPr>
                <w:rFonts w:ascii="Times New Roman;sans-serif" w:hAnsi="Times New Roman;sans-serif"/>
                <w:b w:val="false"/>
                <w:color w:val="000000"/>
                <w:sz w:val="19"/>
              </w:rPr>
              <w:t>Amounts include amortization of purchased intangibles and finance leases, as follows: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Cost of revenue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tbl>
      <w:tblPr>
        <w:tblW w:w="8774" w:type="dxa"/>
        <w:jc w:val="center"/>
        <w:tblInd w:w="0" w:type="dxa"/>
        <w:tblLayout w:type="fixed"/>
        <w:tblCellMar>
          <w:top w:w="28" w:type="dxa"/>
          <w:left w:w="28" w:type="dxa"/>
          <w:bottom w:w="28" w:type="dxa"/>
          <w:right w:w="28" w:type="dxa"/>
        </w:tblCellMar>
      </w:tblPr>
      <w:tblGrid>
        <w:gridCol w:w="1216"/>
        <w:gridCol w:w="1067"/>
        <w:gridCol w:w="1076"/>
        <w:gridCol w:w="211"/>
        <w:gridCol w:w="721"/>
        <w:gridCol w:w="109"/>
        <w:gridCol w:w="109"/>
        <w:gridCol w:w="109"/>
        <w:gridCol w:w="109"/>
        <w:gridCol w:w="211"/>
        <w:gridCol w:w="796"/>
        <w:gridCol w:w="109"/>
        <w:gridCol w:w="109"/>
        <w:gridCol w:w="109"/>
        <w:gridCol w:w="109"/>
        <w:gridCol w:w="211"/>
        <w:gridCol w:w="691"/>
        <w:gridCol w:w="109"/>
        <w:gridCol w:w="109"/>
        <w:gridCol w:w="109"/>
        <w:gridCol w:w="109"/>
        <w:gridCol w:w="211"/>
        <w:gridCol w:w="901"/>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tbl>
      <w:tblPr>
        <w:tblW w:w="12465" w:type="dxa"/>
        <w:jc w:val="center"/>
        <w:tblInd w:w="0" w:type="dxa"/>
        <w:tblLayout w:type="fixed"/>
        <w:tblCellMar>
          <w:top w:w="28" w:type="dxa"/>
          <w:left w:w="28" w:type="dxa"/>
          <w:bottom w:w="28" w:type="dxa"/>
          <w:right w:w="28" w:type="dxa"/>
        </w:tblCellMar>
      </w:tblPr>
      <w:tblGrid>
        <w:gridCol w:w="728"/>
        <w:gridCol w:w="311"/>
        <w:gridCol w:w="312"/>
        <w:gridCol w:w="540"/>
        <w:gridCol w:w="541"/>
        <w:gridCol w:w="211"/>
        <w:gridCol w:w="109"/>
        <w:gridCol w:w="109"/>
        <w:gridCol w:w="109"/>
        <w:gridCol w:w="232"/>
        <w:gridCol w:w="398"/>
        <w:gridCol w:w="121"/>
        <w:gridCol w:w="109"/>
        <w:gridCol w:w="109"/>
        <w:gridCol w:w="109"/>
        <w:gridCol w:w="495"/>
        <w:gridCol w:w="496"/>
        <w:gridCol w:w="211"/>
        <w:gridCol w:w="109"/>
        <w:gridCol w:w="109"/>
        <w:gridCol w:w="109"/>
        <w:gridCol w:w="268"/>
        <w:gridCol w:w="344"/>
        <w:gridCol w:w="139"/>
        <w:gridCol w:w="109"/>
        <w:gridCol w:w="109"/>
        <w:gridCol w:w="109"/>
        <w:gridCol w:w="211"/>
        <w:gridCol w:w="826"/>
        <w:gridCol w:w="109"/>
        <w:gridCol w:w="109"/>
        <w:gridCol w:w="109"/>
        <w:gridCol w:w="109"/>
        <w:gridCol w:w="211"/>
        <w:gridCol w:w="841"/>
        <w:gridCol w:w="109"/>
        <w:gridCol w:w="109"/>
        <w:gridCol w:w="109"/>
        <w:gridCol w:w="109"/>
        <w:gridCol w:w="260"/>
        <w:gridCol w:w="910"/>
        <w:gridCol w:w="136"/>
        <w:gridCol w:w="109"/>
        <w:gridCol w:w="109"/>
        <w:gridCol w:w="109"/>
        <w:gridCol w:w="236"/>
        <w:gridCol w:w="807"/>
        <w:gridCol w:w="173"/>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9822" w:type="dxa"/>
            <w:gridSpan w:val="4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as of December 31, 2022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78,350,984 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(2,766,073)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68,088 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upon 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Common stock issued upon vesting of restricted stock units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413,252 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under Employee Stock Purchase Plan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87,794 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in connection with acquisitions (Note 9)</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Activity related to divestiture (Note 20)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as of March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78,870,717 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(2,766,073)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848,621 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(773,882)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(9,811)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65,004 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upon 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295,564 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under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97,832 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in connection with acquisitions (Note 9)</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1,036,823 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as of June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80,312,090 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(2,766,073)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(763,060)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90,145 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80"/>
        <w:jc w:val="center"/>
        <w:rPr/>
      </w:pPr>
      <w:r>
        <w:rPr/>
      </w:r>
    </w:p>
    <w:p>
      <w:pPr>
        <w:pStyle w:val="TextBody"/>
        <w:bidi w:val="0"/>
        <w:spacing w:lineRule="auto" w:line="288" w:before="120" w:after="283"/>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480"/>
        <w:jc w:val="center"/>
        <w:rPr/>
      </w:pPr>
      <w:r>
        <w:rPr/>
      </w:r>
    </w:p>
    <w:tbl>
      <w:tblPr>
        <w:tblW w:w="14100" w:type="dxa"/>
        <w:jc w:val="center"/>
        <w:tblInd w:w="0" w:type="dxa"/>
        <w:tblLayout w:type="fixed"/>
        <w:tblCellMar>
          <w:top w:w="28" w:type="dxa"/>
          <w:left w:w="28" w:type="dxa"/>
          <w:bottom w:w="28" w:type="dxa"/>
          <w:right w:w="28" w:type="dxa"/>
        </w:tblCellMar>
      </w:tblPr>
      <w:tblGrid>
        <w:gridCol w:w="728"/>
        <w:gridCol w:w="311"/>
        <w:gridCol w:w="312"/>
        <w:gridCol w:w="540"/>
        <w:gridCol w:w="541"/>
        <w:gridCol w:w="211"/>
        <w:gridCol w:w="109"/>
        <w:gridCol w:w="109"/>
        <w:gridCol w:w="109"/>
        <w:gridCol w:w="232"/>
        <w:gridCol w:w="398"/>
        <w:gridCol w:w="121"/>
        <w:gridCol w:w="109"/>
        <w:gridCol w:w="109"/>
        <w:gridCol w:w="109"/>
        <w:gridCol w:w="495"/>
        <w:gridCol w:w="496"/>
        <w:gridCol w:w="211"/>
        <w:gridCol w:w="109"/>
        <w:gridCol w:w="109"/>
        <w:gridCol w:w="109"/>
        <w:gridCol w:w="268"/>
        <w:gridCol w:w="344"/>
        <w:gridCol w:w="139"/>
        <w:gridCol w:w="109"/>
        <w:gridCol w:w="109"/>
        <w:gridCol w:w="109"/>
        <w:gridCol w:w="211"/>
        <w:gridCol w:w="826"/>
        <w:gridCol w:w="109"/>
        <w:gridCol w:w="109"/>
        <w:gridCol w:w="109"/>
        <w:gridCol w:w="109"/>
        <w:gridCol w:w="211"/>
        <w:gridCol w:w="841"/>
        <w:gridCol w:w="109"/>
        <w:gridCol w:w="109"/>
        <w:gridCol w:w="109"/>
        <w:gridCol w:w="109"/>
        <w:gridCol w:w="260"/>
        <w:gridCol w:w="910"/>
        <w:gridCol w:w="136"/>
        <w:gridCol w:w="109"/>
        <w:gridCol w:w="109"/>
        <w:gridCol w:w="109"/>
        <w:gridCol w:w="215"/>
        <w:gridCol w:w="844"/>
        <w:gridCol w:w="112"/>
        <w:gridCol w:w="109"/>
        <w:gridCol w:w="109"/>
        <w:gridCol w:w="109"/>
        <w:gridCol w:w="109"/>
        <w:gridCol w:w="109"/>
        <w:gridCol w:w="109"/>
        <w:gridCol w:w="109"/>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74,980,546 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(2,746,243)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adjustment due to adoption of ASU 2020-06</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vesting of restricted stock units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awards settled in shares of the Company’s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acquisitions (Note 9)</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77,062,637 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(2,746,243)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vesting of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77,559,927 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(2,746,243)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480"/>
        <w:jc w:val="center"/>
        <w:rPr/>
      </w:pPr>
      <w:r>
        <w:rPr/>
      </w:r>
    </w:p>
    <w:p>
      <w:pPr>
        <w:pStyle w:val="TextBody"/>
        <w:bidi w:val="0"/>
        <w:spacing w:lineRule="auto" w:line="288" w:before="0" w:after="0"/>
        <w:jc w:val="center"/>
        <w:rPr/>
      </w:pPr>
      <w:r>
        <w:rPr>
          <w:rFonts w:ascii="Times New Roman;sans-serif" w:hAnsi="Times New Roman;sans-serif"/>
          <w:b/>
          <w:color w:val="000000"/>
          <w:sz w:val="20"/>
        </w:rPr>
        <w:t>LIVEP</w:t>
      </w:r>
      <w:r>
        <w:rPr>
          <w:rFonts w:ascii="Times New Roman;sans-serif" w:hAnsi="Times New Roman;sans-serif"/>
          <w:b/>
          <w:color w:val="000000"/>
          <w:sz w:val="20"/>
          <w:shd w:fill="FFFFFF" w:val="clear"/>
        </w:rPr>
        <w:t>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9279" w:type="dxa"/>
        <w:jc w:val="left"/>
        <w:tblInd w:w="0" w:type="dxa"/>
        <w:tblLayout w:type="fixed"/>
        <w:tblCellMar>
          <w:top w:w="28" w:type="dxa"/>
          <w:left w:w="28" w:type="dxa"/>
          <w:bottom w:w="28" w:type="dxa"/>
          <w:right w:w="28" w:type="dxa"/>
        </w:tblCellMar>
      </w:tblPr>
      <w:tblGrid>
        <w:gridCol w:w="2471"/>
        <w:gridCol w:w="2172"/>
        <w:gridCol w:w="2182"/>
        <w:gridCol w:w="196"/>
        <w:gridCol w:w="736"/>
        <w:gridCol w:w="109"/>
        <w:gridCol w:w="109"/>
        <w:gridCol w:w="109"/>
        <w:gridCol w:w="109"/>
        <w:gridCol w:w="196"/>
        <w:gridCol w:w="736"/>
        <w:gridCol w:w="154"/>
      </w:tblGrid>
      <w:tr>
        <w:trPr/>
        <w:tc>
          <w:tcPr>
            <w:tcW w:w="2471"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r>
      <w:tr>
        <w:trPr/>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24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 assets and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repurchase of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doubtful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divestiture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loss in joint venture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acquisition costs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including capitalized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divestiture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joint venture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for financing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connection with the exercise of options and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repurchase of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cash classified within current assets held for sale -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cash equivalents, and restricted cash - end of period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480"/>
        <w:jc w:val="center"/>
        <w:rPr/>
      </w:pPr>
      <w:r>
        <w:rPr/>
      </w:r>
    </w:p>
    <w:tbl>
      <w:tblPr>
        <w:tblW w:w="10205" w:type="dxa"/>
        <w:jc w:val="left"/>
        <w:tblInd w:w="0" w:type="dxa"/>
        <w:tblLayout w:type="fixed"/>
        <w:tblCellMar>
          <w:top w:w="28" w:type="dxa"/>
          <w:left w:w="28" w:type="dxa"/>
          <w:bottom w:w="28" w:type="dxa"/>
          <w:right w:w="28" w:type="dxa"/>
        </w:tblCellMar>
      </w:tblPr>
      <w:tblGrid>
        <w:gridCol w:w="2807"/>
        <w:gridCol w:w="2465"/>
        <w:gridCol w:w="2478"/>
        <w:gridCol w:w="196"/>
        <w:gridCol w:w="736"/>
        <w:gridCol w:w="109"/>
        <w:gridCol w:w="109"/>
        <w:gridCol w:w="109"/>
        <w:gridCol w:w="109"/>
        <w:gridCol w:w="196"/>
        <w:gridCol w:w="736"/>
        <w:gridCol w:w="155"/>
      </w:tblGrid>
      <w:tr>
        <w:trPr/>
        <w:tc>
          <w:tcPr>
            <w:tcW w:w="280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other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recorded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obtained in exchange for operating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convertible senior notes, net upon adoption of ASU 2020-06 (Note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of common stock to settle cash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financing activities related to the WildHealth acquisition in February 2022 (Note 9):</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12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 (“LivePerson”, the “Company”, “we”, “our” or “us”) is a global leader in AI-powered customer conversations. Consumers have made mobile devices the center of their digital lives, and they have made digital conversational experiences the center of communication with friends, family and peers. Since 1998, LivePerson has enabled billions of meaningful connections between consumers and our customers on our platform. These speech or text conversations decrease costs and increase revenue for our brands by harnessing the power of AI for convenient, personalized and content-rich journeys across the entire consumer lifecycle, and across consumer platforms. AI has accelerated our capability to leverage those prior conversations to enhance the consumer experience and to improve results for our customers by empowering them to leverage the latest Generative AI and Large Language Models (“LLMs”) in a safe and secure environment.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the Company’s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the necessary guardrails to deploy Generative AI and LLMs in ways that help consumers and drive results for brands without sacrificing trust.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robust, cloud-based suite of rich messaging, real-time chat, LLM,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Conversational AI platform enables what the Company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unlock the power of Generative AI and LLMs in safe and responsible ways, and deliver measurable return on investment for our customers.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 LivePerson is headquartered in New York City. LivePerson has adopted an “employee-centric” workforce model that does not rely on traditional offices.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and the financial data and other information disclosed in the notes to the condensed consolidated financial statements as of June 30, 2023 and for the three and six months ended June 30, 2023 are unaudited. In the opinion of management, the unaudited condensed consolidated financial statements have been prepared on the same basis as the annual financial statements and reflect all adjustments, which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only normal recurring adjustments necessary for a fair presentation of the Company’s condensed consolidated financial position, results of operations, comprehensive income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2022 has been derived from audited consolidated financial statements at that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2022 included in the Company’s Annual Report on Form 10-K filed with the SEC on March 16, 2023.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reflect the operations of LivePerson and its wholly-owned subsidiaries. All intercompany balances and transactions have been eliminated in consolidation.</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 of the voting interests of the investee, and conversely, the ability to exercise significant influence is presumed not to exist when an investor possesses 20% or less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pStyle w:val="TextBody"/>
        <w:bidi w:val="0"/>
        <w:spacing w:before="0" w:after="0"/>
        <w:ind w:left="0" w:right="0" w:firstLine="480"/>
        <w:jc w:val="both"/>
        <w:rPr/>
      </w:pPr>
      <w:r>
        <w:rPr/>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financial statements of LivePerson, its wholly 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 See Note 18 – </w:t>
      </w:r>
      <w:r>
        <w:rPr>
          <w:rFonts w:ascii="Times New Roman;sans-serif" w:hAnsi="Times New Roman;sans-serif"/>
          <w:b w:val="false"/>
          <w:i/>
          <w:color w:val="000000"/>
          <w:sz w:val="20"/>
        </w:rPr>
        <w:t>Variable Interest Entities</w:t>
      </w:r>
      <w:r>
        <w:rPr>
          <w:color w:val="000000"/>
        </w:rPr>
        <w:t xml:space="preserve"> </w:t>
      </w:r>
      <w:r>
        <w:rPr>
          <w:rFonts w:ascii="Times New Roman;sans-serif" w:hAnsi="Times New Roman;sans-serif"/>
          <w:b w:val="false"/>
          <w:color w:val="000000"/>
          <w:sz w:val="20"/>
        </w:rPr>
        <w:t xml:space="preserve">for the Company’s assessment of VIEs. </w:t>
      </w:r>
    </w:p>
    <w:p>
      <w:pPr>
        <w:pStyle w:val="TextBody"/>
        <w:bidi w:val="0"/>
        <w:spacing w:before="0" w:after="0"/>
        <w:ind w:left="0" w:right="0" w:firstLine="480"/>
        <w:jc w:val="left"/>
        <w:rPr/>
      </w:pPr>
      <w:r>
        <w:rPr/>
      </w:r>
    </w:p>
    <w:p>
      <w:pPr>
        <w:pStyle w:val="TextBody"/>
        <w:bidi w:val="0"/>
        <w:spacing w:before="0" w:after="0"/>
        <w:ind w:left="0" w:right="0" w:firstLine="48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Significant items subject to such estimates and assumptions include: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revenue recognition;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stock-based compensation expense;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accounts receivable;</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of goodwill;</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valuation of intangible assets;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income taxes; and</w:t>
      </w:r>
    </w:p>
    <w:p>
      <w:pPr>
        <w:pStyle w:val="TextBody"/>
        <w:bidi w:val="0"/>
        <w:spacing w:lineRule="auto" w:line="288" w:before="0" w:after="16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legal contingencies.</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pStyle w:val="TextBody"/>
        <w:bidi w:val="0"/>
        <w:spacing w:lineRule="auto" w:line="288" w:before="0" w:after="1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goodwill for impairment on an annual basis in the third quarter, and more frequently whenever events or substantive changes in circumstances indicate that it is more likely than not that the carrying value of reporting unit exceeds its fair value 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the quantitative test, impairment loss is recorded to the extent that the carrying value of the reporting unit exceeds its assessed fair value. The Company determines the fair value using the income and market approaches.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income approach, the fair value of a reporting unit is the present value of its future cash flows as viewed from the eyes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w:t>
      </w:r>
    </w:p>
    <w:p>
      <w:pPr>
        <w:pStyle w:val="TextBody"/>
        <w:bidi w:val="0"/>
        <w:spacing w:before="0" w:after="0"/>
        <w:ind w:left="0" w:right="0" w:firstLine="48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market approach, the Company uses market multiples derived from comparable companies based on measures salient to investors in those companies.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Translation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condensed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 or losses are included in other income (expense), net in the accompanying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classifies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 See Note 20 – </w:t>
      </w:r>
      <w:r>
        <w:rPr>
          <w:rFonts w:ascii="Times New Roman;sans-serif" w:hAnsi="Times New Roman;sans-serif"/>
          <w:b w:val="false"/>
          <w:i/>
          <w:color w:val="000000"/>
          <w:sz w:val="20"/>
        </w:rPr>
        <w:t xml:space="preserve">Divestiture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2023, the Financial Accounting Standards Board (“FASB”) issued Accounting Standards Update (“ASU”) 2023-01, which amends certain provisions of ASC 842 that apply to arrangements between related parties under common control. Specifically, the ASU: 1) Offers private companies, as well as not-for-profit entities that are not conduit bond obligors, a practical expedient that gives them the option of using the written terms and conditions of a common-control arrangement when determining whether a lease exists and the subsequent accounting for the lease, including the lease’s classification and 2) Amends the accounting for leasehold improvements in common-control arrangements for all entities. ASU 2023-01 is effective for fiscal years beginning after December 15, 2023, including interim periods within those fiscal years. Early adoption is permitted in any annual or interim period as of the beginning of the related fiscal year. The Company does not expect the adoption of this standard to have a significant impact on its condensed consolidated financial statements and related disclosures.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FASB issued ASU 2022-03, Fair Value Measurement (Topic 820), Fair Value Measurement of Equity Securities Subject to Contractual Sale Restrictions to clarify that a contractual restriction on the sale of an equity security is not considered part of a unit of account of the equity security, and, 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 </w:t>
      </w:r>
    </w:p>
    <w:p>
      <w:pPr>
        <w:pStyle w:val="TextBody"/>
        <w:bidi w:val="0"/>
        <w:spacing w:before="0" w:after="0"/>
        <w:ind w:left="0" w:right="0" w:firstLine="480"/>
        <w:jc w:val="both"/>
        <w:rPr/>
      </w:pPr>
      <w:r>
        <w:rPr/>
      </w:r>
    </w:p>
    <w:p>
      <w:pPr>
        <w:pStyle w:val="TextBody"/>
        <w:bidi w:val="0"/>
        <w:spacing w:lineRule="auto" w:line="288" w:before="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fair value of equity securities subject to the contractual sale restrictions reflected on the balance sheet. </w:t>
      </w:r>
    </w:p>
    <w:p>
      <w:pPr>
        <w:pStyle w:val="TextBody"/>
        <w:bidi w:val="0"/>
        <w:spacing w:lineRule="auto" w:line="288" w:before="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nature and remaining duration of the restriction(s). </w:t>
      </w:r>
    </w:p>
    <w:p>
      <w:pPr>
        <w:pStyle w:val="TextBody"/>
        <w:bidi w:val="0"/>
        <w:spacing w:lineRule="auto" w:line="288" w:before="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3.The circumstances that could cause a lapse in the restriction(s).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guidance is effective for fiscal years beginning after December 15, 2023, and interim periods within those financial years. The Company does not expect the adoption of this standard to have a material impact on the Company’s condensed consolidated financial statements and related disclosures.</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Revenue Recognition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pPr>
      <w:r>
        <w:rPr>
          <w:rFonts w:ascii="Times New Roman;sans-serif" w:hAnsi="Times New Roman;sans-serif"/>
          <w:b w:val="false"/>
          <w:color w:val="000000"/>
          <w:sz w:val="20"/>
        </w:rPr>
        <w:t>The majority of the Company’s revenue is generated from hosted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w:t>
      </w:r>
      <w:r>
        <w:rPr>
          <w:rFonts w:ascii="Times New Roman;sans-serif" w:hAnsi="Times New Roman;sans-serif"/>
          <w:b w:val="false"/>
          <w:color w:val="000000"/>
          <w:sz w:val="20"/>
          <w:shd w:fill="FFFFFF" w:val="clear"/>
        </w:rPr>
        <w:t>es. No single customer accounted fo</w:t>
      </w:r>
      <w:r>
        <w:rPr>
          <w:rFonts w:ascii="Times New Roman;sans-serif" w:hAnsi="Times New Roman;sans-serif"/>
          <w:b w:val="false"/>
          <w:color w:val="000000"/>
          <w:sz w:val="20"/>
        </w:rPr>
        <w:t>r 10% or more of total revenue for the three and six months ended June 30, 2023 and 2022.</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bidi w:val="0"/>
        <w:spacing w:before="0" w:after="0"/>
        <w:ind w:left="0" w:right="0" w:firstLine="480"/>
        <w:jc w:val="left"/>
        <w:rPr/>
      </w:pPr>
      <w:r>
        <w:rPr/>
      </w:r>
    </w:p>
    <w:p>
      <w:pPr>
        <w:pStyle w:val="TextBody"/>
        <w:bidi w:val="0"/>
        <w:spacing w:lineRule="auto" w:line="288" w:before="0" w:after="0"/>
        <w:ind w:left="0" w:right="0" w:firstLine="480"/>
        <w:jc w:val="both"/>
        <w:rPr/>
      </w:pPr>
      <w:r>
        <w:rPr>
          <w:rFonts w:ascii="Times New Roman;sans-serif" w:hAnsi="Times New Roman;sans-serif"/>
          <w:b w:val="false"/>
          <w:color w:val="000000"/>
          <w:sz w:val="20"/>
        </w:rPr>
        <w:t>As of June 30, 2023, the aggregate amount of the total transaction price allocated in contracts with original duration of one year or greater to the remaining performance obligations w</w:t>
      </w:r>
      <w:r>
        <w:rPr>
          <w:rFonts w:ascii="Times New Roman;sans-serif" w:hAnsi="Times New Roman;sans-serif"/>
          <w:b w:val="false"/>
          <w:color w:val="000000"/>
          <w:sz w:val="20"/>
          <w:shd w:fill="FFFFFF" w:val="clear"/>
        </w:rPr>
        <w:t>as</w:t>
      </w:r>
      <w:r>
        <w:rPr>
          <w:color w:val="000000"/>
        </w:rPr>
        <w:t xml:space="preserve"> </w:t>
      </w:r>
      <w:r>
        <w:rPr>
          <w:rFonts w:ascii="Times New Roman;sans-serif" w:hAnsi="Times New Roman;sans-serif"/>
          <w:b w:val="false"/>
          <w:color w:val="000000"/>
          <w:sz w:val="20"/>
        </w:rPr>
        <w:t xml:space="preserve">$326.3 million. Approximately 89%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Revenues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revenues when cash payments are received or due in advance of its performance. The increase in the deferred revenue balance as of June 30, 2023 is primarily driven by cash payments received or due in advance of its performance obligations, partially offset by $73.0 million of revenues recognized that were included in the deferred revenue balance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deferred revenue by revenue source:</w:t>
      </w:r>
    </w:p>
    <w:p>
      <w:pPr>
        <w:pStyle w:val="TextBody"/>
        <w:bidi w:val="0"/>
        <w:spacing w:before="0" w:after="120"/>
        <w:ind w:left="0" w:right="0" w:firstLine="480"/>
        <w:jc w:val="both"/>
        <w:rPr/>
      </w:pPr>
      <w:r>
        <w:rPr/>
      </w:r>
    </w:p>
    <w:tbl>
      <w:tblPr>
        <w:tblW w:w="5567" w:type="dxa"/>
        <w:jc w:val="center"/>
        <w:tblInd w:w="0" w:type="dxa"/>
        <w:tblLayout w:type="fixed"/>
        <w:tblCellMar>
          <w:top w:w="28" w:type="dxa"/>
          <w:left w:w="28" w:type="dxa"/>
          <w:bottom w:w="28" w:type="dxa"/>
          <w:right w:w="28" w:type="dxa"/>
        </w:tblCellMar>
      </w:tblPr>
      <w:tblGrid>
        <w:gridCol w:w="1052"/>
        <w:gridCol w:w="927"/>
        <w:gridCol w:w="930"/>
        <w:gridCol w:w="211"/>
        <w:gridCol w:w="826"/>
        <w:gridCol w:w="109"/>
        <w:gridCol w:w="109"/>
        <w:gridCol w:w="109"/>
        <w:gridCol w:w="109"/>
        <w:gridCol w:w="230"/>
        <w:gridCol w:w="787"/>
        <w:gridCol w:w="168"/>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revenue - short 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Professional 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revenue - long 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before="0" w:after="0"/>
        <w:ind w:left="0" w:right="0" w:firstLine="480"/>
        <w:jc w:val="left"/>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revenue source:</w:t>
      </w:r>
    </w:p>
    <w:p>
      <w:pPr>
        <w:pStyle w:val="TextBody"/>
        <w:bidi w:val="0"/>
        <w:spacing w:before="0" w:after="120"/>
        <w:ind w:left="0" w:right="0" w:firstLine="480"/>
        <w:jc w:val="both"/>
        <w:rPr/>
      </w:pPr>
      <w:r>
        <w:rPr/>
      </w:r>
    </w:p>
    <w:tbl>
      <w:tblPr>
        <w:tblW w:w="7350" w:type="dxa"/>
        <w:jc w:val="center"/>
        <w:tblInd w:w="0" w:type="dxa"/>
        <w:tblLayout w:type="fixed"/>
        <w:tblCellMar>
          <w:top w:w="28" w:type="dxa"/>
          <w:left w:w="28" w:type="dxa"/>
          <w:bottom w:w="28" w:type="dxa"/>
          <w:right w:w="28" w:type="dxa"/>
        </w:tblCellMar>
      </w:tblPr>
      <w:tblGrid>
        <w:gridCol w:w="666"/>
        <w:gridCol w:w="589"/>
        <w:gridCol w:w="590"/>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Hosted services</w:t>
            </w:r>
            <w:r>
              <w:rPr>
                <w:color w:val="000000"/>
              </w:rPr>
              <w:t xml:space="preserve"> </w:t>
            </w:r>
            <w:r>
              <w:rPr>
                <w:rFonts w:ascii="Times New Roman;sans-serif" w:hAnsi="Times New Roman;sans-serif"/>
                <w:b w:val="false"/>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(1)On March 20, 2023, the Company completed the sale of Kasamba and therefore ceased recognizing revenue related to Kasamba effective on the transaction close date. Further, this sale eliminated the entire Consumer segment, as a result of which revenue is presented within a single consolidated segment. Hosted services includes $7.2 million for the six months ended June 30, 2023, and $9.1 million and $18.3 million of revenue for the three and six months ended June 30, 2022, respectively, relating to Kasamba.</w:t>
      </w:r>
    </w:p>
    <w:p>
      <w:pPr>
        <w:pStyle w:val="TextBody"/>
        <w:bidi w:val="0"/>
        <w:spacing w:before="0" w:after="0"/>
        <w:ind w:left="0" w:right="0" w:firstLine="48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p>
      <w:pPr>
        <w:pStyle w:val="TextBody"/>
        <w:bidi w:val="0"/>
        <w:spacing w:before="0" w:after="0"/>
        <w:ind w:left="0" w:right="0" w:firstLine="480"/>
        <w:jc w:val="left"/>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revenues attributable to domestic and foreign operations for the periods presented:</w:t>
      </w:r>
    </w:p>
    <w:p>
      <w:pPr>
        <w:pStyle w:val="TextBody"/>
        <w:bidi w:val="0"/>
        <w:spacing w:before="0" w:after="120"/>
        <w:ind w:left="0" w:right="0" w:firstLine="480"/>
        <w:jc w:val="both"/>
        <w:rPr/>
      </w:pPr>
      <w:r>
        <w:rPr/>
      </w:r>
    </w:p>
    <w:tbl>
      <w:tblPr>
        <w:tblW w:w="7079" w:type="dxa"/>
        <w:jc w:val="left"/>
        <w:tblInd w:w="0" w:type="dxa"/>
        <w:tblLayout w:type="fixed"/>
        <w:tblCellMar>
          <w:top w:w="28" w:type="dxa"/>
          <w:left w:w="28" w:type="dxa"/>
          <w:bottom w:w="28" w:type="dxa"/>
          <w:right w:w="28" w:type="dxa"/>
        </w:tblCellMar>
      </w:tblPr>
      <w:tblGrid>
        <w:gridCol w:w="571"/>
        <w:gridCol w:w="500"/>
        <w:gridCol w:w="503"/>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Americas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EMEA </w:t>
            </w:r>
            <w:r>
              <w:rPr>
                <w:rFonts w:ascii="Times New Roman;sans-serif" w:hAnsi="Times New Roman;sans-serif"/>
                <w:b w:val="false"/>
                <w:color w:val="000000"/>
                <w:sz w:val="13"/>
              </w:rPr>
              <w:t>(2)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APAC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(1)Canada, Latin America and South America</w:t>
      </w:r>
    </w:p>
    <w:p>
      <w:pPr>
        <w:pStyle w:val="TextBody"/>
        <w:bidi w:val="0"/>
        <w:spacing w:lineRule="auto" w:line="288" w:before="0" w:after="60"/>
        <w:ind w:left="0" w:right="0" w:hanging="360"/>
        <w:jc w:val="both"/>
        <w:rPr/>
      </w:pPr>
      <w:r>
        <w:rPr>
          <w:rFonts w:ascii="Times New Roman;sans-serif" w:hAnsi="Times New Roman;sans-serif"/>
          <w:b w:val="false"/>
          <w:color w:val="000000"/>
          <w:sz w:val="16"/>
          <w:shd w:fill="FFFFFF" w:val="clear"/>
        </w:rPr>
        <w:t>(2)</w:t>
      </w:r>
      <w:r>
        <w:rPr>
          <w:rFonts w:ascii="Times New Roman;sans-serif" w:hAnsi="Times New Roman;sans-serif"/>
          <w:b w:val="false"/>
          <w:color w:val="000000"/>
          <w:sz w:val="16"/>
        </w:rPr>
        <w:t>Europe, the Middle East and Africa (“EMEA”)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60"/>
        <w:ind w:left="0" w:right="0" w:hanging="360"/>
        <w:jc w:val="both"/>
        <w:rPr/>
      </w:pPr>
      <w:r>
        <w:rPr>
          <w:rFonts w:ascii="Times New Roman;sans-serif" w:hAnsi="Times New Roman;sans-serif"/>
          <w:b w:val="false"/>
          <w:color w:val="000000"/>
          <w:sz w:val="16"/>
        </w:rPr>
        <w:t>(3)Includes revenues from the United Kingdom of $15.3 million and $13.8 million for the three months ended June 30, 2023 and 2022, respectively, and from the Netherlands of $0.3 million and $2.2 million for the three months ended June 30, 2023 and 2022, respectively. Includes revenues from the United Kingdom of $30.6 million and $28.5 million for the six months ended June 30, 2023 and 2022, respectively, and from the Netherlands of $0.6 million and $3.5 million for the six months ended</w:t>
      </w:r>
      <w:r>
        <w:rPr>
          <w:color w:val="000000"/>
        </w:rPr>
        <w:t xml:space="preserve"> </w:t>
      </w:r>
      <w:r>
        <w:rPr>
          <w:rFonts w:ascii="Times New Roman;sans-serif" w:hAnsi="Times New Roman;sans-serif"/>
          <w:b w:val="false"/>
          <w:color w:val="000000"/>
          <w:sz w:val="16"/>
        </w:rPr>
        <w:t xml:space="preserve">June 30, 2023 and 2022, respectively. </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(4)</w:t>
      </w:r>
      <w:r>
        <w:rPr>
          <w:rFonts w:ascii="Times New Roman;sans-serif" w:hAnsi="Times New Roman;sans-serif"/>
          <w:b w:val="false"/>
          <w:color w:val="000000"/>
          <w:sz w:val="16"/>
        </w:rPr>
        <w:t>Asia-Pacific (“APAC”)</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Information about Contract Balances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Amounts collected in advance of services being provided are accounted for as deferred revenue. Nearly all of the Company’s deferred revenue balance is related to Hosted services revenue</w:t>
      </w:r>
      <w:r>
        <w:rPr>
          <w:rFonts w:ascii="Times New Roman;sans-serif" w:hAnsi="Times New Roman;sans-serif"/>
          <w:b w:val="false"/>
          <w:i/>
          <w:color w:val="000000"/>
          <w:sz w:val="20"/>
        </w:rPr>
        <w:t>.</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sheets. Contract acquisition costs represent prepaid sales commissions. The opening and closing balances of the Company’s accounts receivable, unbilled receivables, and deferred revenues are as follows:</w:t>
      </w:r>
    </w:p>
    <w:tbl>
      <w:tblPr>
        <w:tblW w:w="10205" w:type="dxa"/>
        <w:jc w:val="center"/>
        <w:tblInd w:w="0" w:type="dxa"/>
        <w:tblLayout w:type="fixed"/>
        <w:tblCellMar>
          <w:top w:w="28" w:type="dxa"/>
          <w:left w:w="28" w:type="dxa"/>
          <w:bottom w:w="28" w:type="dxa"/>
          <w:right w:w="28" w:type="dxa"/>
        </w:tblCellMar>
      </w:tblPr>
      <w:tblGrid>
        <w:gridCol w:w="674"/>
        <w:gridCol w:w="592"/>
        <w:gridCol w:w="596"/>
        <w:gridCol w:w="250"/>
        <w:gridCol w:w="856"/>
        <w:gridCol w:w="129"/>
        <w:gridCol w:w="109"/>
        <w:gridCol w:w="109"/>
        <w:gridCol w:w="109"/>
        <w:gridCol w:w="246"/>
        <w:gridCol w:w="842"/>
        <w:gridCol w:w="127"/>
        <w:gridCol w:w="109"/>
        <w:gridCol w:w="109"/>
        <w:gridCol w:w="109"/>
        <w:gridCol w:w="259"/>
        <w:gridCol w:w="886"/>
        <w:gridCol w:w="134"/>
        <w:gridCol w:w="109"/>
        <w:gridCol w:w="109"/>
        <w:gridCol w:w="109"/>
        <w:gridCol w:w="277"/>
        <w:gridCol w:w="1087"/>
        <w:gridCol w:w="143"/>
        <w:gridCol w:w="109"/>
        <w:gridCol w:w="109"/>
        <w:gridCol w:w="109"/>
        <w:gridCol w:w="323"/>
        <w:gridCol w:w="714"/>
        <w:gridCol w:w="167"/>
        <w:gridCol w:w="109"/>
        <w:gridCol w:w="109"/>
        <w:gridCol w:w="109"/>
        <w:gridCol w:w="109"/>
        <w:gridCol w:w="159"/>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Unbilled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Contract Acquisition </w:t>
              <w:br/>
              <w:t xml:space="preserve">Costs </w:t>
              <w:b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Deferred Revenue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Deferred Revenue </w:t>
              <w:br/>
              <w:t>(Non-current)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 thousands)</w:t>
            </w:r>
          </w:p>
        </w:tc>
        <w:tc>
          <w:tcPr>
            <w:tcW w:w="595" w:type="dxa"/>
            <w:gridSpan w:val="5"/>
            <w:tcBorders/>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Opening balance as of December 31, 2021</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Opening balance as of December 31, 2022</w:t>
            </w:r>
          </w:p>
        </w:tc>
        <w:tc>
          <w:tcPr>
            <w:tcW w:w="2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53,468 </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33,069 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43,804 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84,494 </w:t>
            </w:r>
          </w:p>
        </w:tc>
        <w:tc>
          <w:tcPr>
            <w:tcW w:w="14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(decrease),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 as of June 30, 2023</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76,336 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28,835 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39,465 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100,416 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Accounts receivable are written off against the allowance for uncollectible accounts when the Company determines amounts are no longer collectible.</w:t>
      </w:r>
    </w:p>
    <w:tbl>
      <w:tblPr>
        <w:tblW w:w="5968" w:type="dxa"/>
        <w:jc w:val="center"/>
        <w:tblInd w:w="0" w:type="dxa"/>
        <w:tblLayout w:type="fixed"/>
        <w:tblCellMar>
          <w:top w:w="28" w:type="dxa"/>
          <w:left w:w="28" w:type="dxa"/>
          <w:bottom w:w="28" w:type="dxa"/>
          <w:right w:w="28" w:type="dxa"/>
        </w:tblCellMar>
      </w:tblPr>
      <w:tblGrid>
        <w:gridCol w:w="1233"/>
        <w:gridCol w:w="1082"/>
        <w:gridCol w:w="1089"/>
        <w:gridCol w:w="551"/>
        <w:gridCol w:w="1611"/>
        <w:gridCol w:w="402"/>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Allowance for Doubtful Accounts</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year</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costs and expenses</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Deductions/write-offs</w:t>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3. Net Income (Loss) Per Share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pPr>
      <w:r>
        <w:rPr>
          <w:rFonts w:ascii="Times New Roman;sans-serif" w:hAnsi="Times New Roman;sans-serif"/>
          <w:b w:val="false"/>
          <w:color w:val="000000"/>
          <w:sz w:val="20"/>
        </w:rPr>
        <w:t>Basic earnings per share (“EPS”) excludes dilution for common stock equivalents and is computed by dividing net income or loss attributable to common stockholders by the weighted average number of shares of common stock outstanding for the period. Diluted EPS is calculated based on the weighted average number of shares of common stock plus the effect of dilutive potential common shares outstanding during the period. Potentially dilutive securities consist of common stock options, restricted stock units, contingently issuable shares and convertible securities. The dilutive effect of stock options, restricted stock units and contingently issuable shares is reflected in diluted EPS by application of the treasury stock method. The dilutive effect of convertible securities is reflected in the diluted EPS by application of the “if-converted” meth</w:t>
      </w:r>
      <w:r>
        <w:rPr>
          <w:rFonts w:ascii="Times New Roman;sans-serif" w:hAnsi="Times New Roman;sans-serif"/>
          <w:b w:val="false"/>
          <w:color w:val="000000"/>
          <w:sz w:val="20"/>
          <w:shd w:fill="FFFFFF" w:val="clear"/>
        </w:rPr>
        <w:t xml:space="preserve">od. The “if-converted” method is only assumed in periods where such application would be dilutive. In applying the “if-converted” method for diluted net income (loss) per share, the Company would assume conversion of the 2024 Notes </w:t>
      </w:r>
      <w:r>
        <w:rPr>
          <w:rFonts w:ascii="Times New Roman;sans-serif" w:hAnsi="Times New Roman;sans-serif"/>
          <w:b w:val="false"/>
          <w:color w:val="000000"/>
          <w:sz w:val="20"/>
        </w:rPr>
        <w:t>at a ratio of 25.9182 shares of its common stock per $1,000 principal amount of the 2024 Notes. The Company would assume conversion of the 2026 Notes at a ratio of 13.2933 shares of its common stock per $1,000 principal amount of the 2026 Notes. Assumed converted shares of the Company’s common stock are weighted for the period the Notes were outstanding.</w:t>
      </w:r>
    </w:p>
    <w:p>
      <w:pPr>
        <w:pStyle w:val="TextBody"/>
        <w:bidi w:val="0"/>
        <w:spacing w:lineRule="auto" w:line="268" w:before="0" w:after="160"/>
        <w:jc w:val="left"/>
        <w:rPr/>
      </w:pPr>
      <w:r>
        <w:rPr>
          <w:rFonts w:ascii="Times New Roman;sans-serif" w:hAnsi="Times New Roman;sans-serif"/>
          <w:b w:val="false"/>
          <w:color w:val="000000"/>
          <w:sz w:val="20"/>
        </w:rPr>
        <w:t xml:space="preserve">See Note 8 – </w:t>
      </w:r>
      <w:r>
        <w:rPr>
          <w:rFonts w:ascii="Times New Roman;sans-serif" w:hAnsi="Times New Roman;sans-serif"/>
          <w:b w:val="false"/>
          <w:i/>
          <w:color w:val="000000"/>
          <w:sz w:val="20"/>
        </w:rPr>
        <w:t>Convertible Senior Notes, Net and Capped Call Transactions</w:t>
      </w:r>
      <w:r>
        <w:rPr>
          <w:color w:val="000000"/>
        </w:rPr>
        <w:t xml:space="preserve"> </w:t>
      </w:r>
      <w:r>
        <w:rPr>
          <w:rFonts w:ascii="Times New Roman;sans-serif" w:hAnsi="Times New Roman;sans-serif"/>
          <w:b w:val="false"/>
          <w:color w:val="000000"/>
          <w:sz w:val="20"/>
        </w:rPr>
        <w:t xml:space="preserve">for a full description of the Notes. </w:t>
      </w:r>
    </w:p>
    <w:p>
      <w:pPr>
        <w:pStyle w:val="TextBody"/>
        <w:bidi w:val="0"/>
        <w:spacing w:lineRule="auto" w:line="288" w:before="0" w:after="120"/>
        <w:ind w:left="0" w:right="0" w:firstLine="480"/>
        <w:jc w:val="both"/>
        <w:rPr/>
      </w:pPr>
      <w:r>
        <w:rPr>
          <w:rFonts w:ascii="Times New Roman;sans-serif" w:hAnsi="Times New Roman;sans-serif"/>
          <w:b w:val="false"/>
          <w:color w:val="000000"/>
          <w:sz w:val="20"/>
        </w:rPr>
        <w:t>Reconc</w:t>
      </w:r>
      <w:r>
        <w:rPr>
          <w:rFonts w:ascii="Times New Roman;sans-serif" w:hAnsi="Times New Roman;sans-serif"/>
          <w:b w:val="false"/>
          <w:color w:val="000000"/>
          <w:sz w:val="20"/>
          <w:shd w:fill="FFFFFF" w:val="clear"/>
        </w:rPr>
        <w:t>iliation of shares used in calculating basic and diluted net income (loss) per share for the three and six months ended June 30, 2023 and 2022, were as follows:</w:t>
      </w:r>
    </w:p>
    <w:tbl>
      <w:tblPr>
        <w:tblW w:w="10205" w:type="dxa"/>
        <w:jc w:val="left"/>
        <w:tblInd w:w="0" w:type="dxa"/>
        <w:tblLayout w:type="fixed"/>
        <w:tblCellMar>
          <w:top w:w="28" w:type="dxa"/>
          <w:left w:w="28" w:type="dxa"/>
          <w:bottom w:w="28" w:type="dxa"/>
          <w:right w:w="28" w:type="dxa"/>
        </w:tblCellMar>
      </w:tblPr>
      <w:tblGrid>
        <w:gridCol w:w="1704"/>
        <w:gridCol w:w="1344"/>
        <w:gridCol w:w="1351"/>
        <w:gridCol w:w="244"/>
        <w:gridCol w:w="837"/>
        <w:gridCol w:w="109"/>
        <w:gridCol w:w="109"/>
        <w:gridCol w:w="109"/>
        <w:gridCol w:w="109"/>
        <w:gridCol w:w="240"/>
        <w:gridCol w:w="841"/>
        <w:gridCol w:w="109"/>
        <w:gridCol w:w="109"/>
        <w:gridCol w:w="109"/>
        <w:gridCol w:w="109"/>
        <w:gridCol w:w="270"/>
        <w:gridCol w:w="811"/>
        <w:gridCol w:w="109"/>
        <w:gridCol w:w="109"/>
        <w:gridCol w:w="109"/>
        <w:gridCol w:w="109"/>
        <w:gridCol w:w="211"/>
        <w:gridCol w:w="888"/>
        <w:gridCol w:w="156"/>
      </w:tblGrid>
      <w:tr>
        <w:trPr/>
        <w:tc>
          <w:tcPr>
            <w:tcW w:w="170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stockholders for basic net income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(140,775)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assumed conversion of convertible notes,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stockholders for diluted net income per share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net income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77,290,465 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76,555,518 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effect of dilutive securities: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2024 and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income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76,555,518 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pPr>
      <w:r>
        <w:rPr>
          <w:rFonts w:ascii="Times New Roman;sans-serif" w:hAnsi="Times New Roman;sans-serif"/>
          <w:b w:val="false"/>
          <w:color w:val="000000"/>
          <w:sz w:val="20"/>
          <w:shd w:fill="FFFFFF" w:val="clear"/>
        </w:rPr>
        <w:t>The diluted net EPS calculation for the three months ended June 30, 2023 excluded approximately 3.8 million shares and 3.2 million shares related to stock options and RSUs, respectively, as their effect would have been anti-dilutive. Additionally, s</w:t>
      </w:r>
      <w:r>
        <w:rPr>
          <w:rFonts w:ascii="Times New Roman;sans-serif" w:hAnsi="Times New Roman;sans-serif"/>
          <w:b w:val="false"/>
          <w:color w:val="000000"/>
          <w:sz w:val="20"/>
        </w:rPr>
        <w:t>ubsequent to June 30, 2023, the Company settled the final portion of the VoiceBase earn-out for approximately $15.0 million, which is due to be paid in the fourth quarter of 2023. The assumed conversion of the earn-out settlement would have no impact on the basic and diluted EPS as presented in the table above.</w:t>
      </w:r>
      <w:r>
        <w:rPr>
          <w:color w:val="000000"/>
          <w:shd w:fill="FFFFFF" w:val="clear"/>
        </w:rPr>
        <w:t xml:space="preserve"> </w:t>
      </w:r>
      <w:r>
        <w:rPr>
          <w:rFonts w:ascii="Times New Roman;sans-serif" w:hAnsi="Times New Roman;sans-serif"/>
          <w:b w:val="false"/>
          <w:color w:val="000000"/>
          <w:sz w:val="20"/>
          <w:shd w:fill="FFFFFF" w:val="clear"/>
        </w:rPr>
        <w:t>Further, the following securities were excluded from the computation of diluted EPS for the six months ended June 30, 2023 and 2022, and three months ended June 30, 2022, as their effect would have been anti-dilutive:</w:t>
      </w:r>
    </w:p>
    <w:tbl>
      <w:tblPr>
        <w:tblW w:w="10190" w:type="dxa"/>
        <w:jc w:val="left"/>
        <w:tblInd w:w="0" w:type="dxa"/>
        <w:tblLayout w:type="fixed"/>
        <w:tblCellMar>
          <w:top w:w="28" w:type="dxa"/>
          <w:left w:w="28" w:type="dxa"/>
          <w:bottom w:w="28" w:type="dxa"/>
          <w:right w:w="28" w:type="dxa"/>
        </w:tblCellMar>
      </w:tblPr>
      <w:tblGrid>
        <w:gridCol w:w="2619"/>
        <w:gridCol w:w="2302"/>
        <w:gridCol w:w="2309"/>
        <w:gridCol w:w="540"/>
        <w:gridCol w:w="541"/>
        <w:gridCol w:w="156"/>
        <w:gridCol w:w="143"/>
        <w:gridCol w:w="143"/>
        <w:gridCol w:w="143"/>
        <w:gridCol w:w="540"/>
        <w:gridCol w:w="541"/>
        <w:gridCol w:w="213"/>
      </w:tblGrid>
      <w:tr>
        <w:trPr/>
        <w:tc>
          <w:tcPr>
            <w:tcW w:w="261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 xml:space="preserve">As of June 30, </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 and employee stock purchase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4,784,614 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3,738,894 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4,066,555 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11,448,016 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2024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5,961,186 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21,613,670 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33,139,654 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Segment Information</w:t>
      </w:r>
    </w:p>
    <w:p>
      <w:pPr>
        <w:pStyle w:val="TextBody"/>
        <w:bidi w:val="0"/>
        <w:spacing w:before="0" w:after="0"/>
        <w:ind w:left="0" w:right="0" w:firstLine="480"/>
        <w:jc w:val="both"/>
        <w:rPr/>
      </w:pPr>
      <w:r>
        <w:rPr/>
      </w:r>
    </w:p>
    <w:p>
      <w:pPr>
        <w:pStyle w:val="TextBody"/>
        <w:bidi w:val="0"/>
        <w:spacing w:lineRule="auto" w:line="300" w:before="0" w:after="160"/>
        <w:ind w:left="0" w:right="0" w:firstLine="720"/>
        <w:jc w:val="both"/>
        <w:rPr/>
      </w:pPr>
      <w:r>
        <w:rPr>
          <w:rFonts w:ascii="Times New Roman;sans-serif" w:hAnsi="Times New Roman;sans-serif"/>
          <w:b w:val="false"/>
          <w:color w:val="000000"/>
          <w:sz w:val="20"/>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w:t>
      </w:r>
      <w:r>
        <w:rPr>
          <w:color w:val="000000"/>
          <w:shd w:fill="FFFFFF" w:val="clear"/>
        </w:rPr>
        <w:t xml:space="preserve"> </w:t>
      </w:r>
      <w:r>
        <w:rPr>
          <w:rFonts w:ascii="Times New Roman;sans-serif" w:hAnsi="Times New Roman;sans-serif"/>
          <w:b w:val="false"/>
          <w:color w:val="000000"/>
          <w:sz w:val="20"/>
          <w:shd w:fill="FFFFFF" w:val="clear"/>
        </w:rPr>
        <w:t>The Company was previously organized into</w:t>
      </w:r>
      <w:r>
        <w:rPr>
          <w:color w:val="000000"/>
        </w:rPr>
        <w:t xml:space="preserve"> </w:t>
      </w:r>
      <w:r>
        <w:rPr>
          <w:rFonts w:ascii="Times New Roman;sans-serif" w:hAnsi="Times New Roman;sans-serif"/>
          <w:b w:val="false"/>
          <w:color w:val="000000"/>
          <w:sz w:val="20"/>
        </w:rPr>
        <w:t xml:space="preserve">two </w:t>
      </w:r>
      <w:r>
        <w:rPr>
          <w:rFonts w:ascii="Times New Roman;sans-serif" w:hAnsi="Times New Roman;sans-serif"/>
          <w:b w:val="false"/>
          <w:color w:val="000000"/>
          <w:sz w:val="20"/>
          <w:shd w:fill="FFFFFF" w:val="clear"/>
        </w:rPr>
        <w:t xml:space="preserve">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facilitated online transactions between Experts and Users seeking information and knowledge for a fee via mobile and online messaging. During the first quarter of 2023, the Consumer segment (comprised solely of the Kasamba business) was divested (see Note 20 – </w:t>
      </w:r>
      <w:r>
        <w:rPr>
          <w:rFonts w:ascii="Times New Roman;sans-serif" w:hAnsi="Times New Roman;sans-serif"/>
          <w:b w:val="false"/>
          <w:i/>
          <w:color w:val="000000"/>
          <w:sz w:val="20"/>
          <w:shd w:fill="FFFFFF" w:val="clear"/>
        </w:rPr>
        <w:t>Divestiture</w:t>
      </w:r>
      <w:r>
        <w:rPr>
          <w:rFonts w:ascii="Times New Roman;sans-serif" w:hAnsi="Times New Roman;sans-serif"/>
          <w:b w:val="false"/>
          <w:color w:val="000000"/>
          <w:sz w:val="20"/>
          <w:shd w:fill="FFFFFF" w:val="clear"/>
        </w:rPr>
        <w:t xml:space="preserve">). The chief operating decision maker (“CODM”), who is the Company’s Chief Executive Officer, evaluates performance, makes operating decisions, and allocates resources based on the operating income of the remaining Business segment. The Business reporting segment follows the same accounting policies used in the preparation of the Company’s consolidated financial statements which are described in the summary of significant accounting policies. </w:t>
      </w:r>
      <w:r>
        <w:rPr>
          <w:rFonts w:ascii="Times New Roman;sans-serif" w:hAnsi="Times New Roman;sans-serif"/>
          <w:b w:val="false"/>
          <w:color w:val="000000"/>
          <w:sz w:val="20"/>
        </w:rPr>
        <w:t>The Company allocates cost of revenue, sales and marketing and amortization of purchased intangible assets to the segments, but it does not allocate product development expenses, general and administrative expenses, restructuring costs and income tax expense because management does not use this information to measure performance of the operating segments. There were no inter-segment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Presented on a consolidated basis, the following table is a summary of financial information by segment for the three and six months ended June 30, 2023 and 2022, based on the Company’s internal financial reporting system utilized by the Company’s CODM: </w:t>
      </w:r>
    </w:p>
    <w:tbl>
      <w:tblPr>
        <w:tblW w:w="8820" w:type="dxa"/>
        <w:jc w:val="left"/>
        <w:tblInd w:w="0" w:type="dxa"/>
        <w:tblLayout w:type="fixed"/>
        <w:tblCellMar>
          <w:top w:w="28" w:type="dxa"/>
          <w:left w:w="28" w:type="dxa"/>
          <w:bottom w:w="28" w:type="dxa"/>
          <w:right w:w="28" w:type="dxa"/>
        </w:tblCellMar>
      </w:tblPr>
      <w:tblGrid>
        <w:gridCol w:w="1175"/>
        <w:gridCol w:w="1031"/>
        <w:gridCol w:w="1034"/>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Hosted services </w:t>
            </w:r>
            <w:r>
              <w:rPr>
                <w:rFonts w:ascii="Times New Roman;sans-serif" w:hAnsi="Times New Roman;sans-serif"/>
                <w:b w:val="false"/>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(1)On March 20, 2023, the Company completed the sale of Kasamba and therefore ceased recognizing revenue related to Kasamba effective on the transaction close date. Further, this sale eliminated the entire Consumer segment, as a result of which revenue is presented within a single consolidated segment. Hosted services includes $7.2 million for the six months ended June 30, 2023, and $9.1 million and $18.3 million of revenue for the three and six months ended June 30, 2022, respectively, relating to Kasamba.</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During the first quarter of 2023, the Company completed the sale of Kasamba, which was reported under the Consumer segment, and had ceased recognizing revenues and expenses effective the transaction close date. As a result, the divestiture of Kasamba eliminates the Company’s Consumer segment as the Company focuses on the core Business segment. See Note 20 –</w:t>
      </w:r>
      <w:r>
        <w:rPr>
          <w:rFonts w:ascii="Times New Roman;sans-serif" w:hAnsi="Times New Roman;sans-serif"/>
          <w:b w:val="false"/>
          <w:i/>
          <w:color w:val="000000"/>
          <w:sz w:val="20"/>
        </w:rPr>
        <w:t>Divestiture</w:t>
      </w:r>
      <w:r>
        <w:rPr>
          <w:rFonts w:ascii="Times New Roman;sans-serif" w:hAnsi="Times New Roman;sans-serif"/>
          <w:b w:val="false"/>
          <w:color w:val="000000"/>
          <w:sz w:val="20"/>
        </w:rPr>
        <w:t>, for further details.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long-lived assets by geographic region as of the dates set forth below:</w:t>
      </w:r>
    </w:p>
    <w:tbl>
      <w:tblPr>
        <w:tblW w:w="4629"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11"/>
        <w:gridCol w:w="82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3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(1)United Kingdom, Japan, France, Italy, Spain, Canada, and Singapore.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3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Goodwill and Intangible Assets, Net</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36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six months ended June 30, 2023 are as follows:</w:t>
      </w:r>
    </w:p>
    <w:tbl>
      <w:tblPr>
        <w:tblW w:w="4080" w:type="dxa"/>
        <w:jc w:val="left"/>
        <w:tblInd w:w="0" w:type="dxa"/>
        <w:tblLayout w:type="fixed"/>
        <w:tblCellMar>
          <w:top w:w="28" w:type="dxa"/>
          <w:left w:w="28" w:type="dxa"/>
          <w:bottom w:w="28" w:type="dxa"/>
          <w:right w:w="28" w:type="dxa"/>
        </w:tblCellMar>
      </w:tblPr>
      <w:tblGrid>
        <w:gridCol w:w="1021"/>
        <w:gridCol w:w="896"/>
        <w:gridCol w:w="902"/>
        <w:gridCol w:w="223"/>
        <w:gridCol w:w="874"/>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Consolidated</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296,973 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480"/>
        <w:jc w:val="both"/>
        <w:rPr/>
      </w:pPr>
      <w:r>
        <w:rPr>
          <w:rFonts w:ascii="Times New Roman;sans-serif" w:hAnsi="Times New Roman;sans-serif"/>
          <w:b w:val="false"/>
          <w:color w:val="000000"/>
          <w:sz w:val="20"/>
        </w:rPr>
        <w:t>Goodwill is not amortized, but is tested for impairment at the reporting unit level using either a qualitative or quantitative assessment on an annual basis during third quarter of each fiscal year, and whenever events or changes in circumstances indicate that the carrying value may not be recoverable. Impairment of goodwill is measured at the reporting unit level by comparing the car</w:t>
      </w:r>
      <w:r>
        <w:rPr>
          <w:rFonts w:ascii="Times New Roman;sans-serif" w:hAnsi="Times New Roman;sans-serif"/>
          <w:b w:val="false"/>
          <w:color w:val="000000"/>
          <w:sz w:val="20"/>
          <w:shd w:fill="FFFFFF" w:val="clear"/>
        </w:rPr>
        <w:t xml:space="preserve">rying amount, including goodwill, to the fair market value of the reporting unit. As of June 30, 2023, there was no indication of impairment of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goodwill balances. As a result of the divestiture of Kasamba under the Consumer segment, the Com</w:t>
      </w:r>
      <w:r>
        <w:rPr>
          <w:rFonts w:ascii="Times New Roman;sans-serif" w:hAnsi="Times New Roman;sans-serif"/>
          <w:b w:val="false"/>
          <w:color w:val="000000"/>
          <w:sz w:val="20"/>
        </w:rPr>
        <w:t xml:space="preserve">pany recorded a reduction to its goodwill of $8.0 million during the year ended December 31, 2022, based on the relative fair value of the segment. See Note 20 - </w:t>
      </w:r>
      <w:r>
        <w:rPr>
          <w:rFonts w:ascii="Times New Roman;sans-serif" w:hAnsi="Times New Roman;sans-serif"/>
          <w:b w:val="false"/>
          <w:i/>
          <w:color w:val="000000"/>
          <w:sz w:val="20"/>
        </w:rPr>
        <w:t>Divestiture</w:t>
      </w:r>
      <w:r>
        <w:rPr>
          <w:rFonts w:ascii="Times New Roman;sans-serif" w:hAnsi="Times New Roman;sans-serif"/>
          <w:b w:val="false"/>
          <w:color w:val="000000"/>
          <w:sz w:val="20"/>
        </w:rPr>
        <w:t>, for additional information.</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summarized as follows:</w:t>
      </w:r>
    </w:p>
    <w:tbl>
      <w:tblPr>
        <w:tblW w:w="8756"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24"/>
        <w:gridCol w:w="796"/>
        <w:gridCol w:w="118"/>
        <w:gridCol w:w="109"/>
        <w:gridCol w:w="109"/>
        <w:gridCol w:w="109"/>
        <w:gridCol w:w="368"/>
        <w:gridCol w:w="1257"/>
        <w:gridCol w:w="190"/>
        <w:gridCol w:w="109"/>
        <w:gridCol w:w="109"/>
        <w:gridCol w:w="109"/>
        <w:gridCol w:w="343"/>
        <w:gridCol w:w="343"/>
        <w:gridCol w:w="48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years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8756"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24"/>
        <w:gridCol w:w="796"/>
        <w:gridCol w:w="118"/>
        <w:gridCol w:w="109"/>
        <w:gridCol w:w="109"/>
        <w:gridCol w:w="109"/>
        <w:gridCol w:w="368"/>
        <w:gridCol w:w="1257"/>
        <w:gridCol w:w="190"/>
        <w:gridCol w:w="109"/>
        <w:gridCol w:w="109"/>
        <w:gridCol w:w="109"/>
        <w:gridCol w:w="343"/>
        <w:gridCol w:w="343"/>
        <w:gridCol w:w="48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years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480"/>
        <w:jc w:val="both"/>
        <w:rPr/>
      </w:pPr>
      <w:r>
        <w:rPr>
          <w:rFonts w:ascii="Times New Roman;sans-serif" w:hAnsi="Times New Roman;sans-serif"/>
          <w:b w:val="false"/>
          <w:color w:val="000000"/>
          <w:sz w:val="20"/>
        </w:rPr>
        <w:t xml:space="preserve">Amortization expense is calculated over the estimated useful life of the asset. Aggregate amortization expense for intangible assets, net was </w:t>
      </w:r>
      <w:r>
        <w:rPr>
          <w:rFonts w:ascii="Times New Roman;sans-serif" w:hAnsi="Times New Roman;sans-serif"/>
          <w:b w:val="false"/>
          <w:color w:val="000000"/>
          <w:sz w:val="20"/>
          <w:shd w:fill="FFFFFF" w:val="clear"/>
        </w:rPr>
        <w:t xml:space="preserve">$4.6 million </w:t>
      </w:r>
      <w:r>
        <w:rPr>
          <w:rFonts w:ascii="Times New Roman;sans-serif" w:hAnsi="Times New Roman;sans-serif"/>
          <w:b w:val="false"/>
          <w:color w:val="000000"/>
          <w:sz w:val="20"/>
        </w:rPr>
        <w:t xml:space="preserve">and $4.5 million for the three months ended June 30, 2023 and 2022, respectively, and </w:t>
      </w:r>
      <w:r>
        <w:rPr>
          <w:rFonts w:ascii="Times New Roman;sans-serif" w:hAnsi="Times New Roman;sans-serif"/>
          <w:b w:val="false"/>
          <w:color w:val="000000"/>
          <w:sz w:val="20"/>
          <w:shd w:fill="FFFFFF" w:val="clear"/>
        </w:rPr>
        <w:t>$9.1 million</w:t>
      </w:r>
      <w:r>
        <w:rPr>
          <w:color w:val="000000"/>
        </w:rPr>
        <w:t xml:space="preserve"> </w:t>
      </w:r>
      <w:r>
        <w:rPr>
          <w:rFonts w:ascii="Times New Roman;sans-serif" w:hAnsi="Times New Roman;sans-serif"/>
          <w:b w:val="false"/>
          <w:color w:val="000000"/>
          <w:sz w:val="20"/>
        </w:rPr>
        <w:t>and $9.0 million for the six months ended June 30, 2023 and 2022, respectively, a portion of this amortization was included in cost of revenue in the condensed consolidated statements of operations.</w:t>
      </w:r>
    </w:p>
    <w:p>
      <w:pPr>
        <w:pStyle w:val="TextBody"/>
        <w:bidi w:val="0"/>
        <w:spacing w:before="0" w:after="12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estimated annual amortization expense for the next five years and thereafter is as follows:</w:t>
      </w:r>
    </w:p>
    <w:tbl>
      <w:tblPr>
        <w:tblW w:w="4170" w:type="dxa"/>
        <w:jc w:val="center"/>
        <w:tblInd w:w="0" w:type="dxa"/>
        <w:tblLayout w:type="fixed"/>
        <w:tblCellMar>
          <w:top w:w="28" w:type="dxa"/>
          <w:left w:w="28" w:type="dxa"/>
          <w:bottom w:w="28" w:type="dxa"/>
          <w:right w:w="28" w:type="dxa"/>
        </w:tblCellMar>
      </w:tblPr>
      <w:tblGrid>
        <w:gridCol w:w="538"/>
        <w:gridCol w:w="473"/>
        <w:gridCol w:w="474"/>
        <w:gridCol w:w="520"/>
        <w:gridCol w:w="1782"/>
        <w:gridCol w:w="383"/>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Amortization Expense</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71,503 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Property and Equipment, Net</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property and equipment, net for the periods presented:</w:t>
      </w:r>
    </w:p>
    <w:tbl>
      <w:tblPr>
        <w:tblW w:w="6833" w:type="dxa"/>
        <w:jc w:val="left"/>
        <w:tblInd w:w="0" w:type="dxa"/>
        <w:tblLayout w:type="fixed"/>
        <w:tblCellMar>
          <w:top w:w="28" w:type="dxa"/>
          <w:left w:w="28" w:type="dxa"/>
          <w:bottom w:w="28" w:type="dxa"/>
          <w:right w:w="28" w:type="dxa"/>
        </w:tblCellMar>
      </w:tblPr>
      <w:tblGrid>
        <w:gridCol w:w="1510"/>
        <w:gridCol w:w="1325"/>
        <w:gridCol w:w="1334"/>
        <w:gridCol w:w="211"/>
        <w:gridCol w:w="826"/>
        <w:gridCol w:w="109"/>
        <w:gridCol w:w="109"/>
        <w:gridCol w:w="109"/>
        <w:gridCol w:w="109"/>
        <w:gridCol w:w="211"/>
        <w:gridCol w:w="82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assets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Accrued Expenses and Other Current Liabilities</w:t>
      </w:r>
    </w:p>
    <w:p>
      <w:pPr>
        <w:pStyle w:val="TextBody"/>
        <w:bidi w:val="0"/>
        <w:spacing w:before="0" w:after="12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accrued expenses and other current liabilities for the periods presented:</w:t>
      </w:r>
    </w:p>
    <w:tbl>
      <w:tblPr>
        <w:tblW w:w="7509" w:type="dxa"/>
        <w:jc w:val="left"/>
        <w:tblInd w:w="0" w:type="dxa"/>
        <w:tblLayout w:type="fixed"/>
        <w:tblCellMar>
          <w:top w:w="28" w:type="dxa"/>
          <w:left w:w="28" w:type="dxa"/>
          <w:bottom w:w="28" w:type="dxa"/>
          <w:right w:w="28" w:type="dxa"/>
        </w:tblCellMar>
      </w:tblPr>
      <w:tblGrid>
        <w:gridCol w:w="1753"/>
        <w:gridCol w:w="1544"/>
        <w:gridCol w:w="1548"/>
        <w:gridCol w:w="211"/>
        <w:gridCol w:w="826"/>
        <w:gridCol w:w="109"/>
        <w:gridCol w:w="109"/>
        <w:gridCol w:w="109"/>
        <w:gridCol w:w="109"/>
        <w:gridCol w:w="211"/>
        <w:gridCol w:w="826"/>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consulting and other vendor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other employee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contingent earn-out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Convertible Senior Notes, Net and Capped Call Transactions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2024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2019, the Company issued $230.0 million aggregate principal amount of its 0.750% Convertible Senior Notes due 2024 (the “2024 Notes”) in a private placement. Interest on the 2024 Notes is payable semi-annually in arrears on March 1 and September 1 of each year.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will mature on March 1, 2024, unless earlier repurchased or redeemed by the Company or converted pursuant to their terms. The total net proceeds from the offering of the 2024 Notes, after deducting debt issuance costs, was approximately $221.4 million.</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and six months ended June 30, 2023, the conditions allowing holders of the 2024 Notes to convert were not met.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are senior unsecured obligations of the Company.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allocated the total amount of issuance costs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a result of the adoption of ASU 2020-06, the 2024 Notes are accounted for as a single liability, and the carrying amount of the 2024 Notes, after giving effect to the March 2023 repurchases described below, is </w:t>
      </w:r>
      <w:r>
        <w:rPr>
          <w:rFonts w:ascii="Times New Roman;sans-serif" w:hAnsi="Times New Roman;sans-serif"/>
          <w:b w:val="false"/>
          <w:color w:val="000000"/>
          <w:sz w:val="20"/>
          <w:shd w:fill="FFFFFF" w:val="clear"/>
        </w:rPr>
        <w:t>$72.1 million as of June 30, 2023, consisting of principal of $72.5 million, net of unamortized debt issuance costs of $0.4 million</w:t>
      </w:r>
      <w:r>
        <w:rPr>
          <w:rFonts w:ascii="Times New Roman;sans-serif" w:hAnsi="Times New Roman;sans-serif"/>
          <w:b w:val="false"/>
          <w:color w:val="000000"/>
          <w:sz w:val="20"/>
        </w:rPr>
        <w:t>. The 2024 Notes were classified as short term liabilities in the accompanying condensed consolidated balance sheets as of June 30, 2023. The remaining term ov</w:t>
      </w:r>
      <w:r>
        <w:rPr>
          <w:rFonts w:ascii="Times New Roman;sans-serif" w:hAnsi="Times New Roman;sans-serif"/>
          <w:b w:val="false"/>
          <w:color w:val="000000"/>
          <w:sz w:val="20"/>
          <w:shd w:fill="FFFFFF" w:val="clear"/>
        </w:rPr>
        <w:t>er which the 2024 Notes’ debt issuance costs will be amortized is 0.7 years at an effective interest rate of 1.57% for the three months ended June 30, 2023.</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offering of the 2024 Notes, the Company entered into privately-negotiated capped call option transactions with certain counterparties (the “2024 capped calls”). The 2024 capped calls each have an initial strike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On March 21, 2023, the Company entered into individual privately negotiated transactions (the “Note Repurchase Agreements”) with certain holders of its 2024 Notes, pursuant to which the Company agreed to pay an aggregate of approximately $149.7 million in cash for the repurchase of approximately $157.5 million in aggregate principal amount of the 2024 Notes (the “Note Repurchases”). D</w:t>
      </w:r>
      <w:r>
        <w:rPr>
          <w:rFonts w:ascii="Times New Roman;sans-serif" w:hAnsi="Times New Roman;sans-serif"/>
          <w:b w:val="false"/>
          <w:color w:val="000000"/>
          <w:sz w:val="20"/>
        </w:rPr>
        <w:t xml:space="preserve">uring the first quarter of 2023, the Company recognized a </w:t>
      </w:r>
      <w:r>
        <w:rPr>
          <w:rFonts w:ascii="Times New Roman;sans-serif" w:hAnsi="Times New Roman;sans-serif"/>
          <w:b w:val="false"/>
          <w:color w:val="000000"/>
          <w:sz w:val="20"/>
          <w:shd w:fill="FFFFFF" w:val="clear"/>
        </w:rPr>
        <w:t>$6.1 million</w:t>
      </w:r>
      <w:r>
        <w:rPr>
          <w:color w:val="000000"/>
        </w:rPr>
        <w:t xml:space="preserve"> </w:t>
      </w:r>
      <w:r>
        <w:rPr>
          <w:rFonts w:ascii="Times New Roman;sans-serif" w:hAnsi="Times New Roman;sans-serif"/>
          <w:b w:val="false"/>
          <w:color w:val="000000"/>
          <w:sz w:val="20"/>
        </w:rPr>
        <w:t xml:space="preserve">gain, net of transaction costs of $0.5 million on debt extinguishment, which represented the difference between the carrying value and the fair value of the 2024 Notes just prior to Note Repurchases. The gain on debt extinguishment, net of transaction costs of $0.5 million, was subsequently adjusted by an immaterial amount of $1.1 million for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with a total gain of $7.2 million reported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2026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issued $517.5 million aggregate principal amount of its 0% Convertible Senior Notes due 2026 (the “2026 Notes” and together with the 2024 Notes, the “Notes”) in a private placement.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and six months ended June 30, 2023, the conditions allowing holders of the 2026 Notes to convert were not met.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are senior unsecured obligations of the Company.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2022, the Company allocated the total amount of issuance costs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a result of the adoption of ASU 2020-06, the 2026 Notes are accounted for as a single liability, and the carrying amount of the 2026 Notes is </w:t>
      </w:r>
      <w:r>
        <w:rPr>
          <w:rFonts w:ascii="Times New Roman;sans-serif" w:hAnsi="Times New Roman;sans-serif"/>
          <w:b w:val="false"/>
          <w:color w:val="000000"/>
          <w:sz w:val="20"/>
          <w:shd w:fill="FFFFFF" w:val="clear"/>
        </w:rPr>
        <w:t>$510.5 million as of June 30, 2023, consisting of principal of $517.5 million, net of issuance costs of $7.0 million</w:t>
      </w:r>
      <w:r>
        <w:rPr>
          <w:rFonts w:ascii="Times New Roman;sans-serif" w:hAnsi="Times New Roman;sans-serif"/>
          <w:b w:val="false"/>
          <w:color w:val="000000"/>
          <w:sz w:val="20"/>
        </w:rPr>
        <w:t>. The 2026 Notes were classified as long term liabilities in the accompanying condensed consolidated balance sheets as of June 30, 2023. The remaining term over which the 2026 Notes’ debt issuance costs will be amortized is</w:t>
      </w:r>
      <w:r>
        <w:rPr>
          <w:color w:val="000000"/>
          <w:shd w:fill="FFFFFF" w:val="clear"/>
        </w:rPr>
        <w:t xml:space="preserve"> </w:t>
      </w:r>
      <w:r>
        <w:rPr>
          <w:rFonts w:ascii="Times New Roman;sans-serif" w:hAnsi="Times New Roman;sans-serif"/>
          <w:b w:val="false"/>
          <w:color w:val="000000"/>
          <w:sz w:val="20"/>
          <w:shd w:fill="FFFFFF" w:val="clear"/>
        </w:rPr>
        <w:t>3.4 years at an effective interest rate of 0.40% for the three months ended June 30, 2023.</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liability component of the Notes as of June 30, 2023 and December 31, 2022 was as follows:</w:t>
      </w:r>
    </w:p>
    <w:tbl>
      <w:tblPr>
        <w:tblW w:w="5019" w:type="dxa"/>
        <w:jc w:val="center"/>
        <w:tblInd w:w="0" w:type="dxa"/>
        <w:tblLayout w:type="fixed"/>
        <w:tblCellMar>
          <w:top w:w="28" w:type="dxa"/>
          <w:left w:w="28" w:type="dxa"/>
          <w:bottom w:w="28" w:type="dxa"/>
          <w:right w:w="28" w:type="dxa"/>
        </w:tblCellMar>
      </w:tblPr>
      <w:tblGrid>
        <w:gridCol w:w="853"/>
        <w:gridCol w:w="748"/>
        <w:gridCol w:w="754"/>
        <w:gridCol w:w="211"/>
        <w:gridCol w:w="826"/>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debt,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before="0" w:after="60"/>
        <w:ind w:left="0" w:right="0" w:firstLine="72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recognized related to the Notes:</w:t>
      </w:r>
    </w:p>
    <w:tbl>
      <w:tblPr>
        <w:tblW w:w="8045" w:type="dxa"/>
        <w:jc w:val="center"/>
        <w:tblInd w:w="0" w:type="dxa"/>
        <w:tblLayout w:type="fixed"/>
        <w:tblCellMar>
          <w:top w:w="28" w:type="dxa"/>
          <w:left w:w="28" w:type="dxa"/>
          <w:bottom w:w="28" w:type="dxa"/>
          <w:right w:w="28" w:type="dxa"/>
        </w:tblCellMar>
      </w:tblPr>
      <w:tblGrid>
        <w:gridCol w:w="1085"/>
        <w:gridCol w:w="954"/>
        <w:gridCol w:w="960"/>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firstLine="720"/>
        <w:jc w:val="both"/>
        <w:rPr/>
      </w:pPr>
      <w:r>
        <w:rPr>
          <w:rFonts w:ascii="Times New Roman;sans-serif" w:hAnsi="Times New Roman;sans-serif"/>
          <w:b w:val="false"/>
          <w:color w:val="000000"/>
          <w:sz w:val="20"/>
        </w:rPr>
        <w:t xml:space="preserve">Interest expense of </w:t>
      </w:r>
      <w:r>
        <w:rPr>
          <w:rFonts w:ascii="Times New Roman;sans-serif" w:hAnsi="Times New Roman;sans-serif"/>
          <w:b w:val="false"/>
          <w:color w:val="000000"/>
          <w:sz w:val="20"/>
          <w:shd w:fill="FFFFFF" w:val="clear"/>
        </w:rPr>
        <w:t>$1.9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$3.3 million</w:t>
      </w:r>
      <w:r>
        <w:rPr>
          <w:color w:val="000000"/>
        </w:rPr>
        <w:t xml:space="preserve"> </w:t>
      </w:r>
      <w:r>
        <w:rPr>
          <w:rFonts w:ascii="Times New Roman;sans-serif" w:hAnsi="Times New Roman;sans-serif"/>
          <w:b w:val="false"/>
          <w:color w:val="000000"/>
          <w:sz w:val="20"/>
        </w:rPr>
        <w:t xml:space="preserve">is reflected as a component of interest expense, net in the accompanying condensed consolidated statements of operations for the three and six months ended June 30, 2023, respectively. Interest expense was $1.4 million and $2.7 million for the three and six months ended June 30,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 Acquisitions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completed the acquisition of 100% of the equity of WildHealth, Inc. (“WildHealth”),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per share on the acquisition date of February 7, 2022. This acquisition is part of the Company’s strategy to accelerate its technology-driven healthcare offerings by combining a rich healthcare data platform with Conversational AI to enable Business-to-business (B2B) healthcare brands to scale and personalize patient engagement. The transaction was accounted for as a business combination. In connection with the acquisition, the Company entered into stock forfeiture agreements with certain employees of WildHealth, under which a portion of the purchase price will be subject to vesting conditions based on continuing employment post-acquisition. The Company has allocated the purchase consideration subject to the stock forfeiture agreements between pre- and post-combination periods. </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 resulted in approximately $15.5 million of goodwill and $8.3 million of intangible assets. WildHealth is part of the Business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and an indemnification asset of $1.2 million relating to a pre-acquisition liability assumed as of December 31, 2022.</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former stockholders of WildHealth had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accounted for the earn-out as a compensation arrangement in accordance with ASC 718, “Compensation - Stock Compensation,” pursuant to which such earn-out payments are classified as liability awards to be recognized over the requisite service periods. On May 30, 2023, the Company and stockholders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WildHealth agreed to amend the terms of the merger agreement with respect to certain contingent potential earn-out payments under the agreement. Pursuant to the amended terms, in full satisfaction of all potential earn-out payments under the merger agreement, the parties agreed that the Company would pay (a) a lump sum cash payment of $12.0 million, less applicable withholding taxes to pre-acquisition stockholders, and (b) in the event of a future direct or indirect sale of WildHealth on or before May 30, 2033, the former WildHealth stockholders will receive and additional cash payment equal to 30% of the then-current equity value of WildHealth less all applicable escrows and closing payments and costs, up to a maximum payment of $23.0 million. As of June 30, 2023, the contingent cash settlement feature was deemed not probable, therefore, the award was not recorded as a liability. On May 31, 2023, the Company made the lump sum payment of $12.0 million in connection with the settlement and reversed the preexisting accrued stock-based compensation of $40.2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pPr>
      <w:r>
        <w:rPr>
          <w:rFonts w:ascii="Times New Roman;sans-serif" w:hAnsi="Times New Roman;sans-serif"/>
          <w:b w:val="false"/>
          <w:color w:val="000000"/>
          <w:sz w:val="20"/>
        </w:rPr>
        <w:t>The Company has operating and finance leases for its corporate offices and other service agreements. Its leases have remaining lease terms of less than one to</w:t>
      </w:r>
      <w:r>
        <w:rPr>
          <w:color w:val="000000"/>
          <w:shd w:fill="FFFFFF" w:val="clear"/>
        </w:rPr>
        <w:t xml:space="preserve"> </w:t>
      </w:r>
      <w:r>
        <w:rPr>
          <w:rFonts w:ascii="Times New Roman;sans-serif" w:hAnsi="Times New Roman;sans-serif"/>
          <w:b w:val="false"/>
          <w:color w:val="000000"/>
          <w:sz w:val="20"/>
          <w:shd w:fill="FFFFFF" w:val="clear"/>
        </w:rPr>
        <w:t xml:space="preserve">four </w:t>
      </w:r>
      <w:r>
        <w:rPr>
          <w:rFonts w:ascii="Times New Roman;sans-serif" w:hAnsi="Times New Roman;sans-serif"/>
          <w:b w:val="false"/>
          <w:color w:val="000000"/>
          <w:sz w:val="20"/>
        </w:rPr>
        <w:t xml:space="preserve">years, some of which include options to extend.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leases, the Company recognized operating lease right of use assets of $0.4 million and $1.6 million and an aggregate lease liability of $1.3 million and $2.8 million in its condensed consolidated balance sheets as of June 30, 2023 and December 31, 2022, respectively. </w:t>
      </w:r>
    </w:p>
    <w:p>
      <w:pPr>
        <w:pStyle w:val="TextBody"/>
        <w:bidi w:val="0"/>
        <w:spacing w:before="0" w:after="0"/>
        <w:ind w:left="0" w:right="0" w:firstLine="48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shd w:fill="FFFFFF" w:val="clear"/>
        </w:rPr>
        <w:t xml:space="preserve">As </w:t>
      </w:r>
      <w:r>
        <w:rPr>
          <w:rFonts w:ascii="Times New Roman;sans-serif" w:hAnsi="Times New Roman;sans-serif"/>
          <w:b w:val="false"/>
          <w:color w:val="000000"/>
          <w:sz w:val="20"/>
        </w:rPr>
        <w:t>of</w:t>
      </w:r>
      <w:r>
        <w:rPr>
          <w:color w:val="000000"/>
          <w:shd w:fill="FFFFFF" w:val="clear"/>
        </w:rPr>
        <w:t xml:space="preserve"> </w:t>
      </w:r>
      <w:r>
        <w:rPr>
          <w:rFonts w:ascii="Times New Roman;sans-serif" w:hAnsi="Times New Roman;sans-serif"/>
          <w:b w:val="false"/>
          <w:color w:val="000000"/>
          <w:sz w:val="20"/>
          <w:shd w:fill="FFFFFF" w:val="clear"/>
        </w:rPr>
        <w:t xml:space="preserve">June 30, 2023, </w:t>
      </w:r>
      <w:r>
        <w:rPr>
          <w:rFonts w:ascii="Times New Roman;sans-serif" w:hAnsi="Times New Roman;sans-serif"/>
          <w:b w:val="false"/>
          <w:color w:val="000000"/>
          <w:sz w:val="20"/>
        </w:rPr>
        <w:t>due to a dispute with respect to one of the leases in Israel, the Company was required to pledge cash as collateral security to be maintained at an Israeli bank. The collateral security would remain in control of the bank, to be available in order to satisfy outstanding obligations under the lease contracts</w:t>
      </w:r>
      <w:r>
        <w:rPr>
          <w:rFonts w:ascii="Times New Roman;sans-serif" w:hAnsi="Times New Roman;sans-serif"/>
          <w:b w:val="false"/>
          <w:color w:val="000000"/>
          <w:sz w:val="20"/>
          <w:shd w:fill="FFFFFF" w:val="clear"/>
        </w:rPr>
        <w:t>. Accordingly, the Company had cash at an Israeli bank of approximat</w:t>
      </w:r>
      <w:r>
        <w:rPr>
          <w:rFonts w:ascii="Times New Roman;sans-serif" w:hAnsi="Times New Roman;sans-serif"/>
          <w:b w:val="false"/>
          <w:color w:val="000000"/>
          <w:sz w:val="20"/>
        </w:rPr>
        <w:t>ely $0.2 million as of</w:t>
      </w:r>
      <w:r>
        <w:rPr>
          <w:color w:val="000000"/>
          <w:shd w:fill="FFFFFF" w:val="clear"/>
        </w:rPr>
        <w:t xml:space="preserve"> </w:t>
      </w:r>
      <w:r>
        <w:rPr>
          <w:rFonts w:ascii="Times New Roman;sans-serif" w:hAnsi="Times New Roman;sans-serif"/>
          <w:b w:val="false"/>
          <w:color w:val="000000"/>
          <w:sz w:val="20"/>
          <w:shd w:fill="FFFFFF" w:val="clear"/>
        </w:rPr>
        <w:t>June 30, 2023, which is recorded as restricted cash in the condensed consolidated balance sheets. In the third quarter of 2021, the Company entered into a new lease in Australia and was required to pledge $0.2 million in cash as collateral security, which is also recorded as restricted cash in the condensed consolidated balance sheets.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pPr>
      <w:r>
        <w:rPr>
          <w:rFonts w:ascii="Times New Roman;sans-serif" w:hAnsi="Times New Roman;sans-serif"/>
          <w:b w:val="false"/>
          <w:color w:val="000000"/>
          <w:sz w:val="20"/>
        </w:rPr>
        <w:t xml:space="preserve">Supplemental cash flow information related to leases for the three and six months ended </w:t>
      </w:r>
      <w:r>
        <w:rPr>
          <w:rFonts w:ascii="Times New Roman;sans-serif" w:hAnsi="Times New Roman;sans-serif"/>
          <w:b w:val="false"/>
          <w:color w:val="000000"/>
          <w:sz w:val="20"/>
          <w:shd w:fill="FFFFFF" w:val="clear"/>
        </w:rPr>
        <w:t>June 30, 2023 and 2022</w:t>
      </w:r>
      <w:r>
        <w:rPr>
          <w:color w:val="000000"/>
        </w:rPr>
        <w:t xml:space="preserve"> </w:t>
      </w:r>
      <w:r>
        <w:rPr>
          <w:rFonts w:ascii="Times New Roman;sans-serif" w:hAnsi="Times New Roman;sans-serif"/>
          <w:b w:val="false"/>
          <w:color w:val="000000"/>
          <w:sz w:val="20"/>
        </w:rPr>
        <w:t>are as follows:</w:t>
      </w:r>
    </w:p>
    <w:tbl>
      <w:tblPr>
        <w:tblW w:w="10205" w:type="dxa"/>
        <w:jc w:val="left"/>
        <w:tblInd w:w="0" w:type="dxa"/>
        <w:tblLayout w:type="fixed"/>
        <w:tblCellMar>
          <w:top w:w="28" w:type="dxa"/>
          <w:left w:w="28" w:type="dxa"/>
          <w:bottom w:w="28" w:type="dxa"/>
          <w:right w:w="28" w:type="dxa"/>
        </w:tblCellMar>
      </w:tblPr>
      <w:tblGrid>
        <w:gridCol w:w="1098"/>
        <w:gridCol w:w="942"/>
        <w:gridCol w:w="847"/>
        <w:gridCol w:w="888"/>
        <w:gridCol w:w="1946"/>
        <w:gridCol w:w="453"/>
        <w:gridCol w:w="123"/>
        <w:gridCol w:w="123"/>
        <w:gridCol w:w="123"/>
        <w:gridCol w:w="239"/>
        <w:gridCol w:w="700"/>
        <w:gridCol w:w="123"/>
        <w:gridCol w:w="109"/>
        <w:gridCol w:w="109"/>
        <w:gridCol w:w="109"/>
        <w:gridCol w:w="213"/>
        <w:gridCol w:w="623"/>
        <w:gridCol w:w="109"/>
        <w:gridCol w:w="109"/>
        <w:gridCol w:w="109"/>
        <w:gridCol w:w="109"/>
        <w:gridCol w:w="213"/>
        <w:gridCol w:w="623"/>
        <w:gridCol w:w="165"/>
      </w:tblGrid>
      <w:tr>
        <w:trPr/>
        <w:tc>
          <w:tcPr>
            <w:tcW w:w="109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61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finance leases</w:t>
            </w:r>
          </w:p>
        </w:tc>
        <w:tc>
          <w:tcPr>
            <w:tcW w:w="2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periods listed are as follows:</w:t>
      </w:r>
    </w:p>
    <w:tbl>
      <w:tblPr>
        <w:tblW w:w="8105" w:type="dxa"/>
        <w:jc w:val="left"/>
        <w:tblInd w:w="0" w:type="dxa"/>
        <w:tblLayout w:type="fixed"/>
        <w:tblCellMar>
          <w:top w:w="28" w:type="dxa"/>
          <w:left w:w="28" w:type="dxa"/>
          <w:bottom w:w="28" w:type="dxa"/>
          <w:right w:w="28" w:type="dxa"/>
        </w:tblCellMar>
      </w:tblPr>
      <w:tblGrid>
        <w:gridCol w:w="1107"/>
        <w:gridCol w:w="973"/>
        <w:gridCol w:w="979"/>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right of use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5637" w:type="dxa"/>
        <w:jc w:val="left"/>
        <w:tblInd w:w="0" w:type="dxa"/>
        <w:tblLayout w:type="fixed"/>
        <w:tblCellMar>
          <w:top w:w="28" w:type="dxa"/>
          <w:left w:w="28" w:type="dxa"/>
          <w:bottom w:w="28" w:type="dxa"/>
          <w:right w:w="28" w:type="dxa"/>
        </w:tblCellMar>
      </w:tblPr>
      <w:tblGrid>
        <w:gridCol w:w="1310"/>
        <w:gridCol w:w="1151"/>
        <w:gridCol w:w="1154"/>
        <w:gridCol w:w="183"/>
        <w:gridCol w:w="183"/>
        <w:gridCol w:w="459"/>
        <w:gridCol w:w="109"/>
        <w:gridCol w:w="109"/>
        <w:gridCol w:w="109"/>
        <w:gridCol w:w="176"/>
        <w:gridCol w:w="176"/>
        <w:gridCol w:w="518"/>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9053" w:type="dxa"/>
        <w:jc w:val="left"/>
        <w:tblInd w:w="0" w:type="dxa"/>
        <w:tblLayout w:type="fixed"/>
        <w:tblCellMar>
          <w:top w:w="28" w:type="dxa"/>
          <w:left w:w="28" w:type="dxa"/>
          <w:bottom w:w="28" w:type="dxa"/>
          <w:right w:w="28" w:type="dxa"/>
        </w:tblCellMar>
      </w:tblPr>
      <w:tblGrid>
        <w:gridCol w:w="866"/>
        <w:gridCol w:w="763"/>
        <w:gridCol w:w="771"/>
        <w:gridCol w:w="1294"/>
        <w:gridCol w:w="1294"/>
        <w:gridCol w:w="1297"/>
        <w:gridCol w:w="109"/>
        <w:gridCol w:w="109"/>
        <w:gridCol w:w="109"/>
        <w:gridCol w:w="217"/>
        <w:gridCol w:w="480"/>
        <w:gridCol w:w="112"/>
        <w:gridCol w:w="109"/>
        <w:gridCol w:w="109"/>
        <w:gridCol w:w="109"/>
        <w:gridCol w:w="280"/>
        <w:gridCol w:w="819"/>
        <w:gridCol w:w="206"/>
      </w:tblGrid>
      <w:tr>
        <w:trPr/>
        <w:tc>
          <w:tcPr>
            <w:tcW w:w="86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2022</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right of use assets</w:t>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operating and finance leases (with an initial or remaining lease term in excess of one year) are as follows:</w:t>
      </w:r>
    </w:p>
    <w:tbl>
      <w:tblPr>
        <w:tblW w:w="6294" w:type="dxa"/>
        <w:jc w:val="left"/>
        <w:tblInd w:w="0" w:type="dxa"/>
        <w:tblLayout w:type="fixed"/>
        <w:tblCellMar>
          <w:top w:w="28" w:type="dxa"/>
          <w:left w:w="28" w:type="dxa"/>
          <w:bottom w:w="28" w:type="dxa"/>
          <w:right w:w="28" w:type="dxa"/>
        </w:tblCellMar>
      </w:tblPr>
      <w:tblGrid>
        <w:gridCol w:w="1433"/>
        <w:gridCol w:w="1259"/>
        <w:gridCol w:w="1267"/>
        <w:gridCol w:w="230"/>
        <w:gridCol w:w="671"/>
        <w:gridCol w:w="119"/>
        <w:gridCol w:w="109"/>
        <w:gridCol w:w="109"/>
        <w:gridCol w:w="109"/>
        <w:gridCol w:w="211"/>
        <w:gridCol w:w="466"/>
        <w:gridCol w:w="311"/>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2023</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Operating </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Finance </w:t>
              <w:br/>
              <w:t>Leases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(remaining six months for June 30, 2023) </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Fair Value Measurements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whereby inputs, used in valuation techniques, are assigned a hierarchical level. The following are the hierarchical levels of inputs to measure fair value: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Observable inputs that reflect quoted prices (unadjusted) for identical assets or liabilities in active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reflecting the Company’s assumptions incorporated in valuation techniques used to determine fair value. These assumptions are required to be consistent with market participant assumptions that are reasonably available.</w:t>
      </w:r>
    </w:p>
    <w:p>
      <w:pPr>
        <w:pStyle w:val="TextBody"/>
        <w:bidi w:val="0"/>
        <w:spacing w:before="0" w:after="0"/>
        <w:ind w:left="0" w:right="0" w:hanging="1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 and Liabilities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accounts receivable, and accounts payable approximate their fair value due to their short-term nature. The Company’s assets and liabilities that are measured at fair value on a recurring basis, by level, within the fair value hierarchy as of June 30, 2023 and December 31, 2022, are summarized as follows: </w:t>
      </w:r>
    </w:p>
    <w:tbl>
      <w:tblPr>
        <w:tblW w:w="8879" w:type="dxa"/>
        <w:jc w:val="center"/>
        <w:tblInd w:w="0" w:type="dxa"/>
        <w:tblLayout w:type="fixed"/>
        <w:tblCellMar>
          <w:top w:w="28" w:type="dxa"/>
          <w:left w:w="28" w:type="dxa"/>
          <w:bottom w:w="28" w:type="dxa"/>
          <w:right w:w="28" w:type="dxa"/>
        </w:tblCellMar>
      </w:tblPr>
      <w:tblGrid>
        <w:gridCol w:w="1371"/>
        <w:gridCol w:w="1206"/>
        <w:gridCol w:w="1217"/>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 treated as 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 treated as liability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8879" w:type="dxa"/>
        <w:jc w:val="left"/>
        <w:tblInd w:w="0" w:type="dxa"/>
        <w:tblLayout w:type="fixed"/>
        <w:tblCellMar>
          <w:top w:w="28" w:type="dxa"/>
          <w:left w:w="28" w:type="dxa"/>
          <w:bottom w:w="28" w:type="dxa"/>
          <w:right w:w="28" w:type="dxa"/>
        </w:tblCellMar>
      </w:tblPr>
      <w:tblGrid>
        <w:gridCol w:w="1371"/>
        <w:gridCol w:w="1206"/>
        <w:gridCol w:w="1217"/>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 treated as 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 treated as liability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money market funds are measured at fair value on a recurring basis based on quoted market prices in active markets and are classified as Level 1 within the fair value hierarchy. The Company’s contingent earn-out liability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outstanding balances of our 2024 Notes and 2026 Notes are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7"/>
        <w:gridCol w:w="403"/>
        <w:gridCol w:w="408"/>
        <w:gridCol w:w="466"/>
        <w:gridCol w:w="466"/>
        <w:gridCol w:w="468"/>
        <w:gridCol w:w="109"/>
        <w:gridCol w:w="109"/>
        <w:gridCol w:w="109"/>
        <w:gridCol w:w="211"/>
        <w:gridCol w:w="826"/>
        <w:gridCol w:w="109"/>
        <w:gridCol w:w="109"/>
        <w:gridCol w:w="109"/>
        <w:gridCol w:w="109"/>
        <w:gridCol w:w="261"/>
        <w:gridCol w:w="1023"/>
        <w:gridCol w:w="134"/>
        <w:gridCol w:w="109"/>
        <w:gridCol w:w="109"/>
        <w:gridCol w:w="109"/>
        <w:gridCol w:w="381"/>
        <w:gridCol w:w="1337"/>
        <w:gridCol w:w="200"/>
        <w:gridCol w:w="109"/>
        <w:gridCol w:w="109"/>
        <w:gridCol w:w="109"/>
        <w:gridCol w:w="272"/>
        <w:gridCol w:w="1068"/>
        <w:gridCol w:w="207"/>
      </w:tblGrid>
      <w:tr>
        <w:trPr/>
        <w:tc>
          <w:tcPr>
            <w:tcW w:w="65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of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Unamortized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Value</w:t>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June 30, 2023</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2026 Notes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December 31, 2022</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2026 Notes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jc w:val="both"/>
        <w:rPr/>
      </w:pPr>
      <w:r>
        <w:rPr>
          <w:rFonts w:ascii="Times New Roman;sans-serif" w:hAnsi="Times New Roman;sans-serif"/>
          <w:b w:val="false"/>
          <w:color w:val="000000"/>
          <w:sz w:val="20"/>
        </w:rPr>
        <w:t>Management determines the fair value by using Level 2 inputs base</w:t>
      </w:r>
      <w:r>
        <w:rPr>
          <w:rFonts w:ascii="Times New Roman;sans-serif" w:hAnsi="Times New Roman;sans-serif"/>
          <w:b w:val="false"/>
          <w:color w:val="000000"/>
          <w:sz w:val="20"/>
          <w:shd w:fill="FFFFFF" w:val="clear"/>
        </w:rPr>
        <w:t>d on antithetic variable technique don</w:t>
      </w:r>
      <w:r>
        <w:rPr>
          <w:rFonts w:ascii="Times New Roman;sans-serif" w:hAnsi="Times New Roman;sans-serif"/>
          <w:b w:val="false"/>
          <w:color w:val="000000"/>
          <w:sz w:val="20"/>
        </w:rPr>
        <w:t>e by an independent valuation specia</w:t>
      </w:r>
      <w:r>
        <w:rPr>
          <w:rFonts w:ascii="Times New Roman;sans-serif" w:hAnsi="Times New Roman;sans-serif"/>
          <w:b w:val="false"/>
          <w:color w:val="000000"/>
          <w:sz w:val="20"/>
          <w:shd w:fill="FFFFFF" w:val="clear"/>
        </w:rPr>
        <w:t xml:space="preserve">list. Refer to Note 8 – </w:t>
      </w:r>
      <w:r>
        <w:rPr>
          <w:rFonts w:ascii="Times New Roman;sans-serif" w:hAnsi="Times New Roman;sans-serif"/>
          <w:b w:val="false"/>
          <w:i/>
          <w:color w:val="000000"/>
          <w:sz w:val="20"/>
          <w:shd w:fill="FFFFFF" w:val="clear"/>
        </w:rPr>
        <w:t xml:space="preserve">Convertible Senior Notes, Net and Capped Call Transactions </w:t>
      </w:r>
      <w:r>
        <w:rPr>
          <w:rFonts w:ascii="Times New Roman;sans-serif" w:hAnsi="Times New Roman;sans-serif"/>
          <w:b w:val="false"/>
          <w:color w:val="000000"/>
          <w:sz w:val="20"/>
          <w:shd w:fill="FFFFFF" w:val="clear"/>
        </w:rPr>
        <w:t>for additional details.</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fair value of the Level 3 liabilities are as follows:</w:t>
      </w:r>
    </w:p>
    <w:tbl>
      <w:tblPr>
        <w:tblW w:w="6618" w:type="dxa"/>
        <w:jc w:val="center"/>
        <w:tblInd w:w="0" w:type="dxa"/>
        <w:tblLayout w:type="fixed"/>
        <w:tblCellMar>
          <w:top w:w="28" w:type="dxa"/>
          <w:left w:w="28" w:type="dxa"/>
          <w:bottom w:w="28" w:type="dxa"/>
          <w:right w:w="28" w:type="dxa"/>
        </w:tblCellMar>
      </w:tblPr>
      <w:tblGrid>
        <w:gridCol w:w="1472"/>
        <w:gridCol w:w="1294"/>
        <w:gridCol w:w="1299"/>
        <w:gridCol w:w="211"/>
        <w:gridCol w:w="721"/>
        <w:gridCol w:w="109"/>
        <w:gridCol w:w="109"/>
        <w:gridCol w:w="109"/>
        <w:gridCol w:w="109"/>
        <w:gridCol w:w="230"/>
        <w:gridCol w:w="787"/>
        <w:gridCol w:w="168"/>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in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liability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both"/>
        <w:rPr/>
      </w:pPr>
      <w:r>
        <w:rPr>
          <w:rFonts w:ascii="Times New Roman;sans-serif" w:hAnsi="Times New Roman;sans-serif"/>
          <w:b w:val="false"/>
          <w:color w:val="000000"/>
          <w:sz w:val="20"/>
        </w:rPr>
        <w:t xml:space="preserve">Certain </w:t>
      </w:r>
      <w:r>
        <w:rPr>
          <w:rFonts w:ascii="Times New Roman;sans-serif" w:hAnsi="Times New Roman;sans-serif"/>
          <w:b w:val="false"/>
          <w:color w:val="000000"/>
          <w:sz w:val="20"/>
          <w:shd w:fill="FFFFFF" w:val="clear"/>
        </w:rPr>
        <w:t>former</w:t>
      </w:r>
      <w:r>
        <w:rPr>
          <w:color w:val="000000"/>
        </w:rPr>
        <w:t xml:space="preserve"> </w:t>
      </w:r>
      <w:r>
        <w:rPr>
          <w:rFonts w:ascii="Times New Roman;sans-serif" w:hAnsi="Times New Roman;sans-serif"/>
          <w:b w:val="false"/>
          <w:color w:val="000000"/>
          <w:sz w:val="20"/>
        </w:rPr>
        <w:t xml:space="preserve">stakeholders of the Company’s acquisitions are eligible to receive additional cash or share considerations based on the attainment of certain operating metrics in the periods subsequent to the acquisitions. These earn-out arrangements are accounted for as either contingent considerations arrangements or compensation arrangements. Contingent considerations are fair valued using significant inputs that are not observable in the market. </w:t>
      </w:r>
    </w:p>
    <w:p>
      <w:pPr>
        <w:pStyle w:val="TextBody"/>
        <w:bidi w:val="0"/>
        <w:spacing w:lineRule="auto" w:line="288" w:before="0" w:after="320"/>
        <w:ind w:left="0" w:right="0" w:firstLine="720"/>
        <w:jc w:val="both"/>
        <w:rPr/>
      </w:pPr>
      <w:r>
        <w:rPr>
          <w:rFonts w:ascii="Times New Roman;sans-serif" w:hAnsi="Times New Roman;sans-serif"/>
          <w:b w:val="false"/>
          <w:color w:val="000000"/>
          <w:sz w:val="20"/>
        </w:rPr>
        <w:t>The earn-outs determined to be compensatory are remeasured each reporting period based on whether the performance targets are probable of being achieved and recognized over the related service periods.</w:t>
      </w:r>
      <w:r>
        <w:rPr>
          <w:color w:val="000000"/>
        </w:rPr>
        <w:t xml:space="preserve"> </w:t>
      </w:r>
      <w:r>
        <w:rPr>
          <w:rFonts w:ascii="Times New Roman;sans-serif" w:hAnsi="Times New Roman;sans-serif"/>
          <w:b w:val="false"/>
          <w:color w:val="000000"/>
          <w:sz w:val="20"/>
        </w:rPr>
        <w:t>For the three and six months ended</w:t>
      </w:r>
      <w:r>
        <w:rPr>
          <w:color w:val="000000"/>
          <w:shd w:fill="FFFFFF" w:val="clear"/>
        </w:rPr>
        <w:t xml:space="preserve"> </w:t>
      </w:r>
      <w:r>
        <w:rPr>
          <w:rFonts w:ascii="Times New Roman;sans-serif" w:hAnsi="Times New Roman;sans-serif"/>
          <w:b w:val="false"/>
          <w:color w:val="000000"/>
          <w:sz w:val="20"/>
        </w:rPr>
        <w:t>June 30, 2023, we reduced the fair value of the earn-outs by approximately $41.1 million and $42.5 million, respectively, primarily due to settlements that occurred during the three months ended June 30, 2023. The settlements and any changes to the fair value of remaining earn-outs were recognized as a component of stock-based compensation expense and other income (expense) in the accompanying condensed consolidated statements of operations. Subsequent to June 30, 2023, the Company settled the final portion of the VoiceBase earn-out for approximately $15.0 million, which is due to be paid in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Employee Benefit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$0.9 million and $1.4 million of employer matching contributions for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and 2022, respectively, and $2.3 million and $3.0 million for the </w:t>
      </w:r>
      <w:r>
        <w:rPr>
          <w:rFonts w:ascii="Times New Roman;sans-serif" w:hAnsi="Times New Roman;sans-serif"/>
          <w:b w:val="false"/>
          <w:color w:val="000000"/>
          <w:sz w:val="20"/>
        </w:rPr>
        <w:t>six months ended</w:t>
      </w:r>
      <w:r>
        <w:rPr>
          <w:color w:val="000000"/>
          <w:shd w:fill="FFFFFF" w:val="clear"/>
        </w:rPr>
        <w:t xml:space="preserve">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and 2022,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June 30, 2023, the Company had letters of credit totali</w:t>
      </w:r>
      <w:r>
        <w:rPr>
          <w:rFonts w:ascii="Times New Roman;sans-serif" w:hAnsi="Times New Roman;sans-serif"/>
          <w:b w:val="false"/>
          <w:color w:val="000000"/>
          <w:sz w:val="20"/>
          <w:shd w:fill="FFFFFF" w:val="clear"/>
        </w:rPr>
        <w:t>ng $0.7 million</w:t>
      </w:r>
      <w:r>
        <w:rPr>
          <w:color w:val="000000"/>
        </w:rPr>
        <w:t xml:space="preserve"> </w:t>
      </w:r>
      <w:r>
        <w:rPr>
          <w:rFonts w:ascii="Times New Roman;sans-serif" w:hAnsi="Times New Roman;sans-serif"/>
          <w:b w:val="false"/>
          <w:color w:val="000000"/>
          <w:sz w:val="20"/>
        </w:rPr>
        <w:t xml:space="preserve">outstanding as a security deposit for the due performance by the Company of the terms and conditions of a supply contract.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the three and six months ended June 30, 2023 and 2022.</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Non-Income Related Taxes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is subject to sales tax liabilities, plus applicable interest, for states in which it has economic nexus. As of June 30, 2023, there is a $1.8 million accru</w:t>
      </w:r>
      <w:r>
        <w:rPr>
          <w:rFonts w:ascii="Times New Roman;sans-serif" w:hAnsi="Times New Roman;sans-serif"/>
          <w:b w:val="false"/>
          <w:color w:val="000000"/>
          <w:sz w:val="20"/>
          <w:shd w:fill="FFFFFF" w:val="clear"/>
        </w:rPr>
        <w:t xml:space="preserve">al balance for sales tax liabilities included within the condensed consolidated balance sheets.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Stockholders’ Equity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June 30, 2023, there were 200,000,000 shares of common stock authorized, 80,312,090 shares issued, and 77,546,017 shares outstanding. As of December 31, 2022, there were</w:t>
      </w:r>
      <w:r>
        <w:rPr>
          <w:color w:val="000000"/>
          <w:shd w:fill="FFFFFF" w:val="clear"/>
        </w:rPr>
        <w:t xml:space="preserve"> </w:t>
      </w:r>
      <w:r>
        <w:rPr>
          <w:rFonts w:ascii="Times New Roman;sans-serif" w:hAnsi="Times New Roman;sans-serif"/>
          <w:b w:val="false"/>
          <w:color w:val="000000"/>
          <w:sz w:val="20"/>
          <w:shd w:fill="FFFFFF" w:val="clear"/>
        </w:rPr>
        <w:t>200,000,000 shares of common stock authorized, 78,350,984 shares issued, and 75,584,911 shares outstanding.</w:t>
      </w:r>
      <w:r>
        <w:rPr>
          <w:color w:val="000000"/>
        </w:rPr>
        <w:t xml:space="preserve"> </w:t>
      </w:r>
      <w:r>
        <w:rPr>
          <w:rFonts w:ascii="Times New Roman;sans-serif" w:hAnsi="Times New Roman;sans-serif"/>
          <w:b w:val="false"/>
          <w:color w:val="000000"/>
          <w:sz w:val="20"/>
        </w:rPr>
        <w:t xml:space="preserve">The par value for the common stock is $0.001 per share.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there were 5,000,000 shares of preferred stock authorized, and no shares were issued or outstanding. The par value for the preferred stock is $0.001 per share.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shd w:fill="FFFFFF" w:val="clear"/>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w:t>
      </w:r>
      <w:r>
        <w:rPr>
          <w:color w:val="000000"/>
        </w:rPr>
        <w:t xml:space="preserve"> </w:t>
      </w:r>
      <w:r>
        <w:rPr>
          <w:rFonts w:ascii="Times New Roman;sans-serif" w:hAnsi="Times New Roman;sans-serif"/>
          <w:b w:val="false"/>
          <w:color w:val="000000"/>
          <w:sz w:val="20"/>
        </w:rPr>
        <w:t>on the expectation that performance goals will be achieved at the stated target level. The amount of compensation cost recognized depends on the relative satisfaction of the performance condition based on performance to date.</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June 30, 2023, approximately 2.9 million shares of common stock remained available for issuance (taking into account all option exercises and other equity award settlements through June 30, 2023).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1,000,000 shares authorized and reserved for issuance under the 2019 Employee Stock Purchase Plan. As of June 30, 2023, approximately 0.2 million shares of common stock remain available for issuance under the Employee Stock Purchase Plan (taking into account all share purchases through June 30, 2023).</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Inducement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6,159,009 shares of common stock authorized and reserved for issuance under the Inducement Plan. On February 9, 2022, the Company’s board of directors amended the plan and authorized 2,790,961 new shares for issuance. As of June 30, 2023, approximately 1.1 million shares of common stock remained available for issuance under the Inducement Plan (taking into account all option exercises and other equity award settlements through June 30, 2023).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and weighted average exercise prices follows:</w:t>
      </w:r>
    </w:p>
    <w:tbl>
      <w:tblPr>
        <w:tblW w:w="10205" w:type="dxa"/>
        <w:jc w:val="left"/>
        <w:tblInd w:w="0" w:type="dxa"/>
        <w:tblLayout w:type="fixed"/>
        <w:tblCellMar>
          <w:top w:w="28" w:type="dxa"/>
          <w:left w:w="28" w:type="dxa"/>
          <w:bottom w:w="28" w:type="dxa"/>
          <w:right w:w="28" w:type="dxa"/>
        </w:tblCellMar>
      </w:tblPr>
      <w:tblGrid>
        <w:gridCol w:w="975"/>
        <w:gridCol w:w="857"/>
        <w:gridCol w:w="859"/>
        <w:gridCol w:w="362"/>
        <w:gridCol w:w="334"/>
        <w:gridCol w:w="339"/>
        <w:gridCol w:w="115"/>
        <w:gridCol w:w="115"/>
        <w:gridCol w:w="115"/>
        <w:gridCol w:w="260"/>
        <w:gridCol w:w="760"/>
        <w:gridCol w:w="136"/>
        <w:gridCol w:w="109"/>
        <w:gridCol w:w="109"/>
        <w:gridCol w:w="109"/>
        <w:gridCol w:w="888"/>
        <w:gridCol w:w="888"/>
        <w:gridCol w:w="890"/>
        <w:gridCol w:w="109"/>
        <w:gridCol w:w="109"/>
        <w:gridCol w:w="109"/>
        <w:gridCol w:w="354"/>
        <w:gridCol w:w="1036"/>
        <w:gridCol w:w="268"/>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Options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as of December 31, 2022</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expired</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as of June 30, 2023</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vested and expected to vest </w:t>
            </w:r>
          </w:p>
        </w:tc>
        <w:tc>
          <w:tcPr>
            <w:tcW w:w="6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June 30, 2023</w:t>
            </w:r>
          </w:p>
        </w:tc>
        <w:tc>
          <w:tcPr>
            <w:tcW w:w="6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3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stock options exercised during the six months ended June 30, 2023 was approximately $1.4 million. As of June 30, 2023, there was approximately $8.9 million of total unrecognized compensation cost related to nonvested share-based compensation arrangements. That cost is expected to be recognized over a weighted average period of approximately 2.2 years.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 xml:space="preserve">There were no stock options granted during the three months ended June 30, 2023. The per share weighted average fair value of stock options granted was </w:t>
      </w:r>
      <w:r>
        <w:rPr>
          <w:rFonts w:ascii="Times New Roman;sans-serif" w:hAnsi="Times New Roman;sans-serif"/>
          <w:b w:val="false"/>
          <w:color w:val="000000"/>
          <w:sz w:val="20"/>
          <w:shd w:fill="FFFFFF" w:val="clear"/>
        </w:rPr>
        <w:t>$8.19</w:t>
      </w:r>
      <w:r>
        <w:rPr>
          <w:color w:val="000000"/>
        </w:rPr>
        <w:t xml:space="preserve"> </w:t>
      </w:r>
      <w:r>
        <w:rPr>
          <w:rFonts w:ascii="Times New Roman;sans-serif" w:hAnsi="Times New Roman;sans-serif"/>
          <w:b w:val="false"/>
          <w:color w:val="000000"/>
          <w:sz w:val="20"/>
        </w:rPr>
        <w:t xml:space="preserve">during the three months ended June 30, 2022. The per share weighted average fair value of stock options granted was $6.54 and </w:t>
      </w:r>
      <w:r>
        <w:rPr>
          <w:rFonts w:ascii="Times New Roman;sans-serif" w:hAnsi="Times New Roman;sans-serif"/>
          <w:b w:val="false"/>
          <w:color w:val="000000"/>
          <w:sz w:val="20"/>
          <w:shd w:fill="FFFFFF" w:val="clear"/>
        </w:rPr>
        <w:t>$11.89</w:t>
      </w:r>
      <w:r>
        <w:rPr>
          <w:color w:val="000000"/>
        </w:rPr>
        <w:t xml:space="preserve"> </w:t>
      </w:r>
      <w:r>
        <w:rPr>
          <w:rFonts w:ascii="Times New Roman;sans-serif" w:hAnsi="Times New Roman;sans-serif"/>
          <w:b w:val="false"/>
          <w:color w:val="000000"/>
          <w:sz w:val="20"/>
        </w:rPr>
        <w:t>during the six months ended June 30, 2023 and 2022, respectively. The fair value of each option grant is estimated on the date of grant, adjusted for estimated forfeitures, using the Black-Scholes option-pricing model with the following weighted average assumptions:</w:t>
      </w:r>
    </w:p>
    <w:tbl>
      <w:tblPr>
        <w:tblW w:w="8484" w:type="dxa"/>
        <w:jc w:val="left"/>
        <w:tblInd w:w="0" w:type="dxa"/>
        <w:tblLayout w:type="fixed"/>
        <w:tblCellMar>
          <w:top w:w="28" w:type="dxa"/>
          <w:left w:w="28" w:type="dxa"/>
          <w:bottom w:w="28" w:type="dxa"/>
          <w:right w:w="28" w:type="dxa"/>
        </w:tblCellMar>
      </w:tblPr>
      <w:tblGrid>
        <w:gridCol w:w="723"/>
        <w:gridCol w:w="635"/>
        <w:gridCol w:w="637"/>
        <w:gridCol w:w="271"/>
        <w:gridCol w:w="271"/>
        <w:gridCol w:w="271"/>
        <w:gridCol w:w="271"/>
        <w:gridCol w:w="271"/>
        <w:gridCol w:w="271"/>
        <w:gridCol w:w="505"/>
        <w:gridCol w:w="505"/>
        <w:gridCol w:w="505"/>
        <w:gridCol w:w="109"/>
        <w:gridCol w:w="109"/>
        <w:gridCol w:w="109"/>
        <w:gridCol w:w="245"/>
        <w:gridCol w:w="245"/>
        <w:gridCol w:w="245"/>
        <w:gridCol w:w="242"/>
        <w:gridCol w:w="242"/>
        <w:gridCol w:w="242"/>
        <w:gridCol w:w="457"/>
        <w:gridCol w:w="457"/>
        <w:gridCol w:w="646"/>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 yield</w:t>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0.00%</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Risk-free interest rate</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2.81% - 3.38%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3.60%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1.62% - 3.38%</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life (in years)</w:t>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Historical volatility</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57.82% - 58.91%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65.17%</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53.87% - 58.91%</w:t>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methods used in the significant assumptions used to estimate the fair value of stock-based compensation awards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Dividend yield – </w:t>
      </w:r>
      <w:r>
        <w:rPr>
          <w:rFonts w:ascii="Times New Roman;sans-serif" w:hAnsi="Times New Roman;sans-serif"/>
          <w:b w:val="false"/>
          <w:color w:val="000000"/>
          <w:sz w:val="20"/>
        </w:rPr>
        <w:t>The Company uses 0% as it has never issued dividends and does not anticipate issuing dividends in the near term.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Risk-free interest rate – </w:t>
      </w:r>
      <w:r>
        <w:rPr>
          <w:rFonts w:ascii="Times New Roman;sans-serif" w:hAnsi="Times New Roman;sans-serif"/>
          <w:b w:val="false"/>
          <w:color w:val="000000"/>
          <w:sz w:val="20"/>
        </w:rPr>
        <w:t>The Company uses the market yield on U.S. Treasury securities at five years with constant maturity, representing the current expected life of stock options in years.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Expected life – </w:t>
      </w:r>
      <w:r>
        <w:rPr>
          <w:rFonts w:ascii="Times New Roman;sans-serif" w:hAnsi="Times New Roman;sans-serif"/>
          <w:b w:val="false"/>
          <w:color w:val="000000"/>
          <w:sz w:val="20"/>
        </w:rPr>
        <w:t>The Company uses historical data to estimate the expected life of a stock option.</w:t>
      </w:r>
    </w:p>
    <w:p>
      <w:pPr>
        <w:pStyle w:val="TextBody"/>
        <w:bidi w:val="0"/>
        <w:spacing w:lineRule="auto" w:line="288" w:before="0" w:after="320"/>
        <w:ind w:left="0" w:right="0" w:hanging="360"/>
        <w:jc w:val="both"/>
        <w:rPr/>
      </w:pPr>
      <w:r>
        <w:rPr>
          <w:color w:val="000000"/>
        </w:rPr>
        <w:t>•</w:t>
      </w:r>
      <w:r>
        <w:rPr>
          <w:rFonts w:ascii="Times New Roman;sans-serif" w:hAnsi="Times New Roman;sans-serif"/>
          <w:b w:val="false"/>
          <w:i/>
          <w:color w:val="000000"/>
          <w:sz w:val="20"/>
        </w:rPr>
        <w:t>Historical volatility – </w:t>
      </w:r>
      <w:r>
        <w:rPr>
          <w:rFonts w:ascii="Times New Roman;sans-serif" w:hAnsi="Times New Roman;sans-serif"/>
          <w:b w:val="false"/>
          <w:color w:val="000000"/>
          <w:sz w:val="20"/>
        </w:rPr>
        <w:t>The Company uses a trailing five year from grant date to determine volatility.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 and Performance-Vesting Restricted Stock Unit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RSUs and PRSUs activity and weighted average exercise prices follows:</w:t>
      </w:r>
    </w:p>
    <w:tbl>
      <w:tblPr>
        <w:tblW w:w="9967" w:type="dxa"/>
        <w:jc w:val="center"/>
        <w:tblInd w:w="0" w:type="dxa"/>
        <w:tblLayout w:type="fixed"/>
        <w:tblCellMar>
          <w:top w:w="28" w:type="dxa"/>
          <w:left w:w="28" w:type="dxa"/>
          <w:bottom w:w="28" w:type="dxa"/>
          <w:right w:w="28" w:type="dxa"/>
        </w:tblCellMar>
      </w:tblPr>
      <w:tblGrid>
        <w:gridCol w:w="1456"/>
        <w:gridCol w:w="1280"/>
        <w:gridCol w:w="1284"/>
        <w:gridCol w:w="504"/>
        <w:gridCol w:w="504"/>
        <w:gridCol w:w="506"/>
        <w:gridCol w:w="164"/>
        <w:gridCol w:w="164"/>
        <w:gridCol w:w="164"/>
        <w:gridCol w:w="412"/>
        <w:gridCol w:w="1205"/>
        <w:gridCol w:w="212"/>
        <w:gridCol w:w="109"/>
        <w:gridCol w:w="109"/>
        <w:gridCol w:w="109"/>
        <w:gridCol w:w="347"/>
        <w:gridCol w:w="1185"/>
        <w:gridCol w:w="253"/>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outstanding as of December 31, 2022</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outstanding as of June 30, 2023</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to vest </w:t>
            </w:r>
          </w:p>
        </w:tc>
        <w:tc>
          <w:tcPr>
            <w:tcW w:w="100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5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11,340 </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generally vest over a three to four-year period or upon achievement of certain performance conditions. As of June 30, 2023, total unrecognized compensation cost, adjusted for estimated forfeitures, related to nonvested RSUs and PRSUs was approximately $60.6 million and the weighted-average remaining vesting period was 2.3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the Company accrued approximately $1.2 million and $4.8 million in cash awards, respectively, and for the six months ended June 30, 2023 and 2022, the Company accrued approximately $2.8 million and $11.9 million in cash awards, respectively, to be settled in shares of the Company’s stock and recorded a corresponding expense, which is included as a component of stock-based compensation expense in the accompanying condensed consolidated statements of operations for the three and six months ended June 30, 2023 and 2022, respectively.</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in the Company’s condensed consolidated statements of operations and cash flows was $(18.1) million and $36.5 million for the three months ended June 30, 2023 and 2022, respectively, and $(6.8) million and $68.4 million for the six months ended June 30, 2023 and 2022, respectively.</w:t>
      </w:r>
    </w:p>
    <w:p>
      <w:pPr>
        <w:pStyle w:val="TextBody"/>
        <w:bidi w:val="0"/>
        <w:spacing w:before="0" w:after="0"/>
        <w:ind w:left="0" w:right="0" w:firstLine="480"/>
        <w:jc w:val="both"/>
        <w:rPr/>
      </w:pPr>
      <w:r>
        <w:rPr/>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Note 14. </w:t>
      </w:r>
      <w:r>
        <w:rPr>
          <w:rFonts w:ascii="Times New Roman;sans-serif" w:hAnsi="Times New Roman;sans-serif"/>
          <w:b/>
          <w:color w:val="000000"/>
          <w:sz w:val="20"/>
          <w:shd w:fill="FFFFFF" w:val="clear"/>
        </w:rPr>
        <w:t>Restructuring</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During the second quarter of 2022, LivePerson began a restructuring initiative to realign the Company’s cost structure to better reflect significant product and business model innovation and changes over the past year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The Company believes these initiatives will better align resources to provide further operating flexibility and position the business for long-term success. In connection with the restructuring initiatives, the Company recognized restructuring costs of </w:t>
      </w:r>
      <w:r>
        <w:rPr>
          <w:rFonts w:ascii="Times New Roman;sans-serif" w:hAnsi="Times New Roman;sans-serif"/>
          <w:b w:val="false"/>
          <w:color w:val="000000"/>
          <w:sz w:val="20"/>
          <w:shd w:fill="FFFFFF" w:val="clear"/>
        </w:rPr>
        <w:t xml:space="preserve">$2.4 million and $10.9 million </w:t>
      </w:r>
      <w:r>
        <w:rPr>
          <w:rFonts w:ascii="Times New Roman;sans-serif" w:hAnsi="Times New Roman;sans-serif"/>
          <w:b w:val="false"/>
          <w:color w:val="000000"/>
          <w:sz w:val="20"/>
        </w:rPr>
        <w:t>during the three months ended June 30, 2023 and 2022, respectively, and $13.9 million and $10.8 million during the six months ended June 30, 2023 and 2022, respectively, which is included in restructuring costs in the accompanying condensed consolidated statements of operations. The majority of these costs relate to the Company’s Business segment. Such costs primarily include severance and other compensation costs.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following table presents the detail of the liability for the Company’s restructuring charges, which is included within accrued expenses and other current liabilities within the </w:t>
      </w:r>
      <w:r>
        <w:rPr>
          <w:rFonts w:ascii="Times New Roman;sans-serif" w:hAnsi="Times New Roman;sans-serif"/>
          <w:b w:val="false"/>
          <w:color w:val="000000"/>
          <w:sz w:val="20"/>
        </w:rPr>
        <w:t>accompanying condensed consolidated</w:t>
      </w:r>
      <w:r>
        <w:rPr>
          <w:color w:val="000000"/>
          <w:shd w:fill="FFFFFF" w:val="clear"/>
        </w:rPr>
        <w:t xml:space="preserve"> </w:t>
      </w:r>
      <w:r>
        <w:rPr>
          <w:rFonts w:ascii="Times New Roman;sans-serif" w:hAnsi="Times New Roman;sans-serif"/>
          <w:b w:val="false"/>
          <w:color w:val="000000"/>
          <w:sz w:val="20"/>
          <w:shd w:fill="FFFFFF" w:val="clear"/>
        </w:rPr>
        <w:t xml:space="preserve">balance sheets as of </w:t>
      </w:r>
      <w:r>
        <w:rPr>
          <w:rFonts w:ascii="Times New Roman;sans-serif" w:hAnsi="Times New Roman;sans-serif"/>
          <w:b w:val="false"/>
          <w:color w:val="000000"/>
          <w:sz w:val="20"/>
        </w:rPr>
        <w:t>June 30, 2023 and December 31, 2022</w:t>
      </w:r>
      <w:r>
        <w:rPr>
          <w:rFonts w:ascii="Times New Roman;sans-serif" w:hAnsi="Times New Roman;sans-serif"/>
          <w:b w:val="false"/>
          <w:color w:val="000000"/>
          <w:sz w:val="20"/>
          <w:shd w:fill="FFFFFF" w:val="clear"/>
        </w:rPr>
        <w:t>:</w:t>
      </w:r>
    </w:p>
    <w:p>
      <w:pPr>
        <w:pStyle w:val="TextBody"/>
        <w:bidi w:val="0"/>
        <w:spacing w:before="0" w:after="0"/>
        <w:ind w:left="0" w:right="0" w:firstLine="480"/>
        <w:jc w:val="both"/>
        <w:rPr/>
      </w:pPr>
      <w:r>
        <w:rPr/>
      </w:r>
    </w:p>
    <w:tbl>
      <w:tblPr>
        <w:tblW w:w="6723" w:type="dxa"/>
        <w:jc w:val="center"/>
        <w:tblInd w:w="0" w:type="dxa"/>
        <w:tblLayout w:type="fixed"/>
        <w:tblCellMar>
          <w:top w:w="28" w:type="dxa"/>
          <w:left w:w="28" w:type="dxa"/>
          <w:bottom w:w="28" w:type="dxa"/>
          <w:right w:w="28" w:type="dxa"/>
        </w:tblCellMar>
      </w:tblPr>
      <w:tblGrid>
        <w:gridCol w:w="1548"/>
        <w:gridCol w:w="1361"/>
        <w:gridCol w:w="1366"/>
        <w:gridCol w:w="211"/>
        <w:gridCol w:w="616"/>
        <w:gridCol w:w="109"/>
        <w:gridCol w:w="109"/>
        <w:gridCol w:w="109"/>
        <w:gridCol w:w="109"/>
        <w:gridCol w:w="255"/>
        <w:gridCol w:w="744"/>
        <w:gridCol w:w="186"/>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restructuring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compensation associated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that payments associated with the employee severance and other compensation associated costs reflected in the table above will be substantially completed by December 31, 2023.</w:t>
      </w:r>
    </w:p>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expenses for the Company’s restructuring charges for the three and six months ended June 30, 2023 and 2022:</w:t>
      </w:r>
    </w:p>
    <w:p>
      <w:pPr>
        <w:pStyle w:val="TextBody"/>
        <w:bidi w:val="0"/>
        <w:spacing w:before="0" w:after="0"/>
        <w:ind w:left="0" w:right="0" w:firstLine="480"/>
        <w:jc w:val="both"/>
        <w:rPr/>
      </w:pPr>
      <w:r>
        <w:rPr/>
      </w:r>
    </w:p>
    <w:tbl>
      <w:tblPr>
        <w:tblW w:w="9497" w:type="dxa"/>
        <w:jc w:val="center"/>
        <w:tblInd w:w="0" w:type="dxa"/>
        <w:tblLayout w:type="fixed"/>
        <w:tblCellMar>
          <w:top w:w="28" w:type="dxa"/>
          <w:left w:w="28" w:type="dxa"/>
          <w:bottom w:w="28" w:type="dxa"/>
          <w:right w:w="28" w:type="dxa"/>
        </w:tblCellMar>
      </w:tblPr>
      <w:tblGrid>
        <w:gridCol w:w="1549"/>
        <w:gridCol w:w="1361"/>
        <w:gridCol w:w="1365"/>
        <w:gridCol w:w="224"/>
        <w:gridCol w:w="653"/>
        <w:gridCol w:w="115"/>
        <w:gridCol w:w="115"/>
        <w:gridCol w:w="115"/>
        <w:gridCol w:w="115"/>
        <w:gridCol w:w="224"/>
        <w:gridCol w:w="765"/>
        <w:gridCol w:w="115"/>
        <w:gridCol w:w="109"/>
        <w:gridCol w:w="109"/>
        <w:gridCol w:w="109"/>
        <w:gridCol w:w="211"/>
        <w:gridCol w:w="721"/>
        <w:gridCol w:w="109"/>
        <w:gridCol w:w="109"/>
        <w:gridCol w:w="109"/>
        <w:gridCol w:w="109"/>
        <w:gridCol w:w="211"/>
        <w:gridCol w:w="721"/>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restructuring costs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compensation associated costs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Note 15</w:t>
      </w:r>
      <w:r>
        <w:rPr>
          <w:rFonts w:ascii="Times New Roman;sans-serif" w:hAnsi="Times New Roman;sans-serif"/>
          <w:b/>
          <w:color w:val="000000"/>
          <w:sz w:val="20"/>
          <w:shd w:fill="FFFFFF" w:val="clear"/>
        </w:rPr>
        <w:t>. Legal Matters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Putative Class Action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April 24, 2023, a putative stockholder class action entitled Straub v. LivePerson, Inc., No. 1:23-cv-03078, was filed under the federal securities laws against the Company, its former Chief Executive Officer, and Chief Financial Officer in the United States District Court for the Eastern District of New York. The complaint alleged that in violation of Section 10(b)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Exchange Act of 1934, the Company made false and misleading statements in its Form 10-Q filings and forecasts for the first, second, and third quarters of fiscal year 2022 based on the Company’s subsequent disclosures in its subsequent annual report on Form 10-K on March 16, 2023. On June 23, 2023, the plaintiff voluntarily dismissed his case without prejudice. On May 1, 2023, a similar putative stockholder class action entitled Weissbrod v. LivePerson, Inc., was filed in the District Court of Tel Aviv, Israel on behalf of Company stockholders who traded Company shares on the Tel Aviv Stock Exchange regarding the same subject matter as asserted in the Straub case. The Tel Aviv case is currently expected to be stayed pending further activity in the New York case. The Company believes these claims are without merit.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[24]7 Litigation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filed an intellectual property suit (the “Company IP Suit”) against [24]7 Customer, Inc. (“[24]7”) on March 6, 2014. On June 22, 2015, and December 7, 2015, [24]7 filed separate countersuits (together, the “Countersuits”) against the Company in the United States District Court for the Northern District of California (the “Court”) alleging patent infringement. The trial with respect to the Company IP Suit occurred on May 24, 2021 with respect to the Company’s first set of intellectual property claims, and the jury awarded approximately $30.3 million in favor of the Company. The Company and [24]7 subsequently reached an agreement on the terms of a permanent injunction and that additional costs were owed to the Company in the amount of $0.4 million. On July 28, 2022, the Court granted the Company’s motion for interest, awarding an additional approximately $4.3 million. In August 2022, 24[7] appealed the judgment in favor of the Company with respect to the Company IP Suit. In addition, a trial to adjudicate the Countersuits began in 2023, and a trial with respect to the Company’s second set of intellectual property claims against [24]7 has been set for early 2024. On February 20, 2023, the Company and [24]7 entered into a binding Memorandum of Understanding (“MOU”) detailing the terms for settlement and resolution of all litigation matters between the parties and subsequently entered into binding settlement and commercial agreements as described in the MOU (the “Agreements”). The referenced litigations are currently stayed and dismissal with prejudice of all litigation matters between the parties is expected in the near term, following the completion of certain collateral documentation described in the Agreements.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COVID-Related Matters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inquiries by Medicare, the Department of Justice and the U.S. Food and Drug Administration (“governmental agencies”). As previously disclosed, in November 2022, a professional corporation managed by WildHealth received notice that Medicare reimbursements for its services rendered under a Medicare demonstration program related to COVID-19 testing (the “Program”) were suspended pending further review. Subsequently, WildHealth received and successfully responded to inquiries from additional governmental agencies with respect to its participation in the Program, which are now completed, and is currently in discussions with Medicare regarding resolution of the suspension and release of reimbursements for services rendered under the Program. The Company also previously provided other products and services related to COVID-19 testing and accompanying software. Those COVID-19 related products and services have also been the subject of inquiry and pending review by governmental agencies. The Company and WildHealth have discontinued all products and services related to COVID-19, and have responded to and intend to continue to cooperate with governmental inquiries related to their previous engagement in COVID-19 related product and service offerings.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General Legal, Administrative and Regulatory Inquiries, Investigations and Other Matters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From time to time, the Company is involved in or subject to legal, administrative and regulatory proceedings, inquiries and investigations and actual or threatened claims and/or demands arising in the ordinary course of business (“Claims”), including without limitation direct Claims brought by or against the Company, its affiliates, subsidiaries, directors and/or officers with respect to intellectual property, contracts, employment, commercial, legal, regulatory and/or other matters related to our business,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loss, indicate that the estimate is immaterial with respect to its financial statements as a whole or, if the amount of such adjustment cannot be reasonably estimated, disclose that an estimate cannot be made.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Regardless of the outcome, litigation and investigations can have an adverse impact on the Company because of defense settlement costs, diversion of management resources and other factors.</w:t>
      </w:r>
    </w:p>
    <w:p>
      <w:pPr>
        <w:pStyle w:val="TextBody"/>
        <w:bidi w:val="0"/>
        <w:spacing w:before="0" w:after="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 Income Taxes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w:t>
      </w:r>
    </w:p>
    <w:p>
      <w:pPr>
        <w:pStyle w:val="TextBody"/>
        <w:bidi w:val="0"/>
        <w:spacing w:lineRule="auto" w:line="25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includes interest accrued on the underpayment of income taxes in interest expense and penalties, if any, related to unrecognized tax benefits in general and administrative expenses. The Company recorded a valuation allowance against its U.S. and e-bot7 deferred tax assets as it considered its cumulative losses in recent years as a significant piece of negative evidence. Since valuation allowances are evaluated by jurisdiction, the Company believes that the deferred tax assets related to LivePerson Australia Holdings Pty. Ltd., LivePerson (UK) Ltd., LivePerson Japan, and LivePerson Ltd. (Israel) are more likely than not to be realized as these jurisdictions have positive cumulative pre-tax book income after adjusting for permanent and one-time items. During the year ended December 31, 2022, there was an increase in the valuation allowance recorded of $80.5 million. During 2023, the Company made an immaterial change to its presentation of its December 31, 2022 unrecognized tax benefits of $2.2 million to properly reflect the balance as a non-current liability, with the balance now included under “Other liabilities” in the condensed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June 30, 2023, the Company recorded a tax provision of $1.1 million. This amount consists of a tax provision of $0.9 million on operating earnings coupled with a stock compensation tax deficiency of $0.2 million</w:t>
      </w:r>
      <w:r>
        <w:rPr>
          <w:color w:val="000000"/>
          <w:shd w:fill="FFFFFF" w:val="clear"/>
        </w:rPr>
        <w:t xml:space="preserve"> </w:t>
      </w:r>
      <w:r>
        <w:rPr>
          <w:rFonts w:ascii="Times New Roman;sans-serif" w:hAnsi="Times New Roman;sans-serif"/>
          <w:b w:val="false"/>
          <w:color w:val="000000"/>
          <w:sz w:val="20"/>
          <w:shd w:fill="FFFFFF" w:val="clear"/>
        </w:rPr>
        <w:t xml:space="preserve">related to stock compensation arrangements of LivePerson, LivePerson (UK) Ltd. and LivePerson Ltd. (Israel). </w:t>
      </w:r>
      <w:r>
        <w:rPr>
          <w:rFonts w:ascii="Times New Roman;sans-serif" w:hAnsi="Times New Roman;sans-serif"/>
          <w:b w:val="false"/>
          <w:color w:val="000000"/>
          <w:sz w:val="20"/>
        </w:rPr>
        <w:t xml:space="preserve">During the first quarter of 2023, and included within the provision on operating earnings noted above, the Company sold Kasamba, Inc. and Kasamba LTD in a taxable transaction that resulted in a tax provision of </w:t>
      </w:r>
      <w:r>
        <w:rPr>
          <w:rFonts w:ascii="Times New Roman;sans-serif" w:hAnsi="Times New Roman;sans-serif"/>
          <w:b w:val="false"/>
          <w:color w:val="000000"/>
          <w:sz w:val="20"/>
          <w:shd w:fill="FFFFFF" w:val="clear"/>
        </w:rPr>
        <w:t>$0.8 million</w:t>
      </w:r>
      <w:r>
        <w:rPr>
          <w:color w:val="000000"/>
        </w:rPr>
        <w:t xml:space="preserve"> </w:t>
      </w:r>
      <w:r>
        <w:rPr>
          <w:rFonts w:ascii="Times New Roman;sans-serif" w:hAnsi="Times New Roman;sans-serif"/>
          <w:b w:val="false"/>
          <w:color w:val="000000"/>
          <w:sz w:val="20"/>
        </w:rPr>
        <w:t xml:space="preserve">related to an increase in valuation allowance on deferred tax assets resulting from a release of Kasamba’s deferred tax liabilities. </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pPr>
      <w:r>
        <w:rPr>
          <w:rFonts w:ascii="Times New Roman;sans-serif" w:hAnsi="Times New Roman;sans-serif"/>
          <w:b w:val="false"/>
          <w:color w:val="000000"/>
          <w:sz w:val="20"/>
          <w:shd w:fill="FFFFFF" w:val="clear"/>
        </w:rPr>
        <w:t xml:space="preserve">The Company had a valuation allowance on certain deferred tax assets for the year ended December 31, 2022 of $187.5 million. Inherent in the Company’s 2023 annual effective tax rate is an estimated increase in the valuation allowance of $38.2 million, all of which will be recorded as an expense. During 2022, an increase in the valuation allowance in the amount of $38.8 million was recorded as an expense and an additional increase to the valuation allowance of $0.5 million was recorded to goodwill against acquired federal and state net operating losses and due to the adoption of ASU 2020-06, </w:t>
      </w:r>
      <w:r>
        <w:rPr>
          <w:rFonts w:ascii="Times New Roman;sans-serif" w:hAnsi="Times New Roman;sans-serif"/>
          <w:b w:val="false"/>
          <w:i/>
          <w:color w:val="000000"/>
          <w:sz w:val="20"/>
          <w:shd w:fill="FFFFFF" w:val="clear"/>
        </w:rPr>
        <w:t>Accounting for Convertible Instruments and Contracts in an Entity’s Own Equity</w:t>
      </w:r>
      <w:r>
        <w:rPr>
          <w:rFonts w:ascii="Times New Roman;sans-serif" w:hAnsi="Times New Roman;sans-serif"/>
          <w:b w:val="false"/>
          <w:color w:val="000000"/>
          <w:sz w:val="20"/>
          <w:shd w:fill="FFFFFF" w:val="clear"/>
        </w:rPr>
        <w:t>, the Company recorded an increase of the valuation allowance to other comprehensive income of $41.2 million.</w:t>
      </w:r>
    </w:p>
    <w:p>
      <w:pPr>
        <w:pStyle w:val="TextBody"/>
        <w:bidi w:val="0"/>
        <w:spacing w:lineRule="auto" w:line="288" w:before="0" w:after="3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currently do not expect the tax-related provisions of the IRA to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Equity Method Investment</w:t>
      </w:r>
    </w:p>
    <w:p>
      <w:pPr>
        <w:pStyle w:val="TextBody"/>
        <w:bidi w:val="0"/>
        <w:spacing w:before="0" w:after="0"/>
        <w:ind w:left="0" w:right="0" w:firstLine="480"/>
        <w:jc w:val="both"/>
        <w:rPr/>
      </w:pPr>
      <w:r>
        <w:rPr/>
      </w:r>
    </w:p>
    <w:p>
      <w:pPr>
        <w:pStyle w:val="TextBody"/>
        <w:bidi w:val="0"/>
        <w:spacing w:lineRule="auto" w:line="288" w:before="0" w:after="160"/>
        <w:ind w:left="0" w:right="0" w:firstLine="720"/>
        <w:jc w:val="both"/>
        <w:rPr/>
      </w:pPr>
      <w:r>
        <w:rPr>
          <w:rFonts w:ascii="Times New Roman;sans-serif" w:hAnsi="Times New Roman;sans-serif"/>
          <w:b w:val="false"/>
          <w:color w:val="000000"/>
          <w:sz w:val="20"/>
        </w:rPr>
        <w:t xml:space="preserve">On February 13, 2022, the Company and Pasaca Capital Inc. (“Pasaca”) entered into a joint venture agreement (the “JV Agreement”) to form Claire, a joint venture to build, create, and administer a marketplace for health and well-being diagnostic testing. Claire is intended to operate an app store-like platform to make medical testing and accessing results easier and more informative. Claire </w:t>
      </w:r>
      <w:r>
        <w:rPr>
          <w:rFonts w:ascii="Times New Roman;sans-serif" w:hAnsi="Times New Roman;sans-serif"/>
          <w:b w:val="false"/>
          <w:color w:val="000000"/>
          <w:sz w:val="20"/>
          <w:shd w:fill="FFFFFF" w:val="clear"/>
        </w:rPr>
        <w:t>is being developed with the goal of creating a</w:t>
      </w:r>
      <w:r>
        <w:rPr>
          <w:color w:val="000000"/>
        </w:rPr>
        <w:t xml:space="preserve"> </w:t>
      </w:r>
      <w:r>
        <w:rPr>
          <w:rFonts w:ascii="Times New Roman;sans-serif" w:hAnsi="Times New Roman;sans-serif"/>
          <w:b w:val="false"/>
          <w:color w:val="000000"/>
          <w:sz w:val="20"/>
        </w:rPr>
        <w:t xml:space="preserve">single place to shop for testing services from numerous testing providers, including Claire-branded tests and at-home tests.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60"/>
        <w:jc w:val="both"/>
        <w:rPr/>
      </w:pPr>
      <w:r>
        <w:rPr>
          <w:rFonts w:ascii="Times New Roman;sans-serif" w:hAnsi="Times New Roman;sans-serif"/>
          <w:b w:val="false"/>
          <w:color w:val="000000"/>
          <w:sz w:val="20"/>
        </w:rPr>
        <w:t>in Claire. As of June 30, 2023</w:t>
      </w:r>
      <w:r>
        <w:rPr>
          <w:rFonts w:ascii="Times New Roman;sans-serif" w:hAnsi="Times New Roman;sans-serif"/>
          <w:b w:val="false"/>
          <w:color w:val="000000"/>
          <w:sz w:val="20"/>
          <w:shd w:fill="FFFFFF" w:val="clear"/>
        </w:rPr>
        <w:t>, $9.1 million</w:t>
      </w:r>
      <w:r>
        <w:rPr>
          <w:color w:val="000000"/>
        </w:rPr>
        <w:t xml:space="preserve"> </w:t>
      </w:r>
      <w:r>
        <w:rPr>
          <w:rFonts w:ascii="Times New Roman;sans-serif" w:hAnsi="Times New Roman;sans-serif"/>
          <w:b w:val="false"/>
          <w:color w:val="000000"/>
          <w:sz w:val="20"/>
        </w:rPr>
        <w:t>remained to be contributed to Claire by the Company under the terms of the JV Agreement. The Company accounts for its 19.2% interest in Claire using the equity method of accounting. The Company recorded its ownership percentage of losses of Claire in Other income (expense), net of $0.8 million and $1.4 million for the three and six months ended June 30, 2023, respectively. The Company recorded its ownership percentage of losses of Claire in Other income (expense), net of $0.1 million for the three and six months ended June 30, 2022, respectively.</w:t>
      </w:r>
    </w:p>
    <w:p>
      <w:pPr>
        <w:pStyle w:val="TextBody"/>
        <w:bidi w:val="0"/>
        <w:spacing w:lineRule="auto" w:line="288" w:before="0" w:after="3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equity method investment was $0.9 million and was included in investment in joint venture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18. Variable Interest Entities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condensed consolidated financial statements in accordance with ASC 810, which provides for the consolidation of VIEs of which the Company is the primary beneficiary.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WildHealth consolidates the PCs as VIEs. The Company determined that the PCs are VIEs as WildHealth is the primary beneficiary of the PCs.</w:t>
      </w:r>
    </w:p>
    <w:p>
      <w:pPr>
        <w:pStyle w:val="TextBody"/>
        <w:bidi w:val="0"/>
        <w:spacing w:lineRule="auto" w:line="288" w:before="0" w:after="3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liabilities, revenues, and operating results of the VIEs after elimination of intercompany transactions were not material as of and for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Related Parties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Related parties are defined as entities related to the Company’s directors</w:t>
      </w:r>
      <w:r>
        <w:rPr>
          <w:color w:val="000000"/>
          <w:shd w:fill="FFFFFF" w:val="clear"/>
        </w:rPr>
        <w:t xml:space="preserve"> </w:t>
      </w:r>
      <w:r>
        <w:rPr>
          <w:rFonts w:ascii="Times New Roman;sans-serif" w:hAnsi="Times New Roman;sans-serif"/>
          <w:b w:val="false"/>
          <w:color w:val="000000"/>
          <w:sz w:val="20"/>
          <w:shd w:fill="FFFFFF" w:val="clear"/>
        </w:rPr>
        <w:t>or main sha</w:t>
      </w:r>
      <w:r>
        <w:rPr>
          <w:rFonts w:ascii="Times New Roman;sans-serif" w:hAnsi="Times New Roman;sans-serif"/>
          <w:b w:val="false"/>
          <w:color w:val="000000"/>
          <w:sz w:val="20"/>
        </w:rPr>
        <w:t xml:space="preserve">reholders as well as equity method affiliates. The Company provides services to Claire, an equity method affiliate (refer to Note 17 – </w:t>
      </w:r>
      <w:r>
        <w:rPr>
          <w:rFonts w:ascii="Times New Roman;sans-serif" w:hAnsi="Times New Roman;sans-serif"/>
          <w:b w:val="false"/>
          <w:i/>
          <w:color w:val="000000"/>
          <w:sz w:val="20"/>
        </w:rPr>
        <w:t>Equity Method Investment</w:t>
      </w:r>
      <w:r>
        <w:rPr>
          <w:color w:val="000000"/>
        </w:rPr>
        <w:t xml:space="preserve"> </w:t>
      </w:r>
      <w:r>
        <w:rPr>
          <w:rFonts w:ascii="Times New Roman;sans-serif" w:hAnsi="Times New Roman;sans-serif"/>
          <w:b w:val="false"/>
          <w:color w:val="000000"/>
          <w:sz w:val="20"/>
        </w:rPr>
        <w:t>for additional information on the equity method affiliate) in exchange for fees through certain transition service agreements and commercial arrangements. In accordance with the agreement between the Company and Claire, the Company will be developing the Claire platform, host the platform in LivePerson’s cloud and perform professional services to support the development and hosting of the Claire platform. These services and the stated prices are set forth in the agreement. These agreements facilitate the operations of the newly formed company by allowing Claire to operate independently prior to establishing stand-alone back-office systems across its organization.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JV Agreement, the Company entered into a transition services agreement with Claire, under which, the Company agreed to provide custom software development and managed services (Professional Services) in exchange for fees governed by the terms and conditions set forth in the Build-Out Services Agreement (the “Build-Out Services Agreement). The related fees are recognized as revenue over time from January 1, 2022 to December 31, 2023. The Company also entered into commercial arrangements with Claire, which provide access to the Company’s Conversational Cloud Platform as hosting services and professional services in exchange for fees governed by the terms and conditions set forth in the Master Service Agreement (the “MSA”). In accordance with guidance under ASC 606, Claire is considered a customer of the Company and is expected to utilize its Conversational Cloud software and services in a manner similar to that of the Company’s customer base. Contract terms may be extended by mutual written agreement of the parties but cannot be terminated earlier except as set forth in the Build-Out Services Agreement or MSA, as applicable.</w:t>
      </w:r>
    </w:p>
    <w:p>
      <w:pPr>
        <w:pStyle w:val="TextBody"/>
        <w:bidi w:val="0"/>
        <w:spacing w:lineRule="auto" w:line="300" w:before="0" w:after="400"/>
        <w:ind w:left="0" w:right="0" w:firstLine="720"/>
        <w:jc w:val="both"/>
        <w:rPr/>
      </w:pPr>
      <w:r>
        <w:rPr>
          <w:rFonts w:ascii="Times New Roman;sans-serif" w:hAnsi="Times New Roman;sans-serif"/>
          <w:b w:val="false"/>
          <w:color w:val="000000"/>
          <w:sz w:val="20"/>
        </w:rPr>
        <w:t xml:space="preserve">Revenues for the services provided to Claire included in the Company’s condensed consolidated statements of operations were $3.8 million and $13.2 million for the six months ended June 30, 2023 and 2022. No revenues were recognized for the three months ended June 30, 2023, compared to $13.2 million that was recorded as revenue for </w:t>
      </w:r>
      <w:r>
        <w:rPr>
          <w:rFonts w:ascii="Times New Roman;sans-serif" w:hAnsi="Times New Roman;sans-serif"/>
          <w:b w:val="false"/>
          <w:color w:val="000000"/>
          <w:sz w:val="20"/>
          <w:shd w:fill="FFFFFF" w:val="clear"/>
        </w:rPr>
        <w:t xml:space="preserve">the three months ended June 30, 2022. No deferred revenue was included in the Company’s condensed consolidated balance sheets as of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rPr>
        <w:t>Accounts receivable totaled $2.1 million as of June 30, 2023 and was included in the Company’s condensed consolidated balance sheets. Total unbilled invoices and account receivables were $4.8 million and $1.4 million, respectively,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20. Divestiture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the fourth quarter of 2022, the Company entered into a non-binding Letter of Intent to divest Kasamba, Inc. and Kasamba LTD (together “Kasamba”), which facilitates online transactions between Experts and Users seeking information and knowledge for a fee via mobile and online messaging.</w:t>
      </w:r>
      <w:r>
        <w:rPr>
          <w:color w:val="000000"/>
          <w:shd w:fill="FFFFFF" w:val="clear"/>
        </w:rPr>
        <w:t xml:space="preserve"> </w:t>
      </w:r>
      <w:r>
        <w:rPr>
          <w:rFonts w:ascii="Times New Roman;sans-serif" w:hAnsi="Times New Roman;sans-serif"/>
          <w:b w:val="false"/>
          <w:color w:val="000000"/>
          <w:sz w:val="20"/>
        </w:rPr>
        <w:t xml:space="preserve">The Company determined that Kasamba met the criteria for classification as held for sale in accordance with ASC Subtopic 360-10, and the related net assets were separately presented in current assets and current liabilities as held for sale on the consolidated balance sheets as of </w:t>
      </w:r>
      <w:r>
        <w:rPr>
          <w:rFonts w:ascii="Times New Roman;sans-serif" w:hAnsi="Times New Roman;sans-serif"/>
          <w:b w:val="false"/>
          <w:color w:val="000000"/>
          <w:sz w:val="20"/>
          <w:shd w:fill="FFFFFF" w:val="clear"/>
        </w:rPr>
        <w:t>December 31, 2022</w:t>
      </w:r>
      <w:r>
        <w:rPr>
          <w:color w:val="000000"/>
        </w:rPr>
        <w:t xml:space="preserve"> </w:t>
      </w:r>
      <w:r>
        <w:rPr>
          <w:rFonts w:ascii="Times New Roman;sans-serif" w:hAnsi="Times New Roman;sans-serif"/>
          <w:b w:val="false"/>
          <w:color w:val="000000"/>
          <w:sz w:val="20"/>
        </w:rPr>
        <w:t>and depreciation of long-lived assets ceased. Pursuant to ASC 205-20, the divestiture did not meet the criteria for presentation as a discontinued operation.</w:t>
      </w:r>
      <w:r>
        <w:rPr>
          <w:color w:val="000000"/>
          <w:shd w:fill="FFFFFF" w:val="clear"/>
        </w:rPr>
        <w:t xml:space="preserve"> </w:t>
      </w:r>
      <w:r>
        <w:rPr>
          <w:rFonts w:ascii="Times New Roman;sans-serif" w:hAnsi="Times New Roman;sans-serif"/>
          <w:b w:val="false"/>
          <w:color w:val="000000"/>
          <w:sz w:val="20"/>
        </w:rPr>
        <w:t xml:space="preserve">Kasamba represented the Company’s </w:t>
      </w:r>
      <w:r>
        <w:rPr>
          <w:rFonts w:ascii="Times New Roman;sans-serif" w:hAnsi="Times New Roman;sans-serif"/>
          <w:b w:val="false"/>
          <w:color w:val="000000"/>
          <w:sz w:val="20"/>
          <w:shd w:fill="FFFFFF" w:val="clear"/>
        </w:rPr>
        <w:t>Consumer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 xml:space="preserve">The Share Purchase Agreement between Ingenio, LLC (“Ingenio”) and the Company was executed and the transaction closed on March 20, 2023. In accordance with the Share Purchase Agreement, the Company sold all of the issued and outstanding shares of Kasamba subject to certain post-closing adjustments. Cash of $16.9 million was received upon closing, $2.6 million as a deferred payment is expected to be received within a year, and was included in prepaid expenses and other current assets on the Company’s condensed consolidated balance sheets as of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$11.8 million was held in various escrow accounts for up to 15 months, and was included in restricted cash on the Company’s condensed consolidated balance sheets as of March 31, 2023; </w:t>
      </w:r>
      <w:r>
        <w:rPr>
          <w:rFonts w:ascii="Times New Roman;sans-serif" w:hAnsi="Times New Roman;sans-serif"/>
          <w:b w:val="false"/>
          <w:color w:val="000000"/>
          <w:sz w:val="20"/>
        </w:rPr>
        <w:t>however, $9.5 million of this escrow amount was released during the three months ended June 30, 2023</w:t>
      </w:r>
      <w:r>
        <w:rPr>
          <w:rFonts w:ascii="Times New Roman;sans-serif" w:hAnsi="Times New Roman;sans-serif"/>
          <w:b w:val="false"/>
          <w:color w:val="000000"/>
          <w:sz w:val="20"/>
          <w:shd w:fill="FFFFFF" w:val="clear"/>
        </w:rPr>
        <w:t>. The transaction resulted in a gain of $17.6 million,</w:t>
      </w:r>
      <w:r>
        <w:rPr>
          <w:color w:val="000000"/>
        </w:rPr>
        <w:t xml:space="preserve"> </w:t>
      </w:r>
      <w:r>
        <w:rPr>
          <w:rFonts w:ascii="Times New Roman;sans-serif" w:hAnsi="Times New Roman;sans-serif"/>
          <w:b w:val="false"/>
          <w:color w:val="000000"/>
          <w:sz w:val="20"/>
        </w:rPr>
        <w:t xml:space="preserve">which was recognized and presented separately as a gain on divestiture </w:t>
      </w:r>
      <w:r>
        <w:rPr>
          <w:rFonts w:ascii="Times New Roman;sans-serif" w:hAnsi="Times New Roman;sans-serif"/>
          <w:b w:val="false"/>
          <w:color w:val="000000"/>
          <w:sz w:val="20"/>
          <w:shd w:fill="FFFFFF" w:val="clear"/>
        </w:rPr>
        <w:t xml:space="preserve">on the Company’s condensed consolidated statements of operations for the three months ended March 31, 2023 and </w:t>
      </w:r>
      <w:r>
        <w:rPr>
          <w:rFonts w:ascii="Times New Roman;sans-serif" w:hAnsi="Times New Roman;sans-serif"/>
          <w:b w:val="false"/>
          <w:color w:val="000000"/>
          <w:sz w:val="20"/>
        </w:rPr>
        <w:t xml:space="preserve">six months ended June 30, 2023.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Major classes of assets and liabilities sold were as follows:</w:t>
      </w:r>
    </w:p>
    <w:tbl>
      <w:tblPr>
        <w:tblW w:w="5654" w:type="dxa"/>
        <w:jc w:val="center"/>
        <w:tblInd w:w="0" w:type="dxa"/>
        <w:tblLayout w:type="fixed"/>
        <w:tblCellMar>
          <w:top w:w="28" w:type="dxa"/>
          <w:left w:w="28" w:type="dxa"/>
          <w:bottom w:w="28" w:type="dxa"/>
          <w:right w:w="28" w:type="dxa"/>
        </w:tblCellMar>
      </w:tblPr>
      <w:tblGrid>
        <w:gridCol w:w="1380"/>
        <w:gridCol w:w="1217"/>
        <w:gridCol w:w="1228"/>
        <w:gridCol w:w="355"/>
        <w:gridCol w:w="1215"/>
        <w:gridCol w:w="259"/>
      </w:tblGrid>
      <w:tr>
        <w:trPr/>
        <w:tc>
          <w:tcPr>
            <w:tcW w:w="138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March 20, 2023 </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sold</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sold</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the Share Purchase Agreement, the Company also entered into a Transition Services Agreement (“TSA”) with Kasamba pursuant to which the Company will provide services, including, but not limited to, human resources, finance, IT and legal, to Kasamba. These services commenced upon the close of the transaction and will continue to be provided over a period of up to 12 months, depending on the transition service being provided.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80"/>
        <w:jc w:val="center"/>
        <w:rPr/>
      </w:pPr>
      <w:r>
        <w:rPr>
          <w:rFonts w:ascii="Times New Roman;sans-serif" w:hAnsi="Times New Roman;sans-serif"/>
          <w:b/>
          <w:color w:val="000000"/>
          <w:sz w:val="20"/>
        </w:rPr>
        <w:t>Item 2. Management</w:t>
      </w:r>
      <w:r>
        <w:rPr>
          <w:color w:val="000000"/>
        </w:rPr>
        <w:t>’</w:t>
      </w:r>
      <w:r>
        <w:rPr>
          <w:rFonts w:ascii="Times New Roman;sans-serif" w:hAnsi="Times New Roman;sans-serif"/>
          <w:b/>
          <w:color w:val="000000"/>
          <w:sz w:val="20"/>
        </w:rPr>
        <w:t>s Discussion and Analysis of Financial Condition and Results of Operations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Times New Roman;sans-serif" w:hAnsi="Times New Roman;sans-serif"/>
          <w:b w:val="false"/>
          <w:i/>
          <w:color w:val="212529"/>
          <w:sz w:val="20"/>
        </w:rPr>
        <w:t>In addition, our actual results could differ from our estimates and assumptions based upon impacts on our business and general economic conditions.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48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is a global leader in AI-powered customer conversations. Consumers have made mobile devices the center of their digital lives, and they have made digital conversational experiences the center of communication with friends, family and peers. Since 1998, LivePerson has enabled billions of meaningful connections between consumers and our customers. These speech or text conversations harness human agents, bots and AI to power convenient, personalized and content-rich journeys across the entire consumer lifecycle, and across consumer platforms. AI has accelerated our capability to leverage those prior conversations to enhance the consumer experience and to improve results for our customers.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the Company’s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the necessary guardrails to deploy Generative AI and LLMs in ways that help consumers and drive results for brands without sacrificing trust.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LivePerson’s robust, cloud-based suite of rich messaging, real-time chat, LLM,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Conversational AI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and deliver measurable return on investment for our customers. Certain of our customers have achieved the following advantages from our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ability for each agent to manage as many as 40 messaging conversations at a time, as compared to one at a time for a voice agent and two to four at a time for a good chat agent. Adding AI and bots provides even greater scale to the number of conversations managed;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labor efficiency gains of at least two times that of voice agents, effectively cutting labor costs by at least 50%;</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improving the overall customer experience, thereby fueling customer satisfaction score increases of up to 20 percentage points, and enhancing retention and loyalty;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more convenient, personalized and content-rich conversations that increase sales conversion by up to 20%, increase average order value and reduce abandonment;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more satisfied contact center agents, thereby reducing agent churn by up to 50%;</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valued connection with consumers via mobile devices, either through native applications, websites, text messages, or third-party messaging platforms;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leveraged spending that drives visitor traffic by increasing visitor conversions.</w:t>
      </w:r>
    </w:p>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“cloud computing” or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Hundreds of the world’s biggest brands, including HSBC, Virgin Media, and Burberry use our conversational solutions to orchestrate humans and AI, at scale, and create a convenient personalized relationship with their customers.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key elements of LivePerson’s business solutions strategy include: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Increase messaging volumes by developing a broad ecosystem, expanding customer use cases, and focusing on AI and automation. </w:t>
      </w:r>
      <w:r>
        <w:rPr>
          <w:rFonts w:ascii="Times New Roman;sans-serif" w:hAnsi="Times New Roman;sans-serif"/>
          <w:b w:val="false"/>
          <w:color w:val="000000"/>
          <w:sz w:val="20"/>
        </w:rPr>
        <w:t xml:space="preserve">Our strategy is to drive higher messaging volumes by going both wide across messaging endpoints, deep across consumer use cases, and focusing on AI and automation as the means to deliver powerful scale.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 </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acquired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 We made good progress on these integrations in 2022.</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retention for our enterprise and mid-market customers on the Conversational Cloud was below our target range of 105% to 115% for the second quarter of 2023 and comparable period in 2022. Beginning in the fourth quarter of 2022, we started providing the revenue retention rate on the basis of recurring revenue (rather than total revenue) going forward as we believe this metric will be more useful to analyze revenue growth. LivePerson’s ARPC, or average annual revenue for our enterprise and mid-market customers increased approximately 14% for the trailing twelve months ended June 30, 2023 to $575,000 from approximately $505,000 for the trailing twelve months ended June 30, 2022. We expect to provide ARPC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basis of recurring revenue (rather than total revenue) going forward as we believe this metric will be more useful for analysts and investors.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Attract the industry’s best AI, machine learning and conversational talent.</w:t>
      </w:r>
      <w:r>
        <w:rPr>
          <w:color w:val="000000"/>
        </w:rPr>
        <w:t xml:space="preserve"> </w:t>
      </w:r>
      <w:r>
        <w:rPr>
          <w:rFonts w:ascii="Times New Roman;sans-serif" w:hAnsi="Times New Roman;sans-serif"/>
          <w:b w:val="false"/>
          <w:color w:val="000000"/>
          <w:sz w:val="20"/>
        </w:rPr>
        <w:t>We believe that AI and machine learning are critical to successfully scaling and exploiting our data advantage. LivePerson also expanded its development talent base in Germany, and added key development talent through the acquisitions of BotCentral in Mountain View, California; Tenfold in Austin, Texas; e-bot7 in Munich, Germany; VoiceBase in San Francisco, California; and WildHealth in Lexington, Kentucky.</w:t>
      </w:r>
    </w:p>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Strengthen our position in both existing and new industries. </w:t>
      </w:r>
      <w:r>
        <w:rPr>
          <w:rFonts w:ascii="Times New Roman;sans-serif" w:hAnsi="Times New Roman;sans-serif"/>
          <w:b w:val="false"/>
          <w:color w:val="000000"/>
          <w:sz w:val="20"/>
        </w:rPr>
        <w:t xml:space="preserve">We plan to continue to develop our market position by increasing our customer base, and expanding within our installed base. We plan to continue to focus primarily on key target markets: consumer/retail, telecommunications, financial services, travel/hospitality, technology and automotive within both our enterprise and mid-market sectors, as well as the SMB sector. </w:t>
      </w:r>
    </w:p>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Leverage our open architecture to integrate with other systems and support partners and developers. </w:t>
      </w:r>
      <w:r>
        <w:rPr>
          <w:rFonts w:ascii="Times New Roman;sans-serif" w:hAnsi="Times New Roman;sans-serif"/>
          <w:b w:val="false"/>
          <w:color w:val="000000"/>
          <w:sz w:val="20"/>
        </w:rPr>
        <w:t xml:space="preserve">In addition to developing our own applications, we continue to cultivate a 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opened up access to our platform and our products with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Expand sales partnerships to broaden our presence and accelerate sales cycles. </w:t>
      </w:r>
      <w:r>
        <w:rPr>
          <w:rFonts w:ascii="Times New Roman;sans-serif" w:hAnsi="Times New Roman;sans-serif"/>
          <w:b w:val="false"/>
          <w:color w:val="000000"/>
          <w:sz w:val="20"/>
        </w:rPr>
        <w:t>We are focused on broadening our market reach and accelerating 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(Business Process Outsourcing) company focused on customer experience, and DMI, a digital transformation company, to redefine the customer experience with digital engagement, messaging, and AI-driven automation. In 2020, a digital services and consulting company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 In 2022, we partnered with Afiniti and Celonis to help brands improve customer engagement and analytics, deepened our partnership with Cisco to strengthen our CRM capabilities, and began a strategic co-selling partnership with CBA to drive sales in the Asia-Pacific region.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Evaluate strategic alliances and acquisitions when appropriate. </w:t>
      </w:r>
      <w:r>
        <w:rPr>
          <w:rFonts w:ascii="Times New Roman;sans-serif" w:hAnsi="Times New Roman;sans-serif"/>
          <w:b w:val="false"/>
          <w:color w:val="000000"/>
          <w:sz w:val="20"/>
        </w:rPr>
        <w:t>In July 2021, we acquired German conversational AI company e-bot7, which propels 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which leverages advanced machine learning to combine DNA analysis, biometrics, microbiome testing and phenotypic data to provide people with a blueprint for truly optimized health and a maximized health span. Once fully integrated, we expect these acquisitions to allow LivePerson to deliver our AI and automation capabilities, insights, and integration as a single integrated product offering across channels including voice and messaging.</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overview of the three months ended June 30, 2023 compared to the three months ended June 30, 2022:</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Revenue</w:t>
      </w:r>
      <w:r>
        <w:rPr>
          <w:color w:val="000000"/>
          <w:shd w:fill="FFFFFF" w:val="clear"/>
        </w:rPr>
        <w:t xml:space="preserve"> </w:t>
      </w:r>
      <w:r>
        <w:rPr>
          <w:rFonts w:ascii="Times New Roman;sans-serif" w:hAnsi="Times New Roman;sans-serif"/>
          <w:b w:val="false"/>
          <w:color w:val="000000"/>
          <w:sz w:val="20"/>
          <w:shd w:fill="FFFFFF" w:val="clear"/>
        </w:rPr>
        <w:t>decreased 26% to $97.5 million</w:t>
      </w:r>
      <w:r>
        <w:rPr>
          <w:color w:val="000000"/>
        </w:rPr>
        <w:t xml:space="preserve"> </w:t>
      </w:r>
      <w:r>
        <w:rPr>
          <w:rFonts w:ascii="Times New Roman;sans-serif" w:hAnsi="Times New Roman;sans-serif"/>
          <w:b w:val="false"/>
          <w:color w:val="000000"/>
          <w:sz w:val="20"/>
        </w:rPr>
        <w:t xml:space="preserve">from $132.6 million.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Gross profit margin increased to 68% from 66%.</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Cost and expenses decreased 55% to $91.9 million from $202.8 million.</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Net income increased to $10.8 million from a net loss of $75.4 million.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ARPC, or Average annual revenue per enterprise and mid-market customer,</w:t>
      </w:r>
      <w:r>
        <w:rPr>
          <w:color w:val="000000"/>
          <w:shd w:fill="FFFFFF" w:val="clear"/>
        </w:rPr>
        <w:t xml:space="preserve"> </w:t>
      </w:r>
      <w:r>
        <w:rPr>
          <w:rFonts w:ascii="Times New Roman;sans-serif" w:hAnsi="Times New Roman;sans-serif"/>
          <w:b w:val="false"/>
          <w:color w:val="000000"/>
          <w:sz w:val="20"/>
          <w:shd w:fill="FFFFFF" w:val="clear"/>
        </w:rPr>
        <w:t>increased approximately 14% to $575,000</w:t>
      </w:r>
      <w:r>
        <w:rPr>
          <w:color w:val="000000"/>
        </w:rPr>
        <w:t xml:space="preserve"> </w:t>
      </w:r>
      <w:r>
        <w:rPr>
          <w:rFonts w:ascii="Times New Roman;sans-serif" w:hAnsi="Times New Roman;sans-serif"/>
          <w:b w:val="false"/>
          <w:color w:val="000000"/>
          <w:sz w:val="20"/>
        </w:rPr>
        <w:t xml:space="preserve">for the trailing twelve months ended June 30, 2023, as compared to </w:t>
      </w:r>
      <w:r>
        <w:rPr>
          <w:rFonts w:ascii="Times New Roman;sans-serif" w:hAnsi="Times New Roman;sans-serif"/>
          <w:b w:val="false"/>
          <w:color w:val="000000"/>
          <w:sz w:val="20"/>
          <w:shd w:fill="FFFFFF" w:val="clear"/>
        </w:rPr>
        <w:t>$505,000</w:t>
      </w:r>
      <w:r>
        <w:rPr>
          <w:color w:val="000000"/>
        </w:rPr>
        <w:t xml:space="preserve"> </w:t>
      </w:r>
      <w:r>
        <w:rPr>
          <w:rFonts w:ascii="Times New Roman;sans-serif" w:hAnsi="Times New Roman;sans-serif"/>
          <w:b w:val="false"/>
          <w:color w:val="000000"/>
          <w:sz w:val="20"/>
        </w:rPr>
        <w:t xml:space="preserve">for the trailing twelve months ended June 30, 2022.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Revenue retention for our enterprise and mid-market customers on the Conversational Cloud was below our target range of </w:t>
      </w:r>
      <w:r>
        <w:rPr>
          <w:rFonts w:ascii="Times New Roman;sans-serif" w:hAnsi="Times New Roman;sans-serif"/>
          <w:b w:val="false"/>
          <w:color w:val="222222"/>
          <w:sz w:val="20"/>
        </w:rPr>
        <w:t>105% to 115%</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second quarter</w:t>
      </w:r>
      <w:r>
        <w:rPr>
          <w:color w:val="000000"/>
          <w:shd w:fill="FFFFFF" w:val="clear"/>
        </w:rPr>
        <w:t xml:space="preserve"> </w:t>
      </w:r>
      <w:r>
        <w:rPr>
          <w:rFonts w:ascii="Times New Roman;sans-serif" w:hAnsi="Times New Roman;sans-serif"/>
          <w:b w:val="false"/>
          <w:color w:val="000000"/>
          <w:sz w:val="20"/>
          <w:shd w:fill="FFFFFF" w:val="clear"/>
        </w:rPr>
        <w:t>of 2023 and comparable period in 2022.</w:t>
      </w:r>
    </w:p>
    <w:p>
      <w:pPr>
        <w:pStyle w:val="TextBody"/>
        <w:bidi w:val="0"/>
        <w:spacing w:before="0" w:after="0"/>
        <w:ind w:left="0" w:right="0" w:hanging="120"/>
        <w:jc w:val="both"/>
        <w:rPr/>
      </w:pPr>
      <w:r>
        <w:rPr/>
      </w:r>
    </w:p>
    <w:p>
      <w:pPr>
        <w:pStyle w:val="TextBody"/>
        <w:bidi w:val="0"/>
        <w:spacing w:before="0" w:after="0"/>
        <w:ind w:left="0" w:right="0" w:firstLine="480"/>
        <w:jc w:val="center"/>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Adjusted EBITDA (Loss) and Adjusted Operating Income (Loss)</w:t>
      </w:r>
    </w:p>
    <w:p>
      <w:pPr>
        <w:pStyle w:val="TextBody"/>
        <w:bidi w:val="0"/>
        <w:spacing w:before="0" w:after="0"/>
        <w:ind w:left="0" w:right="0" w:firstLine="48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investors with additional information regarding our financial results, we have disclosed adjusted EBITDA (loss) and adjusted operating income (loss), which are non-GAAP financial measures. The tables below present a reconciliation of adjusted EBITDA (loss) and adjusted operating income (loss) to net income (loss), the most directly comparable GAAP financial measures.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included adjusted EBITDA (loss) and adjusted operating income (loss)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(loss) and adjusted operating income (loss) can provide a useful measure for period-to-period comparisons of our core business. Additionally, adjusted EBITDA (loss) is a key financial measure used by the compensation committee of our board of directors in connection with the payment of bonuses to our executive officers. Accordingly, we believe that adjusted EBITDA (loss) and adjusted operating income (loss) provide useful information to investors and others in understanding and evaluating our operating results in the same manner as our management and board of directors.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use of adjusted EBITDA (loss) has limitations as an analytical tool, and you should not consider it in isolation or as a substitute for analysis of our results as reported under GAAP. Some of these limitations are:</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although depreciation and amortization are non-cash charges, the assets being depreciated and amortized may have to be replaced in the future, and adjusted EBITDA (loss) does not reflect cash capital expenditure requirements for such replacements or for new capital expenditure requirements;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EBITDA (loss) does not reflect changes in, or cash requirements for, our working capital needs;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EBITDA (loss) does not consider the impact of acquisition related costs;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EBITDA (loss) does not consider the impact of stock-based compensation expense;</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EBITDA (loss) does not consider the impact of restructuring costs;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EBITDA (loss) does not consider the impact of certain other costs;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EBITDA (loss) does not reflect tax payments that may represent a reduction in cash available to us; and</w:t>
      </w:r>
    </w:p>
    <w:p>
      <w:pPr>
        <w:pStyle w:val="TextBody"/>
        <w:bidi w:val="0"/>
        <w:spacing w:lineRule="auto" w:line="288" w:before="0" w:after="0"/>
        <w:ind w:left="0" w:right="0" w:hanging="480"/>
        <w:jc w:val="both"/>
        <w:rPr>
          <w:color w:val="000000"/>
        </w:rPr>
      </w:pPr>
      <w:r>
        <w:rPr>
          <w:color w:val="000000"/>
        </w:rPr>
        <w:t>•    </w:t>
      </w:r>
      <w:r>
        <w:rPr>
          <w:rFonts w:ascii="Times New Roman;sans-serif" w:hAnsi="Times New Roman;sans-serif"/>
          <w:b w:val="false"/>
          <w:color w:val="000000"/>
          <w:sz w:val="20"/>
        </w:rPr>
        <w:t>other companies, including companies in our industry, may calculate adjusted EBITDA (loss) differently, which reduces its usefulness as a comparative measure.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adjusted EBITDA (loss) alongside other financial performance measures, including various pre-tax GAAP loss and our other GAAP results. The following table presents a reconciliation of adjusted EBITDA (loss) for each of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720"/>
        <w:jc w:val="both"/>
        <w:rPr/>
      </w:pPr>
      <w:r>
        <w:rPr/>
      </w:r>
    </w:p>
    <w:tbl>
      <w:tblPr>
        <w:tblW w:w="10200" w:type="dxa"/>
        <w:jc w:val="center"/>
        <w:tblInd w:w="0" w:type="dxa"/>
        <w:tblLayout w:type="fixed"/>
        <w:tblCellMar>
          <w:top w:w="28" w:type="dxa"/>
          <w:left w:w="28" w:type="dxa"/>
          <w:bottom w:w="28" w:type="dxa"/>
          <w:right w:w="28" w:type="dxa"/>
        </w:tblCellMar>
      </w:tblPr>
      <w:tblGrid>
        <w:gridCol w:w="1721"/>
        <w:gridCol w:w="1513"/>
        <w:gridCol w:w="1521"/>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90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Adjusted EBITDA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 and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costs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litigation, consulting and other employee costs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6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(1)Includes severance costs and other compensation related costs of $2.4 million and $13.9 million for the three months and six months ended June 30, 2023. Includes severance costs and other compensation related costs of $10.5 million and lease restructuring costs of $0.4 million for the three months ended June 30, 2022. Includes severance costs and other compensation related costs of $10.5 million and lease restructuring costs of $0.3 million for the six months ended June 30, 2022.</w:t>
      </w:r>
    </w:p>
    <w:p>
      <w:pPr>
        <w:pStyle w:val="TextBody"/>
        <w:bidi w:val="0"/>
        <w:spacing w:lineRule="auto" w:line="288" w:before="0" w:after="6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(2)Includes litigation costs of $5.8 million, consulting costs of $0.2 million, accrued expenses and fees of $0.6 million, and sales tax liability of $0.5 million for the three months ended June 30, 2023. Includes consulting costs of $0.2 million, litigation costs of $2.3 million and accrued expenses and fees of $0.5 million for the three months ended June 30, 2022. Includes litigation costs of $15.3 million, accrued expenses and fees of $2.0 million, sales tax liability of $0.5 million, and consulting costs of $0.4 million for the six months ended June 30, 2023. Includes litigation costs of $3.0 million, employee benefit costs of $0.7 million, consulting costs of $0.8 million, and an increase to the reserve for sales and use tax liability of $0.3 million for the six months ended June 30, 2022.</w:t>
      </w:r>
    </w:p>
    <w:p>
      <w:pPr>
        <w:pStyle w:val="TextBody"/>
        <w:bidi w:val="0"/>
        <w:spacing w:lineRule="auto" w:line="288" w:before="0" w:after="6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(3)Includes a gain on settlement of a loan obligation and losses from our Equity Method Investment during the three months ended June 30, 2023. Includes $10.0 million of other income related to a litigation settlement, $7.2 million of gain related to convertible senior notes repurchases, a gain on settlement of a loan obligation and losses from our Equity Method Investment during the six months ended June 30, 2023. The remaining amount of other expense (income) for the three and six months ended June 30, 2023 is attributable to currency rate fluctuations. Includes $0.2 million of other income related to the settlement of leases, offset by $1.8 million of losses related our Equity Method Investment, for the three and six months ended June 30, 2022. The remaining amount of other (income) expense for the three and six months ended June 30, 2022 is attributable to currency rate fluctuations.</w:t>
      </w:r>
    </w:p>
    <w:p>
      <w:pPr>
        <w:pStyle w:val="TextBody"/>
        <w:bidi w:val="0"/>
        <w:spacing w:before="0" w:after="160"/>
        <w:ind w:left="0" w:right="0" w:hanging="1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use of adjusted operating income (loss) has limitations as an analytical tool, and you should not consider it in isolation or as a substitute for analysis of our results as reported under GAAP. Some of these limitations are:</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although amortization is a non-cash charge, the assets being amortized may have to be replaced in the future, and adjusted operating income (loss) does not reflect cash capital expenditure requirements for such replacements or for new capital expenditure requirements;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 xml:space="preserve">adjusted operating income (loss) does not consider the impact of acquisition related costs; </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operating income (loss) does not consider the impact of restructuring costs;</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adjusted operating income (loss) does not consider the impact of other costs; and</w:t>
      </w:r>
    </w:p>
    <w:p>
      <w:pPr>
        <w:pStyle w:val="TextBody"/>
        <w:bidi w:val="0"/>
        <w:spacing w:lineRule="auto" w:line="288" w:before="0" w:after="120"/>
        <w:ind w:left="0" w:right="0" w:hanging="480"/>
        <w:jc w:val="both"/>
        <w:rPr>
          <w:color w:val="000000"/>
        </w:rPr>
      </w:pPr>
      <w:r>
        <w:rPr>
          <w:color w:val="000000"/>
        </w:rPr>
        <w:t>•    </w:t>
      </w:r>
      <w:r>
        <w:rPr>
          <w:rFonts w:ascii="Times New Roman;sans-serif" w:hAnsi="Times New Roman;sans-serif"/>
          <w:b w:val="false"/>
          <w:color w:val="000000"/>
          <w:sz w:val="20"/>
        </w:rPr>
        <w:t>other companies, including companies in our industry, may calculate adjusted operating income (loss) differently, which reduces its usefulness as a comparative measure.</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adjusted operating income (loss) alongside other financial performance measures, including various pre-tax GAAP loss and our other GAAP results. The following table presents a reconciliation of adjusted operating income (loss) for each of the 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740"/>
        <w:gridCol w:w="1529"/>
        <w:gridCol w:w="1537"/>
        <w:gridCol w:w="211"/>
        <w:gridCol w:w="721"/>
        <w:gridCol w:w="109"/>
        <w:gridCol w:w="109"/>
        <w:gridCol w:w="109"/>
        <w:gridCol w:w="109"/>
        <w:gridCol w:w="211"/>
        <w:gridCol w:w="790"/>
        <w:gridCol w:w="109"/>
        <w:gridCol w:w="109"/>
        <w:gridCol w:w="109"/>
        <w:gridCol w:w="109"/>
        <w:gridCol w:w="211"/>
        <w:gridCol w:w="685"/>
        <w:gridCol w:w="109"/>
        <w:gridCol w:w="109"/>
        <w:gridCol w:w="109"/>
        <w:gridCol w:w="109"/>
        <w:gridCol w:w="211"/>
        <w:gridCol w:w="895"/>
        <w:gridCol w:w="156"/>
      </w:tblGrid>
      <w:tr>
        <w:trPr/>
        <w:tc>
          <w:tcPr>
            <w:tcW w:w="174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Adjusted Operating Income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provision for (benefit from) income taxes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 and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costs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litigation, consulting and other employee costs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expense (income), net</w:t>
            </w:r>
            <w:r>
              <w:rPr>
                <w:color w:val="000000"/>
              </w:rPr>
              <w:t xml:space="preserve">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w:t>
      </w:r>
    </w:p>
    <w:p>
      <w:pPr>
        <w:pStyle w:val="TextBody"/>
        <w:bidi w:val="0"/>
        <w:spacing w:lineRule="auto" w:line="268" w:before="0" w:after="6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(1)Includes severance costs and other compensation related costs of $2.4 million and $13.9 million for the three months and six months ended June 30, 2023. Includes severance costs and other compensation related costs of $10.5 million and lease restructuring costs of $0.4 million for the three months ended June 30, 2022. Includes severance costs and other compensation related costs of $10.5 million and lease restructuring costs of $0.3 million for the six months ended June 30, 2022.</w:t>
      </w:r>
    </w:p>
    <w:p>
      <w:pPr>
        <w:pStyle w:val="TextBody"/>
        <w:bidi w:val="0"/>
        <w:spacing w:lineRule="auto" w:line="288" w:before="0" w:after="6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(2)Includes litigation costs of $5.8 million, consulting costs of $0.2 million, accrued expenses and fees of $0.6 million, and sales tax liability of $0.5 million for the three months ended June 30, 2023. Includes consulting costs of $0.2 million, litigation costs of $2.3 million and accrued expenses and fees of $0.5 million for the three months ended June 30, 2022. Includes litigation costs of $15.3 million, accrued expenses and fees of $2.0 million, sales tax liability of $0.5 million, and consulting costs of $0.4 million for the six months ended June 30, 2023. Includes litigation costs of $3.0 million, employee benefit costs of $0.7 million, consulting costs of $0.8 million, and an increase to the reserve for sales and use tax liability of $0.3 million for the six months ended June 30, 2022.</w:t>
      </w:r>
    </w:p>
    <w:p>
      <w:pPr>
        <w:pStyle w:val="TextBody"/>
        <w:bidi w:val="0"/>
        <w:spacing w:lineRule="auto" w:line="288" w:before="0" w:after="6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 xml:space="preserve">(3)Includes a gain on settlement of a loan obligation and losses from our Equity Method Investment during the three months ended June 30, 2023. Includes $10.0 million of other income related to a litigation settlement, a $7.2 million gain related to convertible senior notes repurchases, a gain on settlement of a loan obligation and losses from Equity Method Investment during the six months ended June 30, 2023. The remaining amount of other expense (income) for the three and six months ended June 30, 2023 is attributable to currency rate fluctuations. Includes $0.2 million of other income related to the settlement of leases, offset by $1.8 million of losses related to our Equity Method Investment, for the three and six months ended June 30, 2022. The remaining amount of other (income) expense for the three and six months ended June 30, 2022 is attributable to currency rate fluctuations.. </w:t>
      </w:r>
    </w:p>
    <w:p>
      <w:pPr>
        <w:pStyle w:val="TextBody"/>
        <w:bidi w:val="0"/>
        <w:spacing w:before="0" w:after="0"/>
        <w:ind w:left="0" w:right="0" w:hanging="180"/>
        <w:jc w:val="both"/>
        <w:rPr/>
      </w:pPr>
      <w:r>
        <w:rPr/>
      </w:r>
    </w:p>
    <w:p>
      <w:pPr>
        <w:pStyle w:val="TextBody"/>
        <w:bidi w:val="0"/>
        <w:spacing w:before="0" w:after="12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ind w:left="0" w:right="0" w:firstLine="480"/>
        <w:jc w:val="center"/>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depreciation, stock-based compensation expense,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The majority of our revenue is generated from hosted service revenues, whic</w:t>
      </w:r>
      <w:r>
        <w:rPr>
          <w:rFonts w:ascii="Times New Roman;sans-serif" w:hAnsi="Times New Roman;sans-serif"/>
          <w:b w:val="false"/>
          <w:color w:val="000000"/>
          <w:sz w:val="20"/>
        </w:rPr>
        <w:t>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recognition of revenue when, or as, we satisfy a performance obligation.</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Total revenue of</w:t>
      </w:r>
      <w:r>
        <w:rPr>
          <w:color w:val="000000"/>
          <w:shd w:fill="FFFFFF" w:val="clear"/>
        </w:rPr>
        <w:t xml:space="preserve"> </w:t>
      </w:r>
      <w:r>
        <w:rPr>
          <w:rFonts w:ascii="Times New Roman;sans-serif" w:hAnsi="Times New Roman;sans-serif"/>
          <w:b w:val="false"/>
          <w:color w:val="000000"/>
          <w:sz w:val="20"/>
          <w:shd w:fill="FFFFFF" w:val="clear"/>
        </w:rPr>
        <w:t>$97.5 million</w:t>
      </w:r>
      <w:r>
        <w:rPr>
          <w:color w:val="000000"/>
        </w:rPr>
        <w:t xml:space="preserve"> </w:t>
      </w:r>
      <w:r>
        <w:rPr>
          <w:rFonts w:ascii="Times New Roman;sans-serif" w:hAnsi="Times New Roman;sans-serif"/>
          <w:b w:val="false"/>
          <w:color w:val="000000"/>
          <w:sz w:val="20"/>
        </w:rPr>
        <w:t>and</w:t>
      </w:r>
      <w:r>
        <w:rPr>
          <w:color w:val="000000"/>
          <w:shd w:fill="FFFFFF" w:val="clear"/>
        </w:rPr>
        <w:t xml:space="preserve"> </w:t>
      </w:r>
      <w:r>
        <w:rPr>
          <w:rFonts w:ascii="Times New Roman;sans-serif" w:hAnsi="Times New Roman;sans-serif"/>
          <w:b w:val="false"/>
          <w:color w:val="000000"/>
          <w:sz w:val="20"/>
          <w:shd w:fill="FFFFFF" w:val="clear"/>
        </w:rPr>
        <w:t>$132.6 million</w:t>
      </w:r>
      <w:r>
        <w:rPr>
          <w:color w:val="000000"/>
        </w:rPr>
        <w:t xml:space="preserve"> </w:t>
      </w:r>
      <w:r>
        <w:rPr>
          <w:rFonts w:ascii="Times New Roman;sans-serif" w:hAnsi="Times New Roman;sans-serif"/>
          <w:b w:val="false"/>
          <w:color w:val="000000"/>
          <w:sz w:val="20"/>
        </w:rPr>
        <w:t xml:space="preserve">was recognized during the three months ended June 30, 2023 and 2022, respectively, and </w:t>
      </w:r>
      <w:r>
        <w:rPr>
          <w:rFonts w:ascii="Times New Roman;sans-serif" w:hAnsi="Times New Roman;sans-serif"/>
          <w:b w:val="false"/>
          <w:color w:val="000000"/>
          <w:sz w:val="20"/>
          <w:shd w:fill="FFFFFF" w:val="clear"/>
        </w:rPr>
        <w:t>$205.2 million</w:t>
      </w:r>
      <w:r>
        <w:rPr>
          <w:color w:val="000000"/>
        </w:rPr>
        <w:t xml:space="preserve"> </w:t>
      </w:r>
      <w:r>
        <w:rPr>
          <w:rFonts w:ascii="Times New Roman;sans-serif" w:hAnsi="Times New Roman;sans-serif"/>
          <w:b w:val="false"/>
          <w:color w:val="000000"/>
          <w:sz w:val="20"/>
        </w:rPr>
        <w:t>and $262.8 million during the six months ended June 30, 2023 and 2022, respectively.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defer all incremental commission costs to obtain customer contracts (“contract acquisition costs”). The contract acquisition costs consist of prepaid sales commissions and have balances as of June 30, 2023 and December 31, 2022 of </w:t>
      </w:r>
      <w:r>
        <w:rPr>
          <w:rFonts w:ascii="Times New Roman;sans-serif" w:hAnsi="Times New Roman;sans-serif"/>
          <w:b w:val="false"/>
          <w:color w:val="000000"/>
          <w:sz w:val="20"/>
          <w:shd w:fill="FFFFFF" w:val="clear"/>
        </w:rPr>
        <w:t>$39.5 million</w:t>
      </w:r>
      <w:r>
        <w:rPr>
          <w:color w:val="000000"/>
        </w:rPr>
        <w:t xml:space="preserve"> </w:t>
      </w:r>
      <w:r>
        <w:rPr>
          <w:rFonts w:ascii="Times New Roman;sans-serif" w:hAnsi="Times New Roman;sans-serif"/>
          <w:b w:val="false"/>
          <w:color w:val="000000"/>
          <w:sz w:val="20"/>
        </w:rPr>
        <w:t>and $43.8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Hosted Services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 customers, we may provide call center labor through an arrangement with one or more of several qualified vendors. For most of these customers, we use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model, referred to as Gainshare, in which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Revenue attributable to our monthly hosted Business services accounted fo</w:t>
      </w:r>
      <w:r>
        <w:rPr>
          <w:rFonts w:ascii="Times New Roman;sans-serif" w:hAnsi="Times New Roman;sans-serif"/>
          <w:b w:val="false"/>
          <w:color w:val="000000"/>
          <w:sz w:val="20"/>
          <w:shd w:fill="FFFFFF" w:val="clear"/>
        </w:rPr>
        <w:t>r 83%</w:t>
      </w:r>
      <w:r>
        <w:rPr>
          <w:color w:val="000000"/>
        </w:rPr>
        <w:t xml:space="preserve"> </w:t>
      </w:r>
      <w:r>
        <w:rPr>
          <w:rFonts w:ascii="Times New Roman;sans-serif" w:hAnsi="Times New Roman;sans-serif"/>
          <w:b w:val="false"/>
          <w:color w:val="000000"/>
          <w:sz w:val="20"/>
        </w:rPr>
        <w:t xml:space="preserve">and 78% of total revenue for the three months ended June 30, 2023 and 2022, respectively, and </w:t>
      </w:r>
      <w:r>
        <w:rPr>
          <w:rFonts w:ascii="Times New Roman;sans-serif" w:hAnsi="Times New Roman;sans-serif"/>
          <w:b w:val="false"/>
          <w:color w:val="000000"/>
          <w:sz w:val="20"/>
          <w:shd w:fill="FFFFFF" w:val="clear"/>
        </w:rPr>
        <w:t xml:space="preserve">82% </w:t>
      </w:r>
      <w:r>
        <w:rPr>
          <w:rFonts w:ascii="Times New Roman;sans-serif" w:hAnsi="Times New Roman;sans-serif"/>
          <w:b w:val="false"/>
          <w:color w:val="000000"/>
          <w:sz w:val="20"/>
        </w:rPr>
        <w:t>and 84% for the six months ended June 30, 2023 and 2022,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Revenue attributable to Professional Services accounted for</w:t>
      </w:r>
      <w:r>
        <w:rPr>
          <w:color w:val="000000"/>
          <w:shd w:fill="FFFFFF" w:val="clear"/>
        </w:rPr>
        <w:t xml:space="preserve"> </w:t>
      </w:r>
      <w:r>
        <w:rPr>
          <w:rFonts w:ascii="Times New Roman;sans-serif" w:hAnsi="Times New Roman;sans-serif"/>
          <w:b w:val="false"/>
          <w:color w:val="000000"/>
          <w:sz w:val="20"/>
          <w:shd w:fill="FFFFFF" w:val="clear"/>
        </w:rPr>
        <w:t>17%</w:t>
      </w:r>
      <w:r>
        <w:rPr>
          <w:color w:val="000000"/>
        </w:rPr>
        <w:t xml:space="preserve"> </w:t>
      </w:r>
      <w:r>
        <w:rPr>
          <w:rFonts w:ascii="Times New Roman;sans-serif" w:hAnsi="Times New Roman;sans-serif"/>
          <w:b w:val="false"/>
          <w:color w:val="000000"/>
          <w:sz w:val="20"/>
        </w:rPr>
        <w:t xml:space="preserve">and 22% of total revenue for the three months ended June 30, 2023 and 2022, respectively, and </w:t>
      </w:r>
      <w:r>
        <w:rPr>
          <w:rFonts w:ascii="Times New Roman;sans-serif" w:hAnsi="Times New Roman;sans-serif"/>
          <w:b w:val="false"/>
          <w:color w:val="000000"/>
          <w:sz w:val="20"/>
          <w:shd w:fill="FFFFFF" w:val="clear"/>
        </w:rPr>
        <w:t>18%</w:t>
      </w:r>
      <w:r>
        <w:rPr>
          <w:color w:val="000000"/>
        </w:rPr>
        <w:t xml:space="preserve"> </w:t>
      </w:r>
      <w:r>
        <w:rPr>
          <w:rFonts w:ascii="Times New Roman;sans-serif" w:hAnsi="Times New Roman;sans-serif"/>
          <w:b w:val="false"/>
          <w:color w:val="000000"/>
          <w:sz w:val="20"/>
        </w:rPr>
        <w:t>and 16% for the six months ended June 30, 2023 and 2022,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aggregate amount of the total transaction price allocated in contracts with original duration of one year or greater to the remaining performance obligations was $326.3 million. Approximately 89%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Revenues</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record deferred revenues when cash payments are received or due in advance of our performance. The increase in the deferred revenue balance to $100.7 million as of June 30, 2023 is primarily driven by cash payments received or due in advance of our performance obligations, partially offset by</w:t>
      </w:r>
      <w:r>
        <w:rPr>
          <w:color w:val="000000"/>
          <w:shd w:fill="FFFFFF" w:val="clear"/>
        </w:rPr>
        <w:t xml:space="preserve"> </w:t>
      </w:r>
      <w:r>
        <w:rPr>
          <w:rFonts w:ascii="Times New Roman;sans-serif" w:hAnsi="Times New Roman;sans-serif"/>
          <w:b w:val="false"/>
          <w:color w:val="000000"/>
          <w:sz w:val="20"/>
          <w:shd w:fill="FFFFFF" w:val="clear"/>
        </w:rPr>
        <w:t xml:space="preserve">$73.0 million in revenues recognized that were included in the deferred revenue balance as of December 31, 2022.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we accrued approximately $1.2 million and $4.8 million in cash awards, respectively, and for the six months ended June 30, 2023 and 2022, we accrued approximately $2.8 million and $11.9 million in cash awards, respectively, to be settled in shares of the Company’s stock and recorded a corresponding expense, which is included as a component of stock-based compensation expense in the accompanying condensed consolidated statements of operations.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the three months ended June 30, 2023, there was approximately </w:t>
      </w:r>
      <w:r>
        <w:rPr>
          <w:rFonts w:ascii="Times New Roman;sans-serif" w:hAnsi="Times New Roman;sans-serif"/>
          <w:b w:val="false"/>
          <w:color w:val="000000"/>
          <w:sz w:val="20"/>
          <w:shd w:fill="FFFFFF" w:val="clear"/>
        </w:rPr>
        <w:t>$8.9 million</w:t>
      </w:r>
      <w:r>
        <w:rPr>
          <w:color w:val="000000"/>
        </w:rPr>
        <w:t xml:space="preserve"> </w:t>
      </w:r>
      <w:r>
        <w:rPr>
          <w:rFonts w:ascii="Times New Roman;sans-serif" w:hAnsi="Times New Roman;sans-serif"/>
          <w:b w:val="false"/>
          <w:color w:val="000000"/>
          <w:sz w:val="20"/>
        </w:rPr>
        <w:t xml:space="preserve">of total unrecognized compensation cost related to nonvested share-based compensation arrangements. That cost is expected to be recognized over a weighted average period of approximately </w:t>
      </w:r>
      <w:r>
        <w:rPr>
          <w:rFonts w:ascii="Times New Roman;sans-serif" w:hAnsi="Times New Roman;sans-serif"/>
          <w:b w:val="false"/>
          <w:color w:val="000000"/>
          <w:sz w:val="20"/>
          <w:shd w:fill="FFFFFF" w:val="clear"/>
        </w:rPr>
        <w:t>2.2 years</w:t>
      </w:r>
      <w:r>
        <w:rPr>
          <w:rFonts w:ascii="Times New Roman;sans-serif" w:hAnsi="Times New Roman;sans-serif"/>
          <w:b w:val="false"/>
          <w:color w:val="000000"/>
          <w:sz w:val="20"/>
        </w:rPr>
        <w:t xml:space="preser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the three months ended June 30, 2023, there was approximately </w:t>
      </w:r>
      <w:r>
        <w:rPr>
          <w:rFonts w:ascii="Times New Roman;sans-serif" w:hAnsi="Times New Roman;sans-serif"/>
          <w:b w:val="false"/>
          <w:color w:val="000000"/>
          <w:sz w:val="20"/>
          <w:shd w:fill="FFFFFF" w:val="clear"/>
        </w:rPr>
        <w:t>$60.6 million</w:t>
      </w:r>
      <w:r>
        <w:rPr>
          <w:color w:val="000000"/>
        </w:rPr>
        <w:t xml:space="preserve"> </w:t>
      </w:r>
      <w:r>
        <w:rPr>
          <w:rFonts w:ascii="Times New Roman;sans-serif" w:hAnsi="Times New Roman;sans-serif"/>
          <w:b w:val="false"/>
          <w:color w:val="000000"/>
          <w:sz w:val="20"/>
        </w:rPr>
        <w:t xml:space="preserve">of total unrecognized compensation cost related to nonvested restricted stock units. That cost is expected to be recognized over the remaining weighted average period of approximately </w:t>
      </w:r>
      <w:r>
        <w:rPr>
          <w:rFonts w:ascii="Times New Roman;sans-serif" w:hAnsi="Times New Roman;sans-serif"/>
          <w:b w:val="false"/>
          <w:color w:val="000000"/>
          <w:sz w:val="20"/>
          <w:shd w:fill="FFFFFF" w:val="clear"/>
        </w:rPr>
        <w:t>2.3 years</w:t>
      </w:r>
      <w:r>
        <w:rPr>
          <w:rFonts w:ascii="Times New Roman;sans-serif" w:hAnsi="Times New Roman;sans-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condensed consolidated financial statements.</w:t>
      </w:r>
    </w:p>
    <w:p>
      <w:pPr>
        <w:pStyle w:val="TextBody"/>
        <w:bidi w:val="0"/>
        <w:spacing w:lineRule="auto" w:line="288" w:before="0" w:after="160"/>
        <w:ind w:left="0" w:right="0" w:firstLine="720"/>
        <w:jc w:val="both"/>
        <w:rPr/>
      </w:pPr>
      <w:r>
        <w:rPr>
          <w:rFonts w:ascii="Times New Roman;sans-serif" w:hAnsi="Times New Roman;sans-serif"/>
          <w:b w:val="false"/>
          <w:color w:val="000000"/>
          <w:sz w:val="20"/>
        </w:rPr>
        <w:t>No single customer accounted for or exceeded 10% of our total revenue</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 xml:space="preserve">three and six months ended </w:t>
      </w:r>
      <w:r>
        <w:rPr>
          <w:rFonts w:ascii="Times New Roman;sans-serif" w:hAnsi="Times New Roman;sans-serif"/>
          <w:b w:val="false"/>
          <w:color w:val="000000"/>
          <w:sz w:val="20"/>
          <w:shd w:fill="FFFFFF" w:val="clear"/>
        </w:rPr>
        <w:t>June 30, 2023 and 2022. One customer accounted for or exceeded 10% of our total accounts receivable as of June 30, 2023 while no customer accounted for or exceeded 10% of our total accounts receivable as of December 31, 2022. During the six months ended June 30, 2023, we decreased our allowance for doubtful accounts from approximately $9.2 million as of December 31, 2022 to approximately $9.0 million. A large proportion of receivables are due from larger corporate customers that typically have longer payment cycles. Accounts receivable is presented net of an allowance for doubtful accounts and sales reserve of $9.0 million and $2.1 million as of June 30, 2023, respectively, and $9.2 million and $5.4 million as of December 31, 2022, respectively.</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bidi w:val="0"/>
        <w:spacing w:before="0" w:after="0"/>
        <w:ind w:left="0" w:right="0" w:firstLine="315"/>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aggregate purchase price over the fair value of net identifiable assets acquired in a business combination. During 2022, we added $15.5 million to goodwill with the acquisition of WildHealth. The Company evaluates goodwill for impairment on an annual basis in the third quarter, and more frequently whenever events or substantive changes in circumstances indicate that it is more likely than not that the carrying value of a reporting unit exceeds its fair value 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the quantitative test, impairment loss is recorded to the extent that the carrying value of the reporting unit exceeds its assessed fair value. The Company determines the fair value using the income and market approaches.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income approach, the fair value of a reporting unit is the present value of its future cash flows as viewed from the eyes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 Under the market approach, the Company uses market multiples derived from comparable companies based on measures salient to investors in those companies.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goodwill impairment charges have been recorded for any period presented.</w:t>
      </w:r>
    </w:p>
    <w:p>
      <w:pPr>
        <w:pStyle w:val="TextBody"/>
        <w:bidi w:val="0"/>
        <w:spacing w:before="0" w:after="0"/>
        <w:ind w:left="0" w:right="0" w:firstLine="315"/>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our long-lived assets, including property and equipment, lease right of 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Pty. Ltd., LivePerson (UK) Ltd., LivePerson Japan and LivePerson Ltd. (Israel) are more likely than not to be realized as these jurisdictions have positive cumulative pre-tax book income after adjusting for permanent and one-time items. During the year ended December 31, 2022, there was an increase in the valuation allowance recorded of </w:t>
      </w:r>
      <w:r>
        <w:rPr>
          <w:rFonts w:ascii="Times New Roman;sans-serif" w:hAnsi="Times New Roman;sans-serif"/>
          <w:b w:val="false"/>
          <w:color w:val="222222"/>
          <w:sz w:val="20"/>
          <w:shd w:fill="FFFFFF" w:val="clear"/>
        </w:rPr>
        <w:t>$80.5 million</w:t>
      </w:r>
      <w:r>
        <w:rPr>
          <w:rFonts w:ascii="Times New Roman;sans-serif" w:hAnsi="Times New Roman;sans-serif"/>
          <w:b w:val="false"/>
          <w:color w:val="000000"/>
          <w:sz w:val="20"/>
        </w:rPr>
        <w:t xml:space="preserv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Contingencies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w:t>
      </w: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for additional information on our legal proceedings and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Except as referenced below under “Recently Adopted Accounting Pronouncements,” there were no other recently issued accounting pronouncements or changes in accounting pronouncements during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that are of significance or potential significance to the Company.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before="0" w:after="0"/>
        <w:ind w:left="0" w:right="0" w:firstLine="480"/>
        <w:jc w:val="both"/>
        <w:rPr/>
      </w:pPr>
      <w:r>
        <w:rPr/>
      </w:r>
    </w:p>
    <w:p>
      <w:pPr>
        <w:pStyle w:val="TextBody"/>
        <w:bidi w:val="0"/>
        <w:spacing w:lineRule="auto" w:line="288" w:before="0" w:after="160"/>
        <w:ind w:left="0" w:right="0" w:firstLine="720"/>
        <w:jc w:val="both"/>
        <w:rPr/>
      </w:pPr>
      <w:r>
        <w:rPr>
          <w:rFonts w:ascii="Times New Roman;sans-serif" w:hAnsi="Times New Roman;sans-serif"/>
          <w:b w:val="false"/>
          <w:color w:val="000000"/>
          <w:sz w:val="20"/>
        </w:rPr>
        <w:t xml:space="preserve">See Note 1 – </w:t>
      </w:r>
      <w:r>
        <w:rPr>
          <w:rFonts w:ascii="Times New Roman;sans-serif" w:hAnsi="Times New Roman;sans-serif"/>
          <w:b w:val="false"/>
          <w:i/>
          <w:color w:val="000000"/>
          <w:sz w:val="20"/>
        </w:rPr>
        <w:t>Description of Business and Basis of Presentation</w:t>
      </w:r>
      <w:r>
        <w:rPr>
          <w:color w:val="000000"/>
        </w:rPr>
        <w:t xml:space="preserve"> </w:t>
      </w:r>
      <w:r>
        <w:rPr>
          <w:rFonts w:ascii="Times New Roman;sans-serif" w:hAnsi="Times New Roman;sans-serif"/>
          <w:b w:val="false"/>
          <w:color w:val="000000"/>
          <w:sz w:val="20"/>
        </w:rPr>
        <w:t>for a full description of recently adopted accounting pronouncements.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segment enables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a single consumer.</w: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Comparison of the Three and Six Months Ended June 30, 2023 and June 30, 2022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our revenues for those periods. The period-to-period comparison of financial results is not necessarily indicative of future results.    </w:t>
      </w:r>
    </w:p>
    <w:p>
      <w:pPr>
        <w:pStyle w:val="TextBody"/>
        <w:bidi w:val="0"/>
        <w:spacing w:before="0" w:after="120"/>
        <w:ind w:left="0" w:right="0" w:firstLine="480"/>
        <w:jc w:val="both"/>
        <w:rPr/>
      </w:pPr>
      <w:r>
        <w:rPr/>
      </w:r>
    </w:p>
    <w:tbl>
      <w:tblPr>
        <w:tblW w:w="9516" w:type="dxa"/>
        <w:jc w:val="center"/>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826"/>
        <w:gridCol w:w="109"/>
        <w:gridCol w:w="109"/>
        <w:gridCol w:w="109"/>
        <w:gridCol w:w="109"/>
        <w:gridCol w:w="310"/>
        <w:gridCol w:w="310"/>
        <w:gridCol w:w="311"/>
        <w:gridCol w:w="109"/>
        <w:gridCol w:w="109"/>
        <w:gridCol w:w="109"/>
        <w:gridCol w:w="211"/>
        <w:gridCol w:w="826"/>
        <w:gridCol w:w="109"/>
        <w:gridCol w:w="109"/>
        <w:gridCol w:w="109"/>
        <w:gridCol w:w="109"/>
        <w:gridCol w:w="211"/>
        <w:gridCol w:w="826"/>
        <w:gridCol w:w="109"/>
        <w:gridCol w:w="109"/>
        <w:gridCol w:w="109"/>
        <w:gridCol w:w="109"/>
        <w:gridCol w:w="310"/>
        <w:gridCol w:w="310"/>
        <w:gridCol w:w="311"/>
        <w:gridCol w:w="109"/>
        <w:gridCol w:w="109"/>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22222"/>
          <w:sz w:val="20"/>
        </w:rPr>
        <w:t>Revenue decrease</w:t>
      </w:r>
      <w:r>
        <w:rPr>
          <w:rFonts w:ascii="Times New Roman;sans-serif" w:hAnsi="Times New Roman;sans-serif"/>
          <w:b w:val="false"/>
          <w:color w:val="222222"/>
          <w:sz w:val="20"/>
          <w:shd w:fill="FFFFFF" w:val="clear"/>
        </w:rPr>
        <w:t xml:space="preserve">d by 26% to $97.5 million and by 22% to $205.2 million </w:t>
      </w:r>
      <w:r>
        <w:rPr>
          <w:rFonts w:ascii="Times New Roman;sans-serif" w:hAnsi="Times New Roman;sans-serif"/>
          <w:b w:val="false"/>
          <w:color w:val="222222"/>
          <w:sz w:val="20"/>
        </w:rPr>
        <w:t xml:space="preserve">for the </w:t>
      </w:r>
      <w:r>
        <w:rPr>
          <w:rFonts w:ascii="Times New Roman;sans-serif" w:hAnsi="Times New Roman;sans-serif"/>
          <w:b w:val="false"/>
          <w:color w:val="000000"/>
          <w:sz w:val="20"/>
        </w:rPr>
        <w:t>three and six months ended</w:t>
      </w:r>
      <w:r>
        <w:rPr>
          <w:color w:val="222222"/>
        </w:rPr>
        <w:t xml:space="preserve">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respectively,</w:t>
      </w:r>
      <w:r>
        <w:rPr>
          <w:color w:val="222222"/>
          <w:shd w:fill="FFFFFF" w:val="clear"/>
        </w:rPr>
        <w:t xml:space="preserve"> </w:t>
      </w:r>
      <w:r>
        <w:rPr>
          <w:rFonts w:ascii="Times New Roman;sans-serif" w:hAnsi="Times New Roman;sans-serif"/>
          <w:b w:val="false"/>
          <w:color w:val="222222"/>
          <w:sz w:val="20"/>
          <w:shd w:fill="FFFFFF" w:val="clear"/>
        </w:rPr>
        <w:t xml:space="preserve">from $132.6 million and $262.8 million, respectively, for the comparable periods in 2022. </w:t>
      </w:r>
      <w:r>
        <w:rPr>
          <w:rFonts w:ascii="Times New Roman;sans-serif" w:hAnsi="Times New Roman;sans-serif"/>
          <w:b w:val="false"/>
          <w:color w:val="222222"/>
          <w:sz w:val="20"/>
        </w:rPr>
        <w:t>The Business revenue decreases are primarily driven by professional services decreases of $12.3 million and $6.8 million, and decreases in h</w:t>
      </w:r>
      <w:r>
        <w:rPr>
          <w:rFonts w:ascii="Times New Roman;sans-serif" w:hAnsi="Times New Roman;sans-serif"/>
          <w:b w:val="false"/>
          <w:color w:val="000000"/>
          <w:sz w:val="20"/>
        </w:rPr>
        <w:t xml:space="preserve">osted services of </w:t>
      </w:r>
      <w:r>
        <w:rPr>
          <w:rFonts w:ascii="Times New Roman;sans-serif" w:hAnsi="Times New Roman;sans-serif"/>
          <w:b w:val="false"/>
          <w:color w:val="222222"/>
          <w:sz w:val="20"/>
        </w:rPr>
        <w:t>$22.7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22222"/>
          <w:sz w:val="20"/>
        </w:rPr>
        <w:t>$50.8 million</w:t>
      </w:r>
      <w:r>
        <w:rPr>
          <w:color w:val="000000"/>
        </w:rPr>
        <w:t xml:space="preserve"> </w:t>
      </w:r>
      <w:r>
        <w:rPr>
          <w:rFonts w:ascii="Times New Roman;sans-serif" w:hAnsi="Times New Roman;sans-serif"/>
          <w:b w:val="false"/>
          <w:color w:val="000000"/>
          <w:sz w:val="20"/>
        </w:rPr>
        <w:t>for the three and six months ended June 30, 2023, respectively.</w:t>
      </w:r>
      <w:r>
        <w:rPr>
          <w:color w:val="222222"/>
        </w:rPr>
        <w:t xml:space="preserve"> </w:t>
      </w:r>
      <w:r>
        <w:rPr>
          <w:rFonts w:ascii="Times New Roman;sans-serif" w:hAnsi="Times New Roman;sans-serif"/>
          <w:b w:val="false"/>
          <w:color w:val="222222"/>
          <w:sz w:val="20"/>
          <w:shd w:fill="FFFFFF" w:val="clear"/>
        </w:rPr>
        <w:t xml:space="preserve">Included in hosted services is a net decrease in revenue that is variable based on interaction and usage of approximately $10.9 million and $28.0 million for the </w:t>
      </w:r>
      <w:r>
        <w:rPr>
          <w:rFonts w:ascii="Times New Roman;sans-serif" w:hAnsi="Times New Roman;sans-serif"/>
          <w:b w:val="false"/>
          <w:color w:val="000000"/>
          <w:sz w:val="20"/>
          <w:shd w:fill="FFFFFF" w:val="clear"/>
        </w:rPr>
        <w:t>three and six months ended June 30, 2023, respectively</w:t>
      </w:r>
      <w:r>
        <w:rPr>
          <w:rFonts w:ascii="Times New Roman;sans-serif" w:hAnsi="Times New Roman;sans-serif"/>
          <w:b w:val="false"/>
          <w:color w:val="222222"/>
          <w:sz w:val="20"/>
          <w:shd w:fill="FFFFFF" w:val="clear"/>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22222"/>
          <w:sz w:val="20"/>
          <w:shd w:fill="FFFFFF" w:val="clear"/>
        </w:rPr>
        <w:t xml:space="preserve">Further,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which </w:t>
      </w:r>
      <w:r>
        <w:rPr>
          <w:rFonts w:ascii="Times New Roman;sans-serif" w:hAnsi="Times New Roman;sans-serif"/>
          <w:b w:val="false"/>
          <w:color w:val="000000"/>
          <w:sz w:val="20"/>
        </w:rPr>
        <w:t>includes $7.2 million for the six months ended June 30, 2023, and $9.1 million and $18.3 million of revenue for the three and six months ended June 30, 2022, respectively, relating to Kasamba.</w:t>
      </w:r>
      <w:r>
        <w:rPr>
          <w:color w:val="222222"/>
          <w:shd w:fill="FFFFFF" w:val="clear"/>
        </w:rPr>
        <w:t xml:space="preserve"> </w:t>
      </w:r>
      <w:r>
        <w:rPr>
          <w:rFonts w:ascii="Times New Roman;sans-serif" w:hAnsi="Times New Roman;sans-serif"/>
          <w:b w:val="false"/>
          <w:color w:val="222222"/>
          <w:sz w:val="20"/>
          <w:shd w:fill="FFFFFF" w:val="clear"/>
        </w:rPr>
        <w:t xml:space="preserve">Refer to Note 2 - </w:t>
      </w:r>
      <w:r>
        <w:rPr>
          <w:rFonts w:ascii="Times New Roman;sans-serif" w:hAnsi="Times New Roman;sans-serif"/>
          <w:b w:val="false"/>
          <w:i/>
          <w:color w:val="222222"/>
          <w:sz w:val="20"/>
          <w:shd w:fill="FFFFFF" w:val="clear"/>
        </w:rPr>
        <w:t xml:space="preserve">Revenue Recognition, </w:t>
      </w:r>
      <w:r>
        <w:rPr>
          <w:rFonts w:ascii="Times New Roman;sans-serif" w:hAnsi="Times New Roman;sans-serif"/>
          <w:b w:val="false"/>
          <w:color w:val="222222"/>
          <w:sz w:val="20"/>
          <w:shd w:fill="FFFFFF" w:val="clear"/>
        </w:rPr>
        <w:t xml:space="preserve">for further details.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22222"/>
          <w:sz w:val="20"/>
          <w:shd w:fill="FFFFFF" w:val="clear"/>
        </w:rPr>
        <w:t xml:space="preserve">Our ARPC for our enterprise and mid-market customers was approximately $575,000 for the trailing twelve months ended June 30, 2023, as compared to $505,000 for the trailing twelve months ended June 30, 2022. Revenue retention for our enterprise and mid-market customers on the Conversational Cloud was below our target range </w:t>
      </w:r>
      <w:r>
        <w:rPr>
          <w:rFonts w:ascii="Times New Roman;sans-serif" w:hAnsi="Times New Roman;sans-serif"/>
          <w:b w:val="false"/>
          <w:color w:val="222222"/>
          <w:sz w:val="20"/>
        </w:rPr>
        <w:t>of 105% to 115% for</w:t>
      </w:r>
      <w:r>
        <w:rPr>
          <w:color w:val="000000"/>
          <w:shd w:fill="FFFFFF" w:val="clear"/>
        </w:rPr>
        <w:t xml:space="preserve"> </w:t>
      </w:r>
      <w:r>
        <w:rPr>
          <w:rFonts w:ascii="Times New Roman;sans-serif" w:hAnsi="Times New Roman;sans-serif"/>
          <w:b w:val="false"/>
          <w:color w:val="000000"/>
          <w:sz w:val="20"/>
          <w:shd w:fill="FFFFFF" w:val="clear"/>
        </w:rPr>
        <w:t>the second quarter of 2023 and the comparable period in 2022.</w:t>
      </w:r>
      <w:r>
        <w:rPr>
          <w:color w:val="000000"/>
        </w:rPr>
        <w:t xml:space="preserv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 </w:t>
      </w:r>
    </w:p>
    <w:tbl>
      <w:tblPr>
        <w:tblW w:w="10205" w:type="dxa"/>
        <w:jc w:val="center"/>
        <w:tblInd w:w="0" w:type="dxa"/>
        <w:tblLayout w:type="fixed"/>
        <w:tblCellMar>
          <w:top w:w="28" w:type="dxa"/>
          <w:left w:w="28" w:type="dxa"/>
          <w:bottom w:w="28" w:type="dxa"/>
          <w:right w:w="28" w:type="dxa"/>
        </w:tblCellMar>
      </w:tblPr>
      <w:tblGrid>
        <w:gridCol w:w="683"/>
        <w:gridCol w:w="499"/>
        <w:gridCol w:w="500"/>
        <w:gridCol w:w="211"/>
        <w:gridCol w:w="721"/>
        <w:gridCol w:w="109"/>
        <w:gridCol w:w="109"/>
        <w:gridCol w:w="109"/>
        <w:gridCol w:w="109"/>
        <w:gridCol w:w="211"/>
        <w:gridCol w:w="721"/>
        <w:gridCol w:w="109"/>
        <w:gridCol w:w="109"/>
        <w:gridCol w:w="109"/>
        <w:gridCol w:w="109"/>
        <w:gridCol w:w="310"/>
        <w:gridCol w:w="310"/>
        <w:gridCol w:w="311"/>
        <w:gridCol w:w="109"/>
        <w:gridCol w:w="109"/>
        <w:gridCol w:w="109"/>
        <w:gridCol w:w="211"/>
        <w:gridCol w:w="721"/>
        <w:gridCol w:w="109"/>
        <w:gridCol w:w="109"/>
        <w:gridCol w:w="109"/>
        <w:gridCol w:w="109"/>
        <w:gridCol w:w="211"/>
        <w:gridCol w:w="721"/>
        <w:gridCol w:w="271"/>
        <w:gridCol w:w="109"/>
        <w:gridCol w:w="109"/>
        <w:gridCol w:w="109"/>
        <w:gridCol w:w="310"/>
        <w:gridCol w:w="310"/>
        <w:gridCol w:w="311"/>
        <w:gridCol w:w="109"/>
        <w:gridCol w:w="109"/>
        <w:gridCol w:w="109"/>
        <w:gridCol w:w="109"/>
        <w:gridCol w:w="109"/>
        <w:gridCol w:w="155"/>
      </w:tblGrid>
      <w:tr>
        <w:trPr/>
        <w:tc>
          <w:tcPr>
            <w:tcW w:w="68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0" w:type="dxa"/>
            <w:gridSpan w:val="6"/>
            <w:tcBorders/>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Cost of revenue</w:t>
      </w:r>
      <w:r>
        <w:rPr>
          <w:color w:val="000000"/>
          <w:shd w:fill="FFFFFF" w:val="clear"/>
        </w:rPr>
        <w:t xml:space="preserve"> </w:t>
      </w:r>
      <w:r>
        <w:rPr>
          <w:rFonts w:ascii="Times New Roman;sans-serif" w:hAnsi="Times New Roman;sans-serif"/>
          <w:b w:val="false"/>
          <w:color w:val="000000"/>
          <w:sz w:val="20"/>
          <w:shd w:fill="FFFFFF" w:val="clear"/>
        </w:rPr>
        <w:t xml:space="preserve">decreased by 31% to $30.9 million </w:t>
      </w:r>
      <w:r>
        <w:rPr>
          <w:rFonts w:ascii="Times New Roman;sans-serif" w:hAnsi="Times New Roman;sans-serif"/>
          <w:b w:val="false"/>
          <w:color w:val="000000"/>
          <w:sz w:val="20"/>
        </w:rPr>
        <w:t>for the three months ended</w:t>
      </w:r>
      <w:r>
        <w:rPr>
          <w:color w:val="222222"/>
        </w:rPr>
        <w:t xml:space="preserve"> </w:t>
      </w:r>
      <w:r>
        <w:rPr>
          <w:rFonts w:ascii="Times New Roman;sans-serif" w:hAnsi="Times New Roman;sans-serif"/>
          <w:b w:val="false"/>
          <w:color w:val="000000"/>
          <w:sz w:val="20"/>
        </w:rPr>
        <w:t>June 30, 2023 from $45.0 million for the comparable period in</w:t>
      </w:r>
      <w:r>
        <w:rPr>
          <w:color w:val="000000"/>
          <w:shd w:fill="FFFFFF" w:val="clear"/>
        </w:rPr>
        <w:t xml:space="preserve"> </w:t>
      </w:r>
      <w:r>
        <w:rPr>
          <w:rFonts w:ascii="Times New Roman;sans-serif" w:hAnsi="Times New Roman;sans-serif"/>
          <w:b w:val="false"/>
          <w:color w:val="000000"/>
          <w:sz w:val="20"/>
          <w:shd w:fill="FFFFFF" w:val="clear"/>
        </w:rPr>
        <w:t>2022. This decrease in expense is primarily attributable to a decrease in salary and related employee expenses of approximately $5.7 million, a decrease in business services and outsourced labor of approximately $5.6 million, a decrease in compensation expense due to the settlement of earn-outs related to prior acquisitions of approximately $3.5 million, and a decrease in COVID-19 testing expenses of approximately $1.3 million, partially offset by an increase in software, hosting and other expenses of approximately $2.5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Cost of revenue</w:t>
      </w:r>
      <w:r>
        <w:rPr>
          <w:color w:val="000000"/>
          <w:shd w:fill="FFFFFF" w:val="clear"/>
        </w:rPr>
        <w:t xml:space="preserve"> </w:t>
      </w:r>
      <w:r>
        <w:rPr>
          <w:rFonts w:ascii="Times New Roman;sans-serif" w:hAnsi="Times New Roman;sans-serif"/>
          <w:b w:val="false"/>
          <w:color w:val="000000"/>
          <w:sz w:val="20"/>
          <w:shd w:fill="FFFFFF" w:val="clear"/>
        </w:rPr>
        <w:t xml:space="preserve">decreased by 22% to $74.0 million </w:t>
      </w:r>
      <w:r>
        <w:rPr>
          <w:rFonts w:ascii="Times New Roman;sans-serif" w:hAnsi="Times New Roman;sans-serif"/>
          <w:b w:val="false"/>
          <w:color w:val="000000"/>
          <w:sz w:val="20"/>
        </w:rPr>
        <w:t>for the six months ended</w:t>
      </w:r>
      <w:r>
        <w:rPr>
          <w:color w:val="222222"/>
        </w:rPr>
        <w:t xml:space="preserve"> </w:t>
      </w:r>
      <w:r>
        <w:rPr>
          <w:rFonts w:ascii="Times New Roman;sans-serif" w:hAnsi="Times New Roman;sans-serif"/>
          <w:b w:val="false"/>
          <w:color w:val="000000"/>
          <w:sz w:val="20"/>
        </w:rPr>
        <w:t>June 30, 2023 from $94.6 million for the comp</w:t>
      </w:r>
      <w:r>
        <w:rPr>
          <w:rFonts w:ascii="Times New Roman;sans-serif" w:hAnsi="Times New Roman;sans-serif"/>
          <w:b w:val="false"/>
          <w:color w:val="000000"/>
          <w:sz w:val="20"/>
          <w:shd w:fill="FFFFFF" w:val="clear"/>
        </w:rPr>
        <w:t>arable period in 2022. This decrease in expense is primarily attributable to a decrease in COVID-19 testing expenses of approximately $10.0 million, a decrease in business services and outsourced labor of approximately $5.8 million, a decrease in compensation expense due to the settlement of earn-outs related to prior acquisitions of approximately $4.2 million, and a decrease in salary and related employee expenses of approximately $4.1 million, partially offset by an increase in software expenses, hosting and other expenses of approximately $3.4 million.</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compensation and related expenses for sales and marketing personnel, as well as advertising, marketing events, public relations, trade show exhibit expenses and allocated occupancy costs and related overhead. </w:t>
      </w:r>
    </w:p>
    <w:tbl>
      <w:tblPr>
        <w:tblW w:w="10205" w:type="dxa"/>
        <w:jc w:val="center"/>
        <w:tblInd w:w="0" w:type="dxa"/>
        <w:tblLayout w:type="fixed"/>
        <w:tblCellMar>
          <w:top w:w="28" w:type="dxa"/>
          <w:left w:w="28" w:type="dxa"/>
          <w:bottom w:w="28" w:type="dxa"/>
          <w:right w:w="28" w:type="dxa"/>
        </w:tblCellMar>
      </w:tblPr>
      <w:tblGrid>
        <w:gridCol w:w="586"/>
        <w:gridCol w:w="485"/>
        <w:gridCol w:w="488"/>
        <w:gridCol w:w="211"/>
        <w:gridCol w:w="721"/>
        <w:gridCol w:w="109"/>
        <w:gridCol w:w="109"/>
        <w:gridCol w:w="109"/>
        <w:gridCol w:w="109"/>
        <w:gridCol w:w="211"/>
        <w:gridCol w:w="721"/>
        <w:gridCol w:w="271"/>
        <w:gridCol w:w="109"/>
        <w:gridCol w:w="109"/>
        <w:gridCol w:w="109"/>
        <w:gridCol w:w="211"/>
        <w:gridCol w:w="211"/>
        <w:gridCol w:w="517"/>
        <w:gridCol w:w="109"/>
        <w:gridCol w:w="109"/>
        <w:gridCol w:w="109"/>
        <w:gridCol w:w="211"/>
        <w:gridCol w:w="721"/>
        <w:gridCol w:w="109"/>
        <w:gridCol w:w="109"/>
        <w:gridCol w:w="109"/>
        <w:gridCol w:w="109"/>
        <w:gridCol w:w="211"/>
        <w:gridCol w:w="826"/>
        <w:gridCol w:w="109"/>
        <w:gridCol w:w="109"/>
        <w:gridCol w:w="109"/>
        <w:gridCol w:w="109"/>
        <w:gridCol w:w="211"/>
        <w:gridCol w:w="211"/>
        <w:gridCol w:w="517"/>
        <w:gridCol w:w="109"/>
        <w:gridCol w:w="109"/>
        <w:gridCol w:w="109"/>
        <w:gridCol w:w="109"/>
        <w:gridCol w:w="109"/>
        <w:gridCol w:w="157"/>
      </w:tblGrid>
      <w:tr>
        <w:trPr/>
        <w:tc>
          <w:tcPr>
            <w:tcW w:w="58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2"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Sales and marketing expenses</w:t>
      </w:r>
      <w:r>
        <w:rPr>
          <w:color w:val="000000"/>
          <w:shd w:fill="FFFFFF" w:val="clear"/>
        </w:rPr>
        <w:t xml:space="preserve"> </w:t>
      </w:r>
      <w:r>
        <w:rPr>
          <w:rFonts w:ascii="Times New Roman;sans-serif" w:hAnsi="Times New Roman;sans-serif"/>
          <w:b w:val="false"/>
          <w:color w:val="000000"/>
          <w:sz w:val="20"/>
          <w:shd w:fill="FFFFFF" w:val="clear"/>
        </w:rPr>
        <w:t xml:space="preserve">decreased by 55% to $26.7 million </w:t>
      </w:r>
      <w:r>
        <w:rPr>
          <w:rFonts w:ascii="Times New Roman;sans-serif" w:hAnsi="Times New Roman;sans-serif"/>
          <w:b w:val="false"/>
          <w:color w:val="000000"/>
          <w:sz w:val="20"/>
        </w:rPr>
        <w:t>for the three months ended</w:t>
      </w:r>
      <w:r>
        <w:rPr>
          <w:color w:val="222222"/>
        </w:rPr>
        <w:t xml:space="preserve"> </w:t>
      </w:r>
      <w:r>
        <w:rPr>
          <w:rFonts w:ascii="Times New Roman;sans-serif" w:hAnsi="Times New Roman;sans-serif"/>
          <w:b w:val="false"/>
          <w:color w:val="000000"/>
          <w:sz w:val="20"/>
        </w:rPr>
        <w:t xml:space="preserve">June 30, 2023 from $60.0 million </w:t>
      </w:r>
      <w:r>
        <w:rPr>
          <w:rFonts w:ascii="Times New Roman;sans-serif" w:hAnsi="Times New Roman;sans-serif"/>
          <w:b w:val="false"/>
          <w:color w:val="000000"/>
          <w:sz w:val="20"/>
          <w:shd w:fill="FFFFFF" w:val="clear"/>
        </w:rPr>
        <w:t xml:space="preserve">for the comparable period in 2022. </w:t>
      </w: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 xml:space="preserve">was primarily attributable to a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 xml:space="preserve">in salary and related employee expenses of approximately $15.7 million, a decrease in marketing expenses of approximately $10.3 million, a decrease in </w:t>
      </w:r>
      <w:r>
        <w:rPr>
          <w:rFonts w:ascii="Times New Roman;sans-serif" w:hAnsi="Times New Roman;sans-serif"/>
          <w:b w:val="false"/>
          <w:color w:val="000000"/>
          <w:sz w:val="20"/>
          <w:shd w:fill="FFFFFF" w:val="clear"/>
        </w:rPr>
        <w:t>software, hosting and other expenses of approximately $3.1 million</w:t>
      </w:r>
      <w:r>
        <w:rPr>
          <w:rFonts w:ascii="Times New Roman;sans-serif" w:hAnsi="Times New Roman;sans-serif"/>
          <w:b w:val="false"/>
          <w:color w:val="000000"/>
          <w:sz w:val="20"/>
        </w:rPr>
        <w:t xml:space="preserve">, a decrease in </w:t>
      </w:r>
      <w:r>
        <w:rPr>
          <w:rFonts w:ascii="Times New Roman;sans-serif" w:hAnsi="Times New Roman;sans-serif"/>
          <w:b w:val="false"/>
          <w:color w:val="000000"/>
          <w:sz w:val="20"/>
          <w:shd w:fill="FFFFFF" w:val="clear"/>
        </w:rPr>
        <w:t xml:space="preserve">business services and </w:t>
      </w:r>
      <w:r>
        <w:rPr>
          <w:rFonts w:ascii="Times New Roman;sans-serif" w:hAnsi="Times New Roman;sans-serif"/>
          <w:b w:val="false"/>
          <w:color w:val="000000"/>
          <w:sz w:val="20"/>
        </w:rPr>
        <w:t xml:space="preserve">outsourced labor of approximately $2.4 million, and </w:t>
      </w:r>
      <w:r>
        <w:rPr>
          <w:rFonts w:ascii="Times New Roman;sans-serif" w:hAnsi="Times New Roman;sans-serif"/>
          <w:b w:val="false"/>
          <w:color w:val="000000"/>
          <w:sz w:val="20"/>
          <w:shd w:fill="FFFFFF" w:val="clear"/>
        </w:rPr>
        <w:t>a decrease in compensation expense due to the settlement of earn-outs related to prior acquisitions of approximately $1.8 million.</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Sales and marketing expenses decreased by </w:t>
      </w:r>
      <w:r>
        <w:rPr>
          <w:rFonts w:ascii="Times New Roman;sans-serif" w:hAnsi="Times New Roman;sans-serif"/>
          <w:b w:val="false"/>
          <w:color w:val="000000"/>
          <w:sz w:val="20"/>
          <w:shd w:fill="FFFFFF" w:val="clear"/>
        </w:rPr>
        <w:t>48%</w:t>
      </w:r>
      <w:r>
        <w:rPr>
          <w:color w:val="000000"/>
        </w:rPr>
        <w:t xml:space="preserve"> </w:t>
      </w:r>
      <w:r>
        <w:rPr>
          <w:rFonts w:ascii="Times New Roman;sans-serif" w:hAnsi="Times New Roman;sans-serif"/>
          <w:b w:val="false"/>
          <w:color w:val="000000"/>
          <w:sz w:val="20"/>
        </w:rPr>
        <w:t>to $61.2 million for the six months ended</w:t>
      </w:r>
      <w:r>
        <w:rPr>
          <w:color w:val="222222"/>
        </w:rPr>
        <w:t xml:space="preserve"> </w:t>
      </w:r>
      <w:r>
        <w:rPr>
          <w:rFonts w:ascii="Times New Roman;sans-serif" w:hAnsi="Times New Roman;sans-serif"/>
          <w:b w:val="false"/>
          <w:color w:val="000000"/>
          <w:sz w:val="20"/>
        </w:rPr>
        <w:t xml:space="preserve">June 30, 2023 from $118.1 million for the comparable period in 2022. This decrease was primarily attributable to a decrease in salary and related employee expenses of approximately $28.2 million, a decrease in marketing expenses of approximately $17.9 million, a decrease in </w:t>
      </w:r>
      <w:r>
        <w:rPr>
          <w:rFonts w:ascii="Times New Roman;sans-serif" w:hAnsi="Times New Roman;sans-serif"/>
          <w:b w:val="false"/>
          <w:color w:val="000000"/>
          <w:sz w:val="20"/>
          <w:shd w:fill="FFFFFF" w:val="clear"/>
        </w:rPr>
        <w:t xml:space="preserve">business services and </w:t>
      </w:r>
      <w:r>
        <w:rPr>
          <w:rFonts w:ascii="Times New Roman;sans-serif" w:hAnsi="Times New Roman;sans-serif"/>
          <w:b w:val="false"/>
          <w:color w:val="000000"/>
          <w:sz w:val="20"/>
        </w:rPr>
        <w:t xml:space="preserve">outsourced labor of approximately $4.9 million, a decrease in </w:t>
      </w:r>
      <w:r>
        <w:rPr>
          <w:rFonts w:ascii="Times New Roman;sans-serif" w:hAnsi="Times New Roman;sans-serif"/>
          <w:b w:val="false"/>
          <w:color w:val="000000"/>
          <w:sz w:val="20"/>
          <w:shd w:fill="FFFFFF" w:val="clear"/>
        </w:rPr>
        <w:t>software, hosting and other expenses of approximately</w:t>
      </w:r>
      <w:r>
        <w:rPr>
          <w:color w:val="000000"/>
        </w:rPr>
        <w:t xml:space="preserve"> </w:t>
      </w:r>
      <w:r>
        <w:rPr>
          <w:rFonts w:ascii="Times New Roman;sans-serif" w:hAnsi="Times New Roman;sans-serif"/>
          <w:b w:val="false"/>
          <w:color w:val="000000"/>
          <w:sz w:val="20"/>
        </w:rPr>
        <w:t>$4.0 million, and a decrease</w:t>
      </w:r>
      <w:r>
        <w:rPr>
          <w:color w:val="000000"/>
          <w:shd w:fill="FFFFFF" w:val="clear"/>
        </w:rPr>
        <w:t xml:space="preserve"> </w:t>
      </w:r>
      <w:r>
        <w:rPr>
          <w:rFonts w:ascii="Times New Roman;sans-serif" w:hAnsi="Times New Roman;sans-serif"/>
          <w:b w:val="false"/>
          <w:color w:val="000000"/>
          <w:sz w:val="20"/>
          <w:shd w:fill="FFFFFF" w:val="clear"/>
        </w:rPr>
        <w:t>in compensation expense due to the settlement of earn-outs related to prior acquisitions of approximately $2.2 million.</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of compensation and related expenses for executive, accounting, legal, human resources and administrative personnel, professional fees and other general corporate expenses. </w:t>
      </w:r>
    </w:p>
    <w:tbl>
      <w:tblPr>
        <w:tblW w:w="10205" w:type="dxa"/>
        <w:jc w:val="center"/>
        <w:tblInd w:w="0" w:type="dxa"/>
        <w:tblLayout w:type="fixed"/>
        <w:tblCellMar>
          <w:top w:w="28" w:type="dxa"/>
          <w:left w:w="28" w:type="dxa"/>
          <w:bottom w:w="28" w:type="dxa"/>
          <w:right w:w="28" w:type="dxa"/>
        </w:tblCellMar>
      </w:tblPr>
      <w:tblGrid>
        <w:gridCol w:w="471"/>
        <w:gridCol w:w="414"/>
        <w:gridCol w:w="415"/>
        <w:gridCol w:w="211"/>
        <w:gridCol w:w="616"/>
        <w:gridCol w:w="271"/>
        <w:gridCol w:w="109"/>
        <w:gridCol w:w="109"/>
        <w:gridCol w:w="109"/>
        <w:gridCol w:w="211"/>
        <w:gridCol w:w="721"/>
        <w:gridCol w:w="271"/>
        <w:gridCol w:w="109"/>
        <w:gridCol w:w="109"/>
        <w:gridCol w:w="109"/>
        <w:gridCol w:w="310"/>
        <w:gridCol w:w="310"/>
        <w:gridCol w:w="311"/>
        <w:gridCol w:w="109"/>
        <w:gridCol w:w="109"/>
        <w:gridCol w:w="109"/>
        <w:gridCol w:w="211"/>
        <w:gridCol w:w="721"/>
        <w:gridCol w:w="271"/>
        <w:gridCol w:w="109"/>
        <w:gridCol w:w="109"/>
        <w:gridCol w:w="109"/>
        <w:gridCol w:w="211"/>
        <w:gridCol w:w="721"/>
        <w:gridCol w:w="271"/>
        <w:gridCol w:w="109"/>
        <w:gridCol w:w="109"/>
        <w:gridCol w:w="109"/>
        <w:gridCol w:w="310"/>
        <w:gridCol w:w="310"/>
        <w:gridCol w:w="311"/>
        <w:gridCol w:w="109"/>
        <w:gridCol w:w="109"/>
        <w:gridCol w:w="109"/>
        <w:gridCol w:w="109"/>
        <w:gridCol w:w="109"/>
        <w:gridCol w:w="15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1" w:type="dxa"/>
            <w:gridSpan w:val="6"/>
            <w:tcBorders/>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General and administrative expenses decreased by 73% to $8.2 million for the three months ended</w:t>
      </w:r>
      <w:r>
        <w:rPr>
          <w:color w:val="222222"/>
        </w:rPr>
        <w:t xml:space="preserve"> </w:t>
      </w:r>
      <w:r>
        <w:rPr>
          <w:rFonts w:ascii="Times New Roman;sans-serif" w:hAnsi="Times New Roman;sans-serif"/>
          <w:b w:val="false"/>
          <w:color w:val="000000"/>
          <w:sz w:val="20"/>
        </w:rPr>
        <w:t xml:space="preserve">June 30, 2023 from $30.2 million for the comparable period in 2022. This decrease is primarily attributable to a </w:t>
      </w:r>
      <w:r>
        <w:rPr>
          <w:rFonts w:ascii="Times New Roman;sans-serif" w:hAnsi="Times New Roman;sans-serif"/>
          <w:b w:val="false"/>
          <w:color w:val="000000"/>
          <w:sz w:val="20"/>
          <w:shd w:fill="FFFFFF" w:val="clear"/>
        </w:rPr>
        <w:t>decrease in compensation expense due to the settlement of earn-outs related to prior acquisitions of approximately $29.3 million, and</w:t>
      </w:r>
      <w:r>
        <w:rPr>
          <w:color w:val="000000"/>
        </w:rPr>
        <w:t xml:space="preserve"> </w:t>
      </w:r>
      <w:r>
        <w:rPr>
          <w:rFonts w:ascii="Times New Roman;sans-serif" w:hAnsi="Times New Roman;sans-serif"/>
          <w:b w:val="false"/>
          <w:color w:val="000000"/>
          <w:sz w:val="20"/>
        </w:rPr>
        <w:t xml:space="preserve">a decrease in </w:t>
      </w:r>
      <w:r>
        <w:rPr>
          <w:rFonts w:ascii="Times New Roman;sans-serif" w:hAnsi="Times New Roman;sans-serif"/>
          <w:b w:val="false"/>
          <w:color w:val="000000"/>
          <w:sz w:val="20"/>
          <w:shd w:fill="FFFFFF" w:val="clear"/>
        </w:rPr>
        <w:t xml:space="preserve">business services and </w:t>
      </w:r>
      <w:r>
        <w:rPr>
          <w:rFonts w:ascii="Times New Roman;sans-serif" w:hAnsi="Times New Roman;sans-serif"/>
          <w:b w:val="false"/>
          <w:color w:val="000000"/>
          <w:sz w:val="20"/>
        </w:rPr>
        <w:t xml:space="preserve">outsourced labor of approximately $1.4 million, partially offset by an increase in </w:t>
      </w:r>
      <w:r>
        <w:rPr>
          <w:rFonts w:ascii="Times New Roman;sans-serif" w:hAnsi="Times New Roman;sans-serif"/>
          <w:b w:val="false"/>
          <w:color w:val="000000"/>
          <w:sz w:val="20"/>
          <w:shd w:fill="FFFFFF" w:val="clear"/>
        </w:rPr>
        <w:t xml:space="preserve">software, hosting and other expenses of approximately $5.5 million and </w:t>
      </w:r>
      <w:r>
        <w:rPr>
          <w:rFonts w:ascii="Times New Roman;sans-serif" w:hAnsi="Times New Roman;sans-serif"/>
          <w:b w:val="false"/>
          <w:color w:val="000000"/>
          <w:sz w:val="20"/>
        </w:rPr>
        <w:t>increase in salary and employee related expenses of approximately $2.7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General and administrative expenses decreased by 34% to $39.6 million for the six months ended June 30, 2023 from $60.0 million for the comparable period in 2022. This decrease is primarily attributable to </w:t>
      </w:r>
      <w:r>
        <w:rPr>
          <w:rFonts w:ascii="Times New Roman;sans-serif" w:hAnsi="Times New Roman;sans-serif"/>
          <w:b w:val="false"/>
          <w:color w:val="000000"/>
          <w:sz w:val="20"/>
          <w:shd w:fill="FFFFFF" w:val="clear"/>
        </w:rPr>
        <w:t xml:space="preserve">a decrease in compensation expense due to the settlement of earn-outs related to prior acquisitions of approximately $34.6 million, </w:t>
      </w:r>
      <w:r>
        <w:rPr>
          <w:rFonts w:ascii="Times New Roman;sans-serif" w:hAnsi="Times New Roman;sans-serif"/>
          <w:b w:val="false"/>
          <w:color w:val="000000"/>
          <w:sz w:val="20"/>
        </w:rPr>
        <w:t xml:space="preserve">a decrease in </w:t>
      </w:r>
      <w:r>
        <w:rPr>
          <w:rFonts w:ascii="Times New Roman;sans-serif" w:hAnsi="Times New Roman;sans-serif"/>
          <w:b w:val="false"/>
          <w:color w:val="000000"/>
          <w:sz w:val="20"/>
          <w:shd w:fill="FFFFFF" w:val="clear"/>
        </w:rPr>
        <w:t xml:space="preserve">business services and </w:t>
      </w:r>
      <w:r>
        <w:rPr>
          <w:rFonts w:ascii="Times New Roman;sans-serif" w:hAnsi="Times New Roman;sans-serif"/>
          <w:b w:val="false"/>
          <w:color w:val="000000"/>
          <w:sz w:val="20"/>
        </w:rPr>
        <w:t xml:space="preserve">outsourced labor of approximately $2.1 million, and </w:t>
      </w:r>
      <w:r>
        <w:rPr>
          <w:rFonts w:ascii="Times New Roman;sans-serif" w:hAnsi="Times New Roman;sans-serif"/>
          <w:b w:val="false"/>
          <w:color w:val="000000"/>
          <w:sz w:val="20"/>
          <w:shd w:fill="FFFFFF" w:val="clear"/>
        </w:rPr>
        <w:t>a</w:t>
      </w:r>
      <w:r>
        <w:rPr>
          <w:color w:val="000000"/>
        </w:rPr>
        <w:t xml:space="preserve"> </w:t>
      </w:r>
      <w:r>
        <w:rPr>
          <w:rFonts w:ascii="Times New Roman;sans-serif" w:hAnsi="Times New Roman;sans-serif"/>
          <w:b w:val="false"/>
          <w:color w:val="000000"/>
          <w:sz w:val="20"/>
        </w:rPr>
        <w:t xml:space="preserve">decrease in salary and employee related expenses of approximately $0.5 million, partially offset by an increase in </w:t>
      </w:r>
      <w:r>
        <w:rPr>
          <w:rFonts w:ascii="Times New Roman;sans-serif" w:hAnsi="Times New Roman;sans-serif"/>
          <w:b w:val="false"/>
          <w:color w:val="000000"/>
          <w:sz w:val="20"/>
          <w:shd w:fill="FFFFFF" w:val="clear"/>
        </w:rPr>
        <w:t>software, hosting and other expenses of approximately</w:t>
      </w:r>
      <w:r>
        <w:rPr>
          <w:color w:val="000000"/>
        </w:rPr>
        <w:t xml:space="preserve"> </w:t>
      </w:r>
      <w:r>
        <w:rPr>
          <w:rFonts w:ascii="Times New Roman;sans-serif" w:hAnsi="Times New Roman;sans-serif"/>
          <w:b w:val="false"/>
          <w:color w:val="000000"/>
          <w:sz w:val="20"/>
        </w:rPr>
        <w:t>$16.6 million.</w: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expenses consist of compensation and related expenses for product development personnel as well as allocated occupancy costs and related overhead and outsourced labor and expenses for testing new versions of our software. </w:t>
      </w:r>
    </w:p>
    <w:tbl>
      <w:tblPr>
        <w:tblW w:w="10299" w:type="dxa"/>
        <w:jc w:val="center"/>
        <w:tblInd w:w="0" w:type="dxa"/>
        <w:tblLayout w:type="fixed"/>
        <w:tblCellMar>
          <w:top w:w="28" w:type="dxa"/>
          <w:left w:w="28" w:type="dxa"/>
          <w:bottom w:w="28" w:type="dxa"/>
          <w:right w:w="28" w:type="dxa"/>
        </w:tblCellMar>
      </w:tblPr>
      <w:tblGrid>
        <w:gridCol w:w="430"/>
        <w:gridCol w:w="377"/>
        <w:gridCol w:w="379"/>
        <w:gridCol w:w="211"/>
        <w:gridCol w:w="721"/>
        <w:gridCol w:w="271"/>
        <w:gridCol w:w="109"/>
        <w:gridCol w:w="109"/>
        <w:gridCol w:w="109"/>
        <w:gridCol w:w="211"/>
        <w:gridCol w:w="721"/>
        <w:gridCol w:w="271"/>
        <w:gridCol w:w="109"/>
        <w:gridCol w:w="109"/>
        <w:gridCol w:w="109"/>
        <w:gridCol w:w="310"/>
        <w:gridCol w:w="310"/>
        <w:gridCol w:w="311"/>
        <w:gridCol w:w="109"/>
        <w:gridCol w:w="109"/>
        <w:gridCol w:w="109"/>
        <w:gridCol w:w="211"/>
        <w:gridCol w:w="721"/>
        <w:gridCol w:w="271"/>
        <w:gridCol w:w="109"/>
        <w:gridCol w:w="109"/>
        <w:gridCol w:w="109"/>
        <w:gridCol w:w="211"/>
        <w:gridCol w:w="826"/>
        <w:gridCol w:w="271"/>
        <w:gridCol w:w="109"/>
        <w:gridCol w:w="109"/>
        <w:gridCol w:w="109"/>
        <w:gridCol w:w="214"/>
        <w:gridCol w:w="214"/>
        <w:gridCol w:w="503"/>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Product development costs</w:t>
      </w:r>
      <w:r>
        <w:rPr>
          <w:color w:val="000000"/>
          <w:shd w:fill="FFFFFF" w:val="clear"/>
        </w:rPr>
        <w:t xml:space="preserve"> </w:t>
      </w:r>
      <w:r>
        <w:rPr>
          <w:rFonts w:ascii="Times New Roman;sans-serif" w:hAnsi="Times New Roman;sans-serif"/>
          <w:b w:val="false"/>
          <w:color w:val="000000"/>
          <w:sz w:val="20"/>
          <w:shd w:fill="FFFFFF" w:val="clear"/>
        </w:rPr>
        <w:t>decreased by 59% to $22.8 million</w:t>
      </w:r>
      <w:r>
        <w:rPr>
          <w:color w:val="000000"/>
        </w:rPr>
        <w:t xml:space="preserve"> </w:t>
      </w:r>
      <w:r>
        <w:rPr>
          <w:rFonts w:ascii="Times New Roman;sans-serif" w:hAnsi="Times New Roman;sans-serif"/>
          <w:b w:val="false"/>
          <w:color w:val="000000"/>
          <w:sz w:val="20"/>
        </w:rPr>
        <w:t>for the three months ended</w:t>
      </w:r>
      <w:r>
        <w:rPr>
          <w:color w:val="222222"/>
        </w:rPr>
        <w:t xml:space="preserve"> </w:t>
      </w:r>
      <w:r>
        <w:rPr>
          <w:rFonts w:ascii="Times New Roman;sans-serif" w:hAnsi="Times New Roman;sans-serif"/>
          <w:b w:val="false"/>
          <w:color w:val="000000"/>
          <w:sz w:val="20"/>
        </w:rPr>
        <w:t xml:space="preserve">June 30, 2023 from $55.8 million for the comparable period </w:t>
      </w:r>
      <w:r>
        <w:rPr>
          <w:rFonts w:ascii="Times New Roman;sans-serif" w:hAnsi="Times New Roman;sans-serif"/>
          <w:b w:val="false"/>
          <w:color w:val="000000"/>
          <w:sz w:val="20"/>
          <w:shd w:fill="FFFFFF" w:val="clear"/>
        </w:rPr>
        <w:t xml:space="preserve">in 2022. This decrease is primarily related to a decrease in salary and employee-related expenses of approximately $16.4 million, </w:t>
      </w:r>
      <w:r>
        <w:rPr>
          <w:rFonts w:ascii="Times New Roman;sans-serif" w:hAnsi="Times New Roman;sans-serif"/>
          <w:b w:val="false"/>
          <w:color w:val="000000"/>
          <w:sz w:val="20"/>
        </w:rPr>
        <w:t>a decreas</w:t>
      </w:r>
      <w:r>
        <w:rPr>
          <w:rFonts w:ascii="Times New Roman;sans-serif" w:hAnsi="Times New Roman;sans-serif"/>
          <w:b w:val="false"/>
          <w:color w:val="000000"/>
          <w:sz w:val="20"/>
          <w:shd w:fill="FFFFFF" w:val="clear"/>
        </w:rPr>
        <w:t xml:space="preserve">e in compensation expense due to the settlement of earn-outs related to prior acquisitions of approximately $13.2 million, </w:t>
      </w:r>
      <w:r>
        <w:rPr>
          <w:rFonts w:ascii="Times New Roman;sans-serif" w:hAnsi="Times New Roman;sans-serif"/>
          <w:b w:val="false"/>
          <w:color w:val="000000"/>
          <w:sz w:val="20"/>
        </w:rPr>
        <w:t xml:space="preserve">a decrease in </w:t>
      </w:r>
      <w:r>
        <w:rPr>
          <w:rFonts w:ascii="Times New Roman;sans-serif" w:hAnsi="Times New Roman;sans-serif"/>
          <w:b w:val="false"/>
          <w:color w:val="000000"/>
          <w:sz w:val="20"/>
          <w:shd w:fill="FFFFFF" w:val="clear"/>
        </w:rPr>
        <w:t xml:space="preserve">business services and </w:t>
      </w:r>
      <w:r>
        <w:rPr>
          <w:rFonts w:ascii="Times New Roman;sans-serif" w:hAnsi="Times New Roman;sans-serif"/>
          <w:b w:val="false"/>
          <w:color w:val="000000"/>
          <w:sz w:val="20"/>
        </w:rPr>
        <w:t>outsourced labor of approximately $4.3 million, and</w:t>
      </w:r>
      <w:r>
        <w:rPr>
          <w:color w:val="000000"/>
          <w:shd w:fill="FFFFFF" w:val="clear"/>
        </w:rPr>
        <w:t xml:space="preserve"> </w:t>
      </w:r>
      <w:r>
        <w:rPr>
          <w:rFonts w:ascii="Times New Roman;sans-serif" w:hAnsi="Times New Roman;sans-serif"/>
          <w:b w:val="false"/>
          <w:color w:val="000000"/>
          <w:sz w:val="20"/>
          <w:shd w:fill="FFFFFF" w:val="clear"/>
        </w:rPr>
        <w:t xml:space="preserve">a decrease </w:t>
      </w:r>
      <w:r>
        <w:rPr>
          <w:rFonts w:ascii="Times New Roman;sans-serif" w:hAnsi="Times New Roman;sans-serif"/>
          <w:b w:val="false"/>
          <w:color w:val="000000"/>
          <w:sz w:val="20"/>
        </w:rPr>
        <w:t xml:space="preserve">in </w:t>
      </w:r>
      <w:r>
        <w:rPr>
          <w:rFonts w:ascii="Times New Roman;sans-serif" w:hAnsi="Times New Roman;sans-serif"/>
          <w:b w:val="false"/>
          <w:color w:val="000000"/>
          <w:sz w:val="20"/>
          <w:shd w:fill="FFFFFF" w:val="clear"/>
        </w:rPr>
        <w:t xml:space="preserve">software, hosting and other expenses of approximately $1.7 million, partially offset by an increase in depreciation expenses of approximately $2.7 million.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Product development costs decreased by 47% to $59.4 million for the six months ended</w:t>
      </w:r>
      <w:r>
        <w:rPr>
          <w:color w:val="222222"/>
          <w:shd w:fill="FFFFFF" w:val="clear"/>
        </w:rPr>
        <w:t xml:space="preserve"> </w:t>
      </w:r>
      <w:r>
        <w:rPr>
          <w:rFonts w:ascii="Times New Roman;sans-serif" w:hAnsi="Times New Roman;sans-serif"/>
          <w:b w:val="false"/>
          <w:color w:val="000000"/>
          <w:sz w:val="20"/>
          <w:shd w:fill="FFFFFF" w:val="clear"/>
        </w:rPr>
        <w:t>June 30, 2023 from $111.8 million for the comparable period in 2022. This decrease is primarily related to a decrease in salary and employee-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related expenses of approximately $31.8 million, a decrease in compensation expense due to the settlement of earn-outs related to prior acquisitions of approximately $15.8 million, a decrease in business services and </w:t>
      </w:r>
      <w:r>
        <w:rPr>
          <w:rFonts w:ascii="Times New Roman;sans-serif" w:hAnsi="Times New Roman;sans-serif"/>
          <w:b w:val="false"/>
          <w:color w:val="000000"/>
          <w:sz w:val="20"/>
        </w:rPr>
        <w:t>outsourced labor</w:t>
      </w:r>
      <w:r>
        <w:rPr>
          <w:color w:val="000000"/>
          <w:shd w:fill="FFFFFF" w:val="clear"/>
        </w:rPr>
        <w:t xml:space="preserve"> </w:t>
      </w:r>
      <w:r>
        <w:rPr>
          <w:rFonts w:ascii="Times New Roman;sans-serif" w:hAnsi="Times New Roman;sans-serif"/>
          <w:b w:val="false"/>
          <w:color w:val="000000"/>
          <w:sz w:val="20"/>
          <w:shd w:fill="FFFFFF" w:val="clear"/>
        </w:rPr>
        <w:t xml:space="preserve">of approximately $6.8 million, and a decrease </w:t>
      </w:r>
      <w:r>
        <w:rPr>
          <w:rFonts w:ascii="Times New Roman;sans-serif" w:hAnsi="Times New Roman;sans-serif"/>
          <w:b w:val="false"/>
          <w:color w:val="000000"/>
          <w:sz w:val="20"/>
        </w:rPr>
        <w:t xml:space="preserve">in </w:t>
      </w:r>
      <w:r>
        <w:rPr>
          <w:rFonts w:ascii="Times New Roman;sans-serif" w:hAnsi="Times New Roman;sans-serif"/>
          <w:b w:val="false"/>
          <w:color w:val="000000"/>
          <w:sz w:val="20"/>
          <w:shd w:fill="FFFFFF" w:val="clear"/>
        </w:rPr>
        <w:t>software, hosting and other expenses of approximately $0.9 million, partially offset by an increase in depreciation expenses of approximately $2.9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continue to invest in new product development efforts to expand the capability of the Conversational Cloud. Upon completion, the project costs will be depreciated over five years. For the three and six months ended June 30, 2023, $6.5 million</w:t>
      </w:r>
      <w:r>
        <w:rPr>
          <w:color w:val="000000"/>
          <w:shd w:fill="FFFFFF" w:val="clear"/>
        </w:rPr>
        <w:t xml:space="preserve"> </w:t>
      </w:r>
      <w:r>
        <w:rPr>
          <w:rFonts w:ascii="Times New Roman;sans-serif" w:hAnsi="Times New Roman;sans-serif"/>
          <w:b w:val="false"/>
          <w:color w:val="000000"/>
          <w:sz w:val="20"/>
          <w:shd w:fill="FFFFFF" w:val="clear"/>
        </w:rPr>
        <w:t>and $14.6 million</w:t>
      </w:r>
      <w:r>
        <w:rPr>
          <w:color w:val="000000"/>
        </w:rPr>
        <w:t xml:space="preserve"> </w:t>
      </w:r>
      <w:r>
        <w:rPr>
          <w:rFonts w:ascii="Times New Roman;sans-serif" w:hAnsi="Times New Roman;sans-serif"/>
          <w:b w:val="false"/>
          <w:color w:val="000000"/>
          <w:sz w:val="20"/>
        </w:rPr>
        <w:t>was capitalized for software development costs, respectively, compared to $9.3 million and $19.1 million, respectively, for the comparable periods in 2022.</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Costs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costs consist of re-prioritizing and reallocating resources to focus on areas believed to show high growth potential. </w:t>
      </w:r>
    </w:p>
    <w:p>
      <w:pPr>
        <w:pStyle w:val="TextBody"/>
        <w:bidi w:val="0"/>
        <w:spacing w:before="0" w:after="120"/>
        <w:ind w:left="0" w:right="0" w:firstLine="480"/>
        <w:jc w:val="both"/>
        <w:rPr/>
      </w:pPr>
      <w:r>
        <w:rPr/>
      </w:r>
    </w:p>
    <w:tbl>
      <w:tblPr>
        <w:tblW w:w="10205" w:type="dxa"/>
        <w:jc w:val="center"/>
        <w:tblInd w:w="0" w:type="dxa"/>
        <w:tblLayout w:type="fixed"/>
        <w:tblCellMar>
          <w:top w:w="28" w:type="dxa"/>
          <w:left w:w="28" w:type="dxa"/>
          <w:bottom w:w="28" w:type="dxa"/>
          <w:right w:w="28" w:type="dxa"/>
        </w:tblCellMar>
      </w:tblPr>
      <w:tblGrid>
        <w:gridCol w:w="706"/>
        <w:gridCol w:w="620"/>
        <w:gridCol w:w="622"/>
        <w:gridCol w:w="211"/>
        <w:gridCol w:w="616"/>
        <w:gridCol w:w="109"/>
        <w:gridCol w:w="109"/>
        <w:gridCol w:w="109"/>
        <w:gridCol w:w="109"/>
        <w:gridCol w:w="211"/>
        <w:gridCol w:w="721"/>
        <w:gridCol w:w="109"/>
        <w:gridCol w:w="109"/>
        <w:gridCol w:w="109"/>
        <w:gridCol w:w="109"/>
        <w:gridCol w:w="310"/>
        <w:gridCol w:w="310"/>
        <w:gridCol w:w="311"/>
        <w:gridCol w:w="109"/>
        <w:gridCol w:w="109"/>
        <w:gridCol w:w="109"/>
        <w:gridCol w:w="211"/>
        <w:gridCol w:w="721"/>
        <w:gridCol w:w="109"/>
        <w:gridCol w:w="109"/>
        <w:gridCol w:w="109"/>
        <w:gridCol w:w="109"/>
        <w:gridCol w:w="211"/>
        <w:gridCol w:w="721"/>
        <w:gridCol w:w="109"/>
        <w:gridCol w:w="109"/>
        <w:gridCol w:w="109"/>
        <w:gridCol w:w="109"/>
        <w:gridCol w:w="310"/>
        <w:gridCol w:w="310"/>
        <w:gridCol w:w="311"/>
        <w:gridCol w:w="109"/>
        <w:gridCol w:w="109"/>
        <w:gridCol w:w="109"/>
        <w:gridCol w:w="109"/>
        <w:gridCol w:w="109"/>
        <w:gridCol w:w="15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1" w:type="dxa"/>
            <w:gridSpan w:val="6"/>
            <w:tcBorders/>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Restructuring costs decreased by 78% to $2.4 million for the three months ended June 30, 2023 from $10.9 million for the comparable period in 2022. Restructuring costs increased by 28% to $13.9 million for the six months ended June 30, 2023 from $10.8 million for the comparable period in 2022 due to the incremental additions during the current year to the restructuring initiative which commenced in the second quarter of 2022, primarily consisting of severance and other associated costs related to the reduction in our workforce. We began the restructuring initiative to realign our cost structure to better reflect significant product and business model innovation and changes over the past year due to acquisitions and various other factors outside our control. In the first quarter of 2023, due to the changing technology landscape related to the evolution of LLMs, we have been able to identify opportunities for significant cost savings because it is no longer necessary to employ people to build bots as this newest generation of LLMs are able to build a bot in minutes, enabling headcount reduction. Additionally, we have moved to a product-led growth structure where we flattened the organization to align to more efficient sales and service support ratios. Refer to Note 14 - </w:t>
      </w:r>
      <w:r>
        <w:rPr>
          <w:rFonts w:ascii="Times New Roman;sans-serif" w:hAnsi="Times New Roman;sans-serif"/>
          <w:b w:val="false"/>
          <w:i/>
          <w:color w:val="000000"/>
          <w:sz w:val="20"/>
        </w:rPr>
        <w:t>Restructuring</w:t>
      </w:r>
      <w:r>
        <w:rPr>
          <w:rFonts w:ascii="Times New Roman;sans-serif" w:hAnsi="Times New Roman;sans-serif"/>
          <w:b w:val="false"/>
          <w:color w:val="000000"/>
          <w:sz w:val="20"/>
        </w:rPr>
        <w:t xml:space="preserve">, for a full description of the restructuring initiative. </w:t>
      </w:r>
    </w:p>
    <w:p>
      <w:pPr>
        <w:pStyle w:val="TextBody"/>
        <w:bidi w:val="0"/>
        <w:spacing w:before="0" w:after="0"/>
        <w:ind w:left="0" w:right="0" w:firstLine="720"/>
        <w:jc w:val="both"/>
        <w:rPr/>
      </w:pPr>
      <w:r>
        <w:rPr/>
      </w:r>
    </w:p>
    <w:p>
      <w:pPr>
        <w:pStyle w:val="TextBody"/>
        <w:bidi w:val="0"/>
        <w:spacing w:lineRule="auto" w:line="288" w:before="0" w:after="0"/>
        <w:ind w:left="0" w:right="0" w:firstLine="480"/>
        <w:jc w:val="both"/>
        <w:rPr>
          <w:color w:val="000000"/>
        </w:rPr>
      </w:pPr>
      <w:r>
        <w:rPr>
          <w:color w:val="000000"/>
        </w:rPr>
        <w:t>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of Purchased Intangibles</w:t>
      </w:r>
    </w:p>
    <w:tbl>
      <w:tblPr>
        <w:tblW w:w="10205" w:type="dxa"/>
        <w:jc w:val="center"/>
        <w:tblInd w:w="0" w:type="dxa"/>
        <w:tblLayout w:type="fixed"/>
        <w:tblCellMar>
          <w:top w:w="28" w:type="dxa"/>
          <w:left w:w="28" w:type="dxa"/>
          <w:bottom w:w="28" w:type="dxa"/>
          <w:right w:w="28" w:type="dxa"/>
        </w:tblCellMar>
      </w:tblPr>
      <w:tblGrid>
        <w:gridCol w:w="928"/>
        <w:gridCol w:w="815"/>
        <w:gridCol w:w="820"/>
        <w:gridCol w:w="211"/>
        <w:gridCol w:w="466"/>
        <w:gridCol w:w="109"/>
        <w:gridCol w:w="109"/>
        <w:gridCol w:w="109"/>
        <w:gridCol w:w="109"/>
        <w:gridCol w:w="211"/>
        <w:gridCol w:w="466"/>
        <w:gridCol w:w="109"/>
        <w:gridCol w:w="109"/>
        <w:gridCol w:w="109"/>
        <w:gridCol w:w="109"/>
        <w:gridCol w:w="310"/>
        <w:gridCol w:w="310"/>
        <w:gridCol w:w="311"/>
        <w:gridCol w:w="109"/>
        <w:gridCol w:w="109"/>
        <w:gridCol w:w="109"/>
        <w:gridCol w:w="211"/>
        <w:gridCol w:w="616"/>
        <w:gridCol w:w="109"/>
        <w:gridCol w:w="109"/>
        <w:gridCol w:w="109"/>
        <w:gridCol w:w="109"/>
        <w:gridCol w:w="211"/>
        <w:gridCol w:w="616"/>
        <w:gridCol w:w="109"/>
        <w:gridCol w:w="109"/>
        <w:gridCol w:w="109"/>
        <w:gridCol w:w="109"/>
        <w:gridCol w:w="310"/>
        <w:gridCol w:w="310"/>
        <w:gridCol w:w="311"/>
        <w:gridCol w:w="109"/>
        <w:gridCol w:w="109"/>
        <w:gridCol w:w="109"/>
        <w:gridCol w:w="109"/>
        <w:gridCol w:w="109"/>
        <w:gridCol w:w="156"/>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1" w:type="dxa"/>
            <w:gridSpan w:val="6"/>
            <w:tcBorders/>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Amortization expenses for purchased intangibles decreased by 5% to $0.9 million and by 4% to $1.8 million for the three and six months ended June 30, 2023, respectively, and from $0.9 million and $1.8 million for the comparable periods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respectively. Amortization expenses are related to acquired intangible assets in business acquisitions.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Additional amortization expenses in the amount of </w:t>
      </w:r>
      <w:r>
        <w:rPr>
          <w:rFonts w:ascii="Times New Roman;sans-serif" w:hAnsi="Times New Roman;sans-serif"/>
          <w:b w:val="false"/>
          <w:color w:val="000000"/>
          <w:sz w:val="20"/>
          <w:shd w:fill="FFFFFF" w:val="clear"/>
        </w:rPr>
        <w:t>$4.6 million and $9.1 million</w:t>
      </w:r>
      <w:r>
        <w:rPr>
          <w:color w:val="000000"/>
        </w:rPr>
        <w:t xml:space="preserve"> </w:t>
      </w:r>
      <w:r>
        <w:rPr>
          <w:rFonts w:ascii="Times New Roman;sans-serif" w:hAnsi="Times New Roman;sans-serif"/>
          <w:b w:val="false"/>
          <w:color w:val="000000"/>
          <w:sz w:val="20"/>
        </w:rPr>
        <w:t>for the three and six months ended June 30, 2023, respectively, and $4.6 million and $9.0 million for the three and six months ended June 30, 2022, respectively, is included in cost of revenue.</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fair value adjustments for earn-outs, foreign currency gains and losses and income (loss) from our equity method investment. Interest income includes interest income from cash deposits, amortization of the debt discount, amortization of issuance costs, and interest expense from our convertible senior notes.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759"/>
        <w:gridCol w:w="647"/>
        <w:gridCol w:w="650"/>
        <w:gridCol w:w="211"/>
        <w:gridCol w:w="616"/>
        <w:gridCol w:w="109"/>
        <w:gridCol w:w="109"/>
        <w:gridCol w:w="109"/>
        <w:gridCol w:w="109"/>
        <w:gridCol w:w="211"/>
        <w:gridCol w:w="666"/>
        <w:gridCol w:w="109"/>
        <w:gridCol w:w="109"/>
        <w:gridCol w:w="109"/>
        <w:gridCol w:w="109"/>
        <w:gridCol w:w="310"/>
        <w:gridCol w:w="310"/>
        <w:gridCol w:w="311"/>
        <w:gridCol w:w="109"/>
        <w:gridCol w:w="109"/>
        <w:gridCol w:w="109"/>
        <w:gridCol w:w="211"/>
        <w:gridCol w:w="721"/>
        <w:gridCol w:w="109"/>
        <w:gridCol w:w="109"/>
        <w:gridCol w:w="109"/>
        <w:gridCol w:w="109"/>
        <w:gridCol w:w="211"/>
        <w:gridCol w:w="666"/>
        <w:gridCol w:w="109"/>
        <w:gridCol w:w="109"/>
        <w:gridCol w:w="109"/>
        <w:gridCol w:w="109"/>
        <w:gridCol w:w="310"/>
        <w:gridCol w:w="310"/>
        <w:gridCol w:w="311"/>
        <w:gridCol w:w="109"/>
        <w:gridCol w:w="109"/>
        <w:gridCol w:w="109"/>
        <w:gridCol w:w="109"/>
        <w:gridCol w:w="109"/>
        <w:gridCol w:w="158"/>
      </w:tblGrid>
      <w:tr>
        <w:trPr/>
        <w:tc>
          <w:tcPr>
            <w:tcW w:w="75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3" w:type="dxa"/>
            <w:gridSpan w:val="6"/>
            <w:tcBorders/>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68" w:before="0" w:after="160"/>
        <w:ind w:left="0" w:right="0" w:firstLine="720"/>
        <w:jc w:val="both"/>
        <w:rPr/>
      </w:pPr>
      <w:r>
        <w:rPr>
          <w:rFonts w:ascii="Times New Roman;sans-serif" w:hAnsi="Times New Roman;sans-serif"/>
          <w:b w:val="false"/>
          <w:color w:val="000000"/>
          <w:sz w:val="20"/>
        </w:rPr>
        <w:t>Other income (expense), net increased</w:t>
      </w:r>
      <w:r>
        <w:rPr>
          <w:color w:val="000000"/>
          <w:shd w:fill="FFFFFF" w:val="clear"/>
        </w:rPr>
        <w:t xml:space="preserve"> </w:t>
      </w:r>
      <w:r>
        <w:rPr>
          <w:rFonts w:ascii="Times New Roman;sans-serif" w:hAnsi="Times New Roman;sans-serif"/>
          <w:b w:val="false"/>
          <w:color w:val="000000"/>
          <w:sz w:val="20"/>
          <w:shd w:fill="FFFFFF" w:val="clear"/>
        </w:rPr>
        <w:t>to $5.0 million f</w:t>
      </w:r>
      <w:r>
        <w:rPr>
          <w:rFonts w:ascii="Times New Roman;sans-serif" w:hAnsi="Times New Roman;sans-serif"/>
          <w:b w:val="false"/>
          <w:color w:val="000000"/>
          <w:sz w:val="20"/>
        </w:rPr>
        <w:t>or the three months ended</w:t>
      </w:r>
      <w:r>
        <w:rPr>
          <w:color w:val="222222"/>
        </w:rPr>
        <w:t xml:space="preserve"> </w:t>
      </w:r>
      <w:r>
        <w:rPr>
          <w:rFonts w:ascii="Times New Roman;sans-serif" w:hAnsi="Times New Roman;sans-serif"/>
          <w:b w:val="false"/>
          <w:color w:val="000000"/>
          <w:sz w:val="20"/>
        </w:rPr>
        <w:t xml:space="preserve">June 30, 2023 from an expense of $3.9 million for the comparable </w:t>
      </w:r>
      <w:r>
        <w:rPr>
          <w:rFonts w:ascii="Times New Roman;sans-serif" w:hAnsi="Times New Roman;sans-serif"/>
          <w:b w:val="false"/>
          <w:color w:val="000000"/>
          <w:sz w:val="20"/>
          <w:shd w:fill="FFFFFF" w:val="clear"/>
        </w:rPr>
        <w:t>period in 2022 primarily due to a</w:t>
      </w:r>
      <w:r>
        <w:rPr>
          <w:color w:val="000000"/>
        </w:rPr>
        <w:t xml:space="preserve"> </w:t>
      </w:r>
      <w:r>
        <w:rPr>
          <w:rFonts w:ascii="Times New Roman;sans-serif" w:hAnsi="Times New Roman;sans-serif"/>
          <w:b w:val="false"/>
          <w:color w:val="000000"/>
          <w:sz w:val="20"/>
        </w:rPr>
        <w:t xml:space="preserve">gain of $2.7 million related to the fair value adjustment for earn-outs and a gain on the settlement of a loan obligation recorded during the three months ended June 30, 2023 along with reduced losses related to the Company’s equity method investment compared to the three months ended June 30, 2022. The remaining amount of other income (expense) fluctuation is attributable to currency rate fluctuations.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Other income (expense), net increased</w:t>
      </w:r>
      <w:r>
        <w:rPr>
          <w:color w:val="000000"/>
          <w:shd w:fill="FFFFFF" w:val="clear"/>
        </w:rPr>
        <w:t xml:space="preserve"> </w:t>
      </w:r>
      <w:r>
        <w:rPr>
          <w:rFonts w:ascii="Times New Roman;sans-serif" w:hAnsi="Times New Roman;sans-serif"/>
          <w:b w:val="false"/>
          <w:color w:val="000000"/>
          <w:sz w:val="20"/>
          <w:shd w:fill="FFFFFF" w:val="clear"/>
        </w:rPr>
        <w:t>to $21.5 million for the six months ended</w:t>
      </w:r>
      <w:r>
        <w:rPr>
          <w:color w:val="222222"/>
          <w:shd w:fill="FFFFFF" w:val="clear"/>
        </w:rPr>
        <w:t xml:space="preserve"> </w:t>
      </w:r>
      <w:r>
        <w:rPr>
          <w:rFonts w:ascii="Times New Roman;sans-serif" w:hAnsi="Times New Roman;sans-serif"/>
          <w:b w:val="false"/>
          <w:color w:val="000000"/>
          <w:sz w:val="20"/>
          <w:shd w:fill="FFFFFF" w:val="clear"/>
        </w:rPr>
        <w:t xml:space="preserve">June 30, 2023 from an expense of $5.3 million for the comparable period in 2022 </w:t>
      </w:r>
      <w:r>
        <w:rPr>
          <w:rFonts w:ascii="Times New Roman;sans-serif" w:hAnsi="Times New Roman;sans-serif"/>
          <w:b w:val="false"/>
          <w:color w:val="000000"/>
          <w:sz w:val="20"/>
        </w:rPr>
        <w:t xml:space="preserve">primarily due to a gain of $10.0 million related to a legal settlement, a gain of $7.2 million resulting from the debt repurchase of the 2024 Notes, a gain of $2.7 million related to the fair value adjustment for earn-outs and a gain on the settlement of a loan obligation recorded during the current fiscal year along with reduced losses related to the Company’s equity method investment compared to the three months ended June 30, 2022. The remaining amount of other income (expense) fluctuation is attributable to currency rate fluctuations. </w:t>
      </w:r>
    </w:p>
    <w:p>
      <w:pPr>
        <w:pStyle w:val="TextBody"/>
        <w:bidi w:val="0"/>
        <w:spacing w:before="0" w:after="0"/>
        <w:ind w:left="0" w:right="0" w:firstLine="480"/>
        <w:jc w:val="both"/>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from) Provision For Income Taxes</w:t>
      </w:r>
    </w:p>
    <w:tbl>
      <w:tblPr>
        <w:tblW w:w="10205" w:type="dxa"/>
        <w:jc w:val="center"/>
        <w:tblInd w:w="0" w:type="dxa"/>
        <w:tblLayout w:type="fixed"/>
        <w:tblCellMar>
          <w:top w:w="28" w:type="dxa"/>
          <w:left w:w="28" w:type="dxa"/>
          <w:bottom w:w="28" w:type="dxa"/>
          <w:right w:w="28" w:type="dxa"/>
        </w:tblCellMar>
      </w:tblPr>
      <w:tblGrid>
        <w:gridCol w:w="856"/>
        <w:gridCol w:w="750"/>
        <w:gridCol w:w="757"/>
        <w:gridCol w:w="211"/>
        <w:gridCol w:w="516"/>
        <w:gridCol w:w="109"/>
        <w:gridCol w:w="109"/>
        <w:gridCol w:w="109"/>
        <w:gridCol w:w="109"/>
        <w:gridCol w:w="211"/>
        <w:gridCol w:w="616"/>
        <w:gridCol w:w="109"/>
        <w:gridCol w:w="109"/>
        <w:gridCol w:w="109"/>
        <w:gridCol w:w="109"/>
        <w:gridCol w:w="310"/>
        <w:gridCol w:w="310"/>
        <w:gridCol w:w="311"/>
        <w:gridCol w:w="109"/>
        <w:gridCol w:w="109"/>
        <w:gridCol w:w="109"/>
        <w:gridCol w:w="211"/>
        <w:gridCol w:w="616"/>
        <w:gridCol w:w="109"/>
        <w:gridCol w:w="109"/>
        <w:gridCol w:w="109"/>
        <w:gridCol w:w="109"/>
        <w:gridCol w:w="211"/>
        <w:gridCol w:w="616"/>
        <w:gridCol w:w="109"/>
        <w:gridCol w:w="109"/>
        <w:gridCol w:w="109"/>
        <w:gridCol w:w="109"/>
        <w:gridCol w:w="310"/>
        <w:gridCol w:w="310"/>
        <w:gridCol w:w="311"/>
        <w:gridCol w:w="109"/>
        <w:gridCol w:w="109"/>
        <w:gridCol w:w="109"/>
        <w:gridCol w:w="109"/>
        <w:gridCol w:w="109"/>
        <w:gridCol w:w="156"/>
      </w:tblGrid>
      <w:tr>
        <w:trPr/>
        <w:tc>
          <w:tcPr>
            <w:tcW w:w="8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701" w:type="dxa"/>
            <w:gridSpan w:val="6"/>
            <w:tcBorders/>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benefit from income taxes of $0.2 million for the three months ended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and provision for income taxes of $1.1 million for the six 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consists of a tax provision of $0.9 million on operating earnings coupled with a stock compensation tax deficiency of $0.2 million</w:t>
      </w:r>
      <w:r>
        <w:rPr>
          <w:color w:val="000000"/>
          <w:shd w:fill="FFFFFF" w:val="clear"/>
        </w:rPr>
        <w:t xml:space="preserve"> </w:t>
      </w:r>
      <w:r>
        <w:rPr>
          <w:rFonts w:ascii="Times New Roman;sans-serif" w:hAnsi="Times New Roman;sans-serif"/>
          <w:b w:val="false"/>
          <w:color w:val="000000"/>
          <w:sz w:val="20"/>
          <w:shd w:fill="FFFFFF" w:val="clear"/>
        </w:rPr>
        <w:t xml:space="preserve">related to stock compensation arrangements of LivePerson, LivePerson (UK) Ltd. and LivePerson Ltd. (Israel). </w:t>
      </w:r>
      <w:r>
        <w:rPr>
          <w:rFonts w:ascii="Times New Roman;sans-serif" w:hAnsi="Times New Roman;sans-serif"/>
          <w:b w:val="false"/>
          <w:color w:val="000000"/>
          <w:sz w:val="20"/>
        </w:rPr>
        <w:t xml:space="preserve">During the first quarter of 2023, and included within the provision on operating earnings noted above, the Company sold Kasamba, Inc. and Kasamba LTD in a taxable transaction that resulted in a tax provision of </w:t>
      </w:r>
      <w:r>
        <w:rPr>
          <w:rFonts w:ascii="Times New Roman;sans-serif" w:hAnsi="Times New Roman;sans-serif"/>
          <w:b w:val="false"/>
          <w:color w:val="000000"/>
          <w:sz w:val="20"/>
          <w:shd w:fill="FFFFFF" w:val="clear"/>
        </w:rPr>
        <w:t>$0.8 million</w:t>
      </w:r>
      <w:r>
        <w:rPr>
          <w:color w:val="000000"/>
        </w:rPr>
        <w:t xml:space="preserve"> </w:t>
      </w:r>
      <w:r>
        <w:rPr>
          <w:rFonts w:ascii="Times New Roman;sans-serif" w:hAnsi="Times New Roman;sans-serif"/>
          <w:b w:val="false"/>
          <w:color w:val="000000"/>
          <w:sz w:val="20"/>
        </w:rPr>
        <w:t>related to an increase in valuation allowance on deferred tax assets resulting from a release of Kasamba’s deferred tax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Provision for income taxes was $1.2 million and $1.0 million for the three and six months ended June 30, 2022, respectively. Our consolidated effective tax rate was impacted by the statutory income tax rates applicable to each of the jurisdictions in which we operate.</w:t>
      </w:r>
      <w:r>
        <w:rPr>
          <w:color w:val="000000"/>
        </w:rPr>
        <w:t xml:space="preserve"> </w:t>
      </w:r>
    </w:p>
    <w:p>
      <w:pPr>
        <w:pStyle w:val="TextBody"/>
        <w:bidi w:val="0"/>
        <w:spacing w:before="0" w:after="0"/>
        <w:jc w:val="left"/>
        <w:rPr/>
      </w:pPr>
      <w:r>
        <w:rPr/>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ind w:left="0" w:right="0" w:firstLine="480"/>
        <w:jc w:val="center"/>
        <w:rPr/>
      </w:pPr>
      <w:r>
        <w:rPr/>
      </w:r>
    </w:p>
    <w:tbl>
      <w:tblPr>
        <w:tblW w:w="6624" w:type="dxa"/>
        <w:jc w:val="center"/>
        <w:tblInd w:w="0" w:type="dxa"/>
        <w:tblLayout w:type="fixed"/>
        <w:tblCellMar>
          <w:top w:w="28" w:type="dxa"/>
          <w:left w:w="28" w:type="dxa"/>
          <w:bottom w:w="28" w:type="dxa"/>
          <w:right w:w="28" w:type="dxa"/>
        </w:tblCellMar>
      </w:tblPr>
      <w:tblGrid>
        <w:gridCol w:w="1418"/>
        <w:gridCol w:w="1247"/>
        <w:gridCol w:w="1250"/>
        <w:gridCol w:w="211"/>
        <w:gridCol w:w="901"/>
        <w:gridCol w:w="109"/>
        <w:gridCol w:w="109"/>
        <w:gridCol w:w="109"/>
        <w:gridCol w:w="109"/>
        <w:gridCol w:w="211"/>
        <w:gridCol w:w="79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Data:</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June 30, 2023, we had approximatel</w:t>
      </w:r>
      <w:r>
        <w:rPr>
          <w:rFonts w:ascii="Times New Roman;sans-serif" w:hAnsi="Times New Roman;sans-serif"/>
          <w:b w:val="false"/>
          <w:color w:val="000000"/>
          <w:sz w:val="20"/>
          <w:shd w:fill="FFFFFF" w:val="clear"/>
        </w:rPr>
        <w:t xml:space="preserve">y $216.4 million </w:t>
      </w:r>
      <w:r>
        <w:rPr>
          <w:rFonts w:ascii="Times New Roman;sans-serif" w:hAnsi="Times New Roman;sans-serif"/>
          <w:b w:val="false"/>
          <w:color w:val="000000"/>
          <w:sz w:val="20"/>
        </w:rPr>
        <w:t xml:space="preserve">in cash, cash equivalents, and restricted cash, a decrease of approximately $175.8 million from December 31, 2022. The decrease is primarily attributable to payment of approximately </w:t>
      </w:r>
      <w:r>
        <w:rPr>
          <w:rFonts w:ascii="Times New Roman;sans-serif" w:hAnsi="Times New Roman;sans-serif"/>
          <w:b w:val="false"/>
          <w:color w:val="000000"/>
          <w:sz w:val="20"/>
          <w:shd w:fill="FFFFFF" w:val="clear"/>
        </w:rPr>
        <w:t>$149.7 million</w:t>
      </w:r>
      <w:r>
        <w:rPr>
          <w:color w:val="000000"/>
        </w:rPr>
        <w:t xml:space="preserve"> </w:t>
      </w:r>
      <w:r>
        <w:rPr>
          <w:rFonts w:ascii="Times New Roman;sans-serif" w:hAnsi="Times New Roman;sans-serif"/>
          <w:b w:val="false"/>
          <w:color w:val="000000"/>
          <w:sz w:val="20"/>
        </w:rPr>
        <w:t xml:space="preserve">in cash for the repurchase of approximately </w:t>
      </w:r>
      <w:r>
        <w:rPr>
          <w:rFonts w:ascii="Times New Roman;sans-serif" w:hAnsi="Times New Roman;sans-serif"/>
          <w:b w:val="false"/>
          <w:color w:val="000000"/>
          <w:sz w:val="20"/>
          <w:shd w:fill="FFFFFF" w:val="clear"/>
        </w:rPr>
        <w:t>$157.5 million</w:t>
      </w:r>
      <w:r>
        <w:rPr>
          <w:color w:val="000000"/>
        </w:rPr>
        <w:t xml:space="preserve"> </w:t>
      </w:r>
      <w:r>
        <w:rPr>
          <w:rFonts w:ascii="Times New Roman;sans-serif" w:hAnsi="Times New Roman;sans-serif"/>
          <w:b w:val="false"/>
          <w:color w:val="000000"/>
          <w:sz w:val="20"/>
        </w:rPr>
        <w:t xml:space="preserve">in aggregate principal amount of the 2024 Notes, coupled with the payment of bonuses in cash and various other uses of cash for operating purposes. The decrease was partially offset by </w:t>
      </w:r>
      <w:r>
        <w:rPr>
          <w:rFonts w:ascii="Times New Roman;sans-serif" w:hAnsi="Times New Roman;sans-serif"/>
          <w:b w:val="false"/>
          <w:color w:val="000000"/>
          <w:sz w:val="20"/>
          <w:shd w:fill="FFFFFF" w:val="clear"/>
        </w:rPr>
        <w:t>$13.8 million</w:t>
      </w:r>
      <w:r>
        <w:rPr>
          <w:color w:val="000000"/>
        </w:rPr>
        <w:t xml:space="preserve"> </w:t>
      </w:r>
      <w:r>
        <w:rPr>
          <w:rFonts w:ascii="Times New Roman;sans-serif" w:hAnsi="Times New Roman;sans-serif"/>
          <w:b w:val="false"/>
          <w:color w:val="000000"/>
          <w:sz w:val="20"/>
        </w:rPr>
        <w:t>in cash proceeds from the divestiture of Kasamba.</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used in operating activities was $30.5 million for the six months ended June 30, 2023. Our net loss of $6.6 million includes the effect of non-cash expenses related to depreciation of $17.1 million, amortization of purchased intangibles and finance leases of $10.9 million, partially offset by a gain on divestiture of $17.6 million and a net reversal in stock-based compensation of $6.8 million, largely attributable </w:t>
      </w:r>
      <w:r>
        <w:rPr>
          <w:rFonts w:ascii="Times New Roman;sans-serif" w:hAnsi="Times New Roman;sans-serif"/>
          <w:b w:val="false"/>
          <w:color w:val="000000"/>
          <w:sz w:val="20"/>
          <w:shd w:fill="FFFFFF" w:val="clear"/>
        </w:rPr>
        <w:t>to the settlement of earn-outs related to prior acquisitions</w:t>
      </w:r>
      <w:r>
        <w:rPr>
          <w:rFonts w:ascii="Times New Roman;sans-serif" w:hAnsi="Times New Roman;sans-serif"/>
          <w:b w:val="false"/>
          <w:color w:val="000000"/>
          <w:sz w:val="20"/>
        </w:rPr>
        <w:t xml:space="preserve">. This was further driven by an increase in accounts receivable of $20.5 million, an increase in prepaid expenses and other current assets of $9.1 million, a decrease in other liabilities of $7.8 million, and a decrease in accounts payable of $19.8 million, partially offset by an increase in accrued expenses and other current liabilities of $16.7 million, a decrease in contract acquisition costs of $3.5 million, and an increase in deferred revenue of $15.7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used in operating activities was $64.4 million for the six months ended June 30, 2022. Net loss </w:t>
      </w:r>
      <w:r>
        <w:rPr>
          <w:rFonts w:ascii="Times New Roman;sans-serif" w:hAnsi="Times New Roman;sans-serif"/>
          <w:b w:val="false"/>
          <w:color w:val="000000"/>
          <w:sz w:val="20"/>
          <w:shd w:fill="FFFFFF" w:val="clear"/>
        </w:rPr>
        <w:t xml:space="preserve">of $140.8 million for the six months ended </w:t>
      </w:r>
      <w:r>
        <w:rPr>
          <w:rFonts w:ascii="Times New Roman;sans-serif" w:hAnsi="Times New Roman;sans-serif"/>
          <w:b w:val="false"/>
          <w:color w:val="000000"/>
          <w:sz w:val="20"/>
        </w:rPr>
        <w:t>June 30, 2022</w:t>
      </w:r>
      <w:r>
        <w:rPr>
          <w:color w:val="000000"/>
          <w:shd w:fill="FFFFFF" w:val="clear"/>
        </w:rPr>
        <w:t xml:space="preserve"> </w:t>
      </w:r>
      <w:r>
        <w:rPr>
          <w:rFonts w:ascii="Times New Roman;sans-serif" w:hAnsi="Times New Roman;sans-serif"/>
          <w:b w:val="false"/>
          <w:color w:val="000000"/>
          <w:sz w:val="20"/>
        </w:rPr>
        <w:t>includes the effect of non-cash expenses related to stock-based compensation of $68.4 million; depreciation of $14.4 million; an increase in deferred revenue of $13.0 million; and an increase in accrued expenses of $3.9 million. This was partially offset by increases in accounts receivable of $32.7 million and prepaid expenses of $8.0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Net cash used in investing activities was $5.6 million for the six months ended June 30, 2023, and was primarily driven by purchases of fixed assets and capitalization of internally developed software, partially offset by the proceeds from the sale of Kasamba.</w:t>
      </w:r>
      <w:r>
        <w:rPr>
          <w:color w:val="000000"/>
        </w:rPr>
        <w:t> </w:t>
      </w:r>
      <w:r>
        <w:rPr>
          <w:rFonts w:ascii="Times New Roman;sans-serif" w:hAnsi="Times New Roman;sans-serif"/>
          <w:b w:val="false"/>
          <w:color w:val="000000"/>
          <w:sz w:val="20"/>
        </w:rPr>
        <w:t>Net cash used in investing activities was $33.4 million for the six months ended June 30, 2022 was driven primarily by the acquisition of WildHealth, the purchase of fixed assets for our co-location facilities, and capitalization of internally developed software.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Net cash used in financing activities was $150.4 million for the six months ended June 30, 2023, which was driven primarily by the repurchase of our 2024 Notes.</w:t>
      </w:r>
      <w:r>
        <w:rPr>
          <w:color w:val="000000"/>
        </w:rPr>
        <w:t xml:space="preserve"> </w:t>
      </w:r>
      <w:r>
        <w:rPr>
          <w:rFonts w:ascii="Times New Roman;sans-serif" w:hAnsi="Times New Roman;sans-serif"/>
          <w:b w:val="false"/>
          <w:color w:val="000000"/>
          <w:sz w:val="20"/>
        </w:rPr>
        <w:t xml:space="preserve">Net cash used in financing activities was $1.0 million for the </w:t>
      </w:r>
      <w:r>
        <w:rPr>
          <w:rFonts w:ascii="Times New Roman;sans-serif" w:hAnsi="Times New Roman;sans-serif"/>
          <w:b w:val="false"/>
          <w:color w:val="000000"/>
          <w:sz w:val="20"/>
          <w:shd w:fill="FFFFFF" w:val="clear"/>
        </w:rPr>
        <w:t>six months ended</w:t>
      </w:r>
      <w:r>
        <w:rPr>
          <w:color w:val="000000"/>
        </w:rPr>
        <w:t xml:space="preserve"> </w:t>
      </w:r>
      <w:r>
        <w:rPr>
          <w:rFonts w:ascii="Times New Roman;sans-serif" w:hAnsi="Times New Roman;sans-serif"/>
          <w:b w:val="false"/>
          <w:color w:val="000000"/>
          <w:sz w:val="20"/>
        </w:rPr>
        <w:t>June 30, 2022, consisting primarily of proceeds from issuance of common stock in connection with the exercise of stock options by employees, offset by principal payments related to finance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incurred significant expenses to develop our technology and services, to hire employees in our customer service, sales and marketing departments, and for the amortization of purchased intangible assets, as well as stock-based compensation costs. Historically, we have incurred net losses and negative cash flows for various quarterly and annual periods since our inception, including during numerous quarters and annual periods in the past several years.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we had an accumulated deficit of approximately $763.1 million.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engage in off-balance sheet financing arrangements. We do not currently have any investments in cryptocurrencies or other blockchain-based assets.</w:t>
      </w:r>
    </w:p>
    <w:p>
      <w:pPr>
        <w:pStyle w:val="TextBody"/>
        <w:bidi w:val="0"/>
        <w:spacing w:before="0" w:after="0"/>
        <w:ind w:left="0" w:right="0" w:firstLine="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Israeli operations have currency rate fluctuation risk associated with the exchange rate movement of the U.S. dollar against the NIS. During the three and six months ended June 30, 2023, the U.S. dollar appreciated on average by approximately 9% and 10%, respectively, against the NIS as compared to the three and six months ended June 30, 2022. During the three and six months ended June 30, 2023, expenses generated by our Israeli operations totaled approximately $4.3 million and $16.1 million, respectively.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(Israel) and of the divested business, Kasamba, Inc., is or was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Collection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accounts receivable are subject, in the normal course of business, to collection risks. We regularly assess these risks and have established policies and business practices to protect against the adverse effects of collection risk</w:t>
      </w:r>
      <w:r>
        <w:rPr>
          <w:rFonts w:ascii="Times New Roman;sans-serif" w:hAnsi="Times New Roman;sans-serif"/>
          <w:b w:val="false"/>
          <w:color w:val="000000"/>
          <w:sz w:val="20"/>
          <w:shd w:fill="FFFFFF" w:val="clear"/>
        </w:rPr>
        <w:t>s. During the six months ended</w:t>
      </w:r>
      <w:r>
        <w:rPr>
          <w:color w:val="000000"/>
        </w:rPr>
        <w:t xml:space="preserve"> </w:t>
      </w:r>
      <w:r>
        <w:rPr>
          <w:rFonts w:ascii="Times New Roman;sans-serif" w:hAnsi="Times New Roman;sans-serif"/>
          <w:b w:val="false"/>
          <w:color w:val="000000"/>
          <w:sz w:val="20"/>
        </w:rPr>
        <w:t xml:space="preserve">June 30, 2023, our allowance for doubtful accounts decreased by $0.2 million to approximately $9.0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consist of cash and cash equivalents. Therefore, changes in market interest rates do not affect in any material respect the value of the investments as recorded by us.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before="0" w:after="0"/>
        <w:ind w:left="0" w:right="0" w:firstLine="48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Our management, including the Interim Chief Executive Officer and Chief Financial Officer, evaluated the effectiveness of our “disclosure controls and procedures,” as that term is defined in Rule 13a-15(e) promulgated under the Exchange Act, as of June 30, 2023.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Interim Chief Executive Officer and Chief Financial Officer, as appropriate to allow timely decisions regarding required disclosure.</w:t>
      </w:r>
      <w:r>
        <w:rPr>
          <w:color w:val="1D1C1D"/>
          <w:shd w:fill="FFFFFF" w:val="clear"/>
        </w:rPr>
        <w:t xml:space="preserve"> </w:t>
      </w:r>
      <w:r>
        <w:rPr>
          <w:rFonts w:ascii="Times New Roman;sans-serif" w:hAnsi="Times New Roman;sans-serif"/>
          <w:b w:val="false"/>
          <w:color w:val="1D1C1D"/>
          <w:sz w:val="20"/>
          <w:shd w:fill="FFFFFF" w:val="clear"/>
        </w:rPr>
        <w:t>Based on that evaluation, the Interim Chief Executive Officer and Chief Financial Officer concluded that our disclosure controls and procedures were not effective as of June 30, 2023 due to the material weakness in the Company’s internal control over financial reporting described below.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1D1C1D"/>
          <w:sz w:val="20"/>
          <w:shd w:fill="FFFFFF" w:val="clear"/>
        </w:rPr>
        <w:t>Our management evaluated the effectiveness of our internal control over financial reporting as of December 31, 2022. As a part of our annual review, management identified control deficiencies that aggregated to a material weakness in the Company’s internal control over financial reporting as of December 31, 2022</w:t>
      </w:r>
      <w:r>
        <w:rPr>
          <w:rFonts w:ascii="Times New Roman;sans-serif" w:hAnsi="Times New Roman;sans-serif"/>
          <w:b w:val="false"/>
          <w:color w:val="1D1C1D"/>
          <w:sz w:val="20"/>
        </w:rPr>
        <w:t>. This material weakness related to the Company’s previously disclosed review of certain transactions related to its subsidiary WildHealth, which was acquired in February 2022, and primarily includes a combination of ineffective operation of controls and inadequate controls in certain areas along with formal review, approval and evaluation of manual journal entries.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1D1C1D"/>
          <w:sz w:val="20"/>
          <w:shd w:fill="FFFFFF" w:val="clear"/>
        </w:rPr>
      </w:pPr>
      <w:r>
        <w:rPr>
          <w:rFonts w:ascii="Times New Roman;sans-serif" w:hAnsi="Times New Roman;sans-serif"/>
          <w:b w:val="false"/>
          <w:color w:val="1D1C1D"/>
          <w:sz w:val="20"/>
          <w:shd w:fill="FFFFFF" w:val="clear"/>
        </w:rPr>
        <w:t>We are monitoring and making progress on improving our processes and controls around formal review, approval, and evaluation of non-core, complex transactions. We believe our ongoing efforts will be sufficient to remediate the identified material weakness.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1D1C1D"/>
          <w:sz w:val="20"/>
          <w:shd w:fill="FFFFFF" w:val="clear"/>
        </w:rPr>
      </w:pPr>
      <w:r>
        <w:rPr>
          <w:rFonts w:ascii="Times New Roman;sans-serif" w:hAnsi="Times New Roman;sans-serif"/>
          <w:b w:val="false"/>
          <w:color w:val="1D1C1D"/>
          <w:sz w:val="20"/>
          <w:shd w:fill="FFFFFF" w:val="clear"/>
        </w:rPr>
        <w:t>We will not consider the material weakness described above remediated until the remedial controls operate for a sufficient period of time and we have concluded, through testing, that these controls are effectively designed and operating effectively. We will continue to assess throughout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supervision and with the participation of management, including the Interim Chief Executive Officer and Chief Financial Officer, we will continue to evaluate the effectiveness of our internal control over financial reporting and the possibility that a material misstatement of our consolidated financial statements could be prevented or detected on a timely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for the changes noted above, there have been no changes in the Company’s internal control over financial reporting during the quarter ended June 30, 2023 that have materially affected, or are reasonably likely to materially affect, the Company’s internal control over financial reporting other than remediation efforts related to the material weakness described above.</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Putative Class Action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April 24, 2023, a putative stockholder class action entitled Straub v. LivePerson, Inc., No. 1:23-cv-03078, was filed under the federal securities laws against the Company, its former Chief Executive Officer, and Chief Financial Officer in the United States District Court for the Eastern District of New York. The complaint alleged that in violation of Section 10(b) of the Securities Exchange Act of 1934, the Company made false and misleading statements in its Form 10-Q filings and forecasts for the first, second, and third quarters of fiscal year 2022 based on the Company’s subsequent disclosures in its subsequent annual report on Form 10-K on March 16, 2023. On June 23,2023, the plaintiff voluntarily dismissed his case without prejudice. On May 1, 2023, a similar putative stockholder class action entitled Weissbrod v. LivePerson, Inc., was filed in the District Court of Tel Aviv, Israel on behalf of Company stockholders who traded Company shares on the Tel Aviv Stock Exchange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same subject matter as asserted in the Straub case. The Tel Aviv case is currently expected to be stayed pending further activity in the New York case. The Company believes these claims are without merit.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[24]7 Litigation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filed an intellectual property suit (the “Company IP Suit”) against [24]7 Customer, Inc. (“[24]7”) on March 6, 2014. On June 22, 2015, and December 7, 2015, [24]7 filed separate countersuits (together, the “Countersuits”) against the Company in the United States District Court for the Northern District of California (the “Court”) alleging patent infringement. The trial with respect to the Company IP Suit occurred on May 24, 2021 with respect to the Company’s first set of intellectual property claims, and the jury awarded approximately $30.3 million in favor of the Company. The Company and [24]7 subsequently reached an agreement on the terms of a permanent injunction and that additional costs were owed to the Company in the amount of $0.4 million. On July 28, 2022, the Court granted the Company’s motion for interest, awarding an additional approximately $4.3 million. In August 2022, 24[7] appealed the judgment in favor of the Company with respect to the Company IP Suit. In addition, a trial to adjudicate the Countersuits began in 2023, and a trial with respect to the Company’s second set of intellectual property claims against [24]7 has been set for early 2024. On February 20, 2023, the Company and [24]7 entered into a binding Memorandum of Understanding (“MOU”) detailing the terms for settlement and resolution of all litigation matters between the parties and subsequently entered into binding settlement and commercial agreements as described in the MOU (the “Agreements”). The referenced litigations are currently stayed and dismissal with prejudice of all litigation matters between the parties is expected in the near term, following the completion of certain collateral documentation described in the Agreements.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COVID-Related Matters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inquiries by Medicare, the Department of Justice and the U.S. Food and Drug Administration (“governmental agencies”). As previously disclosed, in November 2022, a professional corporation managed by WildHealth received notice that Medicare reimbursements for its services rendered under a Medicare demonstration program related to COVID-19 testing (the “Program”) were suspended pending further review. Subsequently, WildHealth received and successfully responded to inquiries from additional governmental agencies with respect to its participation in the Program, which are now completed, and is currently in discussions with Medicare regarding resolution of the suspension and release of reimbursements for services rendered under the Program. The Company also previously provided other products and services related to COVID-19 testing and accompanying software. Those COVID-19 related products and services have also been the subject of inquiry and pending review by governmental agencies. The Company and WildHealth have discontinued all products and services related to COVID-19, and have responded to and intend to continue to cooperate with governmental inquiries related to their previous engagement in COVID-19 related product and service offerings.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General Legal, Administrative and Regulatory Inquiries, Investigations and Other Matters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the Company is involved in or subject to legal, administrative and regulatory proceedings, inquiries and investigations and actual or threatened claims and/or demands arising in the ordinary course of business (“Claims”), including without limitation direct Claims brought by or against the Company, its affiliates, subsidiaries, directors and/or officers with respect to intellectual property, contracts, employment, commercial, legal, regulatory and/or other matters related to our business,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Regardless of the outcome, litigation and investigations can have an adverse impact on the Company because of defense settlement costs, diversion of management resources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financial results are subject to various risks and uncertainties, including those described in Part I, Item 1A. “Risk Factors” in our Annual Report on Form 10-K for the year ended December 31, 2022, filed on March 16, 2023 (as amended on May 1, 2023), which could adversely affect our business, financial condition, results of operations, cash flows, and the trading price of our common stock. There have been no material changes to the risk factors described in our most recent Annual Report on Form 10-K.</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ind w:left="0" w:right="0" w:firstLine="48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In May 2023, we issued 6,021 shares of common stock (the</w:t>
      </w:r>
      <w:r>
        <w:rPr>
          <w:color w:val="000000"/>
        </w:rPr>
        <w:t xml:space="preserve"> “</w:t>
      </w:r>
      <w:r>
        <w:rPr>
          <w:rFonts w:ascii="Times New Roman;sans-serif" w:hAnsi="Times New Roman;sans-serif"/>
          <w:b w:val="false"/>
          <w:color w:val="000000"/>
          <w:sz w:val="20"/>
          <w:shd w:fill="FFFFFF" w:val="clear"/>
        </w:rPr>
        <w:t>Earn-out Shares”) to former shareholders of VoiceBase, Inc. as earn-out consideration as contemplated by the acquisition agreement. The issuance of the Earn-out Shares did not involve a public offering and was exempt from the registration requirements of the Securities Act pursuant to Section 4(a)(2) of the Securities Act.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the Issuer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There were no repurchases of equity securities by the issuer during</w:t>
      </w:r>
      <w:r>
        <w:rPr>
          <w:color w:val="000000"/>
        </w:rPr>
        <w:t xml:space="preserve"> </w:t>
      </w:r>
      <w:r>
        <w:rPr>
          <w:rFonts w:ascii="Times New Roman;sans-serif" w:hAnsi="Times New Roman;sans-serif"/>
          <w:b w:val="false"/>
          <w:color w:val="000000"/>
          <w:sz w:val="20"/>
        </w:rPr>
        <w:t>the three months ended June 30, 2023.</w:t>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Company currently anticipates that it will hold its 2023 Annual Meeting of Stockholders (the “2023 Annual Meeting”) in September 2023 but more than 30 days after the anniversary of its 2022 Annual Meeting of Stockholders. As a result, the deadline for stockholders to submit proposals pursuant to Rule 14a-8 under the Securities and Exchange Act of 1934, as amended (“Rule 14a-8”), as set forth in the Company’s definitive proxy statement for its 2022 Annual Meeting of Stockholders, is no longer effective. Further details about the 2023 Annual Meeting, including the date, time and location, will be set forth in the Company’s definitive proxy statement for the 2023 Annual Meeting.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stockholder wishes to submit a proposal pursuant to Rule 14a-8, such proposal must be received by the Secretary of the Company at its principal executive office no later than the close of business on August 18, 2023. Such stockholder must otherwise comply with the requirements of Rule 14a-8 in order for the proposal to be considered for inclusion in the Company’s proxy materials for the 2023 Annual Meeting.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2023, Starboard Value and Opportunity Master Fund Ltd (“Starboard”) submitted notice of its intent to nominate three persons for election to the Company’s board of directors at the 2023 Annual Meeting. On July 24, 2023, Starboard withdrew its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June 30, 2023, no director or executive officer of the Company adopted or terminated a “Rule 10b5-1 trading arrangement” or “non-Rule 10b5-1 trading arrangement,” as each term is defined in Item 408(a) of Regulations S-K.</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6. EXHIBITS </w:t>
      </w:r>
    </w:p>
    <w:p>
      <w:pPr>
        <w:pStyle w:val="TextBody"/>
        <w:bidi w:val="0"/>
        <w:spacing w:before="0" w:after="12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257"/>
        <w:gridCol w:w="210"/>
        <w:gridCol w:w="213"/>
        <w:gridCol w:w="109"/>
        <w:gridCol w:w="109"/>
        <w:gridCol w:w="109"/>
        <w:gridCol w:w="2692"/>
        <w:gridCol w:w="2692"/>
        <w:gridCol w:w="3814"/>
      </w:tblGrid>
      <w:tr>
        <w:trPr/>
        <w:tc>
          <w:tcPr>
            <w:tcW w:w="2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3-ex311interimceoandc.htm">
              <w:r>
                <w:rPr>
                  <w:rStyle w:val="InternetLink"/>
                  <w:rFonts w:ascii="Times New Roman;sans-serif" w:hAnsi="Times New Roman;sans-serif"/>
                  <w:b w:val="false"/>
                  <w:color w:val="0000FF"/>
                  <w:sz w:val="18"/>
                  <w:u w:val="single"/>
                </w:rPr>
                <w:t>Certification by Interim Chief Executive Officer and Chief Financial Officer pursuant to Exchange Act Rule 13a-14(a), as adopted pursuant to Section 302 of the Sarbanes-Oxley Act of 2002</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3-ex321interimceoandc.htm">
              <w:r>
                <w:rPr>
                  <w:rStyle w:val="InternetLink"/>
                  <w:rFonts w:ascii="Times New Roman;sans-serif" w:hAnsi="Times New Roman;sans-serif"/>
                  <w:b w:val="false"/>
                  <w:color w:val="0000FF"/>
                  <w:sz w:val="18"/>
                  <w:u w:val="single"/>
                </w:rPr>
                <w:t>Certification by Interim Chief Executive Officer and Chief Financial Officer pursuant to 18 U.S.C. Section 1350, as adopted pursuant to Section 906 of the Sarbanes-Oxley Act of 2002</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w:t>
            </w:r>
          </w:p>
        </w:tc>
      </w:tr>
    </w:tbl>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2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74"/>
        <w:gridCol w:w="152"/>
        <w:gridCol w:w="154"/>
        <w:gridCol w:w="346"/>
        <w:gridCol w:w="346"/>
        <w:gridCol w:w="348"/>
        <w:gridCol w:w="262"/>
        <w:gridCol w:w="262"/>
        <w:gridCol w:w="262"/>
        <w:gridCol w:w="2321"/>
        <w:gridCol w:w="2303"/>
        <w:gridCol w:w="3275"/>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LIVEPERSON, INC.</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(Registrant)</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9, 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7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JOHN D. COLLINS</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7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John D. Collins</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7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Interim Chief Executive Officer and Chief Financial Officer (Principal Executive Officer, Principal Financial Officer and Principal Accounting Officer)</w:t>
            </w:r>
          </w:p>
        </w:tc>
      </w:tr>
    </w:tbl>
    <w:p>
      <w:pPr>
        <w:pStyle w:val="TextBody"/>
        <w:bidi w:val="0"/>
        <w:spacing w:before="0" w:after="0"/>
        <w:jc w:val="both"/>
        <w:rPr/>
      </w:pPr>
      <w:r>
        <w:rPr/>
      </w:r>
    </w:p>
    <w:p>
      <w:pPr>
        <w:pStyle w:val="TextBody"/>
        <w:bidi w:val="0"/>
        <w:spacing w:before="0" w:after="120"/>
        <w:ind w:left="0" w:right="0" w:firstLine="4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Collins, certify that:</w:t>
      </w:r>
    </w:p>
    <w:p>
      <w:pPr>
        <w:pStyle w:val="TextBody"/>
        <w:bidi w:val="0"/>
        <w:spacing w:lineRule="auto" w:line="288" w:before="100" w:after="100"/>
        <w:ind w:left="0" w:right="0" w:hanging="360"/>
        <w:jc w:val="left"/>
        <w:rPr/>
      </w:pPr>
      <w:r>
        <w:rPr>
          <w:rFonts w:ascii="Times New Roman;sans-serif" w:hAnsi="Times New Roman;sans-serif"/>
          <w:b/>
          <w:color w:val="000000"/>
          <w:sz w:val="20"/>
        </w:rPr>
        <w:t>1.</w:t>
      </w:r>
      <w:r>
        <w:rPr>
          <w:rFonts w:ascii="Times New Roman;sans-serif" w:hAnsi="Times New Roman;sans-serif"/>
          <w:b w:val="false"/>
          <w:color w:val="000000"/>
          <w:sz w:val="20"/>
        </w:rPr>
        <w:t>I have reviewed this Quarterly Report on Form 10-Q of LivePerson,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10205" w:type="dxa"/>
        <w:jc w:val="center"/>
        <w:tblInd w:w="0" w:type="dxa"/>
        <w:tblLayout w:type="fixed"/>
        <w:tblCellMar>
          <w:top w:w="28" w:type="dxa"/>
          <w:left w:w="28" w:type="dxa"/>
          <w:bottom w:w="28" w:type="dxa"/>
          <w:right w:w="28" w:type="dxa"/>
        </w:tblCellMar>
      </w:tblPr>
      <w:tblGrid>
        <w:gridCol w:w="191"/>
        <w:gridCol w:w="169"/>
        <w:gridCol w:w="170"/>
        <w:gridCol w:w="364"/>
        <w:gridCol w:w="364"/>
        <w:gridCol w:w="366"/>
        <w:gridCol w:w="200"/>
        <w:gridCol w:w="200"/>
        <w:gridCol w:w="205"/>
        <w:gridCol w:w="2369"/>
        <w:gridCol w:w="2356"/>
        <w:gridCol w:w="3251"/>
      </w:tblGrid>
      <w:tr>
        <w:trPr/>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and Chief Financial Officer (Principal Executive Officer, Principal Financial Officer and Principal Accounting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Collins, Interim Chief Executive Officer and Chief Financial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of the Company on Form 10-Q for the period ended June 30, 2023,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10205" w:type="dxa"/>
        <w:jc w:val="center"/>
        <w:tblInd w:w="0" w:type="dxa"/>
        <w:tblLayout w:type="fixed"/>
        <w:tblCellMar>
          <w:top w:w="28" w:type="dxa"/>
          <w:left w:w="28" w:type="dxa"/>
          <w:bottom w:w="28" w:type="dxa"/>
          <w:right w:w="28" w:type="dxa"/>
        </w:tblCellMar>
      </w:tblPr>
      <w:tblGrid>
        <w:gridCol w:w="191"/>
        <w:gridCol w:w="169"/>
        <w:gridCol w:w="170"/>
        <w:gridCol w:w="364"/>
        <w:gridCol w:w="364"/>
        <w:gridCol w:w="366"/>
        <w:gridCol w:w="200"/>
        <w:gridCol w:w="200"/>
        <w:gridCol w:w="205"/>
        <w:gridCol w:w="2369"/>
        <w:gridCol w:w="2356"/>
        <w:gridCol w:w="3251"/>
      </w:tblGrid>
      <w:tr>
        <w:trPr/>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and Chief Financial Officer (Principal Executive Officer, Principal Financial Officer and Principal Accounting Officer)</w:t>
            </w:r>
          </w:p>
        </w:tc>
      </w:tr>
    </w:tbl>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32418</Words>
  <Characters>180606</Characters>
  <CharactersWithSpaces>211416</CharactersWithSpaces>
  <Paragraphs>3231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