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LivePerson,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001-41926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13-3861628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530 7th Ave, Floor M1</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New York, New York 10018</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with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(212) 609-4200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jc w:val="center"/>
        <w:ind w:left="440" w:right="2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LPSN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Rights to Purchase Series A Junior Participating</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jc w:val="both"/>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Merger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April 21, 2026, LivePerson, Inc., a Delaware corporation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entered into a Merger Agreement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LivePerson, SoundHound AI, Inc., a Delaware corporation (“</w:t>
      </w:r>
      <w:r>
        <w:rPr>
          <w:rFonts w:ascii="Times New Roman" w:cs="Times New Roman" w:eastAsia="Times New Roman" w:hAnsi="Times New Roman"/>
          <w:sz w:val="18"/>
          <w:szCs w:val="18"/>
          <w:u w:val="single" w:color="auto"/>
          <w:color w:val="auto"/>
        </w:rPr>
        <w:t>SoundHound</w:t>
      </w:r>
      <w:r>
        <w:rPr>
          <w:rFonts w:ascii="Times New Roman" w:cs="Times New Roman" w:eastAsia="Times New Roman" w:hAnsi="Times New Roman"/>
          <w:sz w:val="18"/>
          <w:szCs w:val="18"/>
          <w:color w:val="auto"/>
        </w:rPr>
        <w:t>”, and together with LivePerson,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Lightspeed Merger Sub Inc., a Delaware corporation and an indirect wholly owned subsidiary of SoundHound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pursuant to which, on the terms and subject to the conditions set forth in the Original Merger Agreement, Merger Sub I would merge with and into LivePerson, with LivePerson surviving the merger as an indirect wholly owned subsidiary of SoundHound.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entry into the Original Merger Agreement, LivePerson and SoundHound determined that applicable Israeli securities laws, which are only applicable to shares of LivePerson’s common stock, par value $0.001 (“</w:t>
      </w:r>
      <w:r>
        <w:rPr>
          <w:rFonts w:ascii="Times New Roman" w:cs="Times New Roman" w:eastAsia="Times New Roman" w:hAnsi="Times New Roman"/>
          <w:sz w:val="18"/>
          <w:szCs w:val="18"/>
          <w:u w:val="single" w:color="auto"/>
          <w:color w:val="auto"/>
        </w:rPr>
        <w:t>LivePerson Common Stock</w:t>
      </w:r>
      <w:r>
        <w:rPr>
          <w:rFonts w:ascii="Times New Roman" w:cs="Times New Roman" w:eastAsia="Times New Roman" w:hAnsi="Times New Roman"/>
          <w:sz w:val="18"/>
          <w:szCs w:val="18"/>
          <w:color w:val="auto"/>
        </w:rPr>
        <w:t>”) that are held through the Tel Aviv Stock Exchange Clearing House Ltd (such shares of LivePerson Common Stock, the “</w:t>
      </w:r>
      <w:r>
        <w:rPr>
          <w:rFonts w:ascii="Times New Roman" w:cs="Times New Roman" w:eastAsia="Times New Roman" w:hAnsi="Times New Roman"/>
          <w:sz w:val="18"/>
          <w:szCs w:val="18"/>
          <w:u w:val="single" w:color="auto"/>
          <w:color w:val="auto"/>
        </w:rPr>
        <w:t>TASE Shares</w:t>
      </w:r>
      <w:r>
        <w:rPr>
          <w:rFonts w:ascii="Times New Roman" w:cs="Times New Roman" w:eastAsia="Times New Roman" w:hAnsi="Times New Roman"/>
          <w:sz w:val="18"/>
          <w:szCs w:val="18"/>
          <w:color w:val="auto"/>
        </w:rPr>
        <w:t>”), would have required SoundHound to prepare and file an Israeli securities law-compliant prospectus in connection with the proposed offering and issuance of shares of Class A common stock of SoundHound, par value $0.0001 (“</w:t>
      </w:r>
      <w:r>
        <w:rPr>
          <w:rFonts w:ascii="Times New Roman" w:cs="Times New Roman" w:eastAsia="Times New Roman" w:hAnsi="Times New Roman"/>
          <w:sz w:val="18"/>
          <w:szCs w:val="18"/>
          <w:u w:val="single" w:color="auto"/>
          <w:color w:val="auto"/>
        </w:rPr>
        <w:t>SoundHound Common Stock</w:t>
      </w:r>
      <w:r>
        <w:rPr>
          <w:rFonts w:ascii="Times New Roman" w:cs="Times New Roman" w:eastAsia="Times New Roman" w:hAnsi="Times New Roman"/>
          <w:sz w:val="18"/>
          <w:szCs w:val="18"/>
          <w:color w:val="auto"/>
        </w:rPr>
        <w:t>”) to holders of TASE Shares, unless an exception to such requirement was applicable or an exemption from such requirement could be obtained from the applicable legal authorities in Israel. Absent such exception or exemption, the LivePerson special meeting, and accordingly the proposed closing of the transactions contemplated by the Original Merger Agreement, could have been delayed by a number of months. The parties explored a number of potential options to avoid such a delay, and ultimately agreed to change the form of consideration to be received by holders of TASE Shares from SoundHound Common Stock to cash.</w:t>
      </w:r>
    </w:p>
    <w:p>
      <w:pPr>
        <w:spacing w:after="0" w:line="18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Consequently, on July 2, 2026, LivePerson, SoundHound, Merger Sub I, and Lightspeed Merger Sub II Inc., a Delaware corporation and an indirect wholly owned subsidiary of SoundHound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entered into an Amended and Restated Merger Agreement (the “</w:t>
      </w:r>
      <w:r>
        <w:rPr>
          <w:rFonts w:ascii="Times New Roman" w:cs="Times New Roman" w:eastAsia="Times New Roman" w:hAnsi="Times New Roman"/>
          <w:sz w:val="18"/>
          <w:szCs w:val="18"/>
          <w:u w:val="single" w:color="auto"/>
          <w:color w:val="auto"/>
        </w:rPr>
        <w:t>Amended and Restated Merger Agreement</w:t>
      </w:r>
      <w:r>
        <w:rPr>
          <w:rFonts w:ascii="Times New Roman" w:cs="Times New Roman" w:eastAsia="Times New Roman" w:hAnsi="Times New Roman"/>
          <w:sz w:val="18"/>
          <w:szCs w:val="18"/>
          <w:color w:val="auto"/>
        </w:rPr>
        <w:t>”), which amends and restates in its entirety the Original Merger Agreement. Pursuant to the Amended and Restated Merger Agreement, on the terms and subject to the conditions set forth in the Amended and Restated Merger Agreement, Merger Sub I will merge with and into LivePerson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LivePerson surviving the First Merger as an indirect wholly owned subsidiary of SoundHound and, immediately following the First Merger, Merger Sub II will merge with and into LivePerson (the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LivePerson surviving the Second Merger as an indirect wholly owned subsidiary of SoundHound. All defined terms used in this summary of the Amended and Restated Merger Agreement that are not otherwise defined herein have the meanings ascribed to such terms in the Amended and Restated Merger Agreement.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Amended and Restated Merger Agreement, at the date and time the First Merger becomes effective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LivePerson Common Stock issued and outstanding immediately prior to the First Effective Time (other than certain excluded shares, including TASE Shares) will be automatically converted into the right to receive a number of shares of SoundHound Common Stock equal to (a) the Closing Merger Consideration (as defined below), divided by (b) the total number of shares of LivePerson Common Stock that are issued and outstanding, or that are issuable upon the conversion, exercise or settlement in full of any rights to acquire LivePerson Common Stock, as of immediately prior to the First Effective Time (such number of shares, the “</w:t>
      </w:r>
      <w:r>
        <w:rPr>
          <w:rFonts w:ascii="Times New Roman" w:cs="Times New Roman" w:eastAsia="Times New Roman" w:hAnsi="Times New Roman"/>
          <w:sz w:val="18"/>
          <w:szCs w:val="18"/>
          <w:u w:val="single" w:color="auto"/>
          <w:color w:val="auto"/>
        </w:rPr>
        <w:t>Fully Diluted Common Number</w:t>
      </w:r>
      <w:r>
        <w:rPr>
          <w:rFonts w:ascii="Times New Roman" w:cs="Times New Roman" w:eastAsia="Times New Roman" w:hAnsi="Times New Roman"/>
          <w:sz w:val="18"/>
          <w:szCs w:val="18"/>
          <w:color w:val="auto"/>
        </w:rPr>
        <w:t>”, and the result of the calculation set forth in the foregoing clauses (a) and (b),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consideration payable by SoundHound to holders of LivePerson Common Stock (other than certain excluded shares, including TASE Shares) in connection with the First Merger pursuant to the terms of the Amended and Restated Merger Agreement will be a number of shares of SoundHound Common Stock equal to the quotient of (a) the Aggregate Consideration Amount (as defined below), divided by (b) the SoundHound Closing Stock Price (the “</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Consistent with the Original Merger Agreement, the “</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refers to an amount equal to (a) $42,784,532.64, minus (b) the LivePerson Shortfall Cash (as defined below), plus (c) the aggregate dollar amount of the exercise prices of all In-the-Money Options (as defined below) (other than options assumed by SoundHound and converted into an option to acquire shares of the SoundHound Common Stock, in accordance with the terms of the Amended and Restated Merger Agreement). Consistent with the Original Merger Agreement, “</w:t>
      </w:r>
      <w:r>
        <w:rPr>
          <w:rFonts w:ascii="Times New Roman" w:cs="Times New Roman" w:eastAsia="Times New Roman" w:hAnsi="Times New Roman"/>
          <w:sz w:val="18"/>
          <w:szCs w:val="18"/>
          <w:u w:val="single" w:color="auto"/>
          <w:color w:val="auto"/>
        </w:rPr>
        <w:t>LivePerson Shortfall Cash</w:t>
      </w:r>
      <w:r>
        <w:rPr>
          <w:rFonts w:ascii="Times New Roman" w:cs="Times New Roman" w:eastAsia="Times New Roman" w:hAnsi="Times New Roman"/>
          <w:sz w:val="18"/>
          <w:szCs w:val="18"/>
          <w:color w:val="auto"/>
        </w:rPr>
        <w:t>” refers to an amount equal to (x) $74,000,000 (or, solely for purposes of the Amended and Restated Merger Agreement, $71,000,000 if the Closing occurs in July), minus (y) the aggregate principal amount of LivePerson’s 0% convertible notes due 2026 (the “</w:t>
      </w:r>
      <w:r>
        <w:rPr>
          <w:rFonts w:ascii="Times New Roman" w:cs="Times New Roman" w:eastAsia="Times New Roman" w:hAnsi="Times New Roman"/>
          <w:sz w:val="18"/>
          <w:szCs w:val="18"/>
          <w:u w:val="single" w:color="auto"/>
          <w:color w:val="auto"/>
        </w:rPr>
        <w:t>2026 Convertible Notes</w:t>
      </w:r>
      <w:r>
        <w:rPr>
          <w:rFonts w:ascii="Times New Roman" w:cs="Times New Roman" w:eastAsia="Times New Roman" w:hAnsi="Times New Roman"/>
          <w:sz w:val="18"/>
          <w:szCs w:val="18"/>
          <w:color w:val="auto"/>
        </w:rPr>
        <w:t>”) repurchased by LivePerson between April 1, 2026 and the Closing Date (the figure resulting from clause (x) minus clause (y), “</w:t>
      </w:r>
      <w:r>
        <w:rPr>
          <w:rFonts w:ascii="Times New Roman" w:cs="Times New Roman" w:eastAsia="Times New Roman" w:hAnsi="Times New Roman"/>
          <w:sz w:val="18"/>
          <w:szCs w:val="18"/>
          <w:u w:val="single" w:color="auto"/>
          <w:color w:val="auto"/>
        </w:rPr>
        <w:t>LivePerson Minimum Cash</w:t>
      </w:r>
      <w:r>
        <w:rPr>
          <w:rFonts w:ascii="Times New Roman" w:cs="Times New Roman" w:eastAsia="Times New Roman" w:hAnsi="Times New Roman"/>
          <w:sz w:val="18"/>
          <w:szCs w:val="18"/>
          <w:color w:val="auto"/>
        </w:rPr>
        <w:t>”), minus (z) the cash and cash equivalents on LivePerson’s balance sheet as of 12:01 a.m. Pacific Time on the Closing Date (net of certain Company transaction expenses) (the foregoing clause (z), the “</w:t>
      </w:r>
      <w:r>
        <w:rPr>
          <w:rFonts w:ascii="Times New Roman" w:cs="Times New Roman" w:eastAsia="Times New Roman" w:hAnsi="Times New Roman"/>
          <w:sz w:val="18"/>
          <w:szCs w:val="18"/>
          <w:u w:val="single" w:color="auto"/>
          <w:color w:val="auto"/>
        </w:rPr>
        <w:t>LivePerson Cash Balance</w:t>
      </w:r>
      <w:r>
        <w:rPr>
          <w:rFonts w:ascii="Times New Roman" w:cs="Times New Roman" w:eastAsia="Times New Roman" w:hAnsi="Times New Roman"/>
          <w:sz w:val="18"/>
          <w:szCs w:val="18"/>
          <w:color w:val="auto"/>
        </w:rPr>
        <w:t>”); provided that, if a negative number results from such calculation, “LivePerson Shortfall Cash” will be $0. Consistent with the Original Merger Agreement, the “</w:t>
      </w:r>
      <w:r>
        <w:rPr>
          <w:rFonts w:ascii="Times New Roman" w:cs="Times New Roman" w:eastAsia="Times New Roman" w:hAnsi="Times New Roman"/>
          <w:sz w:val="18"/>
          <w:szCs w:val="18"/>
          <w:u w:val="single" w:color="auto"/>
          <w:color w:val="auto"/>
        </w:rPr>
        <w:t>SoundHound Closing Stock Price</w:t>
      </w:r>
      <w:r>
        <w:rPr>
          <w:rFonts w:ascii="Times New Roman" w:cs="Times New Roman" w:eastAsia="Times New Roman" w:hAnsi="Times New Roman"/>
          <w:sz w:val="18"/>
          <w:szCs w:val="18"/>
          <w:color w:val="auto"/>
        </w:rPr>
        <w:t>” refers to the price per share of SoundHound Common Stock derived from the average of the daily volume weighted average prices of a share of SoundHound Common Stock on the Nasdaq on each of the ten (10) consecutive trading days ending on (and including) the trading day that is three (3) trading days prior to the Closing Date, rounded down to the nearest penny, as reported by Bloomberg (such price per share, the “</w:t>
      </w:r>
      <w:r>
        <w:rPr>
          <w:rFonts w:ascii="Times New Roman" w:cs="Times New Roman" w:eastAsia="Times New Roman" w:hAnsi="Times New Roman"/>
          <w:sz w:val="18"/>
          <w:szCs w:val="18"/>
          <w:u w:val="single" w:color="auto"/>
          <w:color w:val="auto"/>
        </w:rPr>
        <w:t>Parent Closing VWAP Stock Price</w:t>
      </w:r>
      <w:r>
        <w:rPr>
          <w:rFonts w:ascii="Times New Roman" w:cs="Times New Roman" w:eastAsia="Times New Roman" w:hAnsi="Times New Roman"/>
          <w:sz w:val="18"/>
          <w:szCs w:val="18"/>
          <w:color w:val="auto"/>
        </w:rPr>
        <w:t>”); provided that, in the event such price per share (I) exceeds $12 per share, “SoundHound Closing Stock Price” will be $12 per share or (II) falls below $7 per share, “SoundHound Closing Stock Price” will be $7 per share.</w:t>
      </w:r>
    </w:p>
    <w:p>
      <w:pPr>
        <w:sectPr>
          <w:pgSz w:w="11900" w:h="16838" w:orient="portrait"/>
          <w:cols w:equalWidth="0" w:num="1">
            <w:col w:w="11020"/>
          </w:cols>
          <w:pgMar w:left="440" w:top="266" w:right="4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Consistent with the Original Merger Agreement, the Amended and Restated Merger Agreement provides that, at the First Effective Time, (i) each option to purchase shares of LivePerson Common Stock (a “</w:t>
      </w:r>
      <w:r>
        <w:rPr>
          <w:rFonts w:ascii="Times New Roman" w:cs="Times New Roman" w:eastAsia="Times New Roman" w:hAnsi="Times New Roman"/>
          <w:sz w:val="18"/>
          <w:szCs w:val="18"/>
          <w:u w:val="single" w:color="auto"/>
          <w:color w:val="auto"/>
        </w:rPr>
        <w:t>LivePerson Option</w:t>
      </w:r>
      <w:r>
        <w:rPr>
          <w:rFonts w:ascii="Times New Roman" w:cs="Times New Roman" w:eastAsia="Times New Roman" w:hAnsi="Times New Roman"/>
          <w:sz w:val="18"/>
          <w:szCs w:val="18"/>
          <w:color w:val="auto"/>
        </w:rPr>
        <w:t>”) with a per-share exercise price less than the product of the Per Share Merger Consideration multiplied by the SoundHound Closing Stock Price (each, an “</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and held by any individual who is not an “employee” of SoundHound within the meaning of Form S-8 as of immediately after the date and time the Second Merger becomes effective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 will be entitled to receive the Per Share Merger Consideration applicable to the number of shares covered by such LivePerson Option, net of the applicable exercise price and less applicable tax withholdings; (ii) each LivePerson Option that is not an In-the-Money Option will be cancelled for no consideration; (iii) restricted stock units with respect to shares of LivePerson Common Stock (the “</w:t>
      </w:r>
      <w:r>
        <w:rPr>
          <w:rFonts w:ascii="Times New Roman" w:cs="Times New Roman" w:eastAsia="Times New Roman" w:hAnsi="Times New Roman"/>
          <w:sz w:val="18"/>
          <w:szCs w:val="18"/>
          <w:u w:val="single" w:color="auto"/>
          <w:color w:val="auto"/>
        </w:rPr>
        <w:t>LivePerson RSUs</w:t>
      </w:r>
      <w:r>
        <w:rPr>
          <w:rFonts w:ascii="Times New Roman" w:cs="Times New Roman" w:eastAsia="Times New Roman" w:hAnsi="Times New Roman"/>
          <w:sz w:val="18"/>
          <w:szCs w:val="18"/>
          <w:color w:val="auto"/>
        </w:rPr>
        <w:t>”) held by non-employee directors of LivePerson and each LivePerson RSU that has vested but not yet settled will be entitled to receive the Per Share Merger Consideration in respect of each LivePerson RSU, less applicable tax withholdings; (iv) all other In-the-Money Options and LivePerson RSUs will be assumed by SoundHound and converted into corresponding awards denominated in shares of SoundHound Common Stock in accordance with the terms set forth in the Amended and Restated Merger Agreement, which are consistent with the terms of the Original Merger Agreement, and (v) all warrants to purchase shares of LivePerson Common Stock will be cancelled for no consideration. Consistent with the Original Merger Agreement, the Amended and Restated Merger Agreement also provides that in the event the treatment, as set forth in (i)-(iv) above, of any LivePerson Options or LivePerson RSUs held by persons outside of the United States would be administratively burdensome to SoundHound, SoundHound may either cash out such equity awards or convert them into cash-based awards that continue to vest on the same schedule.</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Amended and Restated Merger Agreement, at the Second Effective Time, each TASE Share and issued and outstanding immediately prior to the Second Effective Time (other than any Dissenting Shares (as defined below)) will be automatically converted into the right to receive an amount in cash equal to (a) the Closing TASE Cash Merger Consideration (as defined below), divided by (b) the total number of TASE Shares that are issued and outstanding as of immediately prior to the Second Effective Time (such number of shares, the “</w:t>
      </w:r>
      <w:r>
        <w:rPr>
          <w:rFonts w:ascii="Times New Roman" w:cs="Times New Roman" w:eastAsia="Times New Roman" w:hAnsi="Times New Roman"/>
          <w:sz w:val="18"/>
          <w:szCs w:val="18"/>
          <w:u w:val="single" w:color="auto"/>
          <w:color w:val="auto"/>
        </w:rPr>
        <w:t>Fully Diluted TASE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Number</w:t>
      </w:r>
      <w:r>
        <w:rPr>
          <w:rFonts w:ascii="Times New Roman" w:cs="Times New Roman" w:eastAsia="Times New Roman" w:hAnsi="Times New Roman"/>
          <w:sz w:val="18"/>
          <w:szCs w:val="18"/>
          <w:color w:val="auto"/>
        </w:rPr>
        <w:t>”, and the result of the calculation set forth in the foregoing clauses (a) and (b), the “</w:t>
      </w:r>
      <w:r>
        <w:rPr>
          <w:rFonts w:ascii="Times New Roman" w:cs="Times New Roman" w:eastAsia="Times New Roman" w:hAnsi="Times New Roman"/>
          <w:sz w:val="18"/>
          <w:szCs w:val="18"/>
          <w:u w:val="single" w:color="auto"/>
          <w:color w:val="auto"/>
        </w:rPr>
        <w:t>Per Share Cash Merger Consideration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amount of cash consideration payable by SoundHound to holders of TASE Shares (other than Dissenting Shares) in connection with the Second Merger pursuant to the terms of the Amended and Restated Merger Agreement will be an amount in cash equal to (a) the Closing Merger Consideration, multiplied by (b) the Parent Closing VWAP Stock Price, multiplied by (c) a fraction, the numerator of which is the Fully Diluted TASE Common Number, and the denominator of which is the Fully Diluted Common Number (the “</w:t>
      </w:r>
      <w:r>
        <w:rPr>
          <w:rFonts w:ascii="Times New Roman" w:cs="Times New Roman" w:eastAsia="Times New Roman" w:hAnsi="Times New Roman"/>
          <w:sz w:val="18"/>
          <w:szCs w:val="18"/>
          <w:u w:val="single" w:color="auto"/>
          <w:color w:val="auto"/>
        </w:rPr>
        <w:t>Closing TASE Cash Merger Consideration</w:t>
      </w:r>
      <w:r>
        <w:rPr>
          <w:rFonts w:ascii="Times New Roman" w:cs="Times New Roman" w:eastAsia="Times New Roman" w:hAnsi="Times New Roman"/>
          <w:sz w:val="18"/>
          <w:szCs w:val="18"/>
          <w:color w:val="auto"/>
        </w:rPr>
        <w:t>”); provided that, in the event such amount exceeds $7,500,000, “Closing TASE Cash Merger Consideration” will be $7,500,000.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TASE Shares that are issued and outstanding immediately prior to the Second Effective Time and held by a holder or beneficial owner who did not vote in favor of the adoption of the Amended and Restated Merger Agreement and properly demanded appraisal of such TASE Shares (“</w:t>
      </w:r>
      <w:r>
        <w:rPr>
          <w:rFonts w:ascii="Times New Roman" w:cs="Times New Roman" w:eastAsia="Times New Roman" w:hAnsi="Times New Roman"/>
          <w:sz w:val="18"/>
          <w:szCs w:val="18"/>
          <w:u w:val="single" w:color="auto"/>
          <w:color w:val="auto"/>
        </w:rPr>
        <w:t>Dissenting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accordance with Section 262 of the DGCL will not be converted into the right to receive the Per Share Cash Merger Consideration and will instead, at the Second Effective Time, be converted into the right to receive payment of the fair value of such Dissenting Shares in accordance with the terms of the Amended and Restated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expected that the Mergers will not qualify as a tax-free reorganization for U.S. federal income tax purposes.</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Consistent with the Original Merger Agreement, under the terms of the Amended and Restated Merger Agreement, completion of the Mergers is subject to customary closing conditions, including, among others (a) the adoption of the Amended and Restated Merger Agreement by the stockholders of LivePerson; (b) the absence of any law, order or other legal impediment prohibiting the consummation of the Mergers; (c) the receipt of approvals under certain applicable foreign direct investment laws; (d) the approval for listing the shares of SoundHound Common Stock issuable to the stockholders of LivePerson pursuant to the Amended and Restated Merger Agreement on the Nasdaq; (e) the effectiveness of SoundHound’s registration statement on Form S-4; (f) the accuracy of the parties’ respective representations and warranties in the Amended and Restated Merger Agreement, subject to specified materiality qualifications; (g) the performance or compliance by SoundHound and LivePerson with the covenants in the Amended and Restated Merger Agreement in all material respects; (h) the absence of a material adverse effect on LivePerson (as defined in the Amended and Restated Merger Agreement); and (i) the consummation of the Notes Restructuring Transactions (as in the Amended and Restated Merger Agreement).</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Consistent with the Original Merger Agreement, the Amended and Restated Merger Agreement contains customary representations, warranties and covenants made by each of LivePerson, SoundHound, Merger Sub I and Merger Sub II, including, among others, covenants by LivePerson regarding the conduct of its business during the pendency of the transactions contemplated by the Amended and Restated Merger Agreement, public disclosures and other matters. The Company is required, among other things, not to solicit alternative business combination transactions and, subject to certain exceptions, not to engage in discussions or negotiations regarding an alternative business combination transaction.</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Consistent with the Original Merger Agreement, both LivePerson and SoundHound may terminate the Amended and Restated Merger Agreement under specified circumstances, including (a) if the Mergers are not completed by October 21, 2026 (which date may be extended to December 5, 2026 if certain regulatory approvals have not been obtained); (b) if LivePerson fails to obtain stockholder approval; (c) if the board of directors of LivePerson (the “</w:t>
      </w:r>
      <w:r>
        <w:rPr>
          <w:rFonts w:ascii="Times New Roman" w:cs="Times New Roman" w:eastAsia="Times New Roman" w:hAnsi="Times New Roman"/>
          <w:sz w:val="18"/>
          <w:szCs w:val="18"/>
          <w:u w:val="single" w:color="auto"/>
          <w:color w:val="auto"/>
        </w:rPr>
        <w:t>LivePerson Board</w:t>
      </w:r>
      <w:r>
        <w:rPr>
          <w:rFonts w:ascii="Times New Roman" w:cs="Times New Roman" w:eastAsia="Times New Roman" w:hAnsi="Times New Roman"/>
          <w:sz w:val="18"/>
          <w:szCs w:val="18"/>
          <w:color w:val="auto"/>
        </w:rPr>
        <w:t>”) makes an adverse recommendation change with respect to the Mergers or commits a material breach of its non-solicitation obligations; (d) if</w:t>
      </w:r>
    </w:p>
    <w:p>
      <w:pPr>
        <w:sectPr>
          <w:pgSz w:w="11900" w:h="16838" w:orient="portrait"/>
          <w:cols w:equalWidth="0" w:num="1">
            <w:col w:w="11020"/>
          </w:cols>
          <w:pgMar w:left="440" w:top="270" w:right="4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LivePerson Board terminates to accept a superior acquisition proposal; or (e) if the Notes Restructuring Transactions are terminated for any reason. Consistent with the Original Merger Agreement, the Amended and Restated Merger Agreement further provides that LivePerson is required to pay SoundHound a termination fee of $5,000,000, plus the SoundHound’s transaction expenses, if the Amended and Restated Merger Agreement is terminated under certain specified circumstances, including if the LivePerson Board changes or withdraws its recommendation of the Mergers, terminates the Amended and Restated Merger Agreement to enter into an agreement with respect to a superior acquisition proposal or if the Notes Restructuring Transactions is terminated for any reason or otherwise fails to consummate by the Outside Date (as defined in the Amended and Restated Merger Agreement), except where such termination or failure to consummate primarily resulted from SoundHound’s material breach of the Notes Restructuring Agreement (as defined in the Amended and Restated Merger Agreement); provided that where a termination fee is payable in connection with the failure to consummate, or termination of, the Notes Restructuring Transactions, the obligation to reimburse SoundHound’s transaction expenses will be capped at $3,750,000.</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Consistent with the Original Merger Agreement, the Amended and Restated Merger Agreement and the consummation of the transactions contemplated thereby, including the Mergers, have been unanimously approved by the LivePerson Board, and the LivePerson Board has resolved to recommend to the stockholders of LivePerson to adopt the Amended and Restated Merger Agreement, subject to its terms and conditions.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Amended and Restated Merger Agreement is attached hereto as Exhibit 2.1 and is incorporated herein by reference. The foregoing description does not purport to be complete and is subject to and qualified in its entirety by reference to the Amended and Restated Merger Agreement. The Amended and Restated Merger Agreement has been attached to provide investors with information regarding its terms. It is not intended to provide any other factual information about LivePerson, SoundHound, Merger Sub I, or Merger Sub II. In particular, the assertions embodied in the representations and warranties contained in the Amended and Restated Merger Agreement are qualified by information in a confidential disclosure letter provided by LivePerson to SoundHound in connection with the signing of the Original Merger Agreement and in filings of the parties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confidential disclosure letter contains information that modifies, qualifies and creates exceptions to the representations and warranties and certain covenants set forth in the Amended and Restated Merger Agreement. Moreover, the representations and warranties in the Amended and Restated Merger Agreement were used for the purposes of allocating risk between LivePerson and SoundHound rather than establishing matters of fact. Accordingly, the representations and warranties in the Amended and Restated Merger Agreement should not be relied on as characterization of the actual state of facts about LivePerson, SoundHound, Merger Sub I or Merger Sub II.</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statements regarding SoundHound, LivePerson, the proposed transactions described herein and other matters that are forward-looking statements within the meaning of Section 27A of the Securities Act of 1933, as amended, and Section 21E of the Securities Exchange Act of 1934, as amended (the “Exchange Act”).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SoundHound’s or LivePerson’s expected future financial position, results of operations, business strategy, production capacity, competitive positions, growth opportunities, employment opportunities and mobility, plans and objectives of management and (ii) SoundHound’s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SoundHound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 (a) the risk that the transactions described herein will not be completed or will not provide the expected benefits; (b) the failure to timely or at all obtain LivePerson stockholder approval for the Mergers; (c) the inability to obtain required regulatory approvals for the Mergers; (d) the timing of obtaining such approvals and the risk that such approvals may result in the imposition of conditions that could adversely affect the combined company or the expected benefits of the proposed transactions; (e) the risk that a condition to closing of the proposed transactions may not be satisfied on a timely basis or at all; (f) the possible occurrence of an event, change or other circumstance that would give rise to the termination of the Amended and Restated Merger Agreement; (g) the risk of stockholder litigation in connection with the Mergers, including resulting expense or delay in closing of the proposed transactions; (h) the failure of the proposed transactions to close for any other reason; (i) the diversion of the attention of SoundHound and LivePerson management from ongoing business operations; (j) unexpected costs, liabilities, charges or expenses resulting from the proposed transactions; (k) the risk that the integration of SoundHound and LivePerson will be more difficult, time-consuming or expensive than anticipated; (l) the risk of customer loss or other business disruption in connection with the proposed transactions, or of the loss of key employees; (m) the fact that unforeseen liabilities of SoundHound or LivePerson may exist; (n) changes in applicable laws or regulations and extensive and evolving government regulations that impact SoundHound’s</w:t>
      </w:r>
    </w:p>
    <w:p>
      <w:pPr>
        <w:sectPr>
          <w:pgSz w:w="11900" w:h="16838" w:orient="portrait"/>
          <w:cols w:equalWidth="0" w:num="1">
            <w:col w:w="11020"/>
          </w:cols>
          <w:pgMar w:left="440" w:top="270" w:right="439" w:bottom="1440" w:gutter="0" w:footer="0" w:header="0"/>
        </w:sectPr>
      </w:pPr>
    </w:p>
    <w:bookmarkStart w:id="4" w:name="page5"/>
    <w:bookmarkEnd w:id="4"/>
    <w:p>
      <w:pPr>
        <w:jc w:val="both"/>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LivePerson’s operations and business; (o) investigations, claims, disputes, enforcement actions, litigation and/or other regulatory or legal proceedings, including with respect to AI technology; (p) risks that SoundHound may not be able to manage strains associated with its growth; (q) dependence on key personnel; (r) stock price volatility; (s) SoundHound’s and LivePerson’s ability to protect their intellectual property and litigation risks; (t) the risk that LivePerson’s usage patterns, customer renewals, customer outcomes and similar metrics differ from expectations; (u) the risk of cybersecurity incidents or breaches impacting LivePerson’s business; (v) the risks related to the use and regulation of artificial intelligence and machine learning; (w) general economic, financial, legal, political and business conditions; and (x) other risks inherent in SoundHound’s and LivePerson’s businesses.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such factors are difficult to predict, are beyond SoundHound’s and LivePerson’s control, and are subject to additional risks and uncertainties, including those detailed in SoundHound’s annual report on Form 10-K for the year ended December 31, 2025 and those detailed in LivePerson’s annual report on Form 10-K for the year ended December 31, 2025 and LivePerson’s Quarterly Report on Form 10-Q for the quarterly period ended March 31, 2026. These risks, as well as other risks related to the proposed transaction, are included in the Form S-4 and proxy statement/prospectus (each as defined below) that SoundHound filed and LivePerson intends to file with the SEC in connection with the proposed transaction. Forward-looking statements are based on the estimates and opinions of management at the time the statements are made. Neither SoundHound nor LivePerson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SoundHound has filed with the SEC a registration statement on Form S-4 (the “Form S-4”) that includes a proxy statement of LivePerson and that will also constitute a prospectus of SoundHound with respect to the shares of SoundHound common stock to be issued in the proposed transaction (the “proxy statement/prospectus”). The definitive proxy statement/prospectus (if and when available) will be filed with the SEC by, and mailed to shareholders of, LivePerson. Each of SoundHound and LivePerson may also file other relevant documents with the SEC regarding the proposed transaction.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not a substitute for the Form S-4, the proxy statement/prospectus or any other document that SoundHound or LivePerson may file with the SEC in connection with the proposed transaction. INVESTORS AND SECURITY HOLDERS OF SOUNDHOUND AND LIVEPERSON ARE URGED TO READ THE FORM S-4, THE PROXY STATEMENT/PROSPECTUS AND ANY OTHER RELEVANT DOCUMENTS FILED WITH THE SEC, AS WELL AS ANY AMENDMENTS OR SUPPLEMENTS TO THOSE DOCUMENTS, CAREFULLY IN THEIR ENTIRETY IF AND WHEN THEY BECOME AVAILABLE BECAUSE THEY CONTAIN OR WILL CONTAIN, AS APPLICABLE, IMPORTANT INFORMATION ABOUT THE PROPOSED TRANSACTION. Investors and security holders will be able to obtain copies of these documents (if and when available), as well as other filings containing information about SoundHound and LivePerson, free of charge on the SEC’s website at www.sec.gov. Copies of the documents filed with, or furnished to, the SEC by SoundHound will be available free of charge on SoundHound’s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SoundHound’s or LivePerson’s website is not incorporated by reference into this communication.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w:t>
      </w:r>
      <w:hyperlink r:id="rId21">
        <w:r>
          <w:rPr>
            <w:rFonts w:ascii="Times New Roman" w:cs="Times New Roman" w:eastAsia="Times New Roman" w:hAnsi="Times New Roman"/>
            <w:sz w:val="18"/>
            <w:szCs w:val="18"/>
            <w:u w:val="single" w:color="auto"/>
            <w:color w:val="0000EE"/>
          </w:rPr>
          <w:t>https://www.sec.gov/ix?doc=/Archives/edgar/data/0001840856/000121390026041978/ea0285618-01.htm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 Information about the directors and executive officers of LivePerson and their ownership of LivePerson equity interests can be found in the section entitled “Ownership of Securities” included in LivePerson’s definitive proxy statement in connection with its Special Meeting of Stockholders, which was filed with the SEC on September 17, 2025 and is available at </w:t>
      </w:r>
      <w:hyperlink r:id="rId22">
        <w:r>
          <w:rPr>
            <w:rFonts w:ascii="Times New Roman" w:cs="Times New Roman" w:eastAsia="Times New Roman" w:hAnsi="Times New Roman"/>
            <w:sz w:val="18"/>
            <w:szCs w:val="18"/>
            <w:u w:val="single" w:color="auto"/>
            <w:color w:val="0000EE"/>
          </w:rPr>
          <w:t>https://www.sec.gov/ix?doc=/Archives/edgar/data/1102993/000110299325000159/lpsn-20250917.htm</w:t>
        </w:r>
      </w:hyperlink>
      <w:r>
        <w:rPr>
          <w:rFonts w:ascii="Times New Roman" w:cs="Times New Roman" w:eastAsia="Times New Roman" w:hAnsi="Times New Roman"/>
          <w:sz w:val="18"/>
          <w:szCs w:val="18"/>
          <w:color w:val="auto"/>
        </w:rPr>
        <w:t>;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sectPr>
          <w:pgSz w:w="11900" w:h="16838" w:orient="portrait"/>
          <w:cols w:equalWidth="0" w:num="1">
            <w:col w:w="11020"/>
          </w:cols>
          <w:pgMar w:left="440" w:top="270"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-203835</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704" w:space="500"/>
            <w:col w:w="9800"/>
          </w:cols>
          <w:pgMar w:left="436" w:top="266" w:right="459" w:bottom="1440" w:gutter="0" w:footer="0" w:header="0"/>
        </w:sect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004"/>
          </w:cols>
          <w:pgMar w:left="436" w:top="266" w:right="459" w:bottom="1440" w:gutter="0" w:footer="0" w:header="0"/>
          <w:type w:val="continuous"/>
        </w:sectPr>
      </w:pPr>
    </w:p>
    <w:p>
      <w:pPr>
        <w:spacing w:after="0" w:line="24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64" w:space="720"/>
            <w:col w:w="5420"/>
          </w:cols>
          <w:pgMar w:left="436" w:top="266"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Amended and Restated Merger Agreement, dated as of July 2, 2026, by and among SoundHound AI, Inc., Lightspeed Merger Sub Inc., Lightspeed Merger Sub II Inc., and LivePerson, Inc.</w:t>
      </w:r>
    </w:p>
    <w:p>
      <w:pPr>
        <w:spacing w:after="0" w:line="54" w:lineRule="exact"/>
        <w:rPr>
          <w:sz w:val="20"/>
          <w:szCs w:val="20"/>
          <w:color w:val="auto"/>
        </w:rPr>
      </w:pPr>
    </w:p>
    <w:p>
      <w:pPr>
        <w:sectPr>
          <w:pgSz w:w="11900" w:h="16838" w:orient="portrait"/>
          <w:cols w:equalWidth="0" w:num="2">
            <w:col w:w="324" w:space="560"/>
            <w:col w:w="10120"/>
          </w:cols>
          <w:pgMar w:left="436" w:top="266" w:right="459" w:bottom="1440" w:gutter="0" w:footer="0" w:header="0"/>
          <w:type w:val="continuous"/>
        </w:sectPr>
      </w:pPr>
    </w:p>
    <w:p>
      <w:pPr>
        <w:ind w:left="4"/>
        <w:spacing w:after="0"/>
        <w:tabs>
          <w:tab w:leader="none" w:pos="864"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in Inline XBRL and contained in Exhibit 101).</w:t>
      </w:r>
    </w:p>
    <w:p>
      <w:pPr>
        <w:sectPr>
          <w:pgSz w:w="11900" w:h="16838" w:orient="portrait"/>
          <w:cols w:equalWidth="0" w:num="1">
            <w:col w:w="11004"/>
          </w:cols>
          <w:pgMar w:left="436" w:top="266" w:right="459" w:bottom="1440" w:gutter="0" w:footer="0" w:header="0"/>
          <w:type w:val="continuous"/>
        </w:sectPr>
      </w:pPr>
    </w:p>
    <w:p>
      <w:pPr>
        <w:spacing w:after="0" w:line="264" w:lineRule="exact"/>
        <w:rPr>
          <w:sz w:val="20"/>
          <w:szCs w:val="20"/>
          <w:color w:val="auto"/>
        </w:rPr>
      </w:pPr>
    </w:p>
    <w:p>
      <w:pPr>
        <w:ind w:left="224" w:hanging="224"/>
        <w:spacing w:after="0" w:line="282"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and (a)(6) of Regulation S-K. LivePerson hereby undertakes to furnish supplemental copies of any of the omitted schedules and exhibits upon request by the SEC.</w:t>
      </w:r>
    </w:p>
    <w:p>
      <w:pPr>
        <w:sectPr>
          <w:pgSz w:w="11900" w:h="16838" w:orient="portrait"/>
          <w:cols w:equalWidth="0" w:num="1">
            <w:col w:w="11004"/>
          </w:cols>
          <w:pgMar w:left="436" w:top="266" w:right="4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John Collins</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Financial Officer &amp; Chief Operating Officer</w:t>
      </w:r>
    </w:p>
    <w:p>
      <w:pPr>
        <w:sectPr>
          <w:pgSz w:w="11900" w:h="16838" w:orient="portrait"/>
          <w:cols w:equalWidth="0" w:num="1">
            <w:col w:w="11000"/>
          </w:cols>
          <w:pgMar w:left="440" w:top="266"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MERGER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LIGHTSPEED MERGER SUB II INC.,</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JULY 2, 2026</w:t>
      </w:r>
    </w:p>
    <w:p>
      <w:pPr>
        <w:sectPr>
          <w:pgSz w:w="11900" w:h="16838" w:orient="portrait"/>
          <w:cols w:equalWidth="0" w:num="1">
            <w:col w:w="10020"/>
          </w:cols>
          <w:pgMar w:left="1440" w:top="266" w:right="4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THE MERGERS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Mergers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Closing and Effective Times of the Mergers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CONVERSION OF SECURITIES IN THE MERGER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of Securities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for Securities; Surrender of Certificates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with Respect to Unexchanged Shares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Fractional Shares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Withholding Rights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Treatment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Appraisal Rights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Prohibition on Transfer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THE COMPANY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Conflict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Law</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Plans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 and Other Employment Matters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Environmental Matters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Matters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3.18</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3.19</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3.20</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Trade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Supplied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Takeover Statutes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3.27</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PARENT AND MERGER SUBS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Conflict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Supplied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Takeover Statutes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 of Merger Subs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Valid Issuance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CONDUCT OF THE COMPANY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ADDITIONAL COVENANTS OF THE PARTIES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Preparation of Proxy Statement/Prospectus and Registration Statement; Company Stockholder Meeting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Non-Solicitation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Notices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Litigation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Announcements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16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Listing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Takeover Statutes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Benefits Preservation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Cooperation as to Integration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2026 Notes; Note Restructuring Transactions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Resignations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CONDITIONS TO CONSUMMATION OF THE MERGERS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Conditions to Obligations of Parent and the Merger Subs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TERMINATION, AMENDMENT AND WAIVER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Termination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Termination Fee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GENERAL PROVISIONS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 and Expenses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Definitions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Terms Defined Elsewhere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Headings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9.14</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9.15</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Modification or Amendment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9.16</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Extension; Waiver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MERGER AGREEMENT</w:t>
      </w:r>
    </w:p>
    <w:p>
      <w:pPr>
        <w:spacing w:after="0" w:line="229" w:lineRule="exact"/>
        <w:rPr>
          <w:sz w:val="20"/>
          <w:szCs w:val="20"/>
          <w:color w:val="auto"/>
        </w:rPr>
      </w:pPr>
    </w:p>
    <w:p>
      <w:pPr>
        <w:jc w:val="both"/>
        <w:ind w:right="20" w:firstLine="991"/>
        <w:spacing w:after="0" w:line="256" w:lineRule="auto"/>
        <w:rPr>
          <w:sz w:val="20"/>
          <w:szCs w:val="20"/>
          <w:color w:val="auto"/>
        </w:rPr>
      </w:pPr>
      <w:r>
        <w:rPr>
          <w:rFonts w:ascii="Times New Roman" w:cs="Times New Roman" w:eastAsia="Times New Roman" w:hAnsi="Times New Roman"/>
          <w:sz w:val="18"/>
          <w:szCs w:val="18"/>
          <w:color w:val="auto"/>
        </w:rPr>
        <w:t>This AMENDED AND RESTATED MERGER AGREEMENT, dated as of July 2,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SoundHound AI,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Lightspeed Merger Sub Inc., a Delaware corporation and an indirect wholly owned Subsidiary of Parent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Lightspeed Merger Sub II Inc., a Delaware corporation and an indirect wholly owned Subsidiary of Parent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and the Merger Subs together with Parent,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and LivePerson,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shall have the meanings assigned to such terms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or as otherwise defined elsewhere in this Agreement unless the context clearly indicates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 Parent, Merger Sub I and the Company entered into that certain Merger Agreement, dated as of April 21, 2026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on the terms and subject to the conditions set forth in the Original Agreement, Merger Sub I would merge with and into the Company, and the Company would survive such merger as an indirect wholly owned subsidiary of Parent;</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B. Pursuant to Section 9.15 of the Original Agreement, the Original Agreement may be amended, modified or supplemented by Parent, the Company and Merger Sub I by action taken or authorized by their respective Boards of Directors at any time prior to the Effective Time (as such term is defined in the Original Agreement);</w:t>
      </w:r>
    </w:p>
    <w:p>
      <w:pPr>
        <w:spacing w:after="0" w:line="176"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C. Pursuant to Section 9.15 of the Original Agreement, Parent, Merger Sub I and the Company desire to amend and restate the Original Agreement in its entirety to reflect the terms and conditions set forth herein;</w:t>
      </w:r>
    </w:p>
    <w:p>
      <w:pPr>
        <w:spacing w:after="0" w:line="162"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D. The parties now intend that, on the terms and subject to the conditions set forth in this Agreement, (a) Merger Sub I be merged with and into the Company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the Company continuing as the surviving corporation in the First Merger (the Company, as the surviving entity in the First Merger, sometimes being referred to herein as the “</w:t>
      </w:r>
      <w:r>
        <w:rPr>
          <w:rFonts w:ascii="Times New Roman" w:cs="Times New Roman" w:eastAsia="Times New Roman" w:hAnsi="Times New Roman"/>
          <w:sz w:val="18"/>
          <w:szCs w:val="18"/>
          <w:u w:val="single" w:color="auto"/>
          <w:color w:val="auto"/>
        </w:rPr>
        <w:t>First Surviving Corporation</w:t>
      </w:r>
      <w:r>
        <w:rPr>
          <w:rFonts w:ascii="Times New Roman" w:cs="Times New Roman" w:eastAsia="Times New Roman" w:hAnsi="Times New Roman"/>
          <w:sz w:val="18"/>
          <w:szCs w:val="18"/>
          <w:color w:val="auto"/>
        </w:rPr>
        <w:t>”) as an indirect wholly owned Subsidiary of Parent in accordance with the applicable provisions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pursuant to which each share of common stock, par value $0.001 per share,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immediately prior to the First Effective Time (other than Company Cancelled Shares and the TASE Shares) shall be converted automatically into the right to receive the Per Share Merger Consideration, and (b) immediately following the First Merger, Merger Sub II be merged with and into the First Surviving Corporation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the First Surviving Corporation continuing as the surviving corporation in the Second Merger (the Company or the First Surviving Corporation, as the surviving entity in the Second Merger, sometimes being referred to herein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as an indirect wholly owned Subsidiary of Parent in accordance with the applicable provisions of the DGCL, pursuant to which each TASE Share issued and outstanding immediately prior to the Second Effective Time (other than any Dissenting Shares) shall be converted automatically into the right to receive the Per Share Cash Merger Consideration;</w:t>
      </w:r>
    </w:p>
    <w:p>
      <w:pPr>
        <w:sectPr>
          <w:pgSz w:w="11900" w:h="16838" w:orient="portrait"/>
          <w:cols w:equalWidth="0" w:num="1">
            <w:col w:w="11020"/>
          </w:cols>
          <w:pgMar w:left="440" w:top="266" w:right="439" w:bottom="1440" w:gutter="0" w:footer="0" w:header="0"/>
        </w:sectPr>
      </w:pPr>
    </w:p>
    <w:bookmarkStart w:id="12" w:name="page13"/>
    <w:bookmarkEnd w:id="12"/>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upon the terms and subject to the conditions set forth herein, (i) determined that the transactions contemplated by this Agreement, including the Mergers, are advisable, fair to and in the best interests of the Company and its stockholders, (ii) approved, adopted and declared advisable this Agreement and the transactions contemplated hereby, including the Mergers and (iii) determined to recommend that the Company’s stockholders adopt this Agreement (collectively,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F.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upon the terms and subject to the conditions set forth herein, (i) determined that the transactions contemplated by this Agreement, including the Mergers and the Parent Share Issuance, are advisable, fair to and in the best interests of Parent and its stockholders and (ii) approved, adopted and declared advisable this Agreement and the transactions contemplated hereby, including the Mergers and the Parent Share Issuance;</w:t>
      </w:r>
    </w:p>
    <w:p>
      <w:pPr>
        <w:spacing w:after="0" w:line="180"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G. The respective Boards of Directors of Merger Sub I and Merger Sub II have, upon the terms and subject to the conditions set forth herein, (i) determined that the transactions contemplated by this Agreement, including the applicable Merger, are advisable, fair to, and in the best interests of Merger Sub I and Merger Sub II, respectively, and each of their respective sole stockholders, and (ii) approved, adopted and declared advisable this Agreement and the transactions contemplated hereby, including the applicable Merger; and</w:t>
      </w:r>
    </w:p>
    <w:p>
      <w:pPr>
        <w:spacing w:after="0" w:line="180"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H. Concurrently with the execution of the Original Agreement, each holder of Secured Notes and Parent entered into a Notes Restructuring Agreement (the “</w:t>
      </w: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and the transactions contemplated by the Notes Restructuring Agreement, the “</w:t>
      </w:r>
      <w:r>
        <w:rPr>
          <w:rFonts w:ascii="Times New Roman" w:cs="Times New Roman" w:eastAsia="Times New Roman" w:hAnsi="Times New Roman"/>
          <w:sz w:val="18"/>
          <w:szCs w:val="18"/>
          <w:u w:val="single" w:color="auto"/>
          <w:color w:val="auto"/>
        </w:rPr>
        <w:t>Notes Restructuring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pursuant to which, among other actions and matters, such holders agreed to release and deem satisfied in full the Secured Notes for the consideration contemplated thereby.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to amend and restate the Original Agreement in its entirety to reflect the terms and conditions set forth herein as follows: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3" w:name="page14"/>
    <w:bookmarkEnd w:id="1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07"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 Upon the terms and subject to the satisfaction or waiver of the conditions set forth in this Agreement and in accordance with the applicable provisions of the DGCL:</w:t>
      </w:r>
    </w:p>
    <w:p>
      <w:pPr>
        <w:spacing w:after="0" w:line="54" w:lineRule="exact"/>
        <w:rPr>
          <w:sz w:val="20"/>
          <w:szCs w:val="20"/>
          <w:color w:val="auto"/>
        </w:rPr>
      </w:pPr>
    </w:p>
    <w:p>
      <w:pPr>
        <w:jc w:val="both"/>
        <w:ind w:left="4" w:firstLine="1428"/>
        <w:spacing w:after="0" w:line="252" w:lineRule="auto"/>
        <w:tabs>
          <w:tab w:leader="none" w:pos="168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Merger Sub I shall merge with and into the Company, the separate corporate existence of Merger Sub I shall cease and the Company shall continue as the First Surviving Corporation. Immediately following the First Effective Time, Merger Sub II shall merge with and into the First Surviving Corporation, the separate corporate existence of Merger Sub II shall cease and the First Surviving Corporation shall continue as the Surviving Corporation. Immediately following the Second Effective Time, the Surviving Corporation shall be a direct wholly owned Subsidiary of Lightspeed Merger Sub Holdco, Inc., a Delaware corporation (“</w:t>
      </w:r>
      <w:r>
        <w:rPr>
          <w:rFonts w:ascii="Times New Roman" w:cs="Times New Roman" w:eastAsia="Times New Roman" w:hAnsi="Times New Roman"/>
          <w:sz w:val="18"/>
          <w:szCs w:val="18"/>
          <w:u w:val="single" w:color="auto"/>
          <w:color w:val="auto"/>
        </w:rPr>
        <w:t>Intermediate Sub</w:t>
      </w:r>
      <w:r>
        <w:rPr>
          <w:rFonts w:ascii="Times New Roman" w:cs="Times New Roman" w:eastAsia="Times New Roman" w:hAnsi="Times New Roman"/>
          <w:sz w:val="18"/>
          <w:szCs w:val="18"/>
          <w:color w:val="auto"/>
        </w:rPr>
        <w:t>”), which is a direct wholly owned Subsidiary of SoundHound, Inc., a Delaware corporation, which is a direct wholly owned Subsidiary of Parent. The Mergers shall have the effects set forth in the applicable provisions of the DGCL. Without limiting the generality of the foregoing, (i) from and after the First Effective Time, all of the property, rights, privileges, immunities, powers and franchises of the Company and Merger Sub I shall vest in the First Surviving Corporation, and all of the debts, liabilities and duties of the Company and Merger Sub I shall become the debts, liabilities and duties of the First Surviving Corporation, and</w:t>
      </w:r>
    </w:p>
    <w:p>
      <w:pPr>
        <w:spacing w:after="0" w:line="6"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Second Effective Time, all of the property, rights, privileges, immunities, powers and franchises of the First Surviving Corporation and Merger Sub II shall vest in the Surviving Corporation, and all of the debts, liabilities and duties of the First Surviving Corporation and Merger Sub II shall become the debts, liabilities and duties of the Surviving Corporation.</w:t>
      </w:r>
    </w:p>
    <w:p>
      <w:pPr>
        <w:spacing w:after="0" w:line="185"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70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Effective Time until the Second Effective Time, the certificate of incorporation and the bylaws of the Company as in effect immediately prior to the First Effective Time shall continue to be the certificate of incorporation and bylaws of the First Surviving Corporation.</w:t>
      </w:r>
    </w:p>
    <w:p>
      <w:pPr>
        <w:spacing w:after="0" w:line="175"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68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by virtue of the Second Merger and without any action by the Company, Parent, Merger Sub II or any other Person, the certificate of incorporation and the bylaws of the First Surviving Corporation shall be amended to be identical to the certificate of incorporation and bylaws of Merger Sub II (except that the name of the First Surviving Corporation shall not be changed), as in effect immediately prior to the Second Effective Time.</w:t>
      </w:r>
    </w:p>
    <w:p>
      <w:pPr>
        <w:spacing w:after="0" w:line="179"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7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serving in such positions immediately prior to the First Effective Time shall continue as the directors of the First Surviving Corporation, each to hold office in accordance with the certificate of incorporation and bylaws of the First Surviving Corporation until the Second Effective Time. The officers of the Company serving in such positions immediately prior to the First Effective Time shall continue as the officers of the First Surviving Corporation.</w:t>
      </w:r>
    </w:p>
    <w:p>
      <w:pPr>
        <w:spacing w:after="0" w:line="179"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68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Merger Sub II serving in such positions immediately prior to the Second Effective Time shall become, as of the Second Effective Time,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The officers of the First Surviving Corporation serving in such positions immediately prior to the Second Effective Time shall become, effective as of the Second Effective Time, the officers of the Surviving Corporation, each until their respective successors have been duly elected, designated or qualified, or until their earlier death, resignation or removal in accordance with the certificate of incorporation and bylaws of the Surviving Corporation.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6" w:right="439" w:bottom="1440" w:gutter="0" w:footer="0" w:header="0"/>
        </w:sectPr>
      </w:pPr>
    </w:p>
    <w:bookmarkStart w:id="14" w:name="page15"/>
    <w:bookmarkEnd w:id="14"/>
    <w:p>
      <w:pPr>
        <w:ind w:right="20" w:firstLine="1428"/>
        <w:spacing w:after="0" w:line="282" w:lineRule="auto"/>
        <w:tabs>
          <w:tab w:leader="none" w:pos="16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Solely for purposes of Sections 251 and 262 of the DGCL, this Agreement shall constitute separate agreements of merger with respect to the First Merger and the Second Merger.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and Effective Times of 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8" w:lineRule="auto"/>
        <w:tabs>
          <w:tab w:leader="none" w:pos="16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electronic exchange of executed documents at 9:00 a.m., New York City time, as soon as practicable (and, in any event, within five (5) Business Days) after satisfaction or, to the extent permitted hereunder, waiver of all of the applicable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428"/>
        <w:spacing w:after="0" w:line="253" w:lineRule="auto"/>
        <w:tabs>
          <w:tab w:leader="none" w:pos="17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(i) Parent, Merger Sub I and the Company shall cause a certificate of merger (the “</w:t>
      </w:r>
      <w:r>
        <w:rPr>
          <w:rFonts w:ascii="Times New Roman" w:cs="Times New Roman" w:eastAsia="Times New Roman" w:hAnsi="Times New Roman"/>
          <w:sz w:val="18"/>
          <w:szCs w:val="18"/>
          <w:u w:val="single" w:color="auto"/>
          <w:color w:val="auto"/>
        </w:rPr>
        <w:t>First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or recordings required under the DGCL and (ii) immediately after the filing of the First Certificate of Merger with the Secretary of State of the State of Delaware, Parent, Merger Sub II and the Company shall cause a certificate of merger (the “</w:t>
      </w:r>
      <w:r>
        <w:rPr>
          <w:rFonts w:ascii="Times New Roman" w:cs="Times New Roman" w:eastAsia="Times New Roman" w:hAnsi="Times New Roman"/>
          <w:sz w:val="18"/>
          <w:szCs w:val="18"/>
          <w:u w:val="single" w:color="auto"/>
          <w:color w:val="auto"/>
        </w:rPr>
        <w:t>Second Certificate of 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or recordings required under the DGCL. The First Merger shall become effective at the time the First Certificate of Merger has been duly filed with the Secretary of State of the State of Delaware, or at such other date and time as is agreed upon by the parties and specified in the First Certificate of Merger in accordance with the DGCL (such time as the First Merger becomes effective, the “</w:t>
      </w:r>
      <w:r>
        <w:rPr>
          <w:rFonts w:ascii="Times New Roman" w:cs="Times New Roman" w:eastAsia="Times New Roman" w:hAnsi="Times New Roman"/>
          <w:sz w:val="18"/>
          <w:szCs w:val="18"/>
          <w:u w:val="single" w:color="auto"/>
          <w:color w:val="auto"/>
        </w:rPr>
        <w:t>First Effective Time</w:t>
      </w:r>
      <w:r>
        <w:rPr>
          <w:rFonts w:ascii="Times New Roman" w:cs="Times New Roman" w:eastAsia="Times New Roman" w:hAnsi="Times New Roman"/>
          <w:sz w:val="18"/>
          <w:szCs w:val="18"/>
          <w:color w:val="auto"/>
        </w:rPr>
        <w:t>”). The Second Merger shall become effective at the time the Second Certificate of Merger has been duly filed with the Secretary of State of the State of Delaware, or at such other date and time as is agreed upon by the parties and specified in the Second Certificate of Merger in accordance with the DGCL, but in any event at least one minute after the First Effective Time (such time as the Second Merger becomes effective,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82" w:lineRule="auto"/>
        <w:tabs>
          <w:tab w:leader="none" w:pos="16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of any capital stock of the Company, Parent, or the Merger Subs:</w:t>
      </w:r>
    </w:p>
    <w:p>
      <w:pPr>
        <w:spacing w:after="0" w:line="53" w:lineRule="exact"/>
        <w:rPr>
          <w:rFonts w:ascii="Times New Roman" w:cs="Times New Roman" w:eastAsia="Times New Roman" w:hAnsi="Times New Roman"/>
          <w:sz w:val="18"/>
          <w:szCs w:val="18"/>
          <w:color w:val="auto"/>
        </w:rPr>
      </w:pPr>
    </w:p>
    <w:p>
      <w:pPr>
        <w:ind w:right="20" w:firstLine="1979"/>
        <w:spacing w:after="0" w:line="282" w:lineRule="auto"/>
        <w:tabs>
          <w:tab w:leader="none" w:pos="22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issued and outstanding immediately prior to the First Effective Time (other than Company Cancelled Shares and the TASE Shares) shall be automatically converted into the right to receive the Per Share Merger Consideration.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5" w:name="page16"/>
    <w:bookmarkEnd w:id="15"/>
    <w:p>
      <w:pPr>
        <w:jc w:val="both"/>
        <w:ind w:firstLine="1979"/>
        <w:spacing w:after="0" w:line="256" w:lineRule="auto"/>
        <w:tabs>
          <w:tab w:leader="none" w:pos="22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shares of Company Common Stock (other than any Company Cancelled Shares and the TASE Shares) shall cease to be outstanding and shall be automatically cancelled and shall cease to exist and, as of the First Effective Time, each holder of record of shares of Company Common Stock (other than Company Cancelled Shares and the TASE Shares) shall cease to have any rights with respect thereto, except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187" w:lineRule="exact"/>
        <w:rPr>
          <w:rFonts w:ascii="Times New Roman" w:cs="Times New Roman" w:eastAsia="Times New Roman" w:hAnsi="Times New Roman"/>
          <w:sz w:val="18"/>
          <w:szCs w:val="18"/>
          <w:color w:val="auto"/>
        </w:rPr>
      </w:pPr>
    </w:p>
    <w:p>
      <w:pPr>
        <w:jc w:val="both"/>
        <w:ind w:right="20" w:firstLine="1979"/>
        <w:spacing w:after="0" w:line="261" w:lineRule="auto"/>
        <w:tabs>
          <w:tab w:leader="none" w:pos="23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Company Common Stock (including TASE Shares) held by (x) the Company as treasury shares, (y) any Company Subsidiary or (z) Parent or any Subsidiary of Parent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in each case, immediately prior to the First Effective Time (collectively, the “</w:t>
      </w:r>
      <w:r>
        <w:rPr>
          <w:rFonts w:ascii="Times New Roman" w:cs="Times New Roman" w:eastAsia="Times New Roman" w:hAnsi="Times New Roman"/>
          <w:sz w:val="18"/>
          <w:szCs w:val="18"/>
          <w:u w:val="single" w:color="auto"/>
          <w:color w:val="auto"/>
        </w:rPr>
        <w:t>Company Cancelled Shares</w:t>
      </w:r>
      <w:r>
        <w:rPr>
          <w:rFonts w:ascii="Times New Roman" w:cs="Times New Roman" w:eastAsia="Times New Roman" w:hAnsi="Times New Roman"/>
          <w:sz w:val="18"/>
          <w:szCs w:val="18"/>
          <w:color w:val="auto"/>
        </w:rPr>
        <w:t>”), shall be automatically cancelled and shall cease to exist, and no consideration shall be delivered in exchange therefor.</w:t>
      </w:r>
    </w:p>
    <w:p>
      <w:pPr>
        <w:spacing w:after="0" w:line="179" w:lineRule="exact"/>
        <w:rPr>
          <w:rFonts w:ascii="Times New Roman" w:cs="Times New Roman" w:eastAsia="Times New Roman" w:hAnsi="Times New Roman"/>
          <w:sz w:val="18"/>
          <w:szCs w:val="18"/>
          <w:color w:val="auto"/>
        </w:rPr>
      </w:pPr>
    </w:p>
    <w:p>
      <w:pPr>
        <w:ind w:left="2340" w:hanging="361"/>
        <w:spacing w:after="0"/>
        <w:tabs>
          <w:tab w:leader="none" w:pos="2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TASE Shares issued and outstanding immediately prior to the First Effective Time shall remain issued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w:t>
      </w:r>
    </w:p>
    <w:p>
      <w:pPr>
        <w:spacing w:after="0" w:line="206" w:lineRule="exact"/>
        <w:rPr>
          <w:rFonts w:ascii="Times New Roman" w:cs="Times New Roman" w:eastAsia="Times New Roman" w:hAnsi="Times New Roman"/>
          <w:sz w:val="18"/>
          <w:szCs w:val="18"/>
          <w:color w:val="auto"/>
        </w:rPr>
      </w:pPr>
    </w:p>
    <w:p>
      <w:pPr>
        <w:jc w:val="both"/>
        <w:ind w:firstLine="1979"/>
        <w:spacing w:after="0" w:line="266" w:lineRule="auto"/>
        <w:tabs>
          <w:tab w:leader="none" w:pos="22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 issued and outstanding immediately prior to the First Effective Time shall cease to be outstanding and shall automatically be converted into a number of shares of common stock of the First Surviving Corporation equal to the number of shares of Company Common Stock cancelled pursuant to Section 2.1(a)(ii) (the “</w:t>
      </w:r>
      <w:r>
        <w:rPr>
          <w:rFonts w:ascii="Times New Roman" w:cs="Times New Roman" w:eastAsia="Times New Roman" w:hAnsi="Times New Roman"/>
          <w:sz w:val="18"/>
          <w:szCs w:val="18"/>
          <w:u w:val="single" w:color="auto"/>
          <w:color w:val="auto"/>
        </w:rPr>
        <w:t>Merger Sub I Merger Shares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6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by virtue of the Second Merger and without any action on the part of the Company, Parent, the Merger Subs or the holders of any capital stock of the Company, Parent, or the Merger Subs:</w:t>
      </w:r>
    </w:p>
    <w:p>
      <w:pPr>
        <w:spacing w:after="0" w:line="53"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2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 TASE Share issued and outstanding immediately prior to the Second Effective Time (other than any Dissenting Shares) shall be automatically converted into the right to receive the Per Share Cash Merger Consideration, and (B) each Merger Sub I Merger Share shall be cancelled for no consideration.</w:t>
      </w:r>
    </w:p>
    <w:p>
      <w:pPr>
        <w:spacing w:after="0" w:line="175" w:lineRule="exact"/>
        <w:rPr>
          <w:rFonts w:ascii="Times New Roman" w:cs="Times New Roman" w:eastAsia="Times New Roman" w:hAnsi="Times New Roman"/>
          <w:sz w:val="18"/>
          <w:szCs w:val="18"/>
          <w:color w:val="auto"/>
        </w:rPr>
      </w:pPr>
    </w:p>
    <w:p>
      <w:pPr>
        <w:jc w:val="both"/>
        <w:ind w:right="20" w:firstLine="1979"/>
        <w:spacing w:after="0" w:line="258" w:lineRule="auto"/>
        <w:tabs>
          <w:tab w:leader="none" w:pos="2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TASE Shares (other than any Dissenting Shares) and all Merger Sub I Merger Shares shall cease to be outstanding and shall be automatically cancelled and shall cease to exist and, as of the Second Effective Time, each holder of record of TASE Shares (other than any Dissenting Shares) or Merger Sub I Merger Shares shall cease to have any rights with respect thereto, except, in the case of the holders of TASE Shares (other than any Dissenting Shares), the right to receive the Per Share Cash Merger Consideration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1979"/>
        <w:spacing w:after="0" w:line="282" w:lineRule="auto"/>
        <w:tabs>
          <w:tab w:leader="none" w:pos="23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II issued and outstanding immediately prior to the Second Effective Time shall be automatically converted into one fully paid and nonassessable share of common stock of the Surviving Corporation.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6" w:name="page17"/>
    <w:bookmarkEnd w:id="16"/>
    <w:p>
      <w:pPr>
        <w:jc w:val="both"/>
        <w:ind w:firstLine="1428"/>
        <w:spacing w:after="0" w:line="254" w:lineRule="auto"/>
        <w:tabs>
          <w:tab w:leader="none" w:pos="16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prior to the First Effective Time or the Second Effective Time, Parent or the Company should split, subdivide, consolidate, combine or otherwise reclassify the Parent Common Stock or the Company Common Stock, as applicable, or pay a stock dividend or other stock distribution in the Parent Common Stock or the Company Common Stock, as applicable, or otherwise change the Parent Common Stock or the Company Common Stock, as applicable, into any other securities, or make any other such stock dividend or stock distribution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shall be appropriately adjusted to proportionately reflect such split, combination, stock dividend or other stock distribution or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shall be construed to permit Parent or the Company to take any action with respect to its securities that is prohibited by the terms of this Agreement.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 for Securities; Surrender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1" w:lineRule="auto"/>
        <w:tabs>
          <w:tab w:leader="none" w:pos="16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First Effective Time, Parent shall designate a reputable bank or trust company to act as the exchange agent (the identity and terms of designation and appointment of which shall be reasonably acceptable to the Company) for purposes of effecting the issuances and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First Effective Time, Parent shall deposit, or cause to be deposited, with the Exchange Agent (I)(x) an amount of uncertificated, book-entry shares representing the number of shares of Parent Common Stock sufficient to effect the issuances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(y) an amount of cash sufficient to deliver the payments contemplated by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to which holders of Company Common Stock shall be entitled at the First Effective Time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and (II) an amount of cash sufficient to deliver the payments contemplated by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to which holders of TASE Shares shall be entitled at the Second Effective Time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The Exchange Agent shall not be entitled to vote or exercise any rights of ownership with respect to the Parent Common Stock held by it from time to time hereunder. Following the First Effective Time, Parent shall pay, or shall cause to be paid to the Exchange Agent, from time to time, as needed, cash sufficient to pay dividends and other distributions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In the event such deposited shares or funds are insufficient to effect the issuances or make the payments contemplated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Parent shall promptly deposit, or cause to be deposited, with the Exchange Agent such additional shares or funds, as applicable, to ensure that the Exchange Agent has at all times sufficient shares or funds, as applicable, to effect such issuances and make such payments. Earnings from any investment by the Exchange Agent (to be made solely at Parent’s direction) of the cash deposited by Parent with the Exchange Agent pursuant to the second and fourth sentences of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shall be the sole and exclusive property of Parent. No part of such earnings shall accrue to the benefit of holders of Company Common Stock (other than by virtue of receipt of the issuances or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w:t>
      </w:r>
    </w:p>
    <w:p>
      <w:pPr>
        <w:spacing w:after="0" w:line="10" w:lineRule="exact"/>
        <w:rPr>
          <w:rFonts w:ascii="Times New Roman" w:cs="Times New Roman" w:eastAsia="Times New Roman" w:hAnsi="Times New Roman"/>
          <w:sz w:val="18"/>
          <w:szCs w:val="18"/>
          <w:color w:val="auto"/>
        </w:rPr>
      </w:pPr>
    </w:p>
    <w:p>
      <w:pPr>
        <w:jc w:val="both"/>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pursuant to the terms thereof) and no losses shall alter Parent’s obligation to cause the Exchange Agent to issue the shares or pay the cash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7" w:name="page18"/>
    <w:bookmarkEnd w:id="17"/>
    <w:p>
      <w:pPr>
        <w:ind w:left="1684" w:hanging="252"/>
        <w:spacing w:after="0"/>
        <w:tabs>
          <w:tab w:leader="none" w:pos="168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Procedures for Surrender; Treatment of Company Certificated Shares and Company Book-Entry Shares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2224" w:hanging="241"/>
        <w:spacing w:after="0"/>
        <w:tabs>
          <w:tab w:leader="none" w:pos="222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Certificated Shares</w:t>
      </w:r>
      <w:r>
        <w:rPr>
          <w:rFonts w:ascii="Times New Roman" w:cs="Times New Roman" w:eastAsia="Times New Roman" w:hAnsi="Times New Roman"/>
          <w:sz w:val="18"/>
          <w:szCs w:val="18"/>
          <w:color w:val="auto"/>
        </w:rPr>
        <w:t>. As soon as practicable after the First Effective Time (and in no event later than three</w:t>
      </w:r>
    </w:p>
    <w:p>
      <w:pPr>
        <w:spacing w:after="0" w:line="29"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First Effective Time), Parent shall cause the Exchange Agent to mail to each Person that was a holder of record of shares of Company Common Stock represented by a certificate (“</w:t>
      </w:r>
      <w:r>
        <w:rPr>
          <w:rFonts w:ascii="Times New Roman" w:cs="Times New Roman" w:eastAsia="Times New Roman" w:hAnsi="Times New Roman"/>
          <w:sz w:val="18"/>
          <w:szCs w:val="18"/>
          <w:u w:val="single" w:color="auto"/>
          <w:color w:val="auto"/>
        </w:rPr>
        <w:t>Company Certificated Shares</w:t>
      </w:r>
      <w:r>
        <w:rPr>
          <w:rFonts w:ascii="Times New Roman" w:cs="Times New Roman" w:eastAsia="Times New Roman" w:hAnsi="Times New Roman"/>
          <w:sz w:val="18"/>
          <w:szCs w:val="18"/>
          <w:color w:val="auto"/>
        </w:rPr>
        <w:t xml:space="preserve">”) immediately prior to the First Effective Time: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and (B) instructions for effecting the surrender of the Company Certificated Shares (or affidavits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in exchange for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Upon surrender of any Company Certificated Shares (or affidavit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to the Exchange Agent or to such other agent or agents as may be appointed by Parent, and upon delivery of a letter of transmittal, duly executed and in proper form, with respect to such Company Certificated Shares, the holder of such Company Certificated Shares shall be entitled to receive, and Parent shall cause the Exchange Agent to issue and pay, if applicable, and deliver as promptly as practicable after such surrender, (x) credit in the stock ledger and other appropriate books and records of Parent for the number of shares of Parent Common Stock into which the shares of Company Common Stock of such holder shall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(y)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any Company Certificated Shares so surrendered shall forthwith be cancelled. If payment of the Per Share Merger Consideration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and the Person requesting such payment shall have paid any transfer and other similar Taxes required by reason of the payment of the Per Share Merger Consideration to a Person other than the registered holder of the Company Certificated Shares so surrendered and shall have established to the satisfaction of the Surviving Corporation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First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205" w:lineRule="exact"/>
        <w:rPr>
          <w:rFonts w:ascii="Times New Roman" w:cs="Times New Roman" w:eastAsia="Times New Roman" w:hAnsi="Times New Roman"/>
          <w:sz w:val="18"/>
          <w:szCs w:val="18"/>
          <w:color w:val="auto"/>
        </w:rPr>
      </w:pPr>
    </w:p>
    <w:p>
      <w:pPr>
        <w:jc w:val="both"/>
        <w:ind w:left="4" w:right="20" w:firstLine="1979"/>
        <w:spacing w:after="0" w:line="261" w:lineRule="auto"/>
        <w:tabs>
          <w:tab w:leader="none" w:pos="225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Book-Entry Shares</w:t>
      </w:r>
      <w:r>
        <w:rPr>
          <w:rFonts w:ascii="Times New Roman" w:cs="Times New Roman" w:eastAsia="Times New Roman" w:hAnsi="Times New Roman"/>
          <w:sz w:val="18"/>
          <w:szCs w:val="18"/>
          <w:color w:val="auto"/>
        </w:rPr>
        <w:t>. Notwithstanding anything to the contrary contained in this Agreement, no holder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Company Common Stock held in book-entry form (“</w:t>
      </w:r>
      <w:r>
        <w:rPr>
          <w:rFonts w:ascii="Times New Roman" w:cs="Times New Roman" w:eastAsia="Times New Roman" w:hAnsi="Times New Roman"/>
          <w:sz w:val="18"/>
          <w:szCs w:val="18"/>
          <w:u w:val="single" w:color="auto"/>
          <w:color w:val="auto"/>
        </w:rPr>
        <w:t>Company Book-Entry Shares</w:t>
      </w:r>
      <w:r>
        <w:rPr>
          <w:rFonts w:ascii="Times New Roman" w:cs="Times New Roman" w:eastAsia="Times New Roman" w:hAnsi="Times New Roman"/>
          <w:sz w:val="18"/>
          <w:szCs w:val="18"/>
          <w:color w:val="auto"/>
        </w:rPr>
        <w:t>”) shall be required to deliver a certificate evidencing such Company Book-Entry Shares or, in the case of holders of Company Book-Entry Shares held through The Depository Trust Company, an executed letter of transmittal to the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8" w:name="page19"/>
    <w:bookmarkEnd w:id="18"/>
    <w:p>
      <w:pPr>
        <w:jc w:val="both"/>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Exchange Agent to receive the Per Share Merger Consideration or Per Share Cash Merger Consideration, as applicable,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or any dividends or other distributions (if any) or any cash payment (if any) that such holder is entitled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In lieu thereof, each holder of record of one or more Company Book-Entry Shares held through The Depository Trust Company whose Company Common Stock were converted into the right to receive</w:t>
      </w:r>
    </w:p>
    <w:p>
      <w:pPr>
        <w:spacing w:after="0" w:line="3" w:lineRule="exact"/>
        <w:rPr>
          <w:sz w:val="20"/>
          <w:szCs w:val="20"/>
          <w:color w:val="auto"/>
        </w:rPr>
      </w:pPr>
    </w:p>
    <w:p>
      <w:pPr>
        <w:jc w:val="both"/>
        <w:ind w:left="4" w:hanging="4"/>
        <w:spacing w:after="0" w:line="250" w:lineRule="auto"/>
        <w:tabs>
          <w:tab w:leader="none" w:pos="2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 Share Merger Consideration shall automatically, upon the First Effective Time, be entitled to receive, and Parent shall cause the Exchange Agent to issue and pay, if applicable, and deliver as promptly as practicable after the First Effective Time,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(B)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Book-Entry Shares shall forthwith be cancelled, or (II) the Per Share Cash Merger Consideration shall automatically, upon the Second Effective Time, be entitled to receive, and Parent shall cause the Exchange Agent to pay and deliver to the Depository Trust Company or its nominee as promptly as practicable after the Second Effective Time, the cash payment of the Per Share Cash Merger Consideration for such Company Book-Entry Shares that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and any Company Book-Entry Shares shall forthwith be cancelled. As soon as practicable after the First Effective Time (and in no event later than three (3) Business Days after the First Effective Time), Parent shall cause the Exchange Agent to mail to each Person that was, immediately prior to the First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w:t>
      </w:r>
    </w:p>
    <w:p>
      <w:pPr>
        <w:spacing w:after="0" w:line="4"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(2) the payment of the Per Share Cash Merger Consideration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Upon delivery of such letter of transmittal, duly executed and in proper form, with respect to such Company Book-Entry Shares, the holder of such Company Book-Entry Shares shall be entitled to receive, and Parent shall cause the Exchange Agent to issue and pay, if applicable, and deliver as promptly as practicable after such delivery,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(B) a cash payment for the Per Share Cash Merger Consideration for such Company Book-Entry Shares that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and (C)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Book-Entry Shares shall forthwith be cancelled. Payment of the Per Share Merger Consideration or the Per Share Cash Merger Consideration, as applicable,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(I) each Company Book-Entry Share (other than TASE Shares) shall be deemed at any time after the First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(II)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each Company Book-Entry Share that is a TASE Share shall be deemed at any time after the Second Effective Time to represent only the right to receive the Per Share Cash Merger Consideration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428"/>
        <w:spacing w:after="0" w:line="253" w:lineRule="auto"/>
        <w:tabs>
          <w:tab w:leader="none" w:pos="16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Shares</w:t>
      </w:r>
      <w:r>
        <w:rPr>
          <w:rFonts w:ascii="Times New Roman" w:cs="Times New Roman" w:eastAsia="Times New Roman" w:hAnsi="Times New Roman"/>
          <w:sz w:val="18"/>
          <w:szCs w:val="18"/>
          <w:color w:val="auto"/>
        </w:rPr>
        <w:t xml:space="preserve">. The shares of Parent Common Stock issued upon conversion of shares of Company Common Stock pursuant to and in accordance with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dividends or other distributions (if any) or any cash payment (if any)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payment of the Per Share Cash Merger Consideration in respect of shares of Company Common Stock that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shall be deemed to have been delivered or paid in full satisfaction of all rights pertaining to the shares of Company Common Stock. From and after (i) the First Effective Time, (x) all holders of Company Common Stock (other than holders of TASE Shares) shall cease to have any rights as stockholders of the Company other than the right to receive the Per Share Merger Consideration into which the shares of Company Common Stock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(y) the stock transfer books of the Company shall be closed and there shall be no further registration of transfers of shares of Company Common Stock thereafter on the records of the Company, and (ii) the Second Effective Time,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all holders of TASE Shares shall cease to have any rights as stockholders of the Company other than the right to receive the Per Share Cash Merger Consideration into which the shares of Company Common Stock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428"/>
        <w:spacing w:after="0" w:line="254" w:lineRule="auto"/>
        <w:tabs>
          <w:tab w:leader="none" w:pos="1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Post-Effective Time Surrender</w:t>
      </w:r>
      <w:r>
        <w:rPr>
          <w:rFonts w:ascii="Times New Roman" w:cs="Times New Roman" w:eastAsia="Times New Roman" w:hAnsi="Times New Roman"/>
          <w:sz w:val="18"/>
          <w:szCs w:val="18"/>
          <w:color w:val="auto"/>
        </w:rPr>
        <w:t xml:space="preserve">. If, (i) after the First Effective Time, any Company Certificated Shares (other than TASE Shares) are presented to Parent, the First Surviving Corporation or the Surviving Corporation for any reason, such Company Certificated Shares shall be cancelled and exchanged for the Per Share Merger Consideration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(ii) after the Second Effective Time,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any Company Certificated Shares that are TASE Shares are presented to Parent or the Surviving Corporation for any reason, such Company Certificated Shares shall be cancelled and exchanged for the Per Share Cash Merger Consideration that such holder is entitled to receive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in each case, subject to abandoned property, escheat or other similar Laws.</w:t>
      </w:r>
    </w:p>
    <w:p>
      <w:pPr>
        <w:spacing w:after="0" w:line="191" w:lineRule="exact"/>
        <w:rPr>
          <w:rFonts w:ascii="Times New Roman" w:cs="Times New Roman" w:eastAsia="Times New Roman" w:hAnsi="Times New Roman"/>
          <w:sz w:val="18"/>
          <w:szCs w:val="18"/>
          <w:color w:val="auto"/>
        </w:rPr>
      </w:pPr>
    </w:p>
    <w:p>
      <w:pPr>
        <w:jc w:val="both"/>
        <w:ind w:right="20" w:firstLine="1428"/>
        <w:spacing w:after="0" w:line="256" w:lineRule="auto"/>
        <w:tabs>
          <w:tab w:leader="none" w:pos="16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Fund; Abandoned Property; No Liability</w:t>
      </w:r>
      <w:r>
        <w:rPr>
          <w:rFonts w:ascii="Times New Roman" w:cs="Times New Roman" w:eastAsia="Times New Roman" w:hAnsi="Times New Roman"/>
          <w:sz w:val="18"/>
          <w:szCs w:val="18"/>
          <w:color w:val="auto"/>
        </w:rPr>
        <w:t xml:space="preserve">. Any portion of the shares or funds (including any interest received with respect thereto) made available to the Exchange Agent that remains unclaimed by the holders of Company Common Stock on the first anniversary of the Second Effective Time shall be returned to Parent upon demand, and any such holder of Company Common Stock who has not complied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prior to such time shall thereafter look only to Parent (subject to abandoned property, escheat or other similar Laws) for delivery of the Per Share Merger Consideration that such holder is entitled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any dividends or other distributions (if any) or any cash payment (if any) that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holder has the right to receive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Per Share Cash Merger Consideration that such holder is entitled to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Any shares or funds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will be liable to any holder of Company Common Stock for the Per Share Merger Consideration (or any dividends or other distributions or any cash payable in connection therewith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or the Per Share Cash Merger Consideration, as applicable, delivered to a public official pursuant to any applicable abandoned property, escheat or similar Law.</w:t>
      </w:r>
    </w:p>
    <w:p>
      <w:pPr>
        <w:spacing w:after="0" w:line="188" w:lineRule="exact"/>
        <w:rPr>
          <w:sz w:val="20"/>
          <w:szCs w:val="20"/>
          <w:color w:val="auto"/>
        </w:rPr>
      </w:pPr>
    </w:p>
    <w:p>
      <w:pPr>
        <w:jc w:val="both"/>
        <w:ind w:firstLine="1428"/>
        <w:spacing w:after="0" w:line="253" w:lineRule="auto"/>
        <w:tabs>
          <w:tab w:leader="none" w:pos="16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Company Certificated Shares shall have been lost, stolen or destroyed, the Exchange Agent shall issue in exchange for such lost, stolen or destroyed Company Certificated Shares, upon the making of an affidavit of that fact by the holder thereof, the Per Share Merger Consideration payable in respect thereof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Per Share Cash Merger Consideration payable in respect thereof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Parent may, in its reasonable discretion and as a condition precedent to the payment of such Per Share Merger Consideration (and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or the Per Share Cash Merger Consideration, as applicable, require the owner of such lost, stolen or destroyed Company Certificated Shares to deliver a bond in a reasonable sum as it may reasonably direct as indemnity against any claim that may be made against Parent, the First Surviving Corporation, the Surviving Corporation or the Exchange Agent with respect to the Company Certificated Shares alleged to have been lost, stolen or destroyed.</w:t>
      </w:r>
    </w:p>
    <w:p>
      <w:pPr>
        <w:spacing w:after="0" w:line="194"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declared or made with respect to shares of Parent Common Stock with a record date after the First Effective Time shall be paid to the holder of any shares of Company Common Stock converted into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until such holder shall comply with the provisions of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Subject to escheat, Tax or other applicable Law, following the surrender of any such shares of Company Common Stock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such holder shall be entitled to receive any such dividends or distributions, without interest, which theretofore had become payable with respect to the Parent Common Stock exchangeable for such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(after giving effect to any required Tax withholdings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1" w:name="page22"/>
    <w:bookmarkEnd w:id="21"/>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shares of Parent Common Stock shall be issued upon the conversion of shares of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such fractional share interests shall not entitle the owner thereof to vote or to any other rights of a stockholder of Parent. Notwithstanding any other provision of this Agreement, each holder of Company Common Stock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that would otherwise have been entitled to receive a fraction of a share of Parent Common Stock (after taking into account all shares of Company Common Stock delivered by such holder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shall receive, in lieu thereof, cash (without interest) in an amount equal to such fractional amount multiplied by the Parent Closing Stock Price. Company and Parent acknowledge that payment of any cash in lieu of fractional shares pursuant to and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was not separately bargained-for consideration, but merely represents a mechanical rounding off for purposes of avoiding the expense and inconvenience to Parent that would otherwise be caused by the issuance of fractional shares of Parent Common Stock.</w:t>
      </w:r>
    </w:p>
    <w:p>
      <w:pPr>
        <w:spacing w:after="0" w:line="188"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From and after the Second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4" w:hanging="252"/>
        <w:spacing w:after="0"/>
        <w:tabs>
          <w:tab w:leader="none" w:pos="16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1979"/>
        <w:spacing w:after="0" w:line="253" w:lineRule="auto"/>
        <w:tabs>
          <w:tab w:leader="none" w:pos="2209"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thereof, each In-the-Money Company Option that is outstanding and unexercised immediately prior to the First Effective Time and held by an individual who, as of immediately after the Second Effective Time, will constitute an “employee” of Parent within the meaning of Form S-8 (a “</w:t>
      </w:r>
      <w:r>
        <w:rPr>
          <w:rFonts w:ascii="Times New Roman" w:cs="Times New Roman" w:eastAsia="Times New Roman" w:hAnsi="Times New Roman"/>
          <w:sz w:val="18"/>
          <w:szCs w:val="18"/>
          <w:u w:val="single" w:color="auto"/>
          <w:color w:val="auto"/>
        </w:rPr>
        <w:t>Continuing Service Provider</w:t>
      </w:r>
      <w:r>
        <w:rPr>
          <w:rFonts w:ascii="Times New Roman" w:cs="Times New Roman" w:eastAsia="Times New Roman" w:hAnsi="Times New Roman"/>
          <w:sz w:val="18"/>
          <w:szCs w:val="18"/>
          <w:color w:val="auto"/>
        </w:rPr>
        <w:t xml:space="preserve">”), whether or not then vested or exercisable, shall be assumed by Parent and converted into an option to acquire shares of Parent Common Stock in accordance with this </w:t>
      </w:r>
      <w:r>
        <w:rPr>
          <w:rFonts w:ascii="Times New Roman" w:cs="Times New Roman" w:eastAsia="Times New Roman" w:hAnsi="Times New Roman"/>
          <w:sz w:val="18"/>
          <w:szCs w:val="18"/>
          <w:u w:val="single" w:color="auto"/>
          <w:color w:val="auto"/>
        </w:rPr>
        <w:t>Section 2.6(a)(i)</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Assumed Option</w:t>
      </w:r>
      <w:r>
        <w:rPr>
          <w:rFonts w:ascii="Times New Roman" w:cs="Times New Roman" w:eastAsia="Times New Roman" w:hAnsi="Times New Roman"/>
          <w:sz w:val="18"/>
          <w:szCs w:val="18"/>
          <w:color w:val="auto"/>
        </w:rPr>
        <w:t>”). Each such Assumed Option shall continue to have, and shall be subject to, the same terms and conditions as applied to the corresponding In-the-Money Company Option immediately prior to the First Effective Time (including vesting and exercisability terms) except that, as of the First Effective Time, each such Assumed Option shall constitute an option to acquire that number of whole shares of Parent Common Stock (rounded down to the nearest whole share) equal to the product of</w:t>
      </w:r>
    </w:p>
    <w:p>
      <w:pPr>
        <w:jc w:val="both"/>
        <w:ind w:left="4" w:right="20" w:hanging="4"/>
        <w:spacing w:after="0" w:line="253"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Company Common Stock subject to the corresponding In-the-Money Company Option immediately prior to the First Effective Time multiplied by (ii) the Per Share Merger Consideration, at an exercise price per share (rounded up to the nearest whole cent) equal to the quotient obtained by dividing (A) the exercise price per share of the corresponding In-the-Money Company Option by (B) the Per Share Merger Consideration.</w:t>
      </w:r>
    </w:p>
    <w:p>
      <w:pPr>
        <w:spacing w:after="0" w:line="188" w:lineRule="exact"/>
        <w:rPr>
          <w:rFonts w:ascii="Times New Roman" w:cs="Times New Roman" w:eastAsia="Times New Roman" w:hAnsi="Times New Roman"/>
          <w:sz w:val="18"/>
          <w:szCs w:val="18"/>
          <w:color w:val="auto"/>
        </w:rPr>
      </w:pPr>
    </w:p>
    <w:p>
      <w:pPr>
        <w:jc w:val="both"/>
        <w:ind w:left="4" w:right="20" w:firstLine="1979"/>
        <w:spacing w:after="0" w:line="258" w:lineRule="auto"/>
        <w:tabs>
          <w:tab w:leader="none" w:pos="225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thereof, each In-the-Money Company Option that is outstanding and unexercised immediately prior to the First Effective Time that is not held by a Continuing Service Provider shall be cancelled and converted into the right to receive the Per Share Merger Consideration in respect of each Net Share covered by such In-the-Money Company Option, less applicable Tax withholdings (provided, that such withholdings shall be satisfied by way of net settlement).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22" w:name="page23"/>
    <w:bookmarkEnd w:id="22"/>
    <w:p>
      <w:pPr>
        <w:jc w:val="both"/>
        <w:ind w:right="20" w:firstLine="1979"/>
        <w:spacing w:after="0" w:line="266" w:lineRule="auto"/>
        <w:tabs>
          <w:tab w:leader="none" w:pos="23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First Effective Time, by virtue of the First Merger and without any action on the part of the Company, Parent, the Merger Subs or the holders thereof, each Out-of-the-Money Company Option that is outstanding and unexercised immediately prior to the First Effective Time shall be cancelled without any payment in respect thereof.</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79"/>
        <w:spacing w:after="0" w:line="256" w:lineRule="auto"/>
        <w:tabs>
          <w:tab w:leader="none" w:pos="220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holders thereof, (A) each Company RSU Award that is outstanding immediately prior to the First Effective Time and held by a non-employee member of the Company Board, and (B) each Company RSU Award that is outstanding immediately prior to the First Effective Time and vested but not yet settled shall, in each case, be cancelled and converted into the right to receive the Per Share Merger Consideration in respect of each share of Company Common Stock subject to such Company RSU Award as of immediately prior to the First Effective Time, less applicable Tax withholdings (provided, that such withholdings shall be satisfied by way of net settlement).</w:t>
      </w:r>
    </w:p>
    <w:p>
      <w:pPr>
        <w:spacing w:after="0" w:line="187" w:lineRule="exact"/>
        <w:rPr>
          <w:sz w:val="20"/>
          <w:szCs w:val="20"/>
          <w:color w:val="auto"/>
        </w:rPr>
      </w:pPr>
    </w:p>
    <w:p>
      <w:pPr>
        <w:jc w:val="both"/>
        <w:ind w:firstLine="1979"/>
        <w:spacing w:after="0" w:line="254" w:lineRule="auto"/>
        <w:tabs>
          <w:tab w:leader="none" w:pos="225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First Effective Time, by virtue of the First Merger and without any action on the part of the Company, Parent, the Merger Subs or holders thereof, each Company RSU Award that is outstanding immediately prior to the First Effective Time (other than a Company RSU Award covered in </w:t>
      </w:r>
      <w:r>
        <w:rPr>
          <w:rFonts w:ascii="Times New Roman" w:cs="Times New Roman" w:eastAsia="Times New Roman" w:hAnsi="Times New Roman"/>
          <w:sz w:val="18"/>
          <w:szCs w:val="18"/>
          <w:u w:val="single" w:color="auto"/>
          <w:color w:val="auto"/>
        </w:rPr>
        <w:t>Section 2.6(b)(i)</w:t>
      </w:r>
      <w:r>
        <w:rPr>
          <w:rFonts w:ascii="Times New Roman" w:cs="Times New Roman" w:eastAsia="Times New Roman" w:hAnsi="Times New Roman"/>
          <w:sz w:val="18"/>
          <w:szCs w:val="18"/>
          <w:color w:val="auto"/>
        </w:rPr>
        <w:t>) shall be assumed by Parent and converted into a restricted stock unit award covering shares of Parent Common Stock (each, an “</w:t>
      </w:r>
      <w:r>
        <w:rPr>
          <w:rFonts w:ascii="Times New Roman" w:cs="Times New Roman" w:eastAsia="Times New Roman" w:hAnsi="Times New Roman"/>
          <w:sz w:val="18"/>
          <w:szCs w:val="18"/>
          <w:u w:val="single" w:color="auto"/>
          <w:color w:val="auto"/>
        </w:rPr>
        <w:t>Assumed RSU Award</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2.6(b)(ii)</w:t>
      </w:r>
      <w:r>
        <w:rPr>
          <w:rFonts w:ascii="Times New Roman" w:cs="Times New Roman" w:eastAsia="Times New Roman" w:hAnsi="Times New Roman"/>
          <w:sz w:val="18"/>
          <w:szCs w:val="18"/>
          <w:color w:val="auto"/>
        </w:rPr>
        <w:t>. Each such Assumed RSU Award shall continue to have, and shall be subject to, the same terms and conditions as applied to the corresponding Company RSU Award immediately prior to the First Effective Time (including service-vesting and settlement terms, but excluding any performance-based vesting conditions) except that, as of the First Effective Time, each such Assumed RSU Award shall cover that number of whole shares of Parent Common Stock (rounded down to the nearest whole share) equal to the product of (i) the number of shares of Company Common Stock subject to the corresponding Company RSU Award immediately prior to the First Effective Time multiplied by (ii) the Per Share Merger Consideration.</w:t>
      </w:r>
    </w:p>
    <w:p>
      <w:pPr>
        <w:spacing w:after="0" w:line="188"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Non-US Awards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if Parent determines that, for holders of Company Equity Awards employed outside of the United States, the treatment of Company Equity Awards prescribed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would reasonably be expected to cause an administrative burden to Parent, Parent may require that such awards be converted into cash-based awards that otherwise have the same terms and conditions as the corresponding Company Equity Awards held by such individuals or that such awards be cashed out at the Closing based on the value of the Per Share Merger Consideration.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3" w:name="page24"/>
    <w:bookmarkEnd w:id="23"/>
    <w:p>
      <w:pPr>
        <w:jc w:val="both"/>
        <w:ind w:right="20" w:firstLine="1428"/>
        <w:spacing w:after="0" w:line="254" w:lineRule="auto"/>
        <w:tabs>
          <w:tab w:leader="none" w:pos="1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ESPP</w:t>
      </w:r>
      <w:r>
        <w:rPr>
          <w:rFonts w:ascii="Times New Roman" w:cs="Times New Roman" w:eastAsia="Times New Roman" w:hAnsi="Times New Roman"/>
          <w:sz w:val="18"/>
          <w:szCs w:val="18"/>
          <w:color w:val="auto"/>
        </w:rPr>
        <w:t>. As soon as practicable following the date of this Agreement, the Company shall take all actions with respect to the Company ESPP that are necessary to provide that: (i) with respect to any offering periods in effect as of the date of the Original Agreement (the “</w:t>
      </w:r>
      <w:r>
        <w:rPr>
          <w:rFonts w:ascii="Times New Roman" w:cs="Times New Roman" w:eastAsia="Times New Roman" w:hAnsi="Times New Roman"/>
          <w:sz w:val="18"/>
          <w:szCs w:val="18"/>
          <w:u w:val="single" w:color="auto"/>
          <w:color w:val="auto"/>
        </w:rPr>
        <w:t>Current ESPP Offering Periods</w:t>
      </w:r>
      <w:r>
        <w:rPr>
          <w:rFonts w:ascii="Times New Roman" w:cs="Times New Roman" w:eastAsia="Times New Roman" w:hAnsi="Times New Roman"/>
          <w:sz w:val="18"/>
          <w:szCs w:val="18"/>
          <w:color w:val="auto"/>
        </w:rPr>
        <w:t>”), no employee who is not a participant in a Current ESPP Offering Period as of the date of the Original Agreement may become a participant in the Current ESPP Offering Period, and no participant may increase the percentage amount of his or her payroll deduction election from that in effect on the date of the Original Agreement for such Current ESPP Offering Periods; (ii) subject to the consummation of the First Merger, the Company ESPP shall terminate effective immediately prior to the First Effective Time; (iii) if the Current ESPP Offering Periods terminate prior to the First Effective Time, then the Company ESPP shall be suspended and no new offering period shall be commenced under the Company ESPP prior to the termination of this Agreement; and (iv) if any Current ESPP Offering Period is still in effect at the First Effective Time, then the last day of such Current ESPP Offering Period shall be accelerated to a date that is no later than three (3) Business Days prior to the Closing Date.</w:t>
      </w:r>
    </w:p>
    <w:p>
      <w:pPr>
        <w:spacing w:after="0" w:line="18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79"/>
        <w:spacing w:after="0" w:line="282" w:lineRule="auto"/>
        <w:tabs>
          <w:tab w:leader="none" w:pos="22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First Effective Time, the Company shall pass such resolutions and take such other actions as are necessary so as to cause the treatment of the Company Equity Awards and the Company ESPP as contemplated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20" w:firstLine="1979"/>
        <w:spacing w:after="0" w:line="261" w:lineRule="auto"/>
        <w:tabs>
          <w:tab w:leader="none" w:pos="22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Parent shall file, or have on file with the SEC, a registration statement on Form S-8 (or any successor form) relating to the shares of Parent Common Stock issuable with respect to the Assumed Options and Assumed RSU Awards, and Parent shall use its best efforts to maintain the effectiveness of such registration statement for so long as Assumed Options or Assumed RSU Awards remain outstanding.</w:t>
      </w:r>
    </w:p>
    <w:p>
      <w:pPr>
        <w:spacing w:after="0" w:line="18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 At the First Effective Time, by virtue of the First Merger and without any action on the part of the Company, Parent or the Merger Subs, or the holders thereof, each Company Warrant outstanding and unexercised immediately prior to the First Effective Time shall be cancelled without any payment in respect thereof.</w:t>
      </w:r>
    </w:p>
    <w:p>
      <w:pPr>
        <w:spacing w:after="0" w:line="176"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No earlier than twenty (20) Business Days nor later than fifteen (15) Business Days prior to the Closing Date, the Company shall deliver to Parent a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certified by the Chief Financial Officer of the Company, setting forth (a) a good faith estimated unaudited balance sheet of the Company and (b) the Company’s good faith estimate of the Company Cash Balance, in each case, as of 12:01 a.m. Pacific Time on the Closing Date. The Company shall deliver supporting calculations and documentation of such calculations (including with respect to any deductions contemplated by the definition of Company Cash Balance and reflected in such calculations), in detail reasonably acceptable to Parent, concurrently with the delivery of such Estimated Closing Statement. The Company shall consult in good faith with Parent and any Parent Representatives with respect to the preparation of, and with respect to any updates reasonably requested by the Parent or the Parent Representatives to, the Estimated Closing Statement until the date that is five (5) Business Days prior to the Closing Date. Subject to such good faith consultation by the Company and any updates to the Estimated Closing Statement resulting therefrom, the Company Cash Balance set forth in the Estimated Closing Statement as of such fifth (5th) Business Day prior to the Closing Date shall be deemed the final Company Cash Balance for purposes of calculating the Aggregate Consideration Amount.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24" w:name="page25"/>
    <w:bookmarkEnd w:id="24"/>
    <w:p>
      <w:pPr>
        <w:jc w:val="both"/>
        <w:ind w:left="4"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Parent, Merger Sub I, Merger Sub II, the Company, the First Surviving Corporation, the Surviving Corporation, the Exchange Agent, the Section 102 Trustee and any TASE member shall be entitled to deduct and withhold from any amounts otherwise payable pursuant to this Agreement, such amounts, if any, as are required to be deducted and withheld with respect to the making of such payment under the Code or any provision of applicable Law. To the extent that any withholding obligation cannot be satisfied by the retention of cash amounts otherwise payable hereunder, each of Parent, Merger Sub I, Merger Sub II, the Company, the First Surviving Corporation, the Surviving Corporation, the Exchange Agent, the Section 102 Trustee and any TASE member may, in their sole discretion and without requiring the prior consent of the applicable recipient (except where required by applicable Law), sell or instruct to sell, on behalf of such recipient, such portion of the shares of Parent Common Stock otherwise deliverable to such recipient as is necessary to generate proceeds sufficient to satisfy the applicable withholding obligation. Neither Parent nor Merger Sub I, Merger Sub II, the Company, the First Surviving Corporation, the Surviving Corporation, the Exchange Agent, the Section 102 Trustee and any TASE member shall have any liability to the recipient for the market price obtained in connection with any such sale or for any market fluctuations or delays in effecting such sale, and the net cash proceeds from any such sale (after deducting the applicable Tax withholding amounts and any brokerage fees, commissions, or other transaction costs) shall be remitted to the recipient as soon as reasonably practicable. The parties shall reasonably cooperate with each other in good faith to minimize any such deduction or withholding, including, to the extent feasible and practicable in the circumstances, by seeking appropriate tax rulings. To the extent that amounts are so deducted and withheld, such deducted and withheld amounts</w:t>
      </w:r>
    </w:p>
    <w:p>
      <w:pPr>
        <w:spacing w:after="0" w:line="12" w:lineRule="exact"/>
        <w:rPr>
          <w:sz w:val="20"/>
          <w:szCs w:val="20"/>
          <w:color w:val="auto"/>
        </w:rPr>
      </w:pPr>
    </w:p>
    <w:p>
      <w:pPr>
        <w:jc w:val="both"/>
        <w:ind w:left="4" w:right="20" w:hanging="4"/>
        <w:spacing w:after="0" w:line="250"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remitted by Parent, Merger Sub I, Merger Sub II, the Company, the First Surviving Corporation, the Surviving Corporation, the Exchange Agent, the Section 102 Trustee or any TASE member, as the case may be, to the applicable Governmental Entity as required by applicable Law and</w:t>
      </w: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treated for all purposes of this Agreement as having been paid to the Person in respect of which such deduction and withholding was made.</w:t>
      </w:r>
    </w:p>
    <w:p>
      <w:pPr>
        <w:spacing w:after="0" w:line="207"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Each of Parent, SoundHound, Inc., Intermediate Sub, Merger Sub I, Merger Sub II and the Company intends that the exchange of shares of Company Common Stock for the Per Share Merger Consideration and the Per Share Cash Merger Consideration, as applicable, pursuant to the Mergers be treated as a transaction described in Section 1001 of the Code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None of Parent, SoundHound, Inc., Intermediate Sub, Merger Sub I, Merger Sub II or the Company or any of their affiliates shall take any position for U.S. federal income tax purposes (and applicable state, local and non-U.S. Tax purposes) on any Tax Return, in any Tax contest or audit or in any communication (whether written or unwritten) with any Governmental Entity that is inconsistent with the Intended Tax Treatment unless required by a “determination” within the meaning of Section 1313 of the Code (or any similar provision of state, local or non-U.S. Tax Law).</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70" w:right="439" w:bottom="1440" w:gutter="0" w:footer="0" w:header="0"/>
        </w:sectPr>
      </w:pPr>
    </w:p>
    <w:bookmarkStart w:id="25" w:name="page26"/>
    <w:bookmarkEnd w:id="2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2.11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28"/>
        <w:spacing w:after="0" w:line="253" w:lineRule="auto"/>
        <w:tabs>
          <w:tab w:leader="none" w:pos="17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TASE Shares issued and outstanding immediately prior to the Second Effective Time and held by holder or beneficial owner of TASE Shares who did not vote in favor of the adoption of this Agreement (or consent thereto in writing) and are entitled to demand, and have properly demanded, appraisal of such TASE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pursuant to, and who have complied in all respects with, Section 262 of the DGCL (the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xml:space="preserve">”) shall not be converted into the right to receive the Per Share Cash Merger Consideration payable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but instead at the Second Effective Time shall be converted into the right to receive payment of the fair value of such Dissenting Shares in accordance with the Appraisal Rights (it being understood and acknowledged that at the Second Effective Time, such Dissenting Shares shall no longer be outstanding, shall automatically be cancelled and shall cease to exist, and such holder or beneficial owner shall cease to have any rights with respect thereto other than the right to receive the appraised value of such Dissenting Shares to the extent afforded by the Appraisal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such holder or beneficial owner shall fail to perfect or otherwise shall waive, withdraw or lose the right to payment of the fair value of such Dissenting Shares under the Appraisal Rights, then the right of such holder or beneficial owner to be paid the fair value of such person’s Dissenting Shares shall cease and such Dissenting Shares shall automatically be converted into and shall represent the right to receive the Per Share Cash Merger Consideration.</w:t>
      </w:r>
    </w:p>
    <w:p>
      <w:pPr>
        <w:spacing w:after="0" w:line="189"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prompt notice to Parent of any demands received prior to the Second Effective Time by the Company for appraisal of any shares of Company Common Stock, of any withdrawals of such demands and of any other instruments served pursuant to the DGCL and received by the Company relating to Appraisal Rights, and Parent shall be entitled to participate in and direct all negotiations and proceedings with respect to such demands. Prior to the Second Effective Time, the Company shall not, without the prior written consent of Parent, make any payment with respect to, or settle or compromise or offer to settle or compromise, any such demand, or agree to do any of the foregoing.</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demand made by a holder of TASE Shares pursuant to and in accordance with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Company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the TASECH any notice or instruction reasonably required by TASECH or the applicable TASE member in order to prevent such payment.</w:t>
      </w:r>
    </w:p>
    <w:p>
      <w:pPr>
        <w:spacing w:after="0" w:line="180"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Prohibition on Transfer</w:t>
      </w:r>
      <w:r>
        <w:rPr>
          <w:rFonts w:ascii="Times New Roman" w:cs="Times New Roman" w:eastAsia="Times New Roman" w:hAnsi="Times New Roman"/>
          <w:sz w:val="18"/>
          <w:szCs w:val="18"/>
          <w:color w:val="auto"/>
        </w:rPr>
        <w:t>. To the fullest extent permitted by applicable Law, from the date of this Agreement until the earlier of the Second Effective Time and the termination of this Agreement in accordance with its terms, no holder or beneficial owner of shares of Company Common Stock shall be permitted to transfer any shares of Company Common Stock (other than TASE Shares) owned by such person to the TASECH such that such shares of Company Common Stock that were not previously TASE Shares would, upon the completion of such transfer, constitute TASE Shares. The Company shall, and shall cause each Company Representative to, use its reasonable best efforts to take all appropriate action to effect the foregoing restriction.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6" w:name="page27"/>
    <w:bookmarkEnd w:id="2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Except (a) as set forth in the disclosure schedule delivered by the Company to Parent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concurrent with the execution of the Original Agreement (with specific reference to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and (b) as otherwise disclosed or identified in the Company SEC Documents filed or furnished by the Company with the SEC on or after January 1, 2024 and at least two (2) Business Days prior to the date of the Original Agreement (other than any forward-looking disclosures contained in the “Forward Looking Statements” and “Risk Factors” sections of the Company SEC Documents and any other disclosures included therein to the extent they are primarily predictive, cautionary or forward-looking in nature, but including any historical or factual matters disclosed in such sections), the Company hereby represents and warrants to Parent as of the date of the Original Agreement, other than for purposes of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3.26</w:t>
      </w:r>
      <w:r>
        <w:rPr>
          <w:rFonts w:ascii="Times New Roman" w:cs="Times New Roman" w:eastAsia="Times New Roman" w:hAnsi="Times New Roman"/>
          <w:sz w:val="18"/>
          <w:szCs w:val="18"/>
          <w:color w:val="auto"/>
        </w:rPr>
        <w:t xml:space="preserve"> which the Company hereby represents and warrants to Parent as of the date hereof, as follows:</w:t>
      </w:r>
    </w:p>
    <w:p>
      <w:pPr>
        <w:spacing w:after="0" w:line="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428"/>
        <w:spacing w:after="0" w:line="255" w:lineRule="auto"/>
        <w:tabs>
          <w:tab w:leader="none" w:pos="16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is a corporation or other legal entity duly organized, validly existing and in good standing (with respect to jurisdictions which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The Company and each Company Subsidiary is duly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70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or caused to be made available to Parent true and complete copies of (i) any amendments to the Fourth Amended and Restated Certificate of Incorporation of the Company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not filed prior to the date hereof with the SEC,</w:t>
      </w:r>
    </w:p>
    <w:p>
      <w:pPr>
        <w:ind w:left="4" w:right="20" w:hanging="4"/>
        <w:spacing w:after="0" w:line="260" w:lineRule="auto"/>
        <w:tabs>
          <w:tab w:leader="none" w:pos="2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to the Fourth Amended and Restated By-Laws of the Company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not filed prior to the date hereof with the SEC and (iii) the certificates of incorporation and bylaws, or equivalent organizational or governing documents, of each Company Subsidiary.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66" w:right="439" w:bottom="1440" w:gutter="0" w:footer="0" w:header="0"/>
        </w:sectPr>
      </w:pPr>
    </w:p>
    <w:bookmarkStart w:id="27" w:name="page28"/>
    <w:bookmarkEnd w:id="27"/>
    <w:p>
      <w:pPr>
        <w:jc w:val="both"/>
        <w:ind w:firstLine="1428"/>
        <w:spacing w:after="0" w:line="261" w:lineRule="auto"/>
        <w:tabs>
          <w:tab w:leader="none" w:pos="16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3.1(c)</w:t>
      </w:r>
      <w:r>
        <w:rPr>
          <w:rFonts w:ascii="Times New Roman" w:cs="Times New Roman" w:eastAsia="Times New Roman" w:hAnsi="Times New Roman"/>
          <w:sz w:val="18"/>
          <w:szCs w:val="18"/>
          <w:color w:val="auto"/>
        </w:rPr>
        <w:t xml:space="preserve"> of the Company Disclosure Schedule sets forth a true and complete list of the Company Subsidiaries, together with the jurisdiction of organization or incorporation, as the case may be, of each Company Subsidiary. The Company owns, beneficially and of record, directly or indirectly, all Equity Interests of the Company Subsidiaries free and clear of any Liens other than Permitted Liens; except where the failure to own such interest has not had and would not reasonably be expected to have, individually or in the aggregate, a Company Material Adverse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28"/>
        <w:spacing w:after="0" w:line="254" w:lineRule="auto"/>
        <w:tabs>
          <w:tab w:leader="none" w:pos="16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20,000,000 shares of Company Common Stock, of which, as of the close of business on April 17, 2026 (the “</w:t>
      </w:r>
      <w:r>
        <w:rPr>
          <w:rFonts w:ascii="Times New Roman" w:cs="Times New Roman" w:eastAsia="Times New Roman" w:hAnsi="Times New Roman"/>
          <w:sz w:val="18"/>
          <w:szCs w:val="18"/>
          <w:u w:val="single" w:color="auto"/>
          <w:color w:val="auto"/>
        </w:rPr>
        <w:t>Company Capitalization Date</w:t>
      </w:r>
      <w:r>
        <w:rPr>
          <w:rFonts w:ascii="Times New Roman" w:cs="Times New Roman" w:eastAsia="Times New Roman" w:hAnsi="Times New Roman"/>
          <w:sz w:val="18"/>
          <w:szCs w:val="18"/>
          <w:color w:val="auto"/>
        </w:rPr>
        <w:t>”), there were 12,135,767 shares of Company Common Stock issued and outstanding and (ii) 5,000,000 shares of Preferred Stock, par value $0.001 per share, of the Company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of which 200,000 shares of Company Preferred Stock were designated as Series A Junior Participating Preferred Stock and reserved for issuance pursuant to the Tax Benefits Preservation Plan. As of the Company Capitalization Date, no shares of Company Preferred Stock are issued and outstanding.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w:t>
      </w:r>
    </w:p>
    <w:p>
      <w:pPr>
        <w:spacing w:after="0" w:line="191" w:lineRule="exact"/>
        <w:rPr>
          <w:rFonts w:ascii="Times New Roman" w:cs="Times New Roman" w:eastAsia="Times New Roman" w:hAnsi="Times New Roman"/>
          <w:sz w:val="18"/>
          <w:szCs w:val="18"/>
          <w:color w:val="auto"/>
        </w:rPr>
      </w:pPr>
    </w:p>
    <w:p>
      <w:pPr>
        <w:jc w:val="both"/>
        <w:ind w:firstLine="1428"/>
        <w:spacing w:after="0" w:line="252" w:lineRule="auto"/>
        <w:tabs>
          <w:tab w:leader="none" w:pos="17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close of business on the Company Capitalization Date, the Company has no shares of Company Stock subject to or reserved for issuance, except for (i) 175,459 shares of Company Common Stock subject to outstanding Company Options (assuming that any applicable performance-based vesting conditions have been achieved at “target” levels), (ii) 672,610 shares of Company Common Stock subject to outstanding Company RSU Awards that vest based solely on continued service, (iii) 0 shares of Company Common Stock subject to outstanding Company RSU Awards with performance-based vesting conditions (assuming that the applicable performance goals have been achieved at “target” levels), (iv) 121,202 shares of Company Common Stock reserved for future issuance under the Company Equity Plans for awards not yet granted, (v) 92,972 shares of Company Common Stock reserved for issuance under the Company ESPP, (vi) 13,268 shares of Company Common Stock issuable upon the exercise of the 2026 Notes and (vii) 1,031,021 shares of Company Common Stock issuable upon the exercise of the Company Warrants. All shares of Company Common Stock subject to issuance under the Company Equity Plans and Company ESPP upon issuance prior to the First Effective Time on the terms and conditions specified in the instruments pursuant to which they are issuable, shall be duly authorized, validly issued, fully paid, non-assessable and free of preemptive rights.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Schedule sets forth the following information with respect to each outstanding Company Equity Award as of the close of business on the Company Capitalization Date: (1) the name (or employee identification number) of the holder thereof; (2) the number of shares of Company Common Stock issuable thereunder (with Company Equity Awards that are subject to performance-based vesting conditions disclosed assuming that applicable performance goals are achieved at each of “target” levels and “maximum” levels); (3) the grant date; (4) the expiration date (if any); (5) the exercise price (if any); (6) the vesting schedule under the terms of the applicable award agreement (including any vesting acceleration provisions); and (7) with respect to a Company Option, whether such Company Option is intended to constitute an “incentive stock option” within the meaning of Section 422 of the Code or is intended to be Tax-qualified under foreign law.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8" w:name="page29"/>
    <w:bookmarkEnd w:id="28"/>
    <w:p>
      <w:pPr>
        <w:jc w:val="both"/>
        <w:ind w:firstLine="1428"/>
        <w:spacing w:after="0" w:line="254" w:lineRule="auto"/>
        <w:tabs>
          <w:tab w:leader="none" w:pos="16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for Equity Interests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the Company Warrants, and the Series A Junior Participating Preferred Stock purchase rights of the Company issued pursuant to the Tax Benefits Preservation Plan and associated with corresponding shares of Company Common Stock (the “</w:t>
      </w:r>
      <w:r>
        <w:rPr>
          <w:rFonts w:ascii="Times New Roman" w:cs="Times New Roman" w:eastAsia="Times New Roman" w:hAnsi="Times New Roman"/>
          <w:sz w:val="18"/>
          <w:szCs w:val="18"/>
          <w:u w:val="single" w:color="auto"/>
          <w:color w:val="auto"/>
        </w:rPr>
        <w:t>Company Rights</w:t>
      </w:r>
      <w:r>
        <w:rPr>
          <w:rFonts w:ascii="Times New Roman" w:cs="Times New Roman" w:eastAsia="Times New Roman" w:hAnsi="Times New Roman"/>
          <w:sz w:val="18"/>
          <w:szCs w:val="18"/>
          <w:color w:val="auto"/>
        </w:rPr>
        <w:t>”), there are no outstanding Equity Interests or other options, phantom equity, warrants or other rights, relating to or based on the value of any Equity Interests of the Company or any Company Subsidiary or obligating the Company or any Company Subsidiary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spacing w:after="0" w:line="191" w:lineRule="exact"/>
        <w:rPr>
          <w:rFonts w:ascii="Times New Roman" w:cs="Times New Roman" w:eastAsia="Times New Roman" w:hAnsi="Times New Roman"/>
          <w:sz w:val="18"/>
          <w:szCs w:val="18"/>
          <w:color w:val="auto"/>
        </w:rPr>
      </w:pPr>
    </w:p>
    <w:p>
      <w:pPr>
        <w:jc w:val="both"/>
        <w:ind w:firstLine="1428"/>
        <w:spacing w:after="0" w:line="261" w:lineRule="auto"/>
        <w:tabs>
          <w:tab w:leader="none" w:pos="17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Company Equity Awards, there are no outstanding obligations of the Company or any Company Subsidiary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any Company Subsidiary.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3" w:lineRule="auto"/>
        <w:tabs>
          <w:tab w:leader="none" w:pos="16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power and authority to execute and deliver this Agreement, to perform its obligations hereunder and to consummate the transactions contemplated hereby, including the Mergers. The execution and delivery of this Agreement by the Company and the consummation by the Company of the transactions contemplated hereby, including the Mergers, have been duly and validly authorized by all necessary corporate action, and no other corporate proceedings on the part of the Company and, except for the affirmative vote of the holders of a majority in voting power of the outstanding shares of Company Common Stock entitled to vote thereon in favor of the adoption of this Agreement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Vote</w:t>
      </w:r>
      <w:r>
        <w:rPr>
          <w:rFonts w:ascii="Times New Roman" w:cs="Times New Roman" w:eastAsia="Times New Roman" w:hAnsi="Times New Roman"/>
          <w:sz w:val="18"/>
          <w:szCs w:val="18"/>
          <w:color w:val="auto"/>
        </w:rPr>
        <w:t>”), no stockholder votes are necessary to adopt this Agreement or to consummate the transactions contemplated hereby. The Company has duly and validly executed and delivered this Agreement and, assuming due and valid authorization, execution and delivery by the Parent Parties,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 (the “</w:t>
      </w:r>
      <w:r>
        <w:rPr>
          <w:rFonts w:ascii="Times New Roman" w:cs="Times New Roman" w:eastAsia="Times New Roman" w:hAnsi="Times New Roman"/>
          <w:sz w:val="18"/>
          <w:szCs w:val="18"/>
          <w:u w:val="single" w:color="auto"/>
          <w:color w:val="auto"/>
        </w:rPr>
        <w:t>Enforceability Limitations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right="20" w:firstLine="1428"/>
        <w:spacing w:after="0" w:line="258" w:lineRule="auto"/>
        <w:tabs>
          <w:tab w:leader="none" w:pos="16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adopted resolutions irrevocably, affirmatively and unconditionally determining that the Parent Parties and their respective affiliates, in each case, shall not be deemed an “Acquiring Person” (as defined in the Tax Benefits Preservation Plan) and no “Stock Acquisition Date”, “Triggering Event” or “Flip-In Trigger Date” (as such terms are defined in the Tax Benefits Preservation Plan) will occur as a result of the execution of this Agreement or any other agreement contemplated hereby or the consummation of the transactions contemplated hereby or thereby, including the Mergers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9" w:name="page30"/>
    <w:bookmarkEnd w:id="2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t>
      </w:r>
      <w:r>
        <w:rPr>
          <w:rFonts w:ascii="Times New Roman" w:cs="Times New Roman" w:eastAsia="Times New Roman" w:hAnsi="Times New Roman"/>
          <w:sz w:val="18"/>
          <w:szCs w:val="18"/>
          <w:u w:val="single" w:color="auto"/>
          <w:color w:val="auto"/>
        </w:rPr>
        <w:t>Tax Benefits Preservation Plan Waiver</w:t>
      </w:r>
      <w:r>
        <w:rPr>
          <w:rFonts w:ascii="Times New Roman" w:cs="Times New Roman" w:eastAsia="Times New Roman" w:hAnsi="Times New Roman"/>
          <w:sz w:val="18"/>
          <w:szCs w:val="18"/>
          <w:color w:val="auto"/>
        </w:rPr>
        <w:t>”). The Company has previously provided true and complete copies of (i) the Tax Benefits Preservation Plan Waiver and (ii) the Tax Benefits Preservation Plan and all amendments thereto to the Parent Parties. Other than the Tax Benefits Preservation Plan, the Company has no rights plan, “poison-pill” or other comparable agreement or arrangement designed to have the effect of delaying, deferring or discouraging any Person from acquiring control of the Company.</w:t>
      </w:r>
    </w:p>
    <w:p>
      <w:pPr>
        <w:spacing w:after="0" w:line="180"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Subject to receipt of the Required Company Vote, none of the execution, delivery or performance of this Agreement by the Company, the consummation by the Company of the Mergers or any other transaction contemplated by this Agreement will (with or without notice or lapse of time, or both): (a) conflict with or violate any provision of the Company Charter or the Company Bylaws or any equivalent organizational or governing documents of any Company Subsidiary; (b) assuming that all consents, approvals, authorizations and permits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the Company or any Company Subsidiary or any of their respective properties or assets; or (c)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Company Material Contract or any Company Permit, except, with respect to clauses (b) and (c), for any such conflicts, violations, consents, breaches, losses, changes of control, defaults, rights, other occurrences or Liens which would not, individually or in the aggregate, reasonably be expected to have a Company Material Adverse Effect.</w:t>
      </w:r>
    </w:p>
    <w:p>
      <w:pPr>
        <w:spacing w:after="0" w:line="190"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Parent Parties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none of the execution, delivery or performance of this Agreement by the Company, the consummation by the Company of the Mergers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the Company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Company Material Adverse Effect. The performance of the obligations under this Agreement, and the consummation of the Mergers or any other transaction contemplated by this Agreement, in each case, will not require the publication of a prospectus or a similar offering document in Israel.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0" w:name="page31"/>
    <w:bookmarkEnd w:id="30"/>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3.6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for any conflicts, defaults or violations that have not had and would not reasonably be expected to have, individually or in the aggregate, a Company Material Adverse Effect. To the Knowledge of the Company,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61" w:lineRule="auto"/>
        <w:tabs>
          <w:tab w:leader="none" w:pos="1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reports, schedules, forms, statements, registration statements, prospectuses and other documents required to be filed or furnished by the Company with the SEC under the Securities Act or the Exchange Act since January 1, 2024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or with the ISA under the Israeli Securities Laws since January 1, 2024 (the “</w:t>
      </w:r>
      <w:r>
        <w:rPr>
          <w:rFonts w:ascii="Times New Roman" w:cs="Times New Roman" w:eastAsia="Times New Roman" w:hAnsi="Times New Roman"/>
          <w:sz w:val="18"/>
          <w:szCs w:val="18"/>
          <w:u w:val="single" w:color="auto"/>
          <w:color w:val="auto"/>
        </w:rPr>
        <w:t>Company ISA Documents</w:t>
      </w:r>
      <w:r>
        <w:rPr>
          <w:rFonts w:ascii="Times New Roman" w:cs="Times New Roman" w:eastAsia="Times New Roman" w:hAnsi="Times New Roman"/>
          <w:sz w:val="18"/>
          <w:szCs w:val="18"/>
          <w:color w:val="auto"/>
        </w:rPr>
        <w:t>”). No Company Subsidiary is required to make any filings with the SEC.</w:t>
      </w:r>
    </w:p>
    <w:p>
      <w:pPr>
        <w:spacing w:after="0" w:line="179" w:lineRule="exact"/>
        <w:rPr>
          <w:rFonts w:ascii="Times New Roman" w:cs="Times New Roman" w:eastAsia="Times New Roman" w:hAnsi="Times New Roman"/>
          <w:sz w:val="18"/>
          <w:szCs w:val="18"/>
          <w:color w:val="auto"/>
        </w:rPr>
      </w:pPr>
    </w:p>
    <w:p>
      <w:pPr>
        <w:jc w:val="both"/>
        <w:ind w:firstLine="1428"/>
        <w:spacing w:after="0" w:line="256" w:lineRule="auto"/>
        <w:tabs>
          <w:tab w:leader="none" w:pos="1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of the Original Agreement, each Company SEC Document and Company ISA Document complied in all material respects with the requirements of the Exchange Act, the Securities Act or the Israeli Securities Laws, as the case may be, and the rules and regulations of the SEC or the ISA, as applicable, promulgated thereunder applicable to such Company SEC Document or Company ISA Document, as the case may be,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1428"/>
        <w:spacing w:after="0" w:line="254" w:lineRule="auto"/>
        <w:tabs>
          <w:tab w:leader="none" w:pos="1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in each case, any notes or schedules thereto)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specifically indicated in the notes thereto), subject, in the case of any interim unaudited Company Financial Statements, to normal and recurring year-end adjustments (in each case, except as would not, individually or in the aggregate, reasonably be expected to be material to the Company and the Company Subsidiaries, taken as a whole) and the absence of notes and other presentation items (none of which, if presented, would materially differ from those presented in the most recent Company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1" w:name="page32"/>
    <w:bookmarkEnd w:id="31"/>
    <w:p>
      <w:pPr>
        <w:jc w:val="both"/>
        <w:ind w:firstLine="1428"/>
        <w:spacing w:after="0" w:line="252" w:lineRule="auto"/>
        <w:tabs>
          <w:tab w:leader="none" w:pos="1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information (both financial and non-financial) required to be disclosed by the Company in the reports that it files or furnishes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The Company’s management has not identified any significant deficiencies or material weaknesses in the design or operation of its internal control over financial reporting that would reasonably be expected to adversely affect the Company’s ability to record, process, summarize and report financial information and the Company does not have Knowledge of any fraud, whether or not material, that involves management or other employees who have a significant role in the Company’s internal control over financial reporting.</w:t>
      </w:r>
    </w:p>
    <w:p>
      <w:pPr>
        <w:spacing w:after="0" w:line="197" w:lineRule="exact"/>
        <w:rPr>
          <w:rFonts w:ascii="Times New Roman" w:cs="Times New Roman" w:eastAsia="Times New Roman" w:hAnsi="Times New Roman"/>
          <w:sz w:val="18"/>
          <w:szCs w:val="18"/>
          <w:color w:val="auto"/>
        </w:rPr>
      </w:pPr>
    </w:p>
    <w:p>
      <w:pPr>
        <w:jc w:val="both"/>
        <w:ind w:firstLine="1428"/>
        <w:spacing w:after="0" w:line="254" w:lineRule="auto"/>
        <w:tabs>
          <w:tab w:leader="none" w:pos="1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specifically and adequately disclosed, reflected or reserved against in the most recent balance sheet included in the Company Financial Statements or the notes thereto, (ii) for liabilities and obligations incurred in the ordinary course of business since the date of the most recent balance sheet included in the Company Financial Statements (none of which is a liability or obligation resulting from a breach of Contract, tort, or infringement), (iii) for liabilities and obligations arising out of or in connection with this Agreement, the Mergers or the other transactions contemplated hereby and (iv) for liabilities and obligations that have not been and would not reasonably be expected to be, individually or in the aggregate, material to the Company and the Company Subsidiaries, taken as a whole.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28"/>
        <w:spacing w:after="0" w:line="266" w:lineRule="auto"/>
        <w:tabs>
          <w:tab w:leader="none" w:pos="16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of the Original Agreement, except for the discussion and negotiation of the Original Agreement, the Company and the Company Subsidiaries have conducted their respective businesses in all material respects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firstLine="1428"/>
        <w:spacing w:after="0" w:line="282" w:lineRule="auto"/>
        <w:tabs>
          <w:tab w:leader="none" w:pos="16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hereof, there has not been any Company Material Adverse Effect or any change, event or development, that had or would reasonably be expected to have, individually or in the aggregate, a Company Material Adverse Effect.</w:t>
      </w:r>
    </w:p>
    <w:p>
      <w:pPr>
        <w:spacing w:after="0" w:line="161" w:lineRule="exact"/>
        <w:rPr>
          <w:rFonts w:ascii="Times New Roman" w:cs="Times New Roman" w:eastAsia="Times New Roman" w:hAnsi="Times New Roman"/>
          <w:sz w:val="18"/>
          <w:szCs w:val="18"/>
          <w:color w:val="auto"/>
        </w:rPr>
      </w:pPr>
    </w:p>
    <w:p>
      <w:pPr>
        <w:jc w:val="both"/>
        <w:ind w:firstLine="1428"/>
        <w:spacing w:after="0" w:line="266" w:lineRule="auto"/>
        <w:tabs>
          <w:tab w:leader="none" w:pos="16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2026 through the date of the Original Agreement, there has not been any action taken by the Company or any Company Subsidiary that, if taken during the period between the date hereof through the Second Effective Time, would constitute a breach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5.1(q)</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2" w:name="page33"/>
    <w:bookmarkEnd w:id="3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428"/>
        <w:spacing w:after="0" w:line="253" w:lineRule="auto"/>
        <w:tabs>
          <w:tab w:leader="none" w:pos="16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sets forth a complete and accurate list of each material Company Benefit Plan as of the date of the Original Agreement, excluding (i) any Company Benefit Plan that is an employment offer letter or individual independent contractor or consultant agreement that (x)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(y) does not provide for (A) any change in control, retention or other payments or benefits that could be triggered by the consummation of the transactions contemplated hereby, or (B) severance payments or benefits (other than statutory payments or benefits under applicable Laws) and (z) can be terminated upon thirty (30) days’ notice or less without further payment, liability or obligation (other than as required by applicable Laws) and</w:t>
      </w:r>
    </w:p>
    <w:p>
      <w:pPr>
        <w:spacing w:after="0" w:line="5"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individual award agreement evidencing Company Equity Awards that is on a form that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separately identifies each Company Benefit Plan that is governed by the laws of any jurisdiction other than the United States or provides compensation or benefits to any employee or former employee of the Company or any Company Subsidiary (or any dependent thereof) who resides outside of the United States (each, a “</w:t>
      </w:r>
      <w:r>
        <w:rPr>
          <w:rFonts w:ascii="Times New Roman" w:cs="Times New Roman" w:eastAsia="Times New Roman" w:hAnsi="Times New Roman"/>
          <w:sz w:val="18"/>
          <w:szCs w:val="18"/>
          <w:u w:val="single" w:color="auto"/>
          <w:color w:val="auto"/>
        </w:rPr>
        <w:t>Non-U.S.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With respect to each material Company Benefit Plan, to the extent applicable, the Company and the Company Subsidiaries have either delivered or made available to Parent prior to the execution of the Original Agreement true, correct and complete copies of: (i) all plan documents and all amendments thereto, and all related trust or other funding documents, and in the case of unwritten Company Benefit Plans, written descriptions thereof, (ii) the most recent determination letters, rulings, opinion letters, information letters or advisory opinions issued by the IRS or the United States Department of Labor, (iii) the most recently filed annual return/report (Form 5500) and accompanying schedules and attachments thereto,</w:t>
      </w:r>
    </w:p>
    <w:p>
      <w:pPr>
        <w:spacing w:after="0" w:line="3"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recently prepared actuarial report and financial statements, (v) the most recent prospectus or summary plan descriptions and any material modifications thereto, (vi) all nondiscrimination and compliance testing reports for the most recently completed plan year and (vii) all material non-routine correspondence to and from any Governmental Entity within the last three (3) years.</w:t>
      </w:r>
    </w:p>
    <w:p>
      <w:pPr>
        <w:spacing w:after="0" w:line="185" w:lineRule="exact"/>
        <w:rPr>
          <w:rFonts w:ascii="Times New Roman" w:cs="Times New Roman" w:eastAsia="Times New Roman" w:hAnsi="Times New Roman"/>
          <w:sz w:val="18"/>
          <w:szCs w:val="18"/>
          <w:color w:val="auto"/>
        </w:rPr>
      </w:pPr>
    </w:p>
    <w:p>
      <w:pPr>
        <w:jc w:val="both"/>
        <w:ind w:left="4" w:right="20" w:firstLine="1428"/>
        <w:spacing w:after="0" w:line="256" w:lineRule="auto"/>
        <w:tabs>
          <w:tab w:leader="none" w:pos="170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the qualification of such Company Benefit Plan.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33" w:name="page34"/>
    <w:bookmarkEnd w:id="33"/>
    <w:p>
      <w:pPr>
        <w:jc w:val="both"/>
        <w:ind w:left="4" w:right="20" w:firstLine="1428"/>
        <w:spacing w:after="0" w:line="257" w:lineRule="auto"/>
        <w:tabs>
          <w:tab w:leader="none" w:pos="16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 (i) a Multiemployer Plan; (ii) a “multiple employer plan” within the meaning of Section 210 of ERISA or Section 413(c) of the Code;</w:t>
      </w:r>
    </w:p>
    <w:p>
      <w:pPr>
        <w:spacing w:after="0" w:line="1"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3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“multiple employer welfare arrangement” within the meaning of Section 3(40) of ERISA; or (iv) a “defined benefit plan” (as defined in Section 3(35) of ERISA whether or not subject thereto) or any other pension plan that is subject to Section 302 or Title IV of ERISA or Section 412 or 430 of the Code. None of the Company or any of the Company Subsidiaries has any current or contingent liability or obligation as a consequence of being considered a single employer with any other Person under Section 414 of the Code during the past six (6) years.</w:t>
      </w:r>
    </w:p>
    <w:p>
      <w:pPr>
        <w:spacing w:after="0" w:line="188" w:lineRule="exact"/>
        <w:rPr>
          <w:rFonts w:ascii="Times New Roman" w:cs="Times New Roman" w:eastAsia="Times New Roman" w:hAnsi="Times New Roman"/>
          <w:sz w:val="18"/>
          <w:szCs w:val="18"/>
          <w:color w:val="auto"/>
        </w:rPr>
      </w:pPr>
    </w:p>
    <w:p>
      <w:pPr>
        <w:jc w:val="both"/>
        <w:ind w:left="4" w:right="20" w:firstLine="1428"/>
        <w:spacing w:after="0" w:line="258" w:lineRule="auto"/>
        <w:tabs>
          <w:tab w:leader="none" w:pos="172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or other applicable Law, (ii) coverage through the end of the calendar month in which a termination of employment occurs or (iii) pursuant to an applicable agreement, plan or policy requiring the Company or any Company Subsidiary to pay or subsidize COBRA premiums for a terminated employee following the employee’s termination of employment.</w:t>
      </w:r>
    </w:p>
    <w:p>
      <w:pPr>
        <w:spacing w:after="0" w:line="183" w:lineRule="exact"/>
        <w:rPr>
          <w:rFonts w:ascii="Times New Roman" w:cs="Times New Roman" w:eastAsia="Times New Roman" w:hAnsi="Times New Roman"/>
          <w:sz w:val="18"/>
          <w:szCs w:val="18"/>
          <w:color w:val="auto"/>
        </w:rPr>
      </w:pPr>
    </w:p>
    <w:p>
      <w:pPr>
        <w:jc w:val="both"/>
        <w:ind w:left="4" w:firstLine="1428"/>
        <w:spacing w:after="0" w:line="266" w:lineRule="auto"/>
        <w:tabs>
          <w:tab w:leader="none" w:pos="169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spacing w:after="0" w:line="175"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6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by the Company or the consummation by the Company of the transactions contemplated hereby could (alone or in conjunction with any other event) (i) entitle any current or former employee, individual independent contractor, officer or director of the Company or any of the Company Subsidiaries to any compensation or benefits, (ii) increase the amount of any compensation or benefits due to any such individual, (iii) accelerate the vesting, funding or time of payment of any compensation or benefits due to any such individual or (iv) result in the payment of any “excess parachute payments” within the meaning of Section 280G of the Code.</w:t>
      </w:r>
    </w:p>
    <w:p>
      <w:pPr>
        <w:spacing w:after="0" w:line="183"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7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all required premiums for, contributions required to be made to, or other payments that are due in respect of each Company Benefit Plan have been timely and fully made in accordance with the terms of the applicable Company Benefit Plan and applicable Law.</w:t>
      </w:r>
    </w:p>
    <w:p>
      <w:pPr>
        <w:spacing w:after="0" w:line="175"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6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has any obligations to gross-up or reimburse any individual for any Tax or related interest or penalties incurred by such individual, including under Sections 409A or 4999 of the Code or otherwise.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34" w:name="page35"/>
    <w:bookmarkEnd w:id="34"/>
    <w:p>
      <w:pPr>
        <w:jc w:val="both"/>
        <w:ind w:left="4" w:firstLine="1428"/>
        <w:spacing w:after="0" w:line="258" w:lineRule="auto"/>
        <w:tabs>
          <w:tab w:leader="none" w:pos="1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have, individually or in the aggregate, a Company Material Adverse Effect, each Non-U.S. Company Benefit Plan (i) has been operated in conformance with the applicable statutes or governmental regulations and rulings relating to such plans in the jurisdictions in which such Non-U.S. Company Benefit Plan is present or operates and, to the extent relevant, the United States, (ii) that is intended to qualify for special tax treatment meets all requirements for such treatment and (iii) that is intended to be funded or book-reserved are fully funded or book reserved, as appropriate, based upon reasonable actuarial assumptions. No Non-U.S. Company Benefit Plan is a defined benefit pension plan.</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Labor and Other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428"/>
        <w:spacing w:after="0" w:line="261" w:lineRule="auto"/>
        <w:tabs>
          <w:tab w:leader="none" w:pos="16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Company Disclosure Schedule sets forth, as of the date of the Original Agreement, a true, correct, and complete list of all employees of the Company and the Company Subsidiaries, including for each such employee their (i) name or identification number,</w:t>
      </w:r>
    </w:p>
    <w:p>
      <w:pPr>
        <w:jc w:val="both"/>
        <w:ind w:left="4" w:right="20" w:hanging="4"/>
        <w:spacing w:after="0" w:line="250" w:lineRule="auto"/>
        <w:tabs>
          <w:tab w:leader="none" w:pos="27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job title, (iii) primary work location (city, state (where applicable), and country), (iv) date of hire, (v) base hourly or monthly rate, annual salary or other base rate of compensation, (vi) eligibility for commissions, bonuses or other incentive-based compensation payments (if any), (vii) full-time or part-time status, (viii) exempt or non-exempt status under applicable wage and hour Laws, (ix) employing entity, (x) for each employee located in the United States, status as active or on leave (including anticipated date of return if on leave and any protected status under any applicable Law), and</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3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Israeli Employee, such Israeli Employee’s prior notice entitlement (to the extent in excess of thirty (30) days or any legal requirement) and pension arrangement, including an indication on whether the Section 14 Arrangement has been applied on such employee since the commencement of their employment. Neither the Company nor any Company Subsidiary engages any personnel through manpower agencies in Israel.</w:t>
      </w:r>
    </w:p>
    <w:p>
      <w:pPr>
        <w:spacing w:after="0" w:line="185"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7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 Disclosure Schedule sets forth, as of the date of the Original Agreement, a true, correct, and complete list of all individual independent contractors engaged by or providing services to the Company or any Company Subsidiary, including those providing services through a sole proprietorship or an entity wholly owned and operated by the individual, including for each such contractor (i) their name, (ii) the services they provide, (iii) their primary work location (state (where applicable), and country), (iv) their first date of retention, (v) their compensation terms, and (vi) the entity that engages such contractor.</w:t>
      </w:r>
    </w:p>
    <w:p>
      <w:pPr>
        <w:spacing w:after="0" w:line="183" w:lineRule="exact"/>
        <w:rPr>
          <w:rFonts w:ascii="Times New Roman" w:cs="Times New Roman" w:eastAsia="Times New Roman" w:hAnsi="Times New Roman"/>
          <w:sz w:val="18"/>
          <w:szCs w:val="18"/>
          <w:color w:val="auto"/>
        </w:rPr>
      </w:pPr>
    </w:p>
    <w:p>
      <w:pPr>
        <w:jc w:val="both"/>
        <w:ind w:left="4" w:firstLine="1428"/>
        <w:spacing w:after="0" w:line="254" w:lineRule="auto"/>
        <w:tabs>
          <w:tab w:leader="none" w:pos="16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is a party to or bound by any Collective Bargaining Agreement or has ever been a member of any employers’ association or organization. There are no and for the past three years there have been no (i) Union representing or purporting to represent any current or former employee of the Company or any Company Subsidiary in their role as an employee of the Company or any Company Subsidiary, (ii) union organizing activities or efforts with respect to the formation of a Union or demands of any Union for recognition or certification involving any current or former employee of the Company or any Company Subsidiary in their role as an employee of the Company or any Company Subsidiary, or (iii) representation proceedings or petitions seeking a representation proceeding pending or threatened to be brought or filed against the Company or any Company Subsidiary with any Governmental Entity. Neither the Company nor any Company Subsidiary, has paid, has received notice that it is required to pay or has been requested to pay, any payment (including professional organizational handling charges) to any employers’ association or organization.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70" w:right="439" w:bottom="1440" w:gutter="0" w:footer="0" w:header="0"/>
        </w:sectPr>
      </w:pPr>
    </w:p>
    <w:bookmarkStart w:id="35" w:name="page36"/>
    <w:bookmarkEnd w:id="35"/>
    <w:p>
      <w:pPr>
        <w:jc w:val="both"/>
        <w:ind w:firstLine="1428"/>
        <w:spacing w:after="0" w:line="266" w:lineRule="auto"/>
        <w:tabs>
          <w:tab w:leader="none" w:pos="17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 and for the past three years there has been no, labor strike, picketing, lockouts, handbillings, material labor grievances, material labor dispute, slowdown or concerted work stoppage pending or, to the Knowledge of the Company, threatened against or materially affecting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428"/>
        <w:spacing w:after="0" w:line="252" w:lineRule="auto"/>
        <w:tabs>
          <w:tab w:leader="none" w:pos="16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and for the past three years have been in compliance with (i) all applicable Laws respecting labor, employment and employment practices including, without limitation, all Laws respecting terms and conditions of employment, background checks, hiring, promotions, employee privacy, worker classification, health and safety, working conditions, meal and rest periods, wage payment, wages and hours, pay equity, overtime, child labor, immigration and work authorizations, employment eligibility verification, employment harassment and discrimination, retaliation, disability rights or benefits, accommodations, leaves of absence, paid sick leave, equal employment opportunity, fair employment practices, plant closures and layoffs, reduction in force, affirmative action, workers’ compensation, labor relations and collective bargaining, discipline, termination, social welfare obligations and unemployment insurance, notification of employment terms, travel expenses, recuperation pay, pension arrangement and statutory severance pay (as applicable), engaging employees through manpower agencies and/ or through services providers in accordance with the Israeli Law for Strengthening the Enforcement of Labor Laws, 2011, and (ii) all obligations of the Company or any Company Subsidiary under any employment agreement, consulting agreement, severance agreement, Collective Bargaining Agreement or any other employment or labor-related Contract or understanding, in each case, except as would not, individually or in the aggregate, reasonably be expected to be material to the Company and the Company Subsidiaries, taken as a whole. Neither the Company nor any Company Subsidiary have incurred, and no circumstances exist under which the Company or any Company Subsidiary would reasonably be expected to incur, any material liability arising from (i) the failure to pay wages (including overtime wages) or to make any statutory required social contributions, (ii) the misclassification of any independent contractors or other non-employee workers, or (iii) the misclassification of any employees as exempt from the overtime requirements of applicable wage and hour Laws, in each case, except as would not, individually or in the aggregate, reasonably be expected to be material to the Company and the Company Subsidiaries, taken as a whole.</w:t>
      </w:r>
    </w:p>
    <w:p>
      <w:pPr>
        <w:spacing w:after="0" w:line="193"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years, neither the Company nor any Company Subsidiary have implemented or effectuated a “mass layoff” or “plant closing” as defined under the Worker Adjustment and Retraining Notification Act of 1988 or by any equivalent foreign or state Law (each a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other employment decision sufficient in number to trigger application of an applicable WARN Act, nor is any “mass layoff” or “plant closing” expected. No employee of the Company or any Company Subsidiary is on furlough or temporary layoff or working hours that have been involuntarily reduced by 50% or more.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6" w:name="page37"/>
    <w:bookmarkEnd w:id="36"/>
    <w:p>
      <w:pPr>
        <w:jc w:val="both"/>
        <w:ind w:right="20" w:firstLine="1428"/>
        <w:spacing w:after="0" w:line="256" w:lineRule="auto"/>
        <w:tabs>
          <w:tab w:leader="none" w:pos="16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individually or in the aggregate, would not reasonably be expected to be material to the Company and the Company Subsidiaries, taken as a whole, as of the date of the Original Agreement, there are no and for the past three years have been no Proceedings pending or, to the Knowledge of the Company, threatened based on, arising out of, in connection with, or otherwise relating to any applicant for employment, any current or former employee, any current or former individual independent contractor (including those providing or who provided services through sole proprietorships or entities wholly owned and operated by them), any other non-employee service provider (including workers provided through temporary staffing agencies or service contractors), or any other labor or employment matter.</w:t>
      </w:r>
    </w:p>
    <w:p>
      <w:pPr>
        <w:spacing w:after="0" w:line="187" w:lineRule="exact"/>
        <w:rPr>
          <w:rFonts w:ascii="Times New Roman" w:cs="Times New Roman" w:eastAsia="Times New Roman" w:hAnsi="Times New Roman"/>
          <w:sz w:val="18"/>
          <w:szCs w:val="18"/>
          <w:color w:val="auto"/>
        </w:rPr>
      </w:pPr>
    </w:p>
    <w:p>
      <w:pPr>
        <w:ind w:firstLine="1428"/>
        <w:spacing w:after="0" w:line="282" w:lineRule="auto"/>
        <w:tabs>
          <w:tab w:leader="none" w:pos="172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employee with a position at the Vice President level or higher, intends to terminate his or her employment or retire prior to the one-year anniversary of the Closing.</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53" w:lineRule="auto"/>
        <w:tabs>
          <w:tab w:leader="none" w:pos="16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(3) years, no material allegations of sexual harassment, discriminatory harassment, sexual assault, or sexual misconduct have been made or threatened by or against any current or former officer, director, executive, manager, or employee of the Company or any Company Subsidiary at the managerial level or higher relating to their capacity as such and neither the Company nor any Company Subsidiary has entered into any settlement or separation agreements related to any such allegation of sexual harassment, sexual assault or sexual misconduct. The Company and each Company Subsidiary have promptly, impartially and reasonably investigated all sexual harassment, discrimination and discriminatory harassment, sexual assault, sexual misconduct and retaliation allegations made against such individuals of which the Company or any Company Subsidiary are or were aware, and for each such allegation with potential merit, the Company or any Company Subsidiary has taken prompt, reasonable corrective actions reasonably calculated to prevent further harassment. Neither the Company nor any Company Subsidiary reasonably expects any material liability with respect to any such allegations and, to the Knowledge of the Company, there are no such allegations, that, if known to the public, would bring the Company or any Company Subsidiary into material disrepute.</w:t>
      </w:r>
    </w:p>
    <w:p>
      <w:pPr>
        <w:spacing w:after="0" w:line="194" w:lineRule="exact"/>
        <w:rPr>
          <w:rFonts w:ascii="Times New Roman" w:cs="Times New Roman" w:eastAsia="Times New Roman" w:hAnsi="Times New Roman"/>
          <w:sz w:val="18"/>
          <w:szCs w:val="18"/>
          <w:color w:val="auto"/>
        </w:rPr>
      </w:pPr>
    </w:p>
    <w:p>
      <w:pPr>
        <w:jc w:val="both"/>
        <w:ind w:firstLine="1428"/>
        <w:spacing w:after="0" w:line="253" w:lineRule="auto"/>
        <w:tabs>
          <w:tab w:leader="none" w:pos="1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employees of the Company or any Company Subsidiary who reside or work in Israel (“</w:t>
      </w:r>
      <w:r>
        <w:rPr>
          <w:rFonts w:ascii="Times New Roman" w:cs="Times New Roman" w:eastAsia="Times New Roman" w:hAnsi="Times New Roman"/>
          <w:sz w:val="18"/>
          <w:szCs w:val="18"/>
          <w:u w:val="single" w:color="auto"/>
          <w:color w:val="auto"/>
        </w:rPr>
        <w:t>Israeli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(i) neither the Company nor any Company Subsidiary has or is subject to, and no Israeli Employee of the Company or any Company Subsidiary benefits from, any extension order (</w:t>
      </w:r>
      <w:r>
        <w:rPr>
          <w:rFonts w:ascii="Times New Roman" w:cs="Times New Roman" w:eastAsia="Times New Roman" w:hAnsi="Times New Roman"/>
          <w:sz w:val="18"/>
          <w:szCs w:val="18"/>
          <w:i w:val="1"/>
          <w:iCs w:val="1"/>
          <w:color w:val="auto"/>
        </w:rPr>
        <w:t>tzavei harchava</w:t>
      </w:r>
      <w:r>
        <w:rPr>
          <w:rFonts w:ascii="Times New Roman" w:cs="Times New Roman" w:eastAsia="Times New Roman" w:hAnsi="Times New Roman"/>
          <w:sz w:val="18"/>
          <w:szCs w:val="18"/>
          <w:color w:val="auto"/>
        </w:rPr>
        <w:t>) (other than extension orders applicable to all employers in Israel and no employee of the Company or any of its Subsidiaries benefits from any such extension orders); and (ii) all current and former Israeli Employees that are or were employed by the Company or any Company Subsidiary are, and were, lawfully subject to the arrangement under Section 14 of the Israeli Severance Pay Law – 1963 (the “</w:t>
      </w:r>
      <w:r>
        <w:rPr>
          <w:rFonts w:ascii="Times New Roman" w:cs="Times New Roman" w:eastAsia="Times New Roman" w:hAnsi="Times New Roman"/>
          <w:sz w:val="18"/>
          <w:szCs w:val="18"/>
          <w:u w:val="single" w:color="auto"/>
          <w:color w:val="auto"/>
        </w:rPr>
        <w:t>Section 14 Arrangement</w:t>
      </w:r>
      <w:r>
        <w:rPr>
          <w:rFonts w:ascii="Times New Roman" w:cs="Times New Roman" w:eastAsia="Times New Roman" w:hAnsi="Times New Roman"/>
          <w:sz w:val="18"/>
          <w:szCs w:val="18"/>
          <w:color w:val="auto"/>
        </w:rPr>
        <w:t>”) during such individual’s entire period of engagement with the Company or the applicable Company Subsidiary and such Section 14 Arrangement was properly applied in accordance with the terms of the general permit issued by the Israeli Labor Minister regarding such individual based on their full determining salaries and from their commencement date of employment, and upon termination of their employment the Company or any Company Subsidiary shall be under no obligation to pay any additional severance amounts. To the knowledge of the Company, the Company and the Company’s Subsidiaries have not engaged any Israeli Employees whose employment would require special approvals from any Governmental Entity. Except for matters that have not resulted in and would not, individually or in the aggregate, result in material liabilities to the Company and any Company Subsidiaries, taken as a whole, all amounts that the Company and the Company’s Subsidiaries are legally or contractually required either (x) to deduct from their Israeli Employees’ salaries or to transfer to such Israeli Employees’ pension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provident, life insurance, incapacity insurance, continuing education fund or other similar funds or (y) to withhold from their Israeli Employees’ salaries and benefits and to pay to any Governmental Entity as required by any applicable Law, or otherwise have, in each case, been duly deducted, transferred, withheld and paid (other than routine payments, deductions or withholdings to be timely made in the normal course of business and consistent with past practice).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28"/>
        <w:spacing w:after="0" w:line="266" w:lineRule="auto"/>
        <w:tabs>
          <w:tab w:leader="none" w:pos="16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sets forth, as of the date of the Original Agreement, a true and complete list of each Contract to which the Company or any Company Subsidiary is a party or by which their respective properties or assets are bound, and which falls within any of the following categories:</w:t>
      </w:r>
    </w:p>
    <w:p>
      <w:pPr>
        <w:spacing w:after="0" w:line="67"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22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limited liability or other similar Contract related to the formation, creation, operation, management or control of any partnership, limited liability company or joint venture in which the Company or any Company Subsidiary owns any interest, or any Contract involving a sharing of any revenues, profits, losses, costs, or liabilities of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979"/>
        <w:spacing w:after="0" w:line="266" w:lineRule="auto"/>
        <w:tabs>
          <w:tab w:leader="none" w:pos="2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requires future payments (A) by the Company or any Company Subsidiary of more than $350,000 in any one year period or (B) to the Company or any Company Subsidiary of more than $1,000,000 in any one year period, in each case, that cannot be terminated on less than ninety (90) days’ notice without payment or penalty;</w:t>
      </w:r>
    </w:p>
    <w:p>
      <w:pPr>
        <w:spacing w:after="0" w:line="175" w:lineRule="exact"/>
        <w:rPr>
          <w:rFonts w:ascii="Times New Roman" w:cs="Times New Roman" w:eastAsia="Times New Roman" w:hAnsi="Times New Roman"/>
          <w:sz w:val="18"/>
          <w:szCs w:val="18"/>
          <w:color w:val="auto"/>
        </w:rPr>
      </w:pPr>
    </w:p>
    <w:p>
      <w:pPr>
        <w:jc w:val="both"/>
        <w:ind w:firstLine="1979"/>
        <w:spacing w:after="0" w:line="266" w:lineRule="auto"/>
        <w:tabs>
          <w:tab w:leader="none" w:pos="233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any right of first refusal or right of first offer or imposes any other similar restriction or obligation that, in each case, limits in any material respect the ability of the Company or any Company Subsidiary (or Parent and its affiliates after the First Effective Time) to own, operate, sell, transfer, pledge or otherwise dispose of any material businesses or material assets;</w:t>
      </w:r>
    </w:p>
    <w:p>
      <w:pPr>
        <w:spacing w:after="0" w:line="175"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2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materially limits the freedom of the Company or any Company Subsidiary (or Parent and its affiliates after the First Effective Time) to engage in any line of business, compete with any Person or purchase, sell, supply or distribute any product or service, in each case, in any geographic area;</w:t>
      </w:r>
    </w:p>
    <w:p>
      <w:pPr>
        <w:spacing w:after="0" w:line="175"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24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related to the acquisition, disposition or other merger, reorganization or business combination that contains, covenants, indemnities, “earn-out” provisions or other contingent payment obligations that would reasonably be expected to result in future payments by the Company or a Company Subsidiary in excess of $250,000;</w:t>
      </w:r>
    </w:p>
    <w:p>
      <w:pPr>
        <w:spacing w:after="0" w:line="175"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2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gives any Person the express right to acquire legal ownership of any assets owned by the Company or any Company Subsidiary (excluding ordinary course commitments to purchase Company Products) after the date of the Original Agreement with consideration of more than $250,000;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8" w:name="page39"/>
    <w:bookmarkEnd w:id="38"/>
    <w:p>
      <w:pPr>
        <w:ind w:right="20" w:firstLine="1979"/>
        <w:spacing w:after="0" w:line="282" w:lineRule="auto"/>
        <w:tabs>
          <w:tab w:leader="none" w:pos="23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relating to indebtedness for borrowed money or any financial guaranty (including any guaranty by the Company or any Company Subsidiary of any obligations of any third party), in each case pertaining to indebtedness in excess of $250,000;</w:t>
      </w:r>
    </w:p>
    <w:p>
      <w:pPr>
        <w:spacing w:after="0" w:line="161" w:lineRule="exact"/>
        <w:rPr>
          <w:rFonts w:ascii="Times New Roman" w:cs="Times New Roman" w:eastAsia="Times New Roman" w:hAnsi="Times New Roman"/>
          <w:sz w:val="18"/>
          <w:szCs w:val="18"/>
          <w:color w:val="auto"/>
        </w:rPr>
      </w:pPr>
    </w:p>
    <w:p>
      <w:pPr>
        <w:ind w:left="2380" w:hanging="401"/>
        <w:spacing w:after="0"/>
        <w:tabs>
          <w:tab w:leader="none" w:pos="2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225" w:lineRule="exact"/>
        <w:rPr>
          <w:rFonts w:ascii="Times New Roman" w:cs="Times New Roman" w:eastAsia="Times New Roman" w:hAnsi="Times New Roman"/>
          <w:sz w:val="18"/>
          <w:szCs w:val="18"/>
          <w:color w:val="auto"/>
        </w:rPr>
      </w:pPr>
    </w:p>
    <w:p>
      <w:pPr>
        <w:ind w:right="20" w:firstLine="1979"/>
        <w:spacing w:after="0" w:line="282" w:lineRule="auto"/>
        <w:tabs>
          <w:tab w:leader="none" w:pos="23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customers of the Company and the Company Subsidiaries (as measured by total revenue for the fiscal year ending December 31, 2025);</w:t>
      </w:r>
    </w:p>
    <w:p>
      <w:pPr>
        <w:spacing w:after="0" w:line="161" w:lineRule="exact"/>
        <w:rPr>
          <w:rFonts w:ascii="Times New Roman" w:cs="Times New Roman" w:eastAsia="Times New Roman" w:hAnsi="Times New Roman"/>
          <w:sz w:val="18"/>
          <w:szCs w:val="18"/>
          <w:color w:val="auto"/>
        </w:rPr>
      </w:pPr>
    </w:p>
    <w:p>
      <w:pPr>
        <w:ind w:right="20" w:firstLine="1979"/>
        <w:spacing w:after="0" w:line="282" w:lineRule="auto"/>
        <w:tabs>
          <w:tab w:leader="none" w:pos="2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vendors of the Company and the Company Subsidiaries (as measured by expenditures for the fiscal year ending December 31, 2025);</w:t>
      </w:r>
    </w:p>
    <w:p>
      <w:pPr>
        <w:spacing w:after="0" w:line="161" w:lineRule="exact"/>
        <w:rPr>
          <w:rFonts w:ascii="Times New Roman" w:cs="Times New Roman" w:eastAsia="Times New Roman" w:hAnsi="Times New Roman"/>
          <w:sz w:val="18"/>
          <w:szCs w:val="18"/>
          <w:color w:val="auto"/>
        </w:rPr>
      </w:pPr>
    </w:p>
    <w:p>
      <w:pPr>
        <w:ind w:right="20" w:firstLine="1979"/>
        <w:spacing w:after="0" w:line="282" w:lineRule="auto"/>
        <w:tabs>
          <w:tab w:leader="none" w:pos="22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sublease with respect to the Company Leased Real Property that is material to the conduct of the Company’s and the Company Subsidiaries’ business as currently conducted;</w:t>
      </w:r>
    </w:p>
    <w:p>
      <w:pPr>
        <w:spacing w:after="0" w:line="161" w:lineRule="exact"/>
        <w:rPr>
          <w:rFonts w:ascii="Times New Roman" w:cs="Times New Roman" w:eastAsia="Times New Roman" w:hAnsi="Times New Roman"/>
          <w:sz w:val="18"/>
          <w:szCs w:val="18"/>
          <w:color w:val="auto"/>
        </w:rPr>
      </w:pPr>
    </w:p>
    <w:p>
      <w:pPr>
        <w:jc w:val="both"/>
        <w:ind w:firstLine="1979"/>
        <w:spacing w:after="0" w:line="254" w:lineRule="auto"/>
        <w:tabs>
          <w:tab w:leader="none" w:pos="23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assigns or licenses to a third party or otherwise grants the right to use or exploit or covenants not to assert any Intellectual Property that is material to the conduct of the Company’s and the Company Subsidiaries’ business as currently conducted, except (A) non-exclusive licenses granted to employees, consultants, independent contractors, service providers, suppliers and other vendors of the Company or any Company Subsidiary solely to provide services to the Company or any Company Subsidiary, (B) non-exclusive licenses authorizing limited use of brand materials, feedback, or other Intellectual Property (excluding source code for any Software that is Company Owned Intellectual Property (other than as part of software development kits) and trade secrets that are Company Owned Intellectual Property), which licenses are incidental to the primary purpose of the Contract, and which Contracts are entered into in the ordinary course of business, and (C) non-exclusive licenses granted to customers by the Company or any Company Subsidiaries for use of Company Products in the ordinary course of business;</w:t>
      </w:r>
    </w:p>
    <w:p>
      <w:pPr>
        <w:spacing w:after="0" w:line="188" w:lineRule="exact"/>
        <w:rPr>
          <w:rFonts w:ascii="Times New Roman" w:cs="Times New Roman" w:eastAsia="Times New Roman" w:hAnsi="Times New Roman"/>
          <w:sz w:val="18"/>
          <w:szCs w:val="18"/>
          <w:color w:val="auto"/>
        </w:rPr>
      </w:pPr>
    </w:p>
    <w:p>
      <w:pPr>
        <w:jc w:val="both"/>
        <w:ind w:right="20" w:firstLine="1979"/>
        <w:spacing w:after="0" w:line="256" w:lineRule="auto"/>
        <w:tabs>
          <w:tab w:leader="none" w:pos="240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licenses from a third party or otherwise is granted the right to use or exploit or is the beneficiary of a covenant not to assert with respect to any Intellectual Property that is material to the conduct of the Company’s and the Company Subsidiaries’ business as currently conducted, except (A) shrink wrap, click through or off-the-shelf software licenses to non-customized third party software that is not incorporated into a Company Product, (B) non-exclusive licenses authorizing limited use of brand materials, feedback, or other Intellectual Property, which licenses are licenses incidental to the primary purpose of the Contract, and (C) licenses of any Open Source Materials;</w:t>
      </w:r>
    </w:p>
    <w:p>
      <w:pPr>
        <w:spacing w:after="0" w:line="187" w:lineRule="exact"/>
        <w:rPr>
          <w:rFonts w:ascii="Times New Roman" w:cs="Times New Roman" w:eastAsia="Times New Roman" w:hAnsi="Times New Roman"/>
          <w:sz w:val="18"/>
          <w:szCs w:val="18"/>
          <w:color w:val="auto"/>
        </w:rPr>
      </w:pPr>
    </w:p>
    <w:p>
      <w:pPr>
        <w:ind w:right="20" w:firstLine="1979"/>
        <w:spacing w:after="0" w:line="282" w:lineRule="auto"/>
        <w:tabs>
          <w:tab w:leader="none" w:pos="24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or similar Contract restricting in any material respect the operations or conduct of the Company or any Company Subsidiary or any of their respective affiliates (including Parent or any Parent Subsidiary after the First Effective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9" w:name="page40"/>
    <w:bookmarkEnd w:id="39"/>
    <w:p>
      <w:pPr>
        <w:ind w:right="20" w:firstLine="1979"/>
        <w:spacing w:after="0" w:line="282" w:lineRule="auto"/>
        <w:tabs>
          <w:tab w:leader="none" w:pos="233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(including any side letter) governing or amending, modifying, supplementing or otherwise relating to the 2026 Notes or the Secured Notes;</w:t>
      </w:r>
    </w:p>
    <w:p>
      <w:pPr>
        <w:spacing w:after="0" w:line="161"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3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75" w:lineRule="exact"/>
        <w:rPr>
          <w:rFonts w:ascii="Times New Roman" w:cs="Times New Roman" w:eastAsia="Times New Roman" w:hAnsi="Times New Roman"/>
          <w:sz w:val="18"/>
          <w:szCs w:val="18"/>
          <w:color w:val="auto"/>
        </w:rPr>
      </w:pPr>
    </w:p>
    <w:p>
      <w:pPr>
        <w:jc w:val="both"/>
        <w:ind w:firstLine="1979"/>
        <w:spacing w:after="0" w:line="256" w:lineRule="auto"/>
        <w:tabs>
          <w:tab w:leader="none" w:pos="243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87"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4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any exclusivity rights or “most favored nations” provisions or minimum use, supply or display requirements that are binding on the Company or any Company Subsidiary (including Parent or any Parent Subsidiary after the First Effective Time);</w:t>
      </w:r>
    </w:p>
    <w:p>
      <w:pPr>
        <w:spacing w:after="0" w:line="175" w:lineRule="exact"/>
        <w:rPr>
          <w:rFonts w:ascii="Times New Roman" w:cs="Times New Roman" w:eastAsia="Times New Roman" w:hAnsi="Times New Roman"/>
          <w:sz w:val="18"/>
          <w:szCs w:val="18"/>
          <w:color w:val="auto"/>
        </w:rPr>
      </w:pPr>
    </w:p>
    <w:p>
      <w:pPr>
        <w:jc w:val="both"/>
        <w:ind w:firstLine="1979"/>
        <w:spacing w:after="0" w:line="256" w:lineRule="auto"/>
        <w:tabs>
          <w:tab w:leader="none" w:pos="23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(A)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(B) retention payments, change of control payments, accelerated vesting or any other payment or benefit that may or will become due as a result of the Mergers or any other transaction contemplated by this Agreement;</w:t>
      </w:r>
    </w:p>
    <w:p>
      <w:pPr>
        <w:spacing w:after="0" w:line="187" w:lineRule="exact"/>
        <w:rPr>
          <w:rFonts w:ascii="Times New Roman" w:cs="Times New Roman" w:eastAsia="Times New Roman" w:hAnsi="Times New Roman"/>
          <w:sz w:val="18"/>
          <w:szCs w:val="18"/>
          <w:color w:val="auto"/>
        </w:rPr>
      </w:pPr>
    </w:p>
    <w:p>
      <w:pPr>
        <w:ind w:firstLine="1979"/>
        <w:spacing w:after="0" w:line="282" w:lineRule="auto"/>
        <w:tabs>
          <w:tab w:leader="none" w:pos="23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Governmental Entity or prime contractor or subcontractor of a Governmental Entity, on the other hand;</w:t>
      </w:r>
    </w:p>
    <w:p>
      <w:pPr>
        <w:spacing w:after="0" w:line="161" w:lineRule="exact"/>
        <w:rPr>
          <w:rFonts w:ascii="Times New Roman" w:cs="Times New Roman" w:eastAsia="Times New Roman" w:hAnsi="Times New Roman"/>
          <w:sz w:val="18"/>
          <w:szCs w:val="18"/>
          <w:color w:val="auto"/>
        </w:rPr>
      </w:pPr>
    </w:p>
    <w:p>
      <w:pPr>
        <w:ind w:right="20" w:firstLine="1979"/>
        <w:spacing w:after="0" w:line="282" w:lineRule="auto"/>
        <w:tabs>
          <w:tab w:leader="none" w:pos="24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expressly obligates the Company or any Company Subsidiary to make any capital investment or capital expenditure outside the ordinary course of business and in excess of $250,000; and</w:t>
      </w:r>
    </w:p>
    <w:p>
      <w:pPr>
        <w:spacing w:after="0" w:line="161" w:lineRule="exact"/>
        <w:rPr>
          <w:rFonts w:ascii="Times New Roman" w:cs="Times New Roman" w:eastAsia="Times New Roman" w:hAnsi="Times New Roman"/>
          <w:sz w:val="18"/>
          <w:szCs w:val="18"/>
          <w:color w:val="auto"/>
        </w:rPr>
      </w:pPr>
    </w:p>
    <w:p>
      <w:pPr>
        <w:ind w:left="2440" w:hanging="461"/>
        <w:spacing w:after="0"/>
        <w:tabs>
          <w:tab w:leader="none" w:pos="2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contract” (as such term is defined in Item 601(b)(10) of Regulation S-K of the SEC), other than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Benefit Plan.</w:t>
      </w:r>
    </w:p>
    <w:p>
      <w:pPr>
        <w:spacing w:after="0" w:line="207" w:lineRule="exact"/>
        <w:rPr>
          <w:sz w:val="20"/>
          <w:szCs w:val="20"/>
          <w:color w:val="auto"/>
        </w:rPr>
      </w:pPr>
    </w:p>
    <w:p>
      <w:pPr>
        <w:jc w:val="both"/>
        <w:ind w:right="20" w:firstLine="1428"/>
        <w:spacing w:after="0" w:line="266" w:lineRule="auto"/>
        <w:tabs>
          <w:tab w:leader="none" w:pos="1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Contract of the type described in this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True and complete copies of each Company Material Contract in effect as of the date of the Original Agreement have been made available to Parent (including pursuant to agreed-upon procedures to protect competitively sensitive information) or publicly filed with the SEC.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40" w:name="page41"/>
    <w:bookmarkEnd w:id="40"/>
    <w:p>
      <w:pPr>
        <w:jc w:val="both"/>
        <w:ind w:left="4" w:right="20" w:firstLine="1428"/>
        <w:spacing w:after="0" w:line="257" w:lineRule="auto"/>
        <w:tabs>
          <w:tab w:leader="none" w:pos="17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w:t>
      </w:r>
    </w:p>
    <w:p>
      <w:pPr>
        <w:spacing w:after="0" w:line="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is in breach or default under any Company Material Contract to which it is a party or by which it or any of its properties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stated (orally or in writing) that it does not intend to renew that agreement on terms substantially the same as, or no less favorable in any material respect to the Company and Company Subsidiaries than, the current agreement.</w:t>
      </w:r>
    </w:p>
    <w:p>
      <w:pPr>
        <w:spacing w:after="0" w:line="190"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and each Company Subsidiary (a) holds all authorizations, licenses, permits, certificates, variances, exemptions, approvals, orders, registrations and clearances of any Governmental Entity and (b) has filed all tariffs, reports, notices and other documents with any Governmental Entity, in the case of each of the foregoing clauses (a) and (b), that is necessary for the Company and each Company Subsidiary to own, lease and operate its properties and assets, and to carry on and operate its businesses as currently conducted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and (b) is, and since January 1, 2023, has been in compliance with all the terms and conditions of all Company Permits, except where the failure to comply with, to have, or the suspension or cancellation of, or failure to be valid or in full force and effect of, any of the Company Permits has not had and would not reasonably be expected to have, individually or in the aggregate, a Company Material Adverse Effect.</w:t>
      </w:r>
    </w:p>
    <w:p>
      <w:pPr>
        <w:spacing w:after="0" w:line="189" w:lineRule="exact"/>
        <w:rPr>
          <w:sz w:val="20"/>
          <w:szCs w:val="20"/>
          <w:color w:val="auto"/>
        </w:rPr>
      </w:pPr>
    </w:p>
    <w:p>
      <w:pPr>
        <w:jc w:val="both"/>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the Original Agreement, there are no Proceedings pending, or to the Knowledge of the Company, threatened against the Company or any of the Company Subsidiaries or any of their respective assets or properties or any of the officers or directors of the Company, nor have there been any such Proceedings within the past three (3) years, except, in each case, for those that have not had and would not reasonably be expected to have, individually or in the aggregate, a Company Material Adverse Effect or that challenges the validity or propriety of the transactions contemplated hereby. Neither the Company nor any of the Company Subsidiaries is subject to any Order that has or would reasonably be expected to have, individually or in the aggregate, a Company Material Adverse Effect.</w:t>
      </w:r>
    </w:p>
    <w:p>
      <w:pPr>
        <w:spacing w:after="0" w:line="187"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has not had or would not reasonably be expected to have, individually or in the aggregate, a Company Material Adverse Effect (a) each of the Company and the Company Subsidiaries is, and since January 1, 2023, has been, in compliance with all Environmental Laws and each has all Environmental Permits necessary for the conduct and operation of their respective businesses as now being conducted, and all such Environmental Permits are in good standing; (b) none of the Company or any Company Subsidiary has received any written notice, demand, letter or claim alleging that the Company or any Company Subsidiary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41" w:name="page42"/>
    <w:bookmarkEnd w:id="41"/>
    <w:p>
      <w:pPr>
        <w:jc w:val="both"/>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in violation of, or liable under, any Environmental Law, in each case, that remains pending or unresolved; (c) there has been no Release of or exposure of any Person to any Hazardous Substance by the Company, any Company Subsidiary, or, to the Knowledge of the Company, any other Person that has given rise or would reasonably be expected to give rise to any liability of the Company or any Company Subsidiary under Environmental Law, including at, in, on, under or from any Company Leased Real Property or, to the Knowledge of the Company, at, in, on, under or from any real property formerly owned, leased or operated by the Company or any Company Subsidiary; (d) none of the Company or any Company Subsidiary has entered into or agreed to any consent decree or order, or is subject to any judgment, decree or judicial order, relating to compliance with Environmental Laws, Environmental Permits or the investigation, sampling, monitoring, treatment, remediation, removal or cleanup of Hazardous Substances and no investigation, litigation or other proceeding is pending or, to the Knowledge of the Company, threatened with respect thereto; (e) none of the Company or any Company Subsidiary has assumed by Contract or by operation of Law any liabilities or obligations of any other Person under Environmental Law; and (f) the Company has made available to Parent copies of all reports, audits, assessments, and other similar material documents in the possession of the Company or any Company Subsidiary with respect to the environmental condition of the Company Leased Real Property or the Company’s or any Company Subsidiary’s compliance with Environmental Law.</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1428"/>
        <w:spacing w:after="0" w:line="261" w:lineRule="auto"/>
        <w:tabs>
          <w:tab w:leader="none" w:pos="170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Schedule sets forth a complete list of all (i) issued patents and pending patent applications, (ii) trademark and service mark registrations and applications, (iii) copyright registrations, (iv) design registrations and applications, and</w:t>
      </w:r>
    </w:p>
    <w:p>
      <w:pPr>
        <w:jc w:val="both"/>
        <w:ind w:left="4" w:hanging="4"/>
        <w:spacing w:after="0" w:line="250" w:lineRule="auto"/>
        <w:tabs>
          <w:tab w:leader="none" w:pos="2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domain name registrations, in each case that are owned or purported to be owned by the Company or any of the Company Subsidiaries (collectively, the “</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Except as would not reasonably be expected to have, individually or in the aggregate, a Company Material Adverse Effect, (A) each item of Company Registered Intellectual Property is subsisting,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 Each item of material Company Registered Intellectual Property (x) has not been abandoned or cancelled,</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maintained effective by all requisite filings, renewals and payments, and (z) remains in full force and effect.</w:t>
      </w:r>
    </w:p>
    <w:p>
      <w:pPr>
        <w:spacing w:after="0" w:line="206"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Company Owned Intellectual Property is owned exclusively by the Company or a Company Subsidiary, free and clear of all Liens (other than Permitted Liens), (ii) none of the execution, delivery or performance of this Agreement by the Company, the consummation by the Company of the Mergers or any other transaction contemplated by this Agreement will (with or without notice or lapse of time, or both) result in the loss, forfeiture, termination, or impairment of, or give rise to a right of any Person to limit, terminate, or consent to the continued use of, any rights of the Company or any of Company Subsidiaries in any Company Owned Intellectual Property or any other Intellectual Property that is used or held for use in the conduct of the business of the Company and the Company Subsidiaries as currently conducted that is licensed by the Company or any Company Subsidiaries pursuant to a Company Material Contract, and (iii) the Company owns and possesses all right, title and interest in and to (or has the right pursuant to a valid and enforceable license or otherwise possesses legally enforceable rights to use) all Intellectual Property that is used or held for use in the conduct of the business of the Company and the Company Subsidiaries as currently conducted.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70" w:right="439" w:bottom="1440" w:gutter="0" w:footer="0" w:header="0"/>
        </w:sectPr>
      </w:pPr>
    </w:p>
    <w:bookmarkStart w:id="42" w:name="page43"/>
    <w:bookmarkEnd w:id="42"/>
    <w:p>
      <w:pPr>
        <w:jc w:val="both"/>
        <w:ind w:firstLine="1428"/>
        <w:spacing w:after="0" w:line="253" w:lineRule="auto"/>
        <w:tabs>
          <w:tab w:leader="none" w:pos="170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have, individually or in the aggregate, a Company Material Adverse Effect, neither the Company nor any of the Company Subsidiaries is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written (or, to the Knowledge of the Company, oral) charge, complaint, claim, demand, or notice since January 1, 2023 (or earlier, if presently not resolved) alleging that the Company or any Company Subsidiary has infringed, misappropriated, diluted or otherwise violated the Intellectual Property rights of any Person. Except as would not reasonably be expected to have, individually or in the aggregate, a Company Material Adverse Effect, (i) to the Knowledge of the Company, no Person is infringing, misappropriating, diluting or otherwise violating any Company Owned Intellectual Property, and (ii) neither the Company nor any of the Company Subsidiaries has made or asserted any written charge, complaint, claim, demand or notice since January 1, 2023 (or earlier, if presently not resolved) alleging any such infringement, misappropriation, dilution, or violation.</w:t>
      </w:r>
    </w:p>
    <w:p>
      <w:pPr>
        <w:spacing w:after="0" w:line="194"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maintained all Trade Secrets included in the Company Owned Intellectual Property in confidence in accordance with procedures customarily used in the industry to protect rights of like importance and, to the Knowledge of the Company, there have been no unauthorized use or disclosure of any such Trade Secrets.</w:t>
      </w:r>
    </w:p>
    <w:p>
      <w:pPr>
        <w:spacing w:after="0" w:line="179" w:lineRule="exact"/>
        <w:rPr>
          <w:rFonts w:ascii="Times New Roman" w:cs="Times New Roman" w:eastAsia="Times New Roman" w:hAnsi="Times New Roman"/>
          <w:sz w:val="18"/>
          <w:szCs w:val="18"/>
          <w:color w:val="auto"/>
        </w:rPr>
      </w:pPr>
    </w:p>
    <w:p>
      <w:pPr>
        <w:jc w:val="both"/>
        <w:ind w:firstLine="1428"/>
        <w:spacing w:after="0" w:line="255" w:lineRule="auto"/>
        <w:tabs>
          <w:tab w:leader="none" w:pos="167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all former and current officers, directors, employees, personnel, consultants, advisors, agents, and independent contractors of the Company and the Company Subsidiaries, and each of their predecessors, who have contributed to or participated in the conception and development of Intellectual Property for such entities have entered into valid and binding proprietary rights agreements with the Company or one of the Company Subsidiaries or predecessors, vesting ownership of such Intellectual Property in the Company of a Company Subsidiary, and (ii) no such Person has asserted, and no such Person has, any right, title, interest or other claim in, or the right to receive any royalties or other consideration with respect to, any Company Owned Intellectual Property.</w:t>
      </w:r>
    </w:p>
    <w:p>
      <w:pPr>
        <w:spacing w:after="0" w:line="188"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support, funding, resources or assistance from any Governmental Entities, academic institutions, or research centers in the development of any Company Product, Software, technology or Intellectual Property that resulted in, or will result in, such third parties being granted any rights or licenses to, or ownership interest in, any Company Owned Intellectual Property that is material to the business of the Company or the Company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3" w:name="page44"/>
    <w:bookmarkEnd w:id="43"/>
    <w:p>
      <w:pPr>
        <w:jc w:val="both"/>
        <w:ind w:left="4" w:right="20" w:firstLine="1428"/>
        <w:spacing w:after="0" w:line="257" w:lineRule="auto"/>
        <w:tabs>
          <w:tab w:leader="none" w:pos="17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have, individually or in the aggregate, a Company Material Adverse Effect, no Open Source Material is used or compiled together with, or is otherwise linked or distributed with or incorporated into, any Software included in the Company Owned Intellectual Property in a manner that would require any portion of such Software (except the unmodified Open Source Material) be</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2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distributed in source code form, (ii) licensed for the purpose of making derivative works, or (iii) redistributable at no charge or minimal charge, or that otherwise grants to any other Person any right, immunity or license to any Company Owned Intellectual Property.</w:t>
      </w:r>
    </w:p>
    <w:p>
      <w:pPr>
        <w:spacing w:after="0" w:line="181"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70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have delivered, licensed or made available, or are under a duty or obligation (whether present, contingent, or otherwise) to deliver, license or make available, the source code for any Software that is Company Owned Intellectual Property to any escrow agent or other Person who is not an employee or consultant acting on behalf of the Company or any of the Company Subsidiaries (other than as part of software development kits).</w:t>
      </w:r>
    </w:p>
    <w:p>
      <w:pPr>
        <w:spacing w:after="0" w:line="179" w:lineRule="exact"/>
        <w:rPr>
          <w:rFonts w:ascii="Times New Roman" w:cs="Times New Roman" w:eastAsia="Times New Roman" w:hAnsi="Times New Roman"/>
          <w:sz w:val="18"/>
          <w:szCs w:val="18"/>
          <w:color w:val="auto"/>
        </w:rPr>
      </w:pPr>
    </w:p>
    <w:p>
      <w:pPr>
        <w:jc w:val="both"/>
        <w:ind w:left="4" w:firstLine="1428"/>
        <w:spacing w:after="0" w:line="256" w:lineRule="auto"/>
        <w:tabs>
          <w:tab w:leader="none" w:pos="166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Company Product contains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87"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6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computers,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operate and perform as required by the Company and the Company Subsidiaries for the conduct of their businesses as currently conducted, and have not malfunctioned or failed since January 1, 2023.</w:t>
      </w:r>
    </w:p>
    <w:p>
      <w:pPr>
        <w:spacing w:after="0" w:line="183" w:lineRule="exact"/>
        <w:rPr>
          <w:rFonts w:ascii="Times New Roman" w:cs="Times New Roman" w:eastAsia="Times New Roman" w:hAnsi="Times New Roman"/>
          <w:sz w:val="18"/>
          <w:szCs w:val="18"/>
          <w:color w:val="auto"/>
        </w:rPr>
      </w:pPr>
    </w:p>
    <w:p>
      <w:pPr>
        <w:jc w:val="both"/>
        <w:ind w:left="4" w:right="20" w:firstLine="1428"/>
        <w:spacing w:after="0" w:line="255" w:lineRule="auto"/>
        <w:tabs>
          <w:tab w:leader="none" w:pos="170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the Company Subsidiaries have (i) obtained all licenses and consents, provided all notices and disclosures, and taken all other steps, in each case to the extent required by applicable laws in order to collect and use all Training Data and AI Inputs used, or held for use, in connection with the conduct of the Company’s or any Company Subsidiaries’ business (including as needed to use Training Data to develop, train, refine, fine tune, test or improve the Company’s and Company Subsidiaries’ AI Technologies), and (ii) complied with all use restrictions and other requirements set forth in any Company Material Contract (including any website terms of use or terms of service) governing the collection and use of such Training Data and AI Inputs, including the collection of Scraped Dataset.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44" w:name="page45"/>
    <w:bookmarkEnd w:id="44"/>
    <w:p>
      <w:pPr>
        <w:jc w:val="both"/>
        <w:ind w:firstLine="1428"/>
        <w:spacing w:after="0" w:line="254" w:lineRule="auto"/>
        <w:tabs>
          <w:tab w:leader="none" w:pos="166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Company Subsidiaries have implemented commercially reasonable processes and policies (i) relating to the ethical or responsible use of AI Technologies at and by Company and Company Subsidiaries and (ii) designed to ensure that the Company AI Products can be reproduced, retrained, debugged and modified in a manner consistent with industry standard procedures. Except as would not reasonably be expected to have, individually or in the aggregate, a Company Material Adverse Effect, to the Knowledge of the Company, there has been no (i) actual or alleged non-compliance with any such policies or claims or allegations challenging the Company’s ethical use of AI Technologies; (ii) no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(iii) no written request for information or testimony from regulators or legislators concerning any Company Product or related AI Technologies.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4" w:lineRule="auto"/>
        <w:tabs>
          <w:tab w:leader="none" w:pos="16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each of the Company Subsidiaries complies, and to the Knowledge of the Company, all affiliates and/or third parties with respect to the Processing of Personal Information on behalf of, and/or sharing Personal Information with, the Company or any Company Subsidiary (collectively, “</w:t>
      </w:r>
      <w:r>
        <w:rPr>
          <w:rFonts w:ascii="Times New Roman" w:cs="Times New Roman" w:eastAsia="Times New Roman" w:hAnsi="Times New Roman"/>
          <w:sz w:val="18"/>
          <w:szCs w:val="18"/>
          <w:u w:val="single" w:color="auto"/>
          <w:color w:val="auto"/>
        </w:rPr>
        <w:t>Data Partners</w:t>
      </w:r>
      <w:r>
        <w:rPr>
          <w:rFonts w:ascii="Times New Roman" w:cs="Times New Roman" w:eastAsia="Times New Roman" w:hAnsi="Times New Roman"/>
          <w:sz w:val="18"/>
          <w:szCs w:val="18"/>
          <w:color w:val="auto"/>
        </w:rPr>
        <w:t>”), has for the past three (3) years complied with (i) policies and/or notices relating to privacy, security, or the Processing of Personal Information, (ii) contractual commitments related to privacy, security, or the Processing of Personal Information, and (iii) Privacy and Security Laws (collectively,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Except as would not reasonably be expected to have, individually or in the aggregate, a Company Material Adverse Effect, the Company and its Subsidiaries have at all times provided all required notices, and obtained all necessary consents, to Process Personal Information by or for the Company or any of its Subsidiaries.</w:t>
      </w:r>
    </w:p>
    <w:p>
      <w:pPr>
        <w:spacing w:after="0" w:line="191" w:lineRule="exact"/>
        <w:rPr>
          <w:rFonts w:ascii="Times New Roman" w:cs="Times New Roman" w:eastAsia="Times New Roman" w:hAnsi="Times New Roman"/>
          <w:sz w:val="18"/>
          <w:szCs w:val="18"/>
          <w:color w:val="auto"/>
        </w:rPr>
      </w:pPr>
    </w:p>
    <w:p>
      <w:pPr>
        <w:jc w:val="both"/>
        <w:ind w:right="20" w:firstLine="1428"/>
        <w:spacing w:after="0" w:line="253" w:lineRule="auto"/>
        <w:tabs>
          <w:tab w:leader="none" w:pos="16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the Company and each of the Company Subsidiaries have at all times implemented, maintained and complied with commercially reasonable technical, physical, and organizational measures, including a written information security program, that complies with Privacy Requirements and is designed to protect Personal Information and other confidential information in their possession or under their control against Security Incidents, and required all Data Partners to at all times implement, maintain and comply with, commercially reasonable technical, physical, and organizational measures. The Company and the Company Subsidiaries regularly test their written information security program by conducting security audits, penetration tests, and/or vulnerability scans, and, except as would not reasonably be expected to be material to the Company and its Subsidiaries, taken as a whole, the Company nor any Company Subsidiary has identified any high or critical vulnerabilities that have not been fully remediated. To the Knowledge of the Company, neither the Company nor any Company Subsidiary, nor any Data Partner with respect to its Processing of Personal Information on behalf of the Company or any Company Subsidiary, has experienced any material Security Incidents.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45" w:name="page46"/>
    <w:bookmarkEnd w:id="45"/>
    <w:p>
      <w:pPr>
        <w:jc w:val="both"/>
        <w:ind w:left="4" w:firstLine="1428"/>
        <w:spacing w:after="0" w:line="253" w:lineRule="auto"/>
        <w:tabs>
          <w:tab w:leader="none" w:pos="169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have, individually or in the aggregate, a Company Material Adverse Effect, the Company has developed, used and deployed the Company AI Products in compliance with all Privacy Requirements. Except as would not reasonably be expected to have, individually or in the aggregate, a Company Material Adverse Effect, the Company has obtained all consents, provided all notices, and taken all other steps required by the Privacy Requirements to collect, use, or otherwise Process any AI Input in connection with the Company AI Products, including to train, validate, test, or improve such Company AI Products. No Personal Information was or is used to train, validate, test, or improve the Company AI Products. The Company has not included and does not include any Personal Information in any AI Input, except in cases where such AI Input is not used to train, validate, test, or improve the Company AI Products or any third-party AI Technologies. The Company has implemented processes to ensure that (i) no AI Input or AI Output contains any Personal Information, and (ii) no Company AI Product is used by the Company in furtherance of a decision that produces a legal or similarly significant effect concerning individuals, or for the purpose of “automated decision-making” or “profiling” of individuals, as such terms are defined under Privacy Requirements or other applicable Laws.</w:t>
      </w:r>
    </w:p>
    <w:p>
      <w:pPr>
        <w:spacing w:after="0" w:line="194"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69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in relation to any Security Incident and/or actual, alleged, or potential violation of a Privacy Requirement, neither the Company nor any Company Subsidiary has</w:t>
      </w:r>
    </w:p>
    <w:p>
      <w:pPr>
        <w:ind w:left="4" w:right="20" w:hanging="4"/>
        <w:spacing w:after="0" w:line="260" w:lineRule="auto"/>
        <w:tabs>
          <w:tab w:leader="none" w:pos="2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notified or been required to notify any Person, or (ii) received any notice, claim, or complaint from any Person, or been the subject of any investigation or enforcement action by any Person.</w:t>
      </w:r>
    </w:p>
    <w:p>
      <w:pPr>
        <w:spacing w:after="0" w:line="181"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69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Mergers does not and will not materially conflict with or result in a material violation or breach of any Privacy Requirements or require the consent of or provision of notice to any Person concerning such Person’s Personal Information.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 Except as has not had and would not reasonably be expected to have, individually or in the aggregate, a Company Material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Adverse Effect:</w:t>
      </w:r>
    </w:p>
    <w:p>
      <w:pPr>
        <w:spacing w:after="0" w:line="99" w:lineRule="exact"/>
        <w:rPr>
          <w:sz w:val="20"/>
          <w:szCs w:val="20"/>
          <w:color w:val="auto"/>
        </w:rPr>
      </w:pPr>
    </w:p>
    <w:p>
      <w:pPr>
        <w:jc w:val="both"/>
        <w:ind w:left="4" w:right="20" w:firstLine="1979"/>
        <w:spacing w:after="0" w:line="266" w:lineRule="auto"/>
        <w:tabs>
          <w:tab w:leader="none" w:pos="22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the Company and the Company Subsidiaries have been timely filed (taking into account any extension of time within which to file) with the appropriate Governmental Entity and all such Tax Returns are true, correct and complete in all respects;</w:t>
      </w:r>
    </w:p>
    <w:p>
      <w:pPr>
        <w:spacing w:after="0" w:line="175"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2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payable by the Company and the Company Subsidiaries (whether or not shown to be due and payable on any Tax Return) have been fully and timely paid to the appropriate Governmental Entity;</w:t>
      </w:r>
    </w:p>
    <w:p>
      <w:pPr>
        <w:spacing w:after="0" w:line="161" w:lineRule="exact"/>
        <w:rPr>
          <w:rFonts w:ascii="Times New Roman" w:cs="Times New Roman" w:eastAsia="Times New Roman" w:hAnsi="Times New Roman"/>
          <w:sz w:val="18"/>
          <w:szCs w:val="18"/>
          <w:color w:val="auto"/>
        </w:rPr>
      </w:pPr>
    </w:p>
    <w:p>
      <w:pPr>
        <w:jc w:val="both"/>
        <w:ind w:left="4" w:firstLine="1979"/>
        <w:spacing w:after="0" w:line="258" w:lineRule="auto"/>
        <w:tabs>
          <w:tab w:leader="none" w:pos="2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and the Company Subsidiaries did not, as of the date of the most recent Company Financial Statements, exceed the reserve for Tax liability (excluding any reserve for deferred Taxes established to reflect timing differences between book and Tax income) set forth on the face of the balance sheets included in such Company Financial Statements (rather than in any notes thereto). Since the date of the most recent Company Financial Statements, the Company and the Company Subsidiaries have not incurred any liability for Taxes outside the ordinary course of business or otherwise inconsistent with past custom and practice;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46" w:name="page47"/>
    <w:bookmarkEnd w:id="46"/>
    <w:p>
      <w:pPr>
        <w:jc w:val="both"/>
        <w:ind w:left="4" w:right="20" w:firstLine="1979"/>
        <w:spacing w:after="0" w:line="258" w:lineRule="auto"/>
        <w:tabs>
          <w:tab w:leader="none" w:pos="232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the Company Subsidiaries have (i) timely paid, deducted, withheld and collected all amounts in respect of Taxes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withholding Tax requirements imposed on or with respect to the Company and the Company Subsidiaries;</w:t>
      </w:r>
    </w:p>
    <w:p>
      <w:pPr>
        <w:spacing w:after="0" w:line="183" w:lineRule="exact"/>
        <w:rPr>
          <w:rFonts w:ascii="Times New Roman" w:cs="Times New Roman" w:eastAsia="Times New Roman" w:hAnsi="Times New Roman"/>
          <w:sz w:val="18"/>
          <w:szCs w:val="18"/>
          <w:color w:val="auto"/>
        </w:rPr>
      </w:pPr>
    </w:p>
    <w:p>
      <w:pPr>
        <w:jc w:val="both"/>
        <w:ind w:left="4" w:firstLine="1979"/>
        <w:spacing w:after="0" w:line="266" w:lineRule="auto"/>
        <w:tabs>
          <w:tab w:leader="none" w:pos="226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agreements, consents, extensions or waivers have been entered into, given or requested with respect to the assessment or payment of any Taxes or the filing of Tax Returns of the Company or any Company Subsidiary (other than extension of time to file Tax Returns obtained in the ordinary course of business consistent with past practice for the filing of Tax Returns);</w:t>
      </w:r>
    </w:p>
    <w:p>
      <w:pPr>
        <w:spacing w:after="0" w:line="175" w:lineRule="exact"/>
        <w:rPr>
          <w:rFonts w:ascii="Times New Roman" w:cs="Times New Roman" w:eastAsia="Times New Roman" w:hAnsi="Times New Roman"/>
          <w:sz w:val="18"/>
          <w:szCs w:val="18"/>
          <w:color w:val="auto"/>
        </w:rPr>
      </w:pPr>
    </w:p>
    <w:p>
      <w:pPr>
        <w:jc w:val="both"/>
        <w:ind w:left="4" w:right="20" w:firstLine="1979"/>
        <w:spacing w:after="0" w:line="261" w:lineRule="auto"/>
        <w:tabs>
          <w:tab w:leader="none" w:pos="230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assessment, adjustment or deficiency for any amount of Taxes has been asserted or threatened in writing by any Governmental Entity against the Company or any Company Subsidiary, except for claims, assessments, adjustments or deficiencies being contested in good faith by appropriate Proceedings for which adequate reserves have been established in accordance with GAAP on the financial statements of the Company and the Company Subsidiaries;</w:t>
      </w:r>
    </w:p>
    <w:p>
      <w:pPr>
        <w:spacing w:after="0" w:line="179"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34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disputes, audits, examinations, investigations or other Proceedings in progress, or to the Knowledge of the Company, pending or threatened, by any Governmental Entity with respect to any Taxes or Tax Returns of the Company or any Company Subsidiary;</w:t>
      </w:r>
    </w:p>
    <w:p>
      <w:pPr>
        <w:spacing w:after="0" w:line="161" w:lineRule="exact"/>
        <w:rPr>
          <w:rFonts w:ascii="Times New Roman" w:cs="Times New Roman" w:eastAsia="Times New Roman" w:hAnsi="Times New Roman"/>
          <w:sz w:val="18"/>
          <w:szCs w:val="18"/>
          <w:color w:val="auto"/>
        </w:rPr>
      </w:pPr>
    </w:p>
    <w:p>
      <w:pPr>
        <w:jc w:val="both"/>
        <w:ind w:left="4" w:right="20" w:firstLine="1979"/>
        <w:spacing w:after="0" w:line="266" w:lineRule="auto"/>
        <w:tabs>
          <w:tab w:leader="none" w:pos="24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six years, no Governmental Entity has made an assertion in writing to the Company or any Company Subsidiary in a jurisdiction where the Company or any Company Subsidiary does not currently file a Tax Return that the Company and/or Company Subsidiary is, was or may be subject to any Tax, or required to file Tax Returns, in such jurisdiction;</w:t>
      </w:r>
    </w:p>
    <w:p>
      <w:pPr>
        <w:spacing w:after="0" w:line="175" w:lineRule="exact"/>
        <w:rPr>
          <w:rFonts w:ascii="Times New Roman" w:cs="Times New Roman" w:eastAsia="Times New Roman" w:hAnsi="Times New Roman"/>
          <w:sz w:val="18"/>
          <w:szCs w:val="18"/>
          <w:color w:val="auto"/>
        </w:rPr>
      </w:pPr>
    </w:p>
    <w:p>
      <w:pPr>
        <w:jc w:val="both"/>
        <w:ind w:left="4" w:right="20" w:firstLine="1979"/>
        <w:spacing w:after="0" w:line="257" w:lineRule="auto"/>
        <w:tabs>
          <w:tab w:leader="none" w:pos="230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is a party to any Tax-allocation, Tax-sharing, Tax-indemnity or similar agreement (not including, for the avoidance of doubt (I) an agreement or arrangement solely between or among the Company and/or any of the Company Subsidiaries or (II) any customary commercial Contract not primarily related to Taxes and entered into in the ordinary course of business) or</w:t>
      </w:r>
    </w:p>
    <w:p>
      <w:pPr>
        <w:spacing w:after="0" w:line="1" w:lineRule="exact"/>
        <w:rPr>
          <w:rFonts w:ascii="Times New Roman" w:cs="Times New Roman" w:eastAsia="Times New Roman" w:hAnsi="Times New Roman"/>
          <w:sz w:val="18"/>
          <w:szCs w:val="18"/>
          <w:color w:val="auto"/>
        </w:rPr>
      </w:pPr>
    </w:p>
    <w:p>
      <w:pPr>
        <w:ind w:left="4" w:right="20" w:hanging="4"/>
        <w:spacing w:after="0" w:line="260" w:lineRule="auto"/>
        <w:tabs>
          <w:tab w:leader="none" w:pos="29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requested or is subject to any IRS private letter ruling or closing agreement (within the meaning of Section 7121(a) of the Code or any similar or analogous provision of state, local or non-U.S. Tax Law) or any comparable ruling from or agreement with any other Governmental Entity;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70" w:right="439" w:bottom="1440" w:gutter="0" w:footer="0" w:header="0"/>
        </w:sectPr>
      </w:pPr>
    </w:p>
    <w:bookmarkStart w:id="47" w:name="page48"/>
    <w:bookmarkEnd w:id="47"/>
    <w:p>
      <w:pPr>
        <w:jc w:val="both"/>
        <w:ind w:left="4" w:firstLine="1979"/>
        <w:spacing w:after="0" w:line="258" w:lineRule="auto"/>
        <w:tabs>
          <w:tab w:leader="none" w:pos="225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Company Subsidiary (A) has been a member of an affiliated group of corporations within the meaning of Section 1504 of the Code (other than a group the common parent of which is or was the Company) or (B) has any liability for Taxes of any Person (other than the Company or the Company Subsidiaries) under Treasury Regulations Section 1.1502-6 (or any similar provision of state, local or non-U.S. Tax Law), as a transferee or successor, by Contract (other than any customary commercial Contract not primarily related to Taxes and entered into the ordinary course of business), or otherwise by operation of Law;</w:t>
      </w:r>
    </w:p>
    <w:p>
      <w:pPr>
        <w:spacing w:after="0" w:line="183" w:lineRule="exact"/>
        <w:rPr>
          <w:rFonts w:ascii="Times New Roman" w:cs="Times New Roman" w:eastAsia="Times New Roman" w:hAnsi="Times New Roman"/>
          <w:sz w:val="18"/>
          <w:szCs w:val="18"/>
          <w:color w:val="auto"/>
        </w:rPr>
      </w:pPr>
    </w:p>
    <w:p>
      <w:pPr>
        <w:ind w:left="2324" w:hanging="341"/>
        <w:spacing w:after="0"/>
        <w:tabs>
          <w:tab w:leader="none" w:pos="23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property or assets of the Company or the Company Subsidiaries, other than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06"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35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participated in any “listed transaction” within the meaning of Treasury Regulations Section 1.6011-4(b)(2) (or under a similar provision of state, local, or non-U.S. Tax Law);</w:t>
      </w:r>
    </w:p>
    <w:p>
      <w:pPr>
        <w:spacing w:after="0" w:line="161" w:lineRule="exact"/>
        <w:rPr>
          <w:rFonts w:ascii="Times New Roman" w:cs="Times New Roman" w:eastAsia="Times New Roman" w:hAnsi="Times New Roman"/>
          <w:sz w:val="18"/>
          <w:szCs w:val="18"/>
          <w:color w:val="auto"/>
        </w:rPr>
      </w:pPr>
    </w:p>
    <w:p>
      <w:pPr>
        <w:jc w:val="both"/>
        <w:ind w:left="4" w:right="20" w:firstLine="1979"/>
        <w:spacing w:after="0" w:line="261" w:lineRule="auto"/>
        <w:tabs>
          <w:tab w:leader="none" w:pos="241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w:t>
      </w:r>
    </w:p>
    <w:p>
      <w:pPr>
        <w:jc w:val="both"/>
        <w:ind w:left="4" w:right="20" w:hanging="4"/>
        <w:spacing w:after="0" w:line="255" w:lineRule="auto"/>
        <w:tabs>
          <w:tab w:leader="none" w:pos="3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method of accounting, or use of an improper method of accounting, in each case, occurring prior to the Closing Date, (B) any installment sale or other transaction on or prior to the Closing Date, or (C) a prepaid amount received (or deferred revenue recognized) or paid, prior to the Closing Date or (ii) has made an election pursuant to Section 965(h) of the Code;</w:t>
      </w:r>
    </w:p>
    <w:p>
      <w:pPr>
        <w:spacing w:after="0" w:line="185" w:lineRule="exact"/>
        <w:rPr>
          <w:rFonts w:ascii="Times New Roman" w:cs="Times New Roman" w:eastAsia="Times New Roman" w:hAnsi="Times New Roman"/>
          <w:sz w:val="18"/>
          <w:szCs w:val="18"/>
          <w:color w:val="auto"/>
        </w:rPr>
      </w:pPr>
    </w:p>
    <w:p>
      <w:pPr>
        <w:jc w:val="both"/>
        <w:ind w:left="4" w:firstLine="1979"/>
        <w:spacing w:after="0" w:line="255" w:lineRule="auto"/>
        <w:tabs>
          <w:tab w:leader="none" w:pos="238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non-U.S. Tax Law); (iii) has been a “personal holding company” as defined in Section 542 of the Code (or any similar provision of state, local or non-U.S. Tax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spacing w:after="0" w:line="188" w:lineRule="exact"/>
        <w:rPr>
          <w:rFonts w:ascii="Times New Roman" w:cs="Times New Roman" w:eastAsia="Times New Roman" w:hAnsi="Times New Roman"/>
          <w:sz w:val="18"/>
          <w:szCs w:val="18"/>
          <w:color w:val="auto"/>
        </w:rPr>
      </w:pPr>
    </w:p>
    <w:p>
      <w:pPr>
        <w:jc w:val="both"/>
        <w:ind w:left="4" w:firstLine="1979"/>
        <w:spacing w:after="0" w:line="261" w:lineRule="auto"/>
        <w:tabs>
          <w:tab w:leader="none" w:pos="235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treated the 2026 Notes, the First Lien Notes and the Second Lien Notes as debt for U.S. federal income tax and financial accounting purposes and, except to the extent otherwise required by a change in applicable Law or GAAP after the date of the Original Agreement, will continue to treat the 2026 Notes, the First Lien Notes and the Second Lien Notes as debt for U.S. federal income tax and financial accounting purposes at all times through and immediately after the Second Effective Time; and</w:t>
      </w:r>
    </w:p>
    <w:p>
      <w:pPr>
        <w:spacing w:after="0" w:line="179" w:lineRule="exact"/>
        <w:rPr>
          <w:rFonts w:ascii="Times New Roman" w:cs="Times New Roman" w:eastAsia="Times New Roman" w:hAnsi="Times New Roman"/>
          <w:sz w:val="18"/>
          <w:szCs w:val="18"/>
          <w:color w:val="auto"/>
        </w:rPr>
      </w:pPr>
    </w:p>
    <w:p>
      <w:pPr>
        <w:jc w:val="both"/>
        <w:ind w:left="4" w:right="20" w:firstLine="1979"/>
        <w:spacing w:after="0" w:line="266" w:lineRule="auto"/>
        <w:tabs>
          <w:tab w:leader="none" w:pos="239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non-U.S. Tax Law) in the two years prior to the date of the Original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70" w:right="439" w:bottom="1440" w:gutter="0" w:footer="0" w:header="0"/>
        </w:sectPr>
      </w:pPr>
    </w:p>
    <w:bookmarkStart w:id="48" w:name="page49"/>
    <w:bookmarkEnd w:id="48"/>
    <w:p>
      <w:pPr>
        <w:jc w:val="both"/>
        <w:ind w:right="20" w:firstLine="1428"/>
        <w:spacing w:after="0" w:line="261" w:lineRule="auto"/>
        <w:tabs>
          <w:tab w:leader="none" w:pos="17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neither the Company nor any Company Subsidiary makes any representation or warranty as to the amount, limitation on, existence or availability of any net operating loss carryforward, capital loss carryforward, Tax credit carryforward or other Tax attribute of the Company or any Company Subsidiary with respect to any taxable period (or portion thereof) beginning after the Closing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82" w:lineRule="auto"/>
        <w:tabs>
          <w:tab w:leader="none" w:pos="16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owns, or has ever (or, in the case of each Company Subsidiary, for so long as such Person has been a Subsidiary of the Company) owned, any real property.</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 sets forth (i) a true and complete list of all material real property leased, subleased or otherwise occupied by the Company or any of the Company Subsidiaries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(ii) the address for such Company Leased Real Property, and (iii) a description of the applicable lease, sublease or other agreement therefore and any and all amendments and modifications relating thereto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428"/>
        <w:spacing w:after="0" w:line="261" w:lineRule="auto"/>
        <w:tabs>
          <w:tab w:leader="none" w:pos="1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Leased Real Property.</w:t>
      </w:r>
    </w:p>
    <w:p>
      <w:pPr>
        <w:spacing w:after="0" w:line="179" w:lineRule="exact"/>
        <w:rPr>
          <w:rFonts w:ascii="Times New Roman" w:cs="Times New Roman" w:eastAsia="Times New Roman" w:hAnsi="Times New Roman"/>
          <w:sz w:val="18"/>
          <w:szCs w:val="18"/>
          <w:color w:val="auto"/>
        </w:rPr>
      </w:pPr>
    </w:p>
    <w:p>
      <w:pPr>
        <w:jc w:val="both"/>
        <w:ind w:firstLine="1428"/>
        <w:spacing w:after="0" w:line="261" w:lineRule="auto"/>
        <w:tabs>
          <w:tab w:leader="none" w:pos="16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(except for Permitted Liens); except as has not had and would not reasonably be expected to have, individually or in the aggregate, a Company Material Adverse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82" w:lineRule="auto"/>
        <w:tabs>
          <w:tab w:leader="none" w:pos="171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Company Subsidiary, and each Company Representative is and, since January 1, 2021, has been in compliance with the Anti-Corruption Laws.</w:t>
      </w:r>
    </w:p>
    <w:p>
      <w:pPr>
        <w:spacing w:after="0" w:line="161"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of their respective officers, managers, directors, employees, nor, to the Knowledge of the Company, any of their agents, representatives, or other Persons acting for or on behalf of the Company or any Company Subsidiary have made any corrupt payment or corruptly given, offered, paid, promised, authorized, solicited, or received, or agreed to give or receive, any money or thing of value, directly or indirectly, to or from any Person, including any Government Official, in each case in violation of applicable Anti-Corruption Laws.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49" w:name="page50"/>
    <w:bookmarkEnd w:id="49"/>
    <w:p>
      <w:pPr>
        <w:jc w:val="both"/>
        <w:ind w:firstLine="1428"/>
        <w:spacing w:after="0" w:line="255" w:lineRule="auto"/>
        <w:tabs>
          <w:tab w:leader="none" w:pos="16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Company Subsidiary nor any Company Representative acting for or on behalf of the Company or any Company Subsidiary has made any voluntary or involuntary disclosure to any Governmental Entity under the Anti- Corruption Laws, and there have been no actual, suspected, or threatened written or, to the Knowledge of the Company, oral allegations, inquiries, investigations (internal or governmental), enforcement actions by any Governmental Entity, or whistleblower reports regarding compliance by the Company, any Company Subsidiary, or any Company Representative with Anti-Corruption Laws, and no Governmental Entity has assessed any fine or penalty against the Company, any Company Subsidiary, or any Company Representative, or issued any warning letter to the Company, any Company Subsidiary, or any Company Representative, with regard to compliance with Anti-Corruption Laws.</w:t>
      </w:r>
    </w:p>
    <w:p>
      <w:pPr>
        <w:spacing w:after="0" w:line="188" w:lineRule="exact"/>
        <w:rPr>
          <w:rFonts w:ascii="Times New Roman" w:cs="Times New Roman" w:eastAsia="Times New Roman" w:hAnsi="Times New Roman"/>
          <w:sz w:val="18"/>
          <w:szCs w:val="18"/>
          <w:color w:val="auto"/>
        </w:rPr>
      </w:pPr>
    </w:p>
    <w:p>
      <w:pPr>
        <w:ind w:firstLine="1428"/>
        <w:spacing w:after="0" w:line="282" w:lineRule="auto"/>
        <w:tabs>
          <w:tab w:leader="none" w:pos="171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established and maintain and enforce policies and procedures reasonably designed to promote and achieve compliance with the Anti-Corruption Laws applicable to the Company and the Company Subsidiaries.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International Trade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8" w:lineRule="auto"/>
        <w:tabs>
          <w:tab w:leader="none" w:pos="167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or engaged in transactions, dealings, or activities that might reasonably cause such Person to become a Sanctioned Person; (ii) engaged in any dealings or transactions with, involving or for the benefit of any Sanctioned Person or in or with any Sanctioned Country; or (iii) otherwise in violation of applicable Sanctions.</w:t>
      </w:r>
    </w:p>
    <w:p>
      <w:pPr>
        <w:spacing w:after="0" w:line="183"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five years prior to the date of the Original Agreement, has been in compliance, (i) has been in compliance, in all material respects, with all Trade Compliance Laws, and (ii) has not been subject to debarment or list-based designations under any Trade Compliance Laws.</w:t>
      </w:r>
    </w:p>
    <w:p>
      <w:pPr>
        <w:spacing w:after="0" w:line="183" w:lineRule="exact"/>
        <w:rPr>
          <w:rFonts w:ascii="Times New Roman" w:cs="Times New Roman" w:eastAsia="Times New Roman" w:hAnsi="Times New Roman"/>
          <w:sz w:val="18"/>
          <w:szCs w:val="18"/>
          <w:color w:val="auto"/>
        </w:rPr>
      </w:pPr>
    </w:p>
    <w:p>
      <w:pPr>
        <w:jc w:val="both"/>
        <w:ind w:firstLine="1428"/>
        <w:spacing w:after="0" w:line="256" w:lineRule="auto"/>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and the Company Subsidiaries have not made any voluntary or involuntary disclosure to any Governmental Entity regarding the actual or possible violations of Sanctions or Trade Compliance Laws, and there have been no actual or threatened inquiries, allegations, requests for information, investigations, or enforcement actions by any Governmental Entity regarding the actual or possible violation of Sanctions or Trade Compliance Laws by the Company or any Company Subsidiary, and no Governmental Entity has assessed any fine or penalty against, or issued any warning letter to, the Company or any Company Subsidiary with regard to compliance with Sanctions or Trade Compliance Laws.</w:t>
      </w:r>
    </w:p>
    <w:p>
      <w:pPr>
        <w:spacing w:after="0" w:line="187" w:lineRule="exact"/>
        <w:rPr>
          <w:rFonts w:ascii="Times New Roman" w:cs="Times New Roman" w:eastAsia="Times New Roman" w:hAnsi="Times New Roman"/>
          <w:sz w:val="18"/>
          <w:szCs w:val="18"/>
          <w:color w:val="auto"/>
        </w:rPr>
      </w:pPr>
    </w:p>
    <w:p>
      <w:pPr>
        <w:ind w:firstLine="1428"/>
        <w:spacing w:after="0" w:line="282" w:lineRule="auto"/>
        <w:tabs>
          <w:tab w:leader="none" w:pos="169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since April 24, 2019, implemented and maintain policies and procedures to promote compliance with Sanctions and Trade Compliance Laws.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50" w:name="page51"/>
    <w:bookmarkEnd w:id="50"/>
    <w:p>
      <w:pPr>
        <w:jc w:val="both"/>
        <w:ind w:firstLine="1428"/>
        <w:spacing w:after="0" w:line="266" w:lineRule="auto"/>
        <w:tabs>
          <w:tab w:leader="none" w:pos="16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spacing w:after="0" w:line="175" w:lineRule="exact"/>
        <w:rPr>
          <w:rFonts w:ascii="Times New Roman" w:cs="Times New Roman" w:eastAsia="Times New Roman" w:hAnsi="Times New Roman"/>
          <w:sz w:val="18"/>
          <w:szCs w:val="18"/>
          <w:color w:val="auto"/>
        </w:rPr>
      </w:pPr>
    </w:p>
    <w:p>
      <w:pPr>
        <w:jc w:val="both"/>
        <w:ind w:firstLine="1428"/>
        <w:spacing w:after="0" w:line="266" w:lineRule="auto"/>
        <w:tabs>
          <w:tab w:leader="none" w:pos="16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spacing w:after="0" w:line="176"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(the “</w:t>
      </w:r>
      <w:r>
        <w:rPr>
          <w:rFonts w:ascii="Times New Roman" w:cs="Times New Roman" w:eastAsia="Times New Roman" w:hAnsi="Times New Roman"/>
          <w:sz w:val="18"/>
          <w:szCs w:val="18"/>
          <w:u w:val="single" w:color="auto"/>
          <w:color w:val="auto"/>
        </w:rPr>
        <w:t>Company Fairness Opinion</w:t>
      </w:r>
      <w:r>
        <w:rPr>
          <w:rFonts w:ascii="Times New Roman" w:cs="Times New Roman" w:eastAsia="Times New Roman" w:hAnsi="Times New Roman"/>
          <w:sz w:val="18"/>
          <w:szCs w:val="18"/>
          <w:color w:val="auto"/>
        </w:rPr>
        <w:t>”) of Houlihan Lokey Capital, Inc. (“</w:t>
      </w:r>
      <w:r>
        <w:rPr>
          <w:rFonts w:ascii="Times New Roman" w:cs="Times New Roman" w:eastAsia="Times New Roman" w:hAnsi="Times New Roman"/>
          <w:sz w:val="18"/>
          <w:szCs w:val="18"/>
          <w:u w:val="single" w:color="auto"/>
          <w:color w:val="auto"/>
        </w:rPr>
        <w:t>Houlihan Lokey</w:t>
      </w:r>
      <w:r>
        <w:rPr>
          <w:rFonts w:ascii="Times New Roman" w:cs="Times New Roman" w:eastAsia="Times New Roman" w:hAnsi="Times New Roman"/>
          <w:sz w:val="18"/>
          <w:szCs w:val="18"/>
          <w:color w:val="auto"/>
        </w:rPr>
        <w:t>”), to the effect that, as of the date of the Company Fairness Opinion, and based upon and subject to the various qualifications, assumptions, limitations and other matters set forth therein, the Per Share Merger Consideration to be received by the holders of Company Common Stock for their shares of Company Common Stock in the Mergers pursuant to this Agreement was fair, from a financial point of view, to such holders (solely in their capacity as holders of Company Common Stock). The Company made available to Parent a copy of such opinion following the execution of the Original Agreement for informational purposes only.</w:t>
      </w:r>
    </w:p>
    <w:p>
      <w:pPr>
        <w:spacing w:after="0" w:line="187"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the Company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date(s) the Proxy Statement/Prospectus is first mailed to the stockholders of the Company, or at the time of the Company Stockholders Meeting,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w:t>
      </w:r>
    </w:p>
    <w:p>
      <w:pPr>
        <w:spacing w:after="0" w:line="192"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Board has approved this Agreement and the transactions contemplated hereby and has taken all such other necessary actions as required to render inapplicable to this Agreement and the transactions contemplated hereby the provisions of any potentially applicable takeover Laws of any state, including any “moratorium,” “control share,” “fair price,” “takeover” or “interested shareholder” Law or similar provision of the Company Charter or the Company Bylaws (any of the foregoing,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51" w:name="page52"/>
    <w:bookmarkEnd w:id="51"/>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3.24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outstanding amounts payable to or receivable from, or advances by the Company, or any Company Subsidiary to, and neither the Company, nor any of the Company Subsidiaries is otherwise a creditor or debtor to, or party to any Contract or transaction with, any holder of five percent (5%) or more of the shares of Company Common Stock, or any director, officer or employee of the Company or any Company Subsidiary, or, to the Knowledge of the Company, any relative of any of the foregoing (in each case, any such Person,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except for employment or compensation agreements or arrangements with directors, officers and employees made in the ordinary course consistent with past practice.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have, individually or in the aggregate, a Company Material Adverse Effect,</w:t>
      </w:r>
    </w:p>
    <w:p>
      <w:pPr>
        <w:spacing w:after="0" w:line="27" w:lineRule="exact"/>
        <w:rPr>
          <w:sz w:val="20"/>
          <w:szCs w:val="20"/>
          <w:color w:val="auto"/>
        </w:rPr>
      </w:pPr>
    </w:p>
    <w:p>
      <w:pPr>
        <w:jc w:val="both"/>
        <w:ind w:left="4" w:hanging="4"/>
        <w:spacing w:after="0" w:line="252" w:lineRule="auto"/>
        <w:tabs>
          <w:tab w:leader="none" w:pos="2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policies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 or permit termination or material modification of any of the insurance policies. Since January 1, 2023, neither the Company nor any Company Subsidiary has received any written notice of termination or cancellation or denial of coverage with respect to any material insurance policy.</w:t>
      </w:r>
    </w:p>
    <w:p>
      <w:pPr>
        <w:spacing w:after="0" w:line="188"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Company’s obligations to Lazard Frères &amp; Co. LLC and Houlihan Lokey, no broker, investment banker, financial advisor or other Person is entitled to any brokerage, finders’, advisory or similar fee in connection with the transactions contemplated by this Agreement, including the Mergers.</w:t>
      </w:r>
    </w:p>
    <w:p>
      <w:pPr>
        <w:spacing w:after="0" w:line="176"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none of the Company, any of its affiliates or any other Person on behalf of the Company makes any express or implied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70" w:right="4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SUBS</w:t>
      </w:r>
    </w:p>
    <w:p>
      <w:pPr>
        <w:spacing w:after="0" w:line="207" w:lineRule="exact"/>
        <w:rPr>
          <w:sz w:val="20"/>
          <w:szCs w:val="20"/>
          <w:color w:val="auto"/>
        </w:rPr>
      </w:pPr>
    </w:p>
    <w:p>
      <w:pPr>
        <w:jc w:val="both"/>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Except as otherwise disclosed or identified in the Parent SEC Documents filed or furnished by Parent with the SEC on or after January 1, 2024 and at least two Business Days prior to the date of the Original Agreement (other than forward-looking disclosures contained in the “Forward Looking Statements” and “Risk Factors” sections of the Parent SEC Documents and any other disclosures included therein to the extent they are primarily predictive, cautionary or forward-looking in nature, but including any historical or factual matters disclosed in such sections), each Parent Party hereby jointly and severally represent and warrant to the Company as of the date of the Original Agreement, other than for purposes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which each Parent Party hereby jointly and severally represents and warrants to the Company as of the date hereof, as follows:</w:t>
      </w:r>
    </w:p>
    <w:p>
      <w:pPr>
        <w:spacing w:after="0" w:line="189"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Parent Party is a corporation duly incorporated, validly existing and in good standing under the laws of the State of Delaware. Parent has all requisite powers required to carry on its business as now conducted and is duly qualified to do business as a foreign corporation and is in good standing in each jurisdiction where such qualification is necessary, except in those jurisdictions where the failure to be so qualified or in good standing, when taken together, would not reasonably be expected to have a Parent Material Adverse Effect.</w:t>
      </w:r>
    </w:p>
    <w:p>
      <w:pPr>
        <w:spacing w:after="0" w:line="180"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Parent Party has all necessary power and authority to execute and deliver this Agreement, to perform its obligations hereunder and to consummate the transactions contemplated hereby, including (a) in the case of Parent, the Parent Share Issuance, (b) in the case of Merger Sub I, subject to the adoption of this Agreement by Intermediate Sub as the sole stockholder of Merger Sub I, the First Merger, and (c) in the case of Merger Sub II, subject to the adoption of this Agreement by Intermediate Sub as the sole stockholder of Merger Sub II, the Second Merger. The execution and delivery of this Agreement by the Parent Parties and the consummation by the Parent Parties of the transactions contemplated hereby, including the Parent Share Issuance (in the case of Parent), the First Merger (in the case of Merger Sub I), and the Second Merger (in the case of Merger Sub II), have been duly and validly authorized by all necessary corporate action, and no other corporate proceedings on the part of any Parent Party and, except for the affirmative vote of Intermediate Sub as the sole stockholder of Merger Sub I and Merger Sub II in favor of the adoption of this Agreement, no stockholder votes are necessary to adopt this Agreement or to consummate the transactions contemplated hereby. Each Parent Party has duly and validly executed and delivered this Agreement and, assuming due and valid authorization, execution and delivery by the other Parent Party and the Company, constitutes its legal, valid and binding obligation, enforceable against it in accordance with its terms, except as limited by Enforceability Limitations.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66" w:right="439" w:bottom="1440" w:gutter="0" w:footer="0" w:header="0"/>
        </w:sectPr>
      </w:pPr>
    </w:p>
    <w:bookmarkStart w:id="53" w:name="page54"/>
    <w:bookmarkEnd w:id="53"/>
    <w:p>
      <w:pPr>
        <w:jc w:val="both"/>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The execution, delivery and performance by the Parent Parties of this Agreement and the consummation by the Parent Parties of the transactions contemplated hereby, including the Parent Share Issuance (in the case of Parent), the First Merger (in the case of Merger Sub I), and the Second Merger (in the case of Merger Sub II) do not and will not (a) contravene, conflict with, or result in any violation or breach of any provision of the Restated Certificate of Incorporation or the Amended and Restated Bylaws of Parent, the certificate of incorporation and bylaws (or equivalent organizational documents) of Merger Sub I, or the certificate of incorporation and bylaws (or equivalent organizational documents) of Merger Sub II or (b) assuming compliance with the matters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contravene, conflict with or result in a violation or breach of any provision of any material Law.</w:t>
      </w:r>
    </w:p>
    <w:p>
      <w:pPr>
        <w:spacing w:after="0" w:line="189"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Company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none of the execution, delivery or performance of this Agreement by the Parent Parties, including the Parent Share Issuance (in the case of Parent) and the Mergers (in the case of Merger Sub I and Merger Sub II),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Parent Material Adverse Effect.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28"/>
        <w:spacing w:after="0" w:line="266" w:lineRule="auto"/>
        <w:tabs>
          <w:tab w:leader="none" w:pos="168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 w:cs="Times New Roman" w:eastAsia="Times New Roman" w:hAnsi="Times New Roman"/>
          <w:sz w:val="18"/>
          <w:szCs w:val="18"/>
          <w:u w:val="single" w:color="auto"/>
          <w:color w:val="auto"/>
        </w:rPr>
        <w:t>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No Parent Subsidiary is required to make any filings with the SEC.</w:t>
      </w:r>
    </w:p>
    <w:p>
      <w:pPr>
        <w:spacing w:after="0" w:line="175"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8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of the Original Agreement, each Parent SEC Document complied in all material respects with the requirements of the Exchange Act or the Securities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70" w:right="439" w:bottom="1440" w:gutter="0" w:footer="0" w:header="0"/>
        </w:sectPr>
      </w:pPr>
    </w:p>
    <w:bookmarkStart w:id="54" w:name="page55"/>
    <w:bookmarkEnd w:id="54"/>
    <w:p>
      <w:pPr>
        <w:jc w:val="both"/>
        <w:ind w:firstLine="1428"/>
        <w:spacing w:after="0" w:line="256" w:lineRule="auto"/>
        <w:tabs>
          <w:tab w:leader="none" w:pos="1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consolidated financial statements of Parent included in the Parent SEC Documents (including, in each case, any notes or schedules thereto)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Parent and the Parent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w:t>
      </w:r>
    </w:p>
    <w:p>
      <w:pPr>
        <w:spacing w:after="0" w:line="187" w:lineRule="exact"/>
        <w:rPr>
          <w:rFonts w:ascii="Times New Roman" w:cs="Times New Roman" w:eastAsia="Times New Roman" w:hAnsi="Times New Roman"/>
          <w:sz w:val="18"/>
          <w:szCs w:val="18"/>
          <w:color w:val="auto"/>
        </w:rPr>
      </w:pPr>
    </w:p>
    <w:p>
      <w:pPr>
        <w:jc w:val="both"/>
        <w:ind w:firstLine="1428"/>
        <w:spacing w:after="0" w:line="253" w:lineRule="auto"/>
        <w:tabs>
          <w:tab w:leader="none" w:pos="17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Parent does not have Knowledge of any fraud, whether or not material, that involves management or other employees who have a significant role in Parent’s internal control over financial reporting.</w:t>
      </w:r>
    </w:p>
    <w:p>
      <w:pPr>
        <w:spacing w:after="0" w:line="187" w:lineRule="exact"/>
        <w:rPr>
          <w:rFonts w:ascii="Times New Roman" w:cs="Times New Roman" w:eastAsia="Times New Roman" w:hAnsi="Times New Roman"/>
          <w:sz w:val="18"/>
          <w:szCs w:val="18"/>
          <w:color w:val="auto"/>
        </w:rPr>
      </w:pPr>
    </w:p>
    <w:p>
      <w:pPr>
        <w:jc w:val="both"/>
        <w:ind w:firstLine="1428"/>
        <w:spacing w:after="0" w:line="255" w:lineRule="auto"/>
        <w:tabs>
          <w:tab w:leader="none" w:pos="17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Parent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Parent (or the notes thereto) except (i) as disclosed, reflected or reserved against in the most recent balance sheet included in the Parent Financial Statements or the notes thereto, (ii) for liabilities and obligations incurred in the ordinary course of business since the date of the most recent balance sheet included in the Parent Financial Statements, (iii) for liabilities and obligations arising out of or in connection with this Agreement, the Mergers or the other transactions contemplated hereby and (iv) for liabilities and obligations that have not had and would not reasonably be expected to have, individually or in the aggregate, a Parent Material Adverse Effect.</w:t>
      </w:r>
    </w:p>
    <w:p>
      <w:pPr>
        <w:spacing w:after="0" w:line="189"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Parent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any of its Company Representatives for inclusion therein. The information supplied or to be supplied by Parent in writing expressly for inclusion in the Proxy Statement/Prospectus, which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included in the Registration Statement, shall not, on the date(s) the Proxy Statement/Prospectus is first mailed to the stockholders of Parent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any of its Company Representatives for inclusion therein.</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Parent Board has approved this Agreement and the transactions contemplated hereby and has taken all such other necessary actions as required to render inapplicable to this Agreement and the transactions contemplated hereby the provisions of any potentially applicable Takeover Statutes.</w:t>
      </w:r>
    </w:p>
    <w:p>
      <w:pPr>
        <w:spacing w:after="0" w:line="176"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Merger Subs</w:t>
      </w:r>
      <w:r>
        <w:rPr>
          <w:rFonts w:ascii="Times New Roman" w:cs="Times New Roman" w:eastAsia="Times New Roman" w:hAnsi="Times New Roman"/>
          <w:sz w:val="18"/>
          <w:szCs w:val="18"/>
          <w:color w:val="auto"/>
        </w:rPr>
        <w:t>. Merger Sub I and Merger Sub II are each an indirect, wholly owned Parent Subsidiary and a direct wholly owned Subsidiary of Intermediate Sub, were each formed solely for the purpose of engaging in the transactions contemplated hereby and have each engaged in no business activity other than as contemplated by this Agreement. Except for the liabilities incurred in connection with the transactions contemplated hereby, each of Merger Sub I and Merger Sub II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8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Stock to be issued as the Per Share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stockholder of the Company) will be free of restrictions on transfer.</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Parent’s obligations to Barclays Capital Inc., no broker, investment banker, financial advisor or other Person is entitled to any brokerage, finders’, advisory or similar fee in connection with the transactions contemplated by this Agreement, including the Mergers.</w:t>
      </w:r>
    </w:p>
    <w:p>
      <w:pPr>
        <w:spacing w:after="0" w:line="162"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I, Merger Sub II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forecasts or other material made available to the Company or the Company’s Representatives or the Company’s affiliates, including any information made available in the electronic data room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6" w:name="page57"/>
    <w:bookmarkEnd w:id="56"/>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CONDUCT OF THE COMPANY</w:t>
      </w:r>
    </w:p>
    <w:p>
      <w:pPr>
        <w:spacing w:after="0" w:line="207" w:lineRule="exact"/>
        <w:rPr>
          <w:sz w:val="20"/>
          <w:szCs w:val="20"/>
          <w:color w:val="auto"/>
        </w:rPr>
      </w:pPr>
    </w:p>
    <w:p>
      <w:pPr>
        <w:jc w:val="both"/>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The Company agrees that, between the date of the Original Agreement and the earlier of the Second Effective Time and the valid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except (w)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(x) as required by applicable Law, (y) as expressly required or contemplated by this Agreement or (z) otherwise with the prior written consent of Parent, the Company shall, and shall cause each Company Subsidiary to, (I) use reasonable best efforts to conduct its operations in all material respects in the ordinary course of business consistent with past practice (including, subject to the Company’s obligations set forth in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with respect to its customary cash management policies and the maintenance of unrestricted cash and cash equivalents on its balance sheet at levels consistent with those maintained in the ordinary course of business consistent with past practice) and (II) use its reasonable best efforts to preserve substantially intact its business organization and comply with all applicable Laws in all material respects. Without limiting the foregoing, and as an extension thereof, except (1)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(2) as required by applicable Law,</w:t>
      </w:r>
    </w:p>
    <w:p>
      <w:pPr>
        <w:spacing w:after="0" w:line="6" w:lineRule="exact"/>
        <w:rPr>
          <w:sz w:val="20"/>
          <w:szCs w:val="20"/>
          <w:color w:val="auto"/>
        </w:rPr>
      </w:pPr>
    </w:p>
    <w:p>
      <w:pPr>
        <w:jc w:val="both"/>
        <w:ind w:left="4" w:hanging="4"/>
        <w:spacing w:after="0" w:line="253" w:lineRule="auto"/>
        <w:tabs>
          <w:tab w:leader="none" w:pos="26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expressly required or contemplated by this Agreement, or (4) otherwise with the prior written consent of Parent (not to be unreasonably withheld, conditioned or delayed), the Company shall not, and shall not permit any Company Subsidiary to, between the date of the Original Agreement and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directly or indirectly, take any of the following actions:</w:t>
      </w:r>
    </w:p>
    <w:p>
      <w:pPr>
        <w:spacing w:after="0" w:line="188"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73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spacing w:after="0" w:line="175"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72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Company Common Stock (and the related Company Rights) or upon the exercise, vesting or settlement, as applicable, of Company Equity Awards and Company Warrants outstanding as of the date of the Original Agreement in accordance with their terms (or, if a Triggering Event (as defined in the Tax Benefits Preservation Plan) shall occur, the Company Rights) or upon the exercise of purchase rights under the Company ESPP (subject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4"/>
          </w:cols>
          <w:pgMar w:left="436" w:top="270" w:right="439" w:bottom="1440" w:gutter="0" w:footer="0" w:header="0"/>
        </w:sectPr>
      </w:pPr>
    </w:p>
    <w:bookmarkStart w:id="57" w:name="page58"/>
    <w:bookmarkEnd w:id="57"/>
    <w:p>
      <w:pPr>
        <w:jc w:val="both"/>
        <w:ind w:firstLine="1428"/>
        <w:spacing w:after="0" w:line="261" w:lineRule="auto"/>
        <w:tabs>
          <w:tab w:leader="none" w:pos="168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pledge, dispose of, transfer, lease, license, abandon, allow to lapse, guarantee or encumber any material property or tangible assets of the Company or any Company Subsidiary (other than transactions between the Company and any wholly owned Company Subsidiary or among wholly owned Company Subsidiaries), except (i) pursuant to Contracts in effect prior to the date of the Original Agreement (as such Contracts may be modified, extended or amended in the ordinary course of business) or (ii) Permitted Liens;</w:t>
      </w:r>
    </w:p>
    <w:p>
      <w:pPr>
        <w:spacing w:after="0" w:line="179"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(other than dividends paid by a wholly owned Company Subsidiary to the Company or another wholly owned Company Subsidiary), enter into any agreement with respect to the voting or registration of its capital stock or other Equity Interests, or file any registration statement with the SEC with respect to any, of its capital stock or other equity interests or securities;</w:t>
      </w:r>
    </w:p>
    <w:p>
      <w:pPr>
        <w:spacing w:after="0" w:line="179" w:lineRule="exact"/>
        <w:rPr>
          <w:rFonts w:ascii="Times New Roman" w:cs="Times New Roman" w:eastAsia="Times New Roman" w:hAnsi="Times New Roman"/>
          <w:sz w:val="18"/>
          <w:szCs w:val="18"/>
          <w:color w:val="auto"/>
        </w:rPr>
      </w:pPr>
    </w:p>
    <w:p>
      <w:pPr>
        <w:jc w:val="both"/>
        <w:ind w:right="20" w:firstLine="1428"/>
        <w:spacing w:after="0" w:line="258" w:lineRule="auto"/>
        <w:tabs>
          <w:tab w:leader="none" w:pos="16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Company Equity Awards in accordance with the terms of such awards as in effect on the date of the Original Agreement or (ii) upon the forfeiture of outstanding Company Equity Awards pursuant to their terms upon the termination of the employment of the holder thereof or otherwise;</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9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the Company or any Company Subsidiary;</w:t>
      </w:r>
    </w:p>
    <w:p>
      <w:pPr>
        <w:spacing w:after="0" w:line="175" w:lineRule="exact"/>
        <w:rPr>
          <w:rFonts w:ascii="Times New Roman" w:cs="Times New Roman" w:eastAsia="Times New Roman" w:hAnsi="Times New Roman"/>
          <w:sz w:val="18"/>
          <w:szCs w:val="18"/>
          <w:color w:val="auto"/>
        </w:rPr>
      </w:pPr>
    </w:p>
    <w:p>
      <w:pPr>
        <w:jc w:val="both"/>
        <w:ind w:right="20" w:firstLine="1428"/>
        <w:spacing w:after="0" w:line="258" w:lineRule="auto"/>
        <w:tabs>
          <w:tab w:leader="none" w:pos="1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this Agreement on or before the Outside Date;</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58" w:lineRule="auto"/>
        <w:tabs>
          <w:tab w:leader="none" w:pos="1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the Company and its wholly owned Company Subsidiaries or solely among wholly owned Company Subsidiaries or (ii) repay any indebtedness, except (A) in accordance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(B) payment of interest due and payable pursuant to the terms of the First Lien Notes;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58" w:name="page59"/>
    <w:bookmarkEnd w:id="58"/>
    <w:p>
      <w:pPr>
        <w:jc w:val="both"/>
        <w:ind w:right="20" w:firstLine="1428"/>
        <w:spacing w:after="0" w:line="266" w:lineRule="auto"/>
        <w:tabs>
          <w:tab w:leader="none" w:pos="16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loans, advances or capital contributions to, or investments in, any other Person (other than any wholly owned Company Subsidiary), except for (i) loans solely among the Company and its wholly owned Company Subsidiaries or solely among the Company’s wholly owned Company Subsidiaries or (ii) advances for reimbursable employee expenses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jc w:val="both"/>
        <w:ind w:right="20" w:firstLine="1428"/>
        <w:spacing w:after="0" w:line="255" w:lineRule="auto"/>
        <w:tabs>
          <w:tab w:leader="none" w:pos="167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enter into any Contract that would, if entered into prior to the date of the Original Agreement, be a Company Material Contract, other than, solely with respect to Company Material Contracts under </w:t>
      </w:r>
      <w:r>
        <w:rPr>
          <w:rFonts w:ascii="Times New Roman" w:cs="Times New Roman" w:eastAsia="Times New Roman" w:hAnsi="Times New Roman"/>
          <w:sz w:val="18"/>
          <w:szCs w:val="18"/>
          <w:u w:val="single" w:color="auto"/>
          <w:color w:val="auto"/>
        </w:rPr>
        <w:t>Sections 3.11(a)(ii)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3.11(a)(xx)</w:t>
      </w:r>
      <w:r>
        <w:rPr>
          <w:rFonts w:ascii="Times New Roman" w:cs="Times New Roman" w:eastAsia="Times New Roman" w:hAnsi="Times New Roman"/>
          <w:sz w:val="18"/>
          <w:szCs w:val="18"/>
          <w:color w:val="auto"/>
        </w:rPr>
        <w:t xml:space="preserve"> (in each case, so long as any such Contract would not also constitute a contract of the type described in </w:t>
      </w:r>
      <w:r>
        <w:rPr>
          <w:rFonts w:ascii="Times New Roman" w:cs="Times New Roman" w:eastAsia="Times New Roman" w:hAnsi="Times New Roman"/>
          <w:sz w:val="18"/>
          <w:szCs w:val="18"/>
          <w:u w:val="single" w:color="auto"/>
          <w:color w:val="auto"/>
        </w:rPr>
        <w:t>Section 3.11(a)(iv)</w:t>
      </w:r>
      <w:r>
        <w:rPr>
          <w:rFonts w:ascii="Times New Roman" w:cs="Times New Roman" w:eastAsia="Times New Roman" w:hAnsi="Times New Roman"/>
          <w:sz w:val="18"/>
          <w:szCs w:val="18"/>
          <w:color w:val="auto"/>
        </w:rPr>
        <w:t xml:space="preserve">), in the ordinary course of business consistent with past practice or (ii) (A) materially modify, materially amend, extend (except in the case of a renewal of a Company Material Contract in the ordinary course of business consistent with past practice, provided that the terms other than the expiration date of such Company Material Contract have not changed in a manner adverse to the Company) or affirmatively terminate any Company Material Contract or (B) waive, release or assign any rights or claims thereunder,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other than in the ordinary course of business consistent with past practice;</w:t>
      </w:r>
    </w:p>
    <w:p>
      <w:pPr>
        <w:spacing w:after="0" w:line="188" w:lineRule="exact"/>
        <w:rPr>
          <w:rFonts w:ascii="Times New Roman" w:cs="Times New Roman" w:eastAsia="Times New Roman" w:hAnsi="Times New Roman"/>
          <w:sz w:val="18"/>
          <w:szCs w:val="18"/>
          <w:color w:val="auto"/>
        </w:rPr>
      </w:pPr>
    </w:p>
    <w:p>
      <w:pPr>
        <w:jc w:val="both"/>
        <w:ind w:firstLine="1428"/>
        <w:spacing w:after="0" w:line="254" w:lineRule="auto"/>
        <w:tabs>
          <w:tab w:leader="none" w:pos="169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the terms of this Agreement or an existing Company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the Company or any of the Company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Company Benefit Plan (or any other benefit or compensation plan, policy, program, agreement or arrangement that would be a Company Benefit Plan if in effect on the date of the Original Agreement) or (vii) accelerate the vesting, funding or time of payment of any compensation or other benefit (including a Company Equity Award) with respect to any current or former individual service provider;</w:t>
      </w:r>
    </w:p>
    <w:p>
      <w:pPr>
        <w:spacing w:after="0" w:line="188"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modify (in any manner adverse to the Company and the Company Subsidiaries), or release any material noncompetition, nonsolicitation, nondisclosure, noninterference, nondisparagement or other similar material restrictive covenant obligation of any current or former employee, officer, director or individual independent contractor of the Company or any of the Company Subsidiaries;</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7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“mass layoff” or “plant closing,” in each case as defined in an applicable WARN Act, or take any other action that would reasonably be expected to trigger an applicable WARN Act;</w:t>
      </w:r>
    </w:p>
    <w:p>
      <w:pPr>
        <w:spacing w:after="0" w:line="161" w:lineRule="exact"/>
        <w:rPr>
          <w:rFonts w:ascii="Times New Roman" w:cs="Times New Roman" w:eastAsia="Times New Roman" w:hAnsi="Times New Roman"/>
          <w:sz w:val="18"/>
          <w:szCs w:val="18"/>
          <w:color w:val="auto"/>
        </w:rPr>
      </w:pPr>
    </w:p>
    <w:p>
      <w:pPr>
        <w:jc w:val="both"/>
        <w:ind w:firstLine="1428"/>
        <w:spacing w:after="0" w:line="261" w:lineRule="auto"/>
        <w:tabs>
          <w:tab w:leader="none" w:pos="169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the Company under Item 404 of Regulation S-K of the SEC;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59" w:name="page60"/>
    <w:bookmarkEnd w:id="59"/>
    <w:p>
      <w:pPr>
        <w:ind w:right="20" w:firstLine="1428"/>
        <w:spacing w:after="0" w:line="282" w:lineRule="auto"/>
        <w:tabs>
          <w:tab w:leader="none" w:pos="169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change in accounting policies, practices, principles, methods or procedures or any of its methods of reporting income, deductions or other material items for financial accounting purposes, other than as required by GAAP or applicable Law;</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70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any Proceeding other than compromises, settlements or agreements that involve only the payment of monetary damages by the Company or any Company Subsidiary not in excess of $100,000, in any case without the imposition of equitable relief on, or the admission of a violation of Law by,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428"/>
        <w:spacing w:after="0" w:line="255" w:lineRule="auto"/>
        <w:tabs>
          <w:tab w:leader="none" w:pos="170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spacing w:after="0" w:line="188" w:lineRule="exact"/>
        <w:rPr>
          <w:rFonts w:ascii="Times New Roman" w:cs="Times New Roman" w:eastAsia="Times New Roman" w:hAnsi="Times New Roman"/>
          <w:sz w:val="18"/>
          <w:szCs w:val="18"/>
          <w:color w:val="auto"/>
        </w:rPr>
      </w:pPr>
    </w:p>
    <w:p>
      <w:pPr>
        <w:jc w:val="both"/>
        <w:ind w:right="20" w:firstLine="1428"/>
        <w:spacing w:after="0" w:line="254" w:lineRule="auto"/>
        <w:tabs>
          <w:tab w:leader="none" w:pos="1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pledge or otherwise encumber, transfer, license, abandon, place in the public domain, permit to lapse or otherwise dispose of any Company Owned Intellectual Property, except for non-exclusive licenses granted in the ordinary course of business consistent with past practice and otherwise except the abandonment or lapse of Company Registered Intellectual Property in the Company’s reasonable business judgement or (ii) compromise, settle or agree to settle, or consent to judgment in, any one or more actions (except in the ordinary course of business consistent with past practice) concerning any Company Owned Intellectual Property in a manner that materially and adversely affects the Company’s rights in or to any material Company Owned Intellectual Property; or (iii) license or disclose any source code for the Company Owned Intellectual Property to any Person who is not an employee or consultant acting on behalf of the Company or any of the Company Subsidiaries pursuant to customary confidentiality protections;</w:t>
      </w:r>
    </w:p>
    <w:p>
      <w:pPr>
        <w:spacing w:after="0" w:line="19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7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refunds, credits, rebates or other allowances by the Company to any end user, customer, reseller or distributor, in each case, other than in the ordinary course of business consistent with past practice or change in any material respect the manner in which the Company or any Company Subsidiary extends discounts, credits or warranties to customers or otherwise deals with customers or suppliers;</w:t>
      </w:r>
    </w:p>
    <w:p>
      <w:pPr>
        <w:spacing w:after="0" w:line="17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transaction with any Company Related Party;</w:t>
      </w:r>
    </w:p>
    <w:p>
      <w:pPr>
        <w:spacing w:after="0" w:line="225" w:lineRule="exact"/>
        <w:rPr>
          <w:rFonts w:ascii="Times New Roman" w:cs="Times New Roman" w:eastAsia="Times New Roman" w:hAnsi="Times New Roman"/>
          <w:sz w:val="18"/>
          <w:szCs w:val="18"/>
          <w:color w:val="auto"/>
        </w:rPr>
      </w:pPr>
    </w:p>
    <w:p>
      <w:pPr>
        <w:ind w:right="20" w:firstLine="1428"/>
        <w:spacing w:after="0" w:line="282" w:lineRule="auto"/>
        <w:tabs>
          <w:tab w:leader="none" w:pos="171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the Company’s insurance policies in the ordinary course of business consistent with past practice;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60" w:name="page61"/>
    <w:bookmarkEnd w:id="60"/>
    <w:p>
      <w:pPr>
        <w:jc w:val="both"/>
        <w:ind w:firstLine="1428"/>
        <w:spacing w:after="0" w:line="256" w:lineRule="auto"/>
        <w:tabs>
          <w:tab w:leader="none" w:pos="1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acquire any real property or enter into any lease or sublease of real property (whether as a lessor, sublessor, lessee or sublessee), (ii) materially modify or amend or exercise any right to renew any Company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the Company, or any interest therein or part thereof, (iv) commit any waste or nuisance on any such property or (v) make any material changes in the construction or condition of any such property, in the case of each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other than in the ordinary course of business consistent with past practice;</w:t>
      </w:r>
    </w:p>
    <w:p>
      <w:pPr>
        <w:spacing w:after="0" w:line="187"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special meeting (or any adjournment or postponement thereof) of the Company’s stockholders;</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or waive in any material respect any right under any material Company Permit;</w:t>
      </w:r>
    </w:p>
    <w:p>
      <w:pPr>
        <w:spacing w:after="0" w:line="225"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or expenditures, or enter into any agreement arrangement providing for, or otherwise commit to providing, any capital expenditure or expenditures, except (i) in accordance with the Company’s capital budget provided to Parent prior to the date of the Original Agreement or (ii) with respect to capital expenditures or expenditures, in each case, in respect of capitalized software equal to or less than $250,000 in the aggregate;</w:t>
      </w:r>
    </w:p>
    <w:p>
      <w:pPr>
        <w:spacing w:after="0" w:line="179"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8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the collection of any accounts receivable or the payment of any accounts payable or the accrual of deferred revenue or otherwise alter the management of working capital or the cash or cash equivalents of the Company, except, in each case, in the ordinary course of business consistent with past practice, including with respect to monthly fluctuations in working capital; or</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(aa) agree, authorize or enter into any Contract to do any of the foregoing or otherwise make any commitment to do any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 OF THE PARTIES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Preparation of Proxy Statement/Prospectus and Registration Statement; Company Stockholder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5" w:lineRule="auto"/>
        <w:tabs>
          <w:tab w:leader="none" w:pos="168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hereof, to the extent not already completed, the Company and Parent shall cooperate in preparing the proxy statement/prospectus (and any reasonably required amendments thereto) relating to the matters to be submitted to the holders of Company Common Stock at the Company stockholders meeting to adopt this Agreement (such stockholders meeting,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and such proxy statement/prospectus, and any amendments or supplements thereto,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the registration statement on Form S-4 (and any amendment or supplement thereto) pursuant to which shares of Parent Common Stock issuable in the First Merger shall be registered with the SEC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Proxy Statement/Prospectus constituting a part thereof), and shall file the Proxy Statement/Prospectus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70" w:right="439" w:bottom="1440" w:gutter="0" w:footer="0" w:header="0"/>
        </w:sectPr>
      </w:pPr>
    </w:p>
    <w:bookmarkStart w:id="61" w:name="page62"/>
    <w:bookmarkEnd w:id="61"/>
    <w:p>
      <w:pPr>
        <w:jc w:val="both"/>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Registration Statement with the SEC. Each of Parent and the Company shall use its reasonable best efforts to cause the Registration Statement to become effective under the Securities Act as soon after such filing as practicable and to ensure that the Proxy Statement/Prospectus and Registration Statement comply in all material respects with the applicable provisions of the Securities Act and the Exchange Act. Parent shall use its reasonable best efforts to keep the Registration Statement effective as long as is necessary to consummate the transactions contemplated hereby. To the extent not prohibited by Law, each of Parent and the Company agrees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the Proxy Statement/Prospectus, Registration Statement, a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Mergers, the Parent Share Issuance and the other transactions contemplated hereby. The Proxy Statement/Prospectus shall include (i) the Company Board Recommendation and</w:t>
      </w:r>
    </w:p>
    <w:p>
      <w:pPr>
        <w:spacing w:after="0" w:line="4" w:lineRule="exact"/>
        <w:rPr>
          <w:sz w:val="20"/>
          <w:szCs w:val="20"/>
          <w:color w:val="auto"/>
        </w:rPr>
      </w:pPr>
    </w:p>
    <w:p>
      <w:pPr>
        <w:jc w:val="both"/>
        <w:ind w:left="4" w:hanging="4"/>
        <w:spacing w:after="0" w:line="251" w:lineRule="auto"/>
        <w:tabs>
          <w:tab w:leader="none" w:pos="28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recommendation of the Company Board to the holders of Company Common Stock to vote in favor of approval of any resolution required by Rule 14a-21(c) under the Exchange Act to approve, on an advisory basis, the compensation required to be disclosed in the Registration Statement pursuant to Item 402(t) of Regulation S-K, except to the extent there has been a Change of Company Board Recommendation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Company shall use its reasonable best efforts to cause the Proxy Statement/Prospectus to be filed with the SEC and mailed to its stockholders as promptly as practicable after the Registration Statement becomes effective. Each party shall promptly provide the other parties with copies of any written comments received from the SEC with respect to the Proxy Statement/Prospectus or the Registration Statement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parties a reasonable opportunity to review and comment on such document or response in advance (including the proposed final version of such document or response). If at any time prior to the First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w:t>
      </w:r>
    </w:p>
    <w:p>
      <w:pPr>
        <w:spacing w:after="0" w:line="190"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71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make all necessary filings with respect to the Mergers, the Parent Share Issuance and the other transactions contemplated hereby, in each case, as applicable, under the Securities Act and the Exchange Act and applicable “blue sky” laws and the rules and regulations thereunder. Each party shall advise the other, promptly after it receives notice thereof, of the time when the Registration Statement has become effective or any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4"/>
          </w:cols>
          <w:pgMar w:left="436" w:top="270" w:right="439" w:bottom="1440" w:gutter="0" w:footer="0" w:header="0"/>
        </w:sectPr>
      </w:pPr>
    </w:p>
    <w:bookmarkStart w:id="62" w:name="page63"/>
    <w:bookmarkEnd w:id="62"/>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supplement or amendment has been filed, the issuance of any stop order, the suspension of the qualification of the Parent Common Stock issuable in connection with the Mergers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right of approval shall not apply with respect to documents filed by a party which are incorporated by reference in the Proxy Statement/Prospectus or the Registration Statement.</w:t>
      </w:r>
    </w:p>
    <w:p>
      <w:pPr>
        <w:spacing w:after="0" w:line="187" w:lineRule="exact"/>
        <w:rPr>
          <w:sz w:val="20"/>
          <w:szCs w:val="20"/>
          <w:color w:val="auto"/>
        </w:rPr>
      </w:pPr>
    </w:p>
    <w:p>
      <w:pPr>
        <w:jc w:val="both"/>
        <w:ind w:firstLine="1428"/>
        <w:spacing w:after="0" w:line="251" w:lineRule="auto"/>
        <w:tabs>
          <w:tab w:leader="none" w:pos="169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action necessary in accordance with applicable Law, the Company Charter, and the Company Bylaws to establish a record date for, duly call, give notice of, convene and hold the Company Stockholders Meeting on or as promptly as reasonably practicable after August 20, 2026 (and in any event within forty-five (45) calendar days following the date that the Registration Statement has become effective) for the purpose of obtaining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record date for the Company Stockholders Meeting shall be determined by the Company with prior consultation with Parent. The Company agrees that, unless this Agreement is terminated and the transactions contemplated by this Agreement are abandoned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to the extent required by the terms and conditions of this Agreement, the Company has paid or caused to be paid to Parent the Company Termination Fee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its obligation to hold the Company Stockholders Meeting pursuant to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not be affected by any Change of Company Board Recommendation. In connection with such meeting, the Company (i) shall use its reasonable best efforts to obtain the Required Company Vote and take all other action necessary or advisable to secure the Required Company Vote and otherwise comply with all legal requirements applicable to such meeting and (ii) shall not submit any other proposal (other than matters of procedure and matters required by Law to be voted on by the Company’s stockholders in connection with the adoption of this Agreement and the approval of the transactions contemplated hereby and, if the Company Stockholders Meeting is also the Company’s annual stockholders meeting, proposals customarily brought in connection with the Company’s annual stockholders meeting) to Company stockholders in connection with the Company Stockholders Meeting without the prior written consent of Parent. The Company shall not change the record date or adjourn or postpone the Company Stockholders Meeting without Parent’s prior written consent. Notwithstanding the foregoing, the Company may adjourn or postpone the Company Stockholders Meeting without Parent’s prior written consent (A) after good faith consultation with the Company’s outside legal counsel and Parent, to the extent necessary to ensure that any supplement or amendment to the Proxy Statement/Prospectus required by Law is provided to the stockholders of the Company within a reasonable amount of time in advance of the Company Stockholders Meeting or (B) if there are not sufficient affirmative votes in person or by proxy at such meeting to constitute quorum at the Company Stockholders Meeting or to obtain the Required Company Vote, to allow reasonable additional time for solicitation of proxies for purposes of obtaining a quorum or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agreed to in writing by Parent, (x) any such adjournment or postponement shall be for a period of no more than thirty five (35) days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3" w:name="page64"/>
    <w:bookmarkEnd w:id="63"/>
    <w:p>
      <w:pPr>
        <w:jc w:val="both"/>
        <w:ind w:left="4" w:hanging="4"/>
        <w:spacing w:after="0" w:line="256" w:lineRule="auto"/>
        <w:tabs>
          <w:tab w:leader="none" w:pos="26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only be permitted to effect one (1) such adjournment or postponement pursuant to clause (B);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no postponement contemplated by clause (B) shall be permitted if it would require a change to the record date for the Company Stockholders Meeting, and (2) if requested by Parent, the Company shall effect an adjournment or postponement of the Company Stockholders Meeting on one or more occasions under the circumstances contemplated by clause (B). The Company shall, upon the reasonable request of Parent, advise Parent on a daily basis on each of the last seven (7) Business Days prior to the date of the Company Stockholders Meeting as to the aggregate tally of proxies received by the Company with respect to the Required Company Vote and other matters to be considered at the Company Stockholders Meeting.</w:t>
      </w:r>
    </w:p>
    <w:p>
      <w:pPr>
        <w:spacing w:after="0" w:line="187" w:lineRule="exact"/>
        <w:rPr>
          <w:rFonts w:ascii="Times New Roman" w:cs="Times New Roman" w:eastAsia="Times New Roman" w:hAnsi="Times New Roman"/>
          <w:sz w:val="18"/>
          <w:szCs w:val="18"/>
          <w:color w:val="auto"/>
        </w:rPr>
      </w:pPr>
    </w:p>
    <w:p>
      <w:pPr>
        <w:jc w:val="both"/>
        <w:ind w:left="4" w:firstLine="1428"/>
        <w:spacing w:after="0" w:line="266" w:lineRule="auto"/>
        <w:tabs>
          <w:tab w:leader="none" w:pos="171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hereof, the Company and Parent shall reasonably cooperate to take such actions as are reasonably required to comply with the applicable requirements of Israeli Securities Laws to effect the transactions contemplated hereby.</w:t>
      </w:r>
    </w:p>
    <w:p>
      <w:pPr>
        <w:spacing w:after="0" w:line="175"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68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Business Days prior to the date of the Company Stockholders Meeting, the Company shall notify Company stockholders (in form and substance reasonably acceptable to Parent) of the aggregate number of TASE Shares outstanding as of the most recent practicable determination date (which date shall be specified in such notice). Upon request by Parent, the Company shall use reasonable best efforts to obtain from the TASE or TASECH, and, to the extent obtained from any such person, shall inform Parent of the aggregate number of TASE Shares outstanding as of the most recent practicable determination date.</w:t>
      </w:r>
    </w:p>
    <w:p>
      <w:pPr>
        <w:spacing w:after="0" w:line="183"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67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coordinate with TASE, TASECH or the Depository Trust Company to obtain, as close as practicable to the Second Effective Time (and in any event no earlier than five (5) Business Days prior to and no later than two (2) Business Days prior to the Second Effective Time), a final position report or other evidence reasonably satisfactory to Parent confirming the number of TASE Shares for purposes of calculating and funding the Closing TASE Cash Merger Consideration and the Per Share Cash Merger Consideration. The Company shall promptly deliver to Parent all such position reports, evidence and related information received from TASE or TASECH.</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428"/>
        <w:spacing w:after="0" w:line="254" w:lineRule="auto"/>
        <w:tabs>
          <w:tab w:leader="none" w:pos="17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to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Company Subsidiary to: (i) provide to the Parent Representatives reasonable access during normal business hours in such a manner as not to interfere unreasonably with the operation of any business conducted by the Company or any Company Subsidiary upon reasonable prior written notice to the Company, to the officers, employees, properties, offices and other facilities of the Company and each Company Subsidiary and to the books and records thereof, (ii) furnish during normal business hours upon prior notice such information concerning the business, properties, Contracts, assets and liabilities of the Company and each Company Subsidiary as Parent or any Parent Representative may reasonably request (other than any of the foregoing that relate to any Company Acquisition Proposal, subject to the disclosure requirements set forth in </w:t>
      </w:r>
      <w:r>
        <w:rPr>
          <w:rFonts w:ascii="Times New Roman" w:cs="Times New Roman" w:eastAsia="Times New Roman" w:hAnsi="Times New Roman"/>
          <w:sz w:val="18"/>
          <w:szCs w:val="18"/>
          <w:u w:val="single" w:color="auto"/>
          <w:color w:val="auto"/>
        </w:rPr>
        <w:t>Sections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(or to cause any Company Subsidiary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4"/>
          </w:cols>
          <w:pgMar w:left="436" w:top="270" w:right="439" w:bottom="1440" w:gutter="0" w:footer="0" w:header="0"/>
        </w:sectPr>
      </w:pPr>
    </w:p>
    <w:bookmarkStart w:id="64" w:name="page65"/>
    <w:bookmarkEnd w:id="64"/>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afford such access or furnish such information to the extent that doing so would reasonably be expected to: (A) violate attorney-client or other legal privilege, (B) result in the disclosure of any trade secrets of third parties protected under the provisions of any agreement to which the Company or any Company Subsidiary is a party or (C) violate any applicable Law (including Regulatory Laws); provided that the Company shall use its reasonable best efforts to allow for such access or disclosure in a manner that does not violate any attorney-client privilege, contract or applicable Law.</w:t>
      </w:r>
    </w:p>
    <w:p>
      <w:pPr>
        <w:spacing w:after="0" w:line="180" w:lineRule="exact"/>
        <w:rPr>
          <w:sz w:val="20"/>
          <w:szCs w:val="20"/>
          <w:color w:val="auto"/>
        </w:rPr>
      </w:pPr>
    </w:p>
    <w:p>
      <w:pPr>
        <w:jc w:val="both"/>
        <w:ind w:left="4" w:firstLine="1428"/>
        <w:spacing w:after="0" w:line="266" w:lineRule="auto"/>
        <w:tabs>
          <w:tab w:leader="none" w:pos="172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 dated December 18, 2025, by and between Parent and the Company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Clean Team Agreement, dated March 19, 2026, by and between Parent and the Company (the “</w:t>
      </w:r>
      <w:r>
        <w:rPr>
          <w:rFonts w:ascii="Times New Roman" w:cs="Times New Roman" w:eastAsia="Times New Roman" w:hAnsi="Times New Roman"/>
          <w:sz w:val="18"/>
          <w:szCs w:val="18"/>
          <w:u w:val="single" w:color="auto"/>
          <w:color w:val="auto"/>
        </w:rPr>
        <w:t>Clean Team Agreement</w:t>
      </w:r>
      <w:r>
        <w:rPr>
          <w:rFonts w:ascii="Times New Roman" w:cs="Times New Roman" w:eastAsia="Times New Roman" w:hAnsi="Times New Roman"/>
          <w:sz w:val="18"/>
          <w:szCs w:val="18"/>
          <w:color w:val="auto"/>
        </w:rPr>
        <w:t xml:space="preserve">”) shall each apply with respect to information furnished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shall each survive any termination of this Agreement.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Company 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428"/>
        <w:spacing w:after="0" w:line="253" w:lineRule="auto"/>
        <w:tabs>
          <w:tab w:leader="none" w:pos="169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from and after the date of the Original Agreement until the Second Effective Time or, if earlier,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the Company shall not, and shall cause the Company Subsidiaries and each of its and their Company Representatives not to, directly or indirectly: (i) initiate, seek, facilitate, solicit or knowingly encourage (including by way of furnishing information or assistance of any kind) the submission of any Company Acquisition Proposal or any proposal, request or offer that could reasonably be expected to result in a Company Acquisition Proposal or induce or take any other action designed or intended to lead to, or that could reasonably be expected to lead to any inquiry with respect to, or the making, submission or announcement of, any Company Acquisition Proposal;</w:t>
      </w:r>
    </w:p>
    <w:p>
      <w:pPr>
        <w:spacing w:after="0" w:line="5"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continue or otherwise participate or engage in any discussions or negotiations with, or furnish (or cause to be furnished) any material nonpublic information to, any Person relating to a Company Acquisition Proposal or any inquiry or request that could reasonably be expected to lead to a Company Acquisition Proposal (other than informing any third party of the existence of the provisions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(iii) adopt, approve, authorize, declare advisable, endorse or recommend, or propose to adopt, approve, authorize, declare advisable, endorse or recommend or submit to the Company stockholders for their approval, any Company Acquisition Proposal; (iv) withdraw, change, amend, modify or qualify, or otherwise propose to withdraw, change, amend, modify or qualify, the Company Board Recommendation; (v) if a Company Acquisition Proposal has been publicly disclosed, fail to publicly recommend against any such Company Acquisition Proposal within ten (10)-Business Days after the public disclosure of such Company Acquisition Proposal (or subsequently withdraw, change, amend, modify or qualify, in a manner adverse to Parent, such rejection of such Company Acquisition Proposal) and reaffirm the Company Board Recommendation within such ten (10) Business Day period (or, if earlier, by the second (2nd) Business Day prior to the Company Stockholders Meeting); (vi) fail to include the Company Board Recommendation in the Proxy Statement/Prospectus; (vii)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Company Acquisition Proposal, other than a Company Acceptable Confidentiality Agreement entered into in accordance with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(viii) grant a waiver of or terminate any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4"/>
          </w:cols>
          <w:pgMar w:left="436" w:top="270" w:right="439" w:bottom="1440" w:gutter="0" w:footer="0" w:header="0"/>
        </w:sectPr>
      </w:pPr>
    </w:p>
    <w:bookmarkStart w:id="65" w:name="page66"/>
    <w:bookmarkEnd w:id="65"/>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“standstill” or similar obligation of any third party with respect to the Company or any of its Subsidiaries to allow such third party to submit a Company Acquisition Proposal; (ix) call or convene a meeting of the stockholders of the Company to consider a proposal that would reasonably be expected to materially impair, prevent or delay the consummation of the Mergers and the other transactions contemplated by this Agreement; or (x) resolve or agree to do any of the foregoing (any action set forth in the foregoing clauses (iii), (iv), (v), (vi), (vii), (ix) or (x) (to the extent related to the foregoing clauses (iii), (iv) or (v)), a “</w:t>
      </w:r>
      <w:r>
        <w:rPr>
          <w:rFonts w:ascii="Times New Roman" w:cs="Times New Roman" w:eastAsia="Times New Roman" w:hAnsi="Times New Roman"/>
          <w:sz w:val="18"/>
          <w:szCs w:val="18"/>
          <w:u w:val="single" w:color="auto"/>
          <w:color w:val="auto"/>
        </w:rPr>
        <w:t>Change of Company Board Recommendation</w:t>
      </w:r>
      <w:r>
        <w:rPr>
          <w:rFonts w:ascii="Times New Roman" w:cs="Times New Roman" w:eastAsia="Times New Roman" w:hAnsi="Times New Roman"/>
          <w:sz w:val="18"/>
          <w:szCs w:val="18"/>
          <w:color w:val="auto"/>
        </w:rPr>
        <w:t>”). The Company shall, and shall cause the Company Subsidiaries and Company Representatives to, immediately cease and cause to be terminated any activities, discussions or negotiations existing as of the date of the Original Agreement with any Persons conducted heretofore with respect to any Company Acquisition Proposal (or that could reasonably be expected to lead to a Company Acquisition Proposal). The Company shall promptly (and in any event, within forty-eight (48) hours after the execution of this Agreement) demand that each Person that has previously executed a confidentiality agreement promptly return to the Company or destroy (and confirm destruction of) all non-public information previously furnished or made available to such Person or any of its representatives by or on behalf of the Company or the Company Representatives in accordance with the terms of such confidentiality agreement (except with respect to any such confidentiality agreement as to which the Company has made such a demand prior to the date hereof) and shall remove all access to any dataroom or electronic materials from such Person.</w:t>
      </w:r>
    </w:p>
    <w:p>
      <w:pPr>
        <w:spacing w:after="0" w:line="187" w:lineRule="exact"/>
        <w:rPr>
          <w:sz w:val="20"/>
          <w:szCs w:val="20"/>
          <w:color w:val="auto"/>
        </w:rPr>
      </w:pPr>
    </w:p>
    <w:p>
      <w:pPr>
        <w:jc w:val="both"/>
        <w:ind w:firstLine="1428"/>
        <w:spacing w:after="0" w:line="252" w:lineRule="auto"/>
        <w:tabs>
          <w:tab w:leader="none" w:pos="168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at any time following the date of the Original Agreement and prior to obtaining the Required Company Vote (i) the Company has received a bona fide unsolicited written Company Acquisition Proposal from a third party, (ii) the Company has not breached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such Company Acquisition Proposal, and (iii) the Company Board (or a duly authorized committee thereof) reasonably determines in good faith, after consultation with its outside counsel and, with respect to financial matters, its financial advisors, based on information then available, that such Company Acquisition Proposal constitutes or would reasonably be expected to result in a Company Superior Proposal, the Company may, including through one or more of the Company Representatives, (A) furnish information with respect to the Company and the Company Subsidiaries to the third party making such Company Acquisition Proposal, its representatives and potential sources of financing and (B) participate in discussions or negotiations with the third party making such Company Acquisition Proposal regarding such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and shall cause the Company Subsidiaries not to, take the actions described in the foregoing clauses (A) and (B) unless the Company Board (or a duly authorized committee thereof) determines in good faith, after consultation with outside counsel, that the failure to take such actions would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(x) shall not, and shall cause the Company Subsidiaries and Company Representatives not to, disclose any information to such third party without first entering into a Company Acceptable Confidentiality Agreement with such Person and (y) shall provide to Parent any such information concerning the Company or the Company Subsidiaries provided or made available to such other third party which was not previously provided or made available to Parent prior to or substantially concurrently with furnishing such information to such third party.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66" w:name="page67"/>
    <w:bookmarkEnd w:id="66"/>
    <w:p>
      <w:pPr>
        <w:jc w:val="both"/>
        <w:ind w:firstLine="1428"/>
        <w:spacing w:after="0" w:line="252" w:lineRule="auto"/>
        <w:tabs>
          <w:tab w:leader="none" w:pos="167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at any time following the date of the Original Agreement, the Company or any Company Subsidiary receives any (i) Company Acquisition Proposal (or inquiry, offer or request for discussions or negotiations that could reasonably be expected to lead to a Company Acquisition Proposal), (ii) any request for non-public information relating to the Company or any Company Subsidiary by any Person who has made or would reasonably be expected to make a Company Acquisition Proposal, or (iii) any inquiry or request for discussions or negotiations regarding any Company Acquisition Proposal, the Company shall promptly (and in any event within twenty-four (24) hours) (i) notify Parent orally or in writing of the receipt of such proposal, inquiry or request and (ii) advise Parent if the Company determines to begin providing information in connection with, or to engage in discussions or negotiations concerning, a Company Acquisition Proposal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Such notice provided by the Company to Parent pursuant to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shall include (I) the identity of the Person making the Company Acquisition Proposal, inquiry, offer or request, (II) if in writing, a copy of such Company Acquisition Proposal, inquiry, offer or request (and, if available, drafts of any Contract to effectuate such Company Acquisition Proposal) and copies of any financing commitments (but excluding any fee letters that are customarily redacted with respect thereto) received by the Company in connection therewith and (III) if made orally, a reasonably detailed summary of the material terms and conditions of such Company Acquisition Proposal. From the date of the Original Agreement until the earlier to occur of the termination of this Agreement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the Second Effective Time, the Company shall (i) keep Parent and the Merger Subs reasonably informed of the status and any material changes to the material terms and conditions of any such Company Acquisition Proposal (including by providing unredacted copies of all amendments and proposed amendments provided to or by such Person) and (ii) shall notify Parent promptly (and, in any event, within 24 hours) after it first enters into discussions or negotiations concerning such Company Acquisition Proposal or provides non-public information or data to any Person relating thereto.</w:t>
      </w:r>
    </w:p>
    <w:p>
      <w:pPr>
        <w:spacing w:after="0" w:line="193" w:lineRule="exact"/>
        <w:rPr>
          <w:rFonts w:ascii="Times New Roman" w:cs="Times New Roman" w:eastAsia="Times New Roman" w:hAnsi="Times New Roman"/>
          <w:sz w:val="18"/>
          <w:szCs w:val="18"/>
          <w:color w:val="auto"/>
        </w:rPr>
      </w:pPr>
    </w:p>
    <w:p>
      <w:pPr>
        <w:jc w:val="both"/>
        <w:ind w:firstLine="1428"/>
        <w:spacing w:after="0" w:line="253" w:lineRule="auto"/>
        <w:tabs>
          <w:tab w:leader="none" w:pos="1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following the date of the Original Agreement and prior to obtaining the Required Company Vote (i) (A) the Company has received a bona fide unsolicited written Company Acquisition Proposal (which is not withdrawn) that the Company Board (or any duly authorized committee thereof) determines in good faith, after consultation with its outside counsel and, with respect to financial matters, its financial advisors, constitutes a Company Superior Proposal or (B) the Company Board (or any duly authorized committee thereof) determines that a Company Intervening Event has occurred and is continuing and (ii) the Company Board (or any duly authorized committee thereof) reasonably determines in good faith, after consultation with outside counsel, that the failure to effect a Change of Company Board Recommendation in response to such Company Superior Proposal or Company Intervening Event would be inconsistent with its fiduciary duties under applicable Law, then the Company Board may, at any time prior to obtaining the Required Company Vote, effect a Change of Company Board Recommendation with respect to such Company Superior Proposal or Company Intervening Event (as applicable) or fail to include the Company Board Recommendation in the Proxy Statement/Prospectus, subject to the requirements of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The Company shall not be entitled to effect a Change of Company Board Recommendation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unless,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case:</w:t>
      </w:r>
    </w:p>
    <w:p>
      <w:pPr>
        <w:spacing w:after="0" w:line="99" w:lineRule="exact"/>
        <w:rPr>
          <w:sz w:val="20"/>
          <w:szCs w:val="20"/>
          <w:color w:val="auto"/>
        </w:rPr>
      </w:pPr>
    </w:p>
    <w:p>
      <w:pPr>
        <w:jc w:val="both"/>
        <w:ind w:left="4" w:right="20" w:firstLine="1979"/>
        <w:spacing w:after="0" w:line="258" w:lineRule="auto"/>
        <w:tabs>
          <w:tab w:leader="none" w:pos="22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to Parent at least five (5) Business Days’ prior written notice (the “</w:t>
      </w:r>
      <w:r>
        <w:rPr>
          <w:rFonts w:ascii="Times New Roman" w:cs="Times New Roman" w:eastAsia="Times New Roman" w:hAnsi="Times New Roman"/>
          <w:sz w:val="18"/>
          <w:szCs w:val="18"/>
          <w:u w:val="single" w:color="auto"/>
          <w:color w:val="auto"/>
        </w:rPr>
        <w:t>Company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of the Company’s intention to take such action, which notice shall include, (A) with respect to a Company Acquisition Proposal, the material terms and conditions of such Company Acquisition Proposal, and a copy of the available proposed transaction agreement to be entered into in respect of such Company Acquisition Proposal, or (B) with respect to a Company Intervening Event, a reasonably detailed summary of the Company Intervening Event that is the basis of such action;</w:t>
      </w:r>
    </w:p>
    <w:p>
      <w:pPr>
        <w:spacing w:after="0" w:line="183" w:lineRule="exact"/>
        <w:rPr>
          <w:rFonts w:ascii="Times New Roman" w:cs="Times New Roman" w:eastAsia="Times New Roman" w:hAnsi="Times New Roman"/>
          <w:sz w:val="18"/>
          <w:szCs w:val="18"/>
          <w:color w:val="auto"/>
        </w:rPr>
      </w:pPr>
    </w:p>
    <w:p>
      <w:pPr>
        <w:jc w:val="both"/>
        <w:ind w:left="4" w:right="20" w:firstLine="1979"/>
        <w:spacing w:after="0" w:line="258" w:lineRule="auto"/>
        <w:tabs>
          <w:tab w:leader="none" w:pos="226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Company Notice Period, if requested by Parent, the Company shall have, and shall have caused its legal and financial advisors to have, engaged in good faith negotiations with Parent regarding any amendment to this Agreement or any other agreement proposed by Parent intended to (A) with respect to a Company Acquisition Proposal, cause the relevant proposal to no longer constitute a Company Superior Proposal or, (B) with respect to a Company Intervening Event, permit the Company Board (consistent with its fiduciary duties under applicable Law) to not make a Change of Company Board Recommendation; and</w:t>
      </w:r>
    </w:p>
    <w:p>
      <w:pPr>
        <w:spacing w:after="0" w:line="183" w:lineRule="exact"/>
        <w:rPr>
          <w:rFonts w:ascii="Times New Roman" w:cs="Times New Roman" w:eastAsia="Times New Roman" w:hAnsi="Times New Roman"/>
          <w:sz w:val="18"/>
          <w:szCs w:val="18"/>
          <w:color w:val="auto"/>
        </w:rPr>
      </w:pPr>
    </w:p>
    <w:p>
      <w:pPr>
        <w:jc w:val="both"/>
        <w:ind w:left="4" w:right="20" w:firstLine="1979"/>
        <w:spacing w:after="0" w:line="258" w:lineRule="auto"/>
        <w:tabs>
          <w:tab w:leader="none" w:pos="232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(or any duly authorized committee thereof) shall have considered in good faith any adjustments and/or proposed amendments to this Agreement (including a change to the price terms hereof) and other agreements that may be offered in writing by Parent no later than 11:59 a.m., New York City time, on the last day of the Company Notice Period and shall have reasonably determined again in good faith, after consultation with outside legal counsel and, with respect to financial matters, its financial advisors, that the failure to effect a Change of Company Board Recommendation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would be inconsistent with its fiduciary duties under applicable Law.</w:t>
      </w:r>
    </w:p>
    <w:p>
      <w:pPr>
        <w:spacing w:after="0" w:line="183" w:lineRule="exact"/>
        <w:rPr>
          <w:sz w:val="20"/>
          <w:szCs w:val="20"/>
          <w:color w:val="auto"/>
        </w:rPr>
      </w:pPr>
    </w:p>
    <w:p>
      <w:pPr>
        <w:jc w:val="both"/>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any material revisions to such Company Superior Proposal offered in writing by the party making such Company Superior Proposal or any material change to the facts and circumstances relating to a Company Intervening Event, as applicable, the Company shall be required to deliver a new written notice to Parent and to again comply with the requirements of this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with respect to such new written notice, except that the Company Notice Period shall be three (3) Business Days with respect to any such revised Company Superior Proposal, but no such new written notice shall shorten the original Company Notice Period.</w:t>
      </w:r>
    </w:p>
    <w:p>
      <w:pPr>
        <w:spacing w:after="0" w:line="183" w:lineRule="exact"/>
        <w:rPr>
          <w:sz w:val="20"/>
          <w:szCs w:val="20"/>
          <w:color w:val="auto"/>
        </w:rPr>
      </w:pPr>
    </w:p>
    <w:p>
      <w:pPr>
        <w:jc w:val="both"/>
        <w:ind w:left="4" w:firstLine="1428"/>
        <w:spacing w:after="0" w:line="261" w:lineRule="auto"/>
        <w:tabs>
          <w:tab w:leader="none" w:pos="166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 Change of Company Board Recommendation or any other provision of this Agreement to the contrary, unless this Agreement has been validly terminated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Company shall cause the transactions contemplated by this Agreement, including the Mergers, to be submitted to a vote of the stockholders of the Company at the Company Stockholders Meeting in order to obtain the Required Company Vote.</w:t>
      </w:r>
    </w:p>
    <w:p>
      <w:pPr>
        <w:spacing w:after="0" w:line="179" w:lineRule="exact"/>
        <w:rPr>
          <w:rFonts w:ascii="Times New Roman" w:cs="Times New Roman" w:eastAsia="Times New Roman" w:hAnsi="Times New Roman"/>
          <w:sz w:val="18"/>
          <w:szCs w:val="18"/>
          <w:color w:val="auto"/>
        </w:rPr>
      </w:pPr>
    </w:p>
    <w:p>
      <w:pPr>
        <w:ind w:left="1724" w:hanging="292"/>
        <w:spacing w:after="0"/>
        <w:tabs>
          <w:tab w:leader="none" w:pos="17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prohibit the Company Board (or any duly authorized committee thereof) from</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to the stockholders of the Company a position contemplated by Rule 14e-2(a) or Rule 14d-9 promulgated under the Exchange Act; or</w:t>
      </w:r>
    </w:p>
    <w:p>
      <w:pPr>
        <w:spacing w:after="0" w:line="9"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2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disclosure to the stockholders of the Company to comply with applicable Law with regard to a Company Acquisition Proposal (it being agreed that the issuance by the Company or the Company Board of a “stop, look and listen” communication to the stockholders of the Company pursuant to Rule 14d-9(f) promulgated under the Exchange Act, shall not constitute a Change of Company Board Recommendation).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4"/>
          </w:cols>
          <w:pgMar w:left="436" w:top="270" w:right="439" w:bottom="1440" w:gutter="0" w:footer="0" w:header="0"/>
        </w:sectPr>
      </w:pPr>
    </w:p>
    <w:bookmarkStart w:id="68" w:name="page69"/>
    <w:bookmarkEnd w:id="68"/>
    <w:p>
      <w:pPr>
        <w:ind w:right="20" w:firstLine="1428"/>
        <w:spacing w:after="0" w:line="282" w:lineRule="auto"/>
        <w:tabs>
          <w:tab w:leader="none" w:pos="17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violation of the restrictions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any Company Subsidiary or Company Representative, as applicable, shall be deemed to be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the Company.</w:t>
      </w:r>
    </w:p>
    <w:p>
      <w:pPr>
        <w:spacing w:after="0" w:line="161" w:lineRule="exact"/>
        <w:rPr>
          <w:rFonts w:ascii="Times New Roman" w:cs="Times New Roman" w:eastAsia="Times New Roman" w:hAnsi="Times New Roman"/>
          <w:sz w:val="18"/>
          <w:szCs w:val="18"/>
          <w:color w:val="auto"/>
        </w:rPr>
      </w:pPr>
    </w:p>
    <w:p>
      <w:pPr>
        <w:jc w:val="both"/>
        <w:ind w:firstLine="1428"/>
        <w:spacing w:after="0" w:line="261" w:lineRule="auto"/>
        <w:tabs>
          <w:tab w:leader="none" w:pos="164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it shall promptly inform the Company Representatives of the obligations undertaken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(x) permit the Company to terminate this Agreement or (y) affect any other obligation of the Company under this Agreement. Unless this Agreement shall have been earlier terminated, the Company shall not submit to the vote of its stockholders any Company Acquisition Proposal.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Appropriate Action; Consents;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2" w:lineRule="auto"/>
        <w:tabs>
          <w:tab w:leader="none" w:pos="168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Parent shall use their respective reasonable best efforts to (i) take, or cause to be taken, all appropriate action and do, or cause to be done, and to assist and cooperate with the parties in doing, all things necessary, proper or advisable under applicable Law or otherwise to consummate and make effective the Mergers and the other transactions contemplated by this Agreement as promptly as practicable after the date hereof, (ii) take such actions as may be required to cause the expiration of the notice periods under Regulatory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 later than two Business Days prior to the Outside Date, and to avoid any Proceeding by any Governmental Entity (including those in connection with Regulatory Laws), in connection with the authorization, execution and delivery of this Agreement and the consummation of the transactions contemplated hereby, including the Mergers, (iv) cause the satisfaction of all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(v) as promptly as practicable, make or cause to be made all necessary applications and filings, and thereafter make any other required submissions, and pay any fees due in connection therewith (all such fees to be borne by Parent to the extent related to applications, filings or submissions with respect to this Agreement and the Mergers required under any Regulatory Laws), with respect to this Agreement and the Mergers required under any Regulatory Laws and any other applicable Law. Promptly following the date hereof, the parties shall cooperate to revise, amend or refile, or cause to be revised, amended or refiled, any filings previously made with any Governmental Entity with respect to the transactions contemplated by this Agreement to the extent required by Regulatory Laws to reflect the terms and conditions of this Agreement. The Company and Parent shall cooperate with each other in connection with (x) preparing and filing the Proxy Statement/Prospectus and Registration Statement and any Other Filings, (y) determining whether any action by or in respect of, or filing with, any Governmental Entity is required, in connection with the consummation of the Mergers and the transactions contemplated by this Agreement and (z) seeking any such actions, consents, approvals or waivers or making any such filings. The Company and Parent shall furnish to each other all information required for any application or other filing under the rules and regulations of any applicable Law in connection with the transactions contemplated by this Agreement. The Company shall not consent to any voluntary extension of the Outside Date or otherwise delay the Closing at the behest of any Governmental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69" w:name="page70"/>
    <w:bookmarkEnd w:id="69"/>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Entity without the consent of Parent. Notwithstanding anything to the contrary in this Agreement, Parent, and its affiliates, in connection with efforts to avoid or eliminate impediments under any antitrust, merger control, competition, or trade regulation Law that may be asserted by any Governmental Entity with respect to the Mergers, are not obligated to, and, without the prior written consent of Parent, the Company, its Subsidiaries and their respective affiliates shall not, (A) propose, negotiate, commit to, or effect, by consent decree, hold separate order, or otherwise, the sale, divestiture, licensing or disposition of any assets, properties or businesses of Parent or the Company or any of their respective affiliates, (B) terminate, amend or assign existing relationships and contractual rights and obligations, (C) grant any right or commercial or other accommodation to, or enter into any material commercial contractual or other commercial relationship with, any third party, or (D) accept any operational restrictions or otherwise take or commit to take actions that limit Parent’s, the Merger Subs’, the Surviving Corporation’s or any of their respective affiliate’s freedom of action with respect to, or its or their ability to retain, any of the assets, properties, licenses, rights, product lines, operations or businesses of Parent, the Company or any of their respective affiliates. In addition, Parent, at Parent’s sole discretion, and the Company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(and in any event, no later than the Outside Date), including seeking to lift or rescind any injunction or restraining order which may adversely affect the ability of the parties to consummate the transactions contemplated hereby, in each case, until the issuance of a final, non-appealable Order. The parties shall jointly develop, consult and cooperate with one another regarding the strategy for obtaining any necessary approval of, or responding to any request from, inquiry by, or investigation by (including directing the timing, nature and substance of all such responses), any Governmental Entity in connection with this Agreement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Notwithstanding anything in this Agreement to the contrary, Parent shall, on behalf of the parties, control and direct all communications and strategy in dealing with any Governmental Entity under any Regulatory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consider in good faith the views and comments of the Company and its outside counsel with respect to such communications and strategies.</w:t>
      </w:r>
    </w:p>
    <w:p>
      <w:pPr>
        <w:spacing w:after="0" w:line="188" w:lineRule="exact"/>
        <w:rPr>
          <w:sz w:val="20"/>
          <w:szCs w:val="20"/>
          <w:color w:val="auto"/>
        </w:rPr>
      </w:pPr>
    </w:p>
    <w:p>
      <w:pPr>
        <w:jc w:val="both"/>
        <w:ind w:firstLine="1428"/>
        <w:spacing w:after="0" w:line="254" w:lineRule="auto"/>
        <w:tabs>
          <w:tab w:leader="none" w:pos="1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give (or shall cause the Company Subsidiaries to give) any notices to third parties, and use, and cause the Company Subsidiaries to use, reasonable best efforts to obtain the third party consents, approvals or waivers identified 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make or agree to make any payment or accept any material conditions or obligations with respect thereto), and the Company and Parent shall coordinate and cooperate in seeking any such consents, approvals or waivers. In the event that the Company shall fail to obtain any third party consent described in the first sentence of this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the Company shall take any such actions reasonably requested by Parent (at Parent’s sole cost and expense), to minimize any adverse effect upon Parent and its Subsidiaries (including the Surviving Corporation and its Subsidiaries), and their respective businesses resulting after, or which would reasonably be expected to result after, the Second Effective Time from the failure to obtain such consent.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70" w:name="page71"/>
    <w:bookmarkEnd w:id="70"/>
    <w:p>
      <w:pPr>
        <w:jc w:val="both"/>
        <w:ind w:left="4" w:firstLine="1428"/>
        <w:spacing w:after="0" w:line="253" w:lineRule="auto"/>
        <w:tabs>
          <w:tab w:leader="none" w:pos="168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generality of anything contained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each party shall: (i) give the other parties prompt notice of the making or commencement of any request, inquiry, investigation or Proceeding by or before any Governmental Entity with respect to the Mergers or any of the other transactions contemplated by this Agreement; (ii) keep the other parties informed as to the status of any such request, inquiry, investigation or Proceeding; and (iii) promptly inform the other parties of any communication to or from any Governmental Entity regarding the Mergers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Mergers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spacing w:after="0" w:line="191" w:lineRule="exact"/>
        <w:rPr>
          <w:rFonts w:ascii="Times New Roman" w:cs="Times New Roman" w:eastAsia="Times New Roman" w:hAnsi="Times New Roman"/>
          <w:sz w:val="18"/>
          <w:szCs w:val="18"/>
          <w:color w:val="auto"/>
        </w:rPr>
      </w:pPr>
    </w:p>
    <w:p>
      <w:pPr>
        <w:jc w:val="both"/>
        <w:ind w:left="4" w:right="20" w:firstLine="1428"/>
        <w:spacing w:after="0" w:line="255" w:lineRule="auto"/>
        <w:tabs>
          <w:tab w:leader="none" w:pos="169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and shall cause its affiliates not to, acquire or agree to acquire a substantial portion of the equity or assets of, or other interests in, or merge or consolidate with (or agree to merge or consolidate with), any corporation, partnership, association or other business organization, or any business unit, division, subsidiary thereof, if such action would reasonably be expected to (i) result in any Governmental Entity seeking or entering an Order prohibiting the consummation of the Mergers or any of the other transactions contemplated by this Agreement or</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prevent or materially delay the consummation of the Mergers or any of the other transactions contemplated by this Agreement.</w:t>
      </w:r>
    </w:p>
    <w:p>
      <w:pPr>
        <w:spacing w:after="0" w:line="206"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68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any party, directly or indirectly, the right to control or direct the operations of any other party prior to the consummation of the Mergers. Prior to the Second Effective Time, the Company and Parent shall exercise, consistent with the terms and conditions of this Agreement, complete unilateral control and supervision over their respective business operations.</w:t>
      </w:r>
    </w:p>
    <w:p>
      <w:pPr>
        <w:spacing w:after="0" w:line="176"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Certain Notices</w:t>
      </w:r>
      <w:r>
        <w:rPr>
          <w:rFonts w:ascii="Times New Roman" w:cs="Times New Roman" w:eastAsia="Times New Roman" w:hAnsi="Times New Roman"/>
          <w:sz w:val="18"/>
          <w:szCs w:val="18"/>
          <w:color w:val="auto"/>
        </w:rPr>
        <w:t xml:space="preserve">. From and after the date of the Original Agreement until the earlier of the Second Effective Time or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unless prohibited by applicable Law, each party shall promptly notify the other party of any material Effect that would reasonably be expected to cause any condition to the obligations of any party to effect the Mergers or any other transactions contemplated by this Agreement not to be satisfied, including of the breach by a party of, or any other failure of a party to comply with or satisfy any, representation, warranty, covenant, condition or agreement made, or to be complied with or satisfied, by it pursuant to this Agreement which would reasonably be expected, individually or in the aggregate, to result in any condition to the obligations of any party to effect the Mergers not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cure any breach of any representation, warranty, covenant or agreement contained in this Agreement or otherwise limit or affect the remedies available hereunder to the party receiving such notice). Any such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affect any representation, warranty, covenant or agreement contained in this Agreement and any failure to make such notice (in and of itself) shall not be taken into account in determining whether the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or give rise to any right of termination set forth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4"/>
          </w:cols>
          <w:pgMar w:left="436" w:top="270" w:right="439" w:bottom="1440" w:gutter="0" w:footer="0" w:header="0"/>
        </w:sectPr>
      </w:pPr>
    </w:p>
    <w:bookmarkStart w:id="71" w:name="page72"/>
    <w:bookmarkEnd w:id="71"/>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The Company shall promptly advise Parent, and give Parent the opportunity to participate in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 w:cs="Times New Roman" w:eastAsia="Times New Roman" w:hAnsi="Times New Roman"/>
          <w:sz w:val="18"/>
          <w:szCs w:val="18"/>
          <w:u w:val="single" w:color="auto"/>
          <w:color w:val="auto"/>
        </w:rPr>
        <w:t>Company Transaction Litigation</w:t>
      </w:r>
      <w:r>
        <w:rPr>
          <w:rFonts w:ascii="Times New Roman" w:cs="Times New Roman" w:eastAsia="Times New Roman" w:hAnsi="Times New Roman"/>
          <w:sz w:val="18"/>
          <w:szCs w:val="18"/>
          <w:color w:val="auto"/>
        </w:rPr>
        <w:t xml:space="preserve">”), including the Mergers, and shall keep Parent reasonably informed regarding any such Company Transaction Litigation. The Company shall give Parent the opportunity to consult with the Company regarding the defense or settlement of any such Company Transaction Litigation, and shall consider in good faith Parent’s views with respect to such Company Transaction Litigation. The Company shall not issue any supplemental disclosure, make any commitments with respect to, or otherwise settle or agree to settle any such Company Transaction Litigation without Parent’s prior written consent (which shall not be unreasonably withheld, conditioned or delayed). For purposes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“participate” means that Parent will be kept apprised of proposed strategy and other significant decisions with respect to any such Company Transaction Litigation by the Company (to the extent that the attorney-client privilege between the Company and its counsel is not undermined), and Parent may offer comments or suggestions with respect to such Company Transaction Litigation, which the Company shall consider in good faith, but will not be afforded any decision-making power or other authority over such Company Transaction Litigation except for the settlement consent set forth above.</w:t>
      </w:r>
    </w:p>
    <w:p>
      <w:pPr>
        <w:spacing w:after="0" w:line="190"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So long as this Agreement is in effect, Parent and the Parent Subsidiaries, on the one hand, and the Company and the Company Subsidiaries, on the other, shall not issue any press release or make any public statement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or</w:t>
      </w:r>
    </w:p>
    <w:p>
      <w:pPr>
        <w:spacing w:after="0" w:line="5" w:lineRule="exact"/>
        <w:rPr>
          <w:sz w:val="20"/>
          <w:szCs w:val="20"/>
          <w:color w:val="auto"/>
        </w:rPr>
      </w:pPr>
    </w:p>
    <w:p>
      <w:pPr>
        <w:ind w:left="4" w:right="20" w:hanging="4"/>
        <w:spacing w:after="0" w:line="260" w:lineRule="auto"/>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consistent with prior communications previously consented to by the other parties. The press release announcing the execution and delivery of this Agreement shall be a joint release of, and shall not be issued prior to the approval of each of, the Company and Parent.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Employee Benefit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87"/>
        <w:spacing w:after="0" w:line="256" w:lineRule="auto"/>
        <w:tabs>
          <w:tab w:leader="none" w:pos="12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Closing Date and ending on the last day of the year in which the Closing occurs, Parent shall, or shall cause one of its affiliates (including the Surviving Corporation and its Subsidiaries) to provide each Continuing Employee with (i) a total target cash opportunity (i.e., inclusive of an annual base salary or base wage rate and a target annual cash bonus opportunity, and excluding an equity or equity-linked compensation opportunity) and (ii) employee health and welfare benefits, in each case, that is or are, in Parent’s reasonable discretion, either (A) no less favorable in the aggregate than such target cash opportunity or benefits in effect for the Continuing Employee immediately prior to the Closing, or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4"/>
          </w:cols>
          <w:pgMar w:left="436" w:top="270" w:right="439" w:bottom="1440" w:gutter="0" w:footer="0" w:header="0"/>
        </w:sectPr>
      </w:pPr>
    </w:p>
    <w:bookmarkStart w:id="72" w:name="page73"/>
    <w:bookmarkEnd w:id="72"/>
    <w:p>
      <w:pPr>
        <w:jc w:val="both"/>
        <w:ind w:left="4" w:right="20" w:hanging="4"/>
        <w:spacing w:after="0" w:line="256" w:lineRule="auto"/>
        <w:tabs>
          <w:tab w:leader="none" w:pos="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less favorable in the aggregate than such target cash opportunity or benefits provided to similarly situated employees of Parent or Parent’s affiliates. With respect to each Continuing Employee, if such employee experiences a “qualifying termination” (as defined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during the period commencing on the Closing Date and ending on the last day of the year in which the Closing occurs, Parent shall, or shall cause one of its affiliates (including the Surviving Corporation and its Subsidiaries), to provide severance payments to such employee in accordance with the terms and conditions set forth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(taking into account such employee’s years of service as required pursuant to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7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(including purposes of vesting, eligibility to participate and level of benefits) under the employee benefit plans of Parent and its Subsidiaries providing benefits to any Continuing Employees after the Second Effective Time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each Continuing Employee shall, subject to applicable law and applicable tax qualification requirements, be credited with his or her years of service with the Company and its Subsidiaries and their respective predecessors before the First Effective Time, to the same extent as such Continuing Employee was entitled, before the First Effective Time, to credit for such service under any similar Company Benefit Plan in which such Continuing Employee participated or was eligible to participate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(i) to the extent that its application would result in a duplication of benefits, (ii) for purposes of any equity-based incentive plan, long-term incentive plan, pension plan, retiree welfare plan, or (iii) to any benefit plan that is a frozen plan or provides grandfathered benefits. In addition, and without limiting the generality of the foregoing,</w:t>
      </w: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Continuing Employee shall be immediately eligible to participate, without any waiting time (other than any administrative delays in connection with any transition to Parent’s tax qualified defined contribution plan), in any New Plans to the extent coverage under such New Plan is of the same type as the Company Benefit Plan in which such Continuing Employee participated immediately before the First Effective Time (such plans, collectively, the “</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and (ii)(A) for purposes of each New Plan providing medical, dental, pharmaceutical or vision benefits to any Continuing Employee, Parent or its applicable Subsidiary shall cause all preexisting condition exclusions and actively-at-work requirements of such New Plan to be waived for such Continuing Employee and his or her covered dependents, unless such conditions would not have been waived under the Old Plan in which such Continuing Employee participated immediately prior to the First Effective Time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spacing w:after="0" w:line="192"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4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Parent in writing delivered to the Company not less than five Business Days prior to the Closing Date, the Company and each of the Company Subsidiaries shall adopt resolutions and take all such corporate action as is necessary to terminate each (i) 401(k) plan maintained, sponsored or contributed to by the Company or any of the Company Subsidiaries (collectively, the “</w:t>
      </w:r>
      <w:r>
        <w:rPr>
          <w:rFonts w:ascii="Times New Roman" w:cs="Times New Roman" w:eastAsia="Times New Roman" w:hAnsi="Times New Roman"/>
          <w:sz w:val="18"/>
          <w:szCs w:val="18"/>
          <w:u w:val="single" w:color="auto"/>
          <w:color w:val="auto"/>
        </w:rPr>
        <w:t>Company 401(k) Plans</w:t>
      </w:r>
      <w:r>
        <w:rPr>
          <w:rFonts w:ascii="Times New Roman" w:cs="Times New Roman" w:eastAsia="Times New Roman" w:hAnsi="Times New Roman"/>
          <w:sz w:val="18"/>
          <w:szCs w:val="18"/>
          <w:color w:val="auto"/>
        </w:rPr>
        <w:t>”), in each case, effective as of the day immediately prior to the Closing Date, and (ii) each Company Benefit Plan that is a</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4"/>
          </w:cols>
          <w:pgMar w:left="436" w:top="270" w:right="439" w:bottom="1440" w:gutter="0" w:footer="0" w:header="0"/>
        </w:sectPr>
      </w:pPr>
    </w:p>
    <w:bookmarkStart w:id="73" w:name="page74"/>
    <w:bookmarkEnd w:id="73"/>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“nonqualified deferred compensation plan” within the meaning of Section 409A of the Code. The Company shall provide Parent with evidence that such Company 401(k) Plans and nonqualified deferred compensation plans have been properly terminated, and the form of such termination documents shall be subject to the reasonable approval of Parent. In the event of the termination of any Company 401(k) Plan pursuant to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(each such terminated Company 401(k) Plan, a “</w:t>
      </w:r>
      <w:r>
        <w:rPr>
          <w:rFonts w:ascii="Times New Roman" w:cs="Times New Roman" w:eastAsia="Times New Roman" w:hAnsi="Times New Roman"/>
          <w:sz w:val="18"/>
          <w:szCs w:val="18"/>
          <w:u w:val="single" w:color="auto"/>
          <w:color w:val="auto"/>
        </w:rPr>
        <w:t>Terminated Company 401(k) Plan</w:t>
      </w:r>
      <w:r>
        <w:rPr>
          <w:rFonts w:ascii="Times New Roman" w:cs="Times New Roman" w:eastAsia="Times New Roman" w:hAnsi="Times New Roman"/>
          <w:sz w:val="18"/>
          <w:szCs w:val="18"/>
          <w:color w:val="auto"/>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402(c)(4) of the Code) from current and former employees of the Company and the Company Subsidiaries with respect to such individuals’ account balances (excluding loans) under such Terminated Company 401(k) Plan, if elected by any such individuals.</w:t>
      </w:r>
    </w:p>
    <w:p>
      <w:pPr>
        <w:spacing w:after="0" w:line="192" w:lineRule="exact"/>
        <w:rPr>
          <w:sz w:val="20"/>
          <w:szCs w:val="20"/>
          <w:color w:val="auto"/>
        </w:rPr>
      </w:pPr>
    </w:p>
    <w:p>
      <w:pPr>
        <w:jc w:val="both"/>
        <w:ind w:right="20" w:firstLine="987"/>
        <w:spacing w:after="0" w:line="255" w:lineRule="auto"/>
        <w:tabs>
          <w:tab w:leader="none" w:pos="125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no provision of this Agreement shall be deemed to (i) guarantee employment for any period of time for, or preclude the ability of Parent or the Surviving Corporation to terminate the employment of, any Continuing Employee for any reason; (ii) require the Company, Parent or the Surviving Corporation to continue any Company Benefit Plan,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solely for the benefit of the parties, and no Continuing Employee (including any beneficiary or dependent thereof) shall be regarded for any purpose as a third party beneficiary of this Agreement, and no provision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create such rights in any such persons.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3" w:lineRule="auto"/>
        <w:tabs>
          <w:tab w:leader="none" w:pos="17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beginning at the Second Effective Time and ending six years after the Second Effective Time, the Surviving Corporation shall, and Parent shall cause the Surviving Corporation to, indemnify and hold harmless all past and present directors and officers of the Company or any Company Subsidiary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xml:space="preserve">”), subject to applicable Law, to the same extent such Covered Persons are indemnified as of the date of the Original Agreement by the Company or any Company Subsidiary pursuant to applicable Law, the Company Charter, the Company Bylaws, the certificate of incorporation and bylaws (or equivalent organizational or governing documents) of any Company Subsidiary or indemnification agreements (that have been made available to Parent prior to the date of the Original Agreement), if any, in existence on the date of the Original Agreement with any directors or officers of the Company or any Company Subsidiary for any Proceedings arising out of acts or omissions in their capacity as directors or officers of the Company or any Company Subsidiary, as applicable, occurring at or prior to the First Effective Time. The Surviving Corporation shall, and Parent shall cause the Surviving Corporation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Parent shall cause the Surviving Corporation to, advance expenses (including reasonable legal fees and expenses) incurred in the defense of any Proceeding or investigation with respect to the matters subject to indemnification pursuant to this </w:t>
      </w:r>
      <w:r>
        <w:rPr>
          <w:rFonts w:ascii="Times New Roman" w:cs="Times New Roman" w:eastAsia="Times New Roman" w:hAnsi="Times New Roman"/>
          <w:sz w:val="18"/>
          <w:szCs w:val="18"/>
          <w:u w:val="single" w:color="auto"/>
          <w:color w:val="auto"/>
        </w:rPr>
        <w:t>Section 6.9(a)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70" w:right="43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accordance with the procedures set forth with respect to any Covered Person in the Company Charter, the Company Bylaws, the certificate of incorporation and bylaws (or equivalent organizational documents) of any Company Subsidiary, or indemnification agreements (that have been made available to Parent prior to the date of the Original Agreement), if any, in existence on the date of the Original Agreement with any directors and officers of the Company or any Company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Covered Person to whom expenses are advanced shall undertake to repay such advanced expenses by the Surviving Corporation, if it is ultimately determined by a final non-appealable judgment of a court of competent jurisdiction that such Covered Person is not entitled to indemnification pursuant to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Notwithstanding anything herein to the contrary, if any Proceeding (whether arising before, at or after the First Effective Time) is made against such persons with respect to matters subject to indemnification hereunder on or prior to the sixth anniversary of the Second Effective Time, the provisions of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shall continue in effect until the final disposition of such Proceeding.</w:t>
      </w:r>
    </w:p>
    <w:p>
      <w:pPr>
        <w:spacing w:after="0" w:line="188" w:lineRule="exact"/>
        <w:rPr>
          <w:sz w:val="20"/>
          <w:szCs w:val="20"/>
          <w:color w:val="auto"/>
        </w:rPr>
      </w:pPr>
    </w:p>
    <w:p>
      <w:pPr>
        <w:jc w:val="both"/>
        <w:ind w:firstLine="1428"/>
        <w:spacing w:after="0" w:line="253" w:lineRule="auto"/>
        <w:tabs>
          <w:tab w:leader="none" w:pos="169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Second Effective Time, the organizational documents of the Surviving Corporation shall contain provisions no less favorable with respect to exculpation, indemnification of and advancement of expenses to Covered Persons for periods at or prior to the First Effective Time than are currently set forth with respect to any Covered Person, in the Company Charter, the Company Bylaws, the certificate of incorporation and bylaws, or equivalent organizational documents, of any Company Subsidiary in existence on the date of the Original Agreement. For not less than six years from the Second Effective Time, the Surviving Corporation shall not amend, repeal or otherwise modify the exculpation, indemnification and advancement of expenses provisions of its or any of its Subsidiaries’ certificates of incorporation or by-laws or similar organizational documents as in effect immediately prior to the First Effective Time in any manner that would adversely affect the rights thereunder of any Covered Person. In the event that Parent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Parent or the Surviving Corporation (as applicable) shall cause proper provision to be made so that the successors and assigns of Parent or the Surviving Corporation (as applicable) assume the obligations set forth in this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unless such assumption occurs by operation of Law.</w:t>
      </w:r>
    </w:p>
    <w:p>
      <w:pPr>
        <w:spacing w:after="0" w:line="189" w:lineRule="exact"/>
        <w:rPr>
          <w:rFonts w:ascii="Times New Roman" w:cs="Times New Roman" w:eastAsia="Times New Roman" w:hAnsi="Times New Roman"/>
          <w:sz w:val="18"/>
          <w:szCs w:val="18"/>
          <w:color w:val="auto"/>
        </w:rPr>
      </w:pPr>
    </w:p>
    <w:p>
      <w:pPr>
        <w:jc w:val="both"/>
        <w:ind w:firstLine="1428"/>
        <w:spacing w:after="0" w:line="253" w:lineRule="auto"/>
        <w:tabs>
          <w:tab w:leader="none" w:pos="169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Second Effective Time, Parent shall cause the Surviving Corporation to, and the Surviving Corporation shall, maintain in effect, the Company’s current directors’ and officers’ liability insurance policies covering acts or omissions occurring (or alleged to occur) prior to or at the First Effective Time with respect to Covered Persons;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Surviving Corporation be required to expend pursuant to this </w:t>
      </w:r>
      <w:r>
        <w:rPr>
          <w:rFonts w:ascii="Times New Roman" w:cs="Times New Roman" w:eastAsia="Times New Roman" w:hAnsi="Times New Roman"/>
          <w:sz w:val="18"/>
          <w:szCs w:val="18"/>
          <w:u w:val="single" w:color="auto"/>
          <w:color w:val="auto"/>
        </w:rPr>
        <w:t>Section 6.9(c)</w:t>
      </w:r>
      <w:r>
        <w:rPr>
          <w:rFonts w:ascii="Times New Roman" w:cs="Times New Roman" w:eastAsia="Times New Roman" w:hAnsi="Times New Roman"/>
          <w:sz w:val="18"/>
          <w:szCs w:val="18"/>
          <w:color w:val="auto"/>
        </w:rPr>
        <w:t xml:space="preserve"> more than an amount per year equal to 300% of current annual premiums paid by the Company for such insurance. In the event that, but for the proviso to the immediately preceding sentence, the Surviving Corporation would be required to expend more than 300% of current annual premiums, the Surviving Corporation shall obtain the maximum amount of such insurance obtainable by payment of annual premiums equal to 300% of current annual premiums. In lieu of the foregoing, the Company, in consultation with Parent, may (and at the request of Parent, the Company shall use its reasonable best efforts to) purchase at or prior to the First Effective Time, and/or the Surviving Corporation may purchase following the Second Effective Time, a six-year “tail” prepaid officers’ and directors’ liability insurance policy in respect of acts or omissions occurring prior to the First Effective Time covering each such Covered Person for an amount not to exceed 300% of current annual premiums. If such “tail” policy has been established by Parent or the Company, the Surviving Corporation shall not terminate such policy and shall cause all obligations of Parent or the Company thereunder to be honored by the Surviving Corporation.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70" w:right="439" w:bottom="1440" w:gutter="0" w:footer="0" w:header="0"/>
        </w:sectPr>
      </w:pPr>
    </w:p>
    <w:bookmarkStart w:id="75" w:name="page76"/>
    <w:bookmarkEnd w:id="75"/>
    <w:p>
      <w:pPr>
        <w:jc w:val="both"/>
        <w:ind w:right="20" w:firstLine="1428"/>
        <w:spacing w:after="0" w:line="261" w:lineRule="auto"/>
        <w:tabs>
          <w:tab w:leader="none" w:pos="16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Following the Second Effective Time, the obligations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First Effective Time, the Company shall take all such steps as may be reasonable necessary or appropriate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w:t>
      </w:r>
    </w:p>
    <w:p>
      <w:pPr>
        <w:spacing w:after="0" w:line="183"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Listing Matters</w:t>
      </w:r>
      <w:r>
        <w:rPr>
          <w:rFonts w:ascii="Times New Roman" w:cs="Times New Roman" w:eastAsia="Times New Roman" w:hAnsi="Times New Roman"/>
          <w:sz w:val="18"/>
          <w:szCs w:val="18"/>
          <w:color w:val="auto"/>
        </w:rPr>
        <w:t xml:space="preserve">. The Company and Parent shall cause the Company’s securities to be de-listed from the Nasdaq and de-registered under the Exchange Act as promptly as practicable following the Second Effective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delisting and termination shall not be effective until immediately after the Second Effective Time. The Company shall use reasonable best efforts to take all actions required under TASE bylaws and applicable Israeli Securities Laws to facilitate the delisting of Company Common Stock from the TASE, including the filing of all required notices and the provision of all required shareholder communications, in each case to permit such delisting to be effective as soon as possible after the date hereof. Parent shall, and the Company shall cooperate with Parent to, use its reasonable best efforts to cause the shares of Parent Common Stock to be issued in connection with the Mergers (including shares of Parent Common Stock to be reserved for issuance upon exercise of Assumed Options) to be approved for listing on the Nasdaq, subject to official notice of issuance, prior to the First Effective Time.</w:t>
      </w:r>
    </w:p>
    <w:p>
      <w:pPr>
        <w:spacing w:after="0" w:line="19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becomes or is deemed to be applicable to the Company, the Mergers or any other transaction contemplated by this Agreement, then the Company and the Company Board shall take all action reasonably available to it to render such Law inapplicable to the foregoing.</w:t>
      </w:r>
    </w:p>
    <w:p>
      <w:pPr>
        <w:spacing w:after="0" w:line="176"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The Company acknowledges and agrees that it shall not (a) redeem the Company Rights, (b) amend the Tax Benefits Preservation Plan or (c) take any action that would allow any Person (as defined in the Tax Benefits Preservation Plan) other than the Parent Parties to “Beneficially Own” or become the “Beneficial Owner” or acquire “Beneficial Ownership” (as such terms are defined in the Tax Benefits Preservation Plan) of 4.9% or more of the outstanding shares of Company Common Stock without causing a “Distribution Date”, “Flip-In Trigger Date” or “Triggering Event” (as such terms are defined in the Tax Benefits Preservation Plan) to occur. The Company Board shall not (i) make a determination that the Parent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 or any of their respective affiliates or associates is an “Acquiring Person” (as defined in the Tax Benefits Preservation Plan) for purposes of the Tax Benefits Preservation Plan or (ii) make a determination contrary to, or in any way revoke, rescind or modify the Tax Benefits Preservation Plan Waiver. Prior to the Closing, the Company shall take all such actions as may be necessary, including, for avoidance of doubt, amending the Tax Benefits Preservation Plan, to cause the Tax Benefits Preservation Plan to terminate, and all outstanding Company Rights to expire without value, immediately prior to the First Effective Time. Prior to the Closing, the Company shall provide Parent with evidence, reasonably satisfactory to Parent, demonstrating the Company’s compliance with the covenant set forth in the preceding sentence.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Cooperation as to Integration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4" w:lineRule="auto"/>
        <w:tabs>
          <w:tab w:leader="none" w:pos="167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use its reasonable best efforts to reasonably cooperate with Parent and the Parent Representatives as may be reasonably requested by Parent and the Parent Representatives from time to time, including by complying with the provisions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(subject to the limitations contained therein), in connection with planning for the integration of the business operations, systems, processes and personnel of Parent and the Company (collectively, “</w:t>
      </w:r>
      <w:r>
        <w:rPr>
          <w:rFonts w:ascii="Times New Roman" w:cs="Times New Roman" w:eastAsia="Times New Roman" w:hAnsi="Times New Roman"/>
          <w:sz w:val="18"/>
          <w:szCs w:val="18"/>
          <w:u w:val="single" w:color="auto"/>
          <w:color w:val="auto"/>
        </w:rPr>
        <w:t>Integration Planning Activities</w:t>
      </w:r>
      <w:r>
        <w:rPr>
          <w:rFonts w:ascii="Times New Roman" w:cs="Times New Roman" w:eastAsia="Times New Roman" w:hAnsi="Times New Roman"/>
          <w:sz w:val="18"/>
          <w:szCs w:val="18"/>
          <w:color w:val="auto"/>
        </w:rPr>
        <w:t xml:space="preserve">”), in each case, subject to the proviso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applicable Law (including Regulatory Laws and Privacy and Security Laws).</w:t>
      </w:r>
    </w:p>
    <w:p>
      <w:pPr>
        <w:spacing w:after="0" w:line="191" w:lineRule="exact"/>
        <w:rPr>
          <w:rFonts w:ascii="Times New Roman" w:cs="Times New Roman" w:eastAsia="Times New Roman" w:hAnsi="Times New Roman"/>
          <w:sz w:val="18"/>
          <w:szCs w:val="18"/>
          <w:color w:val="auto"/>
        </w:rPr>
      </w:pPr>
    </w:p>
    <w:p>
      <w:pPr>
        <w:jc w:val="both"/>
        <w:ind w:firstLine="1428"/>
        <w:spacing w:after="0" w:line="254" w:lineRule="auto"/>
        <w:tabs>
          <w:tab w:leader="none" w:pos="168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Integration Planning Activities contemplated by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 xml:space="preserve">, and subject to the proviso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applicable Law (including Regulatory Laws and Privacy and Security Laws),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reasonably cooperate with Parent (during normal business hours and in such a manner as not to interfere unreasonably with the operation of any business conducted by the Company or any Company Subsidiary), as may be reasonably requested by Parent or the Parent Representatives from time to time in connection with the preparation, development and implementation of a comprehensive integration plan covering all material functional areas of the Company and the Company Subsidiaries’ respective businesses and the identification of any operational efficiencies and revenue enhancement opportunities arising therefrom.</w:t>
      </w:r>
    </w:p>
    <w:p>
      <w:pPr>
        <w:spacing w:after="0" w:line="188" w:lineRule="exact"/>
        <w:rPr>
          <w:rFonts w:ascii="Times New Roman" w:cs="Times New Roman" w:eastAsia="Times New Roman" w:hAnsi="Times New Roman"/>
          <w:sz w:val="18"/>
          <w:szCs w:val="18"/>
          <w:color w:val="auto"/>
        </w:rPr>
      </w:pPr>
    </w:p>
    <w:p>
      <w:pPr>
        <w:jc w:val="both"/>
        <w:ind w:firstLine="1428"/>
        <w:spacing w:after="0" w:line="255" w:lineRule="auto"/>
        <w:tabs>
          <w:tab w:leader="none" w:pos="17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Company’s written request to Parent, Parent will promptly reimburse the Company or any applicable Company Subsidiary on an as-incurred basis for any reasonable and documented out-of-pocket costs or expenses incurred or otherwise payable by the Company or any Company Subsidiary in connection with their cooperation or efforts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costs or expenses incurred or otherwise payable by the Company or any Company Subsidiary in respect of services provided by a third party service provider to the Company or any Company Subsidiary in connection with any Integration Planning Activities shall be reimbursed by Parent pursuant to this </w:t>
      </w:r>
      <w:r>
        <w:rPr>
          <w:rFonts w:ascii="Times New Roman" w:cs="Times New Roman" w:eastAsia="Times New Roman" w:hAnsi="Times New Roman"/>
          <w:sz w:val="18"/>
          <w:szCs w:val="18"/>
          <w:u w:val="single" w:color="auto"/>
          <w:color w:val="auto"/>
        </w:rPr>
        <w:t>Section 6.14(c)</w:t>
      </w:r>
      <w:r>
        <w:rPr>
          <w:rFonts w:ascii="Times New Roman" w:cs="Times New Roman" w:eastAsia="Times New Roman" w:hAnsi="Times New Roman"/>
          <w:sz w:val="18"/>
          <w:szCs w:val="18"/>
          <w:color w:val="auto"/>
        </w:rPr>
        <w:t xml:space="preserve"> unless the Company or such Company Subsidiary shall have received Parent’s prior written consent to engage such third party service provider prior to the commencement of any such services.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70" w:right="439" w:bottom="1440" w:gutter="0" w:footer="0" w:header="0"/>
        </w:sectPr>
      </w:pPr>
    </w:p>
    <w:bookmarkStart w:id="77" w:name="page78"/>
    <w:bookmarkEnd w:id="77"/>
    <w:p>
      <w:pPr>
        <w:jc w:val="both"/>
        <w:ind w:right="20" w:firstLine="1428"/>
        <w:spacing w:after="0" w:line="261" w:lineRule="auto"/>
        <w:tabs>
          <w:tab w:leader="none" w:pos="170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parties acknowledge that any Integration Planning Activities are intended solely for the purpose of facilitating the orderly integration of the businesses of Parent and the Company following the Closing, and shall not involve the implementation of any integration steps or operational changes prior the First Effective Time (other than planning activities in anticipation thereof). Nothing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shall be construed to permit Parent to, directly or indirectly, control or direct the operations of the Company or any Company Subsidiary prior to the First Effective Time.</w:t>
      </w:r>
    </w:p>
    <w:p>
      <w:pPr>
        <w:spacing w:after="0" w:line="180"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Repayment of 2026 Notes; Note Restructuring Transactions</w:t>
      </w:r>
      <w:r>
        <w:rPr>
          <w:rFonts w:ascii="Times New Roman" w:cs="Times New Roman" w:eastAsia="Times New Roman" w:hAnsi="Times New Roman"/>
          <w:sz w:val="18"/>
          <w:szCs w:val="18"/>
          <w:color w:val="auto"/>
        </w:rPr>
        <w:t xml:space="preserve">. Prior to the Closing, (a) the Company shall use its reasonable best efforts to repurchase (effective as of or prior to the Closing) in full all of the 2026 Notes in accordance with that certain Indenture, dated as of December 4, 2020, by and between the Company, as issuer, and U.S. Bank National Association, as trustee and any other agreements governing the 2026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reasonable best efforts shall not require the Company to (i) repurchase any 2026 Notes at a price that exceeds the face amount thereof or (ii) utilize cash and cash equivalents of the Company and the Company Subsidiaries that the Company, acting reasonably and in good faith, determines is reasonably necessary and appropriate for the Company and the Company Subsidiaries to utilize for the payment of expenses in the ordinary course consistent with past practices; and (b) each of Parent and the Company shall, and shall each use their respective reasonable best efforts to cause each holder of Secured Notes to, cause the Notes Restructuring Transactions to be consummated in all material respects in accordance with the terms and subject to the conditions of the Notes Restructuring Agreement contemporaneously with, and contingent upon, the Closing.</w:t>
      </w:r>
    </w:p>
    <w:p>
      <w:pPr>
        <w:spacing w:after="0" w:line="188"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Director Resignations</w:t>
      </w:r>
      <w:r>
        <w:rPr>
          <w:rFonts w:ascii="Times New Roman" w:cs="Times New Roman" w:eastAsia="Times New Roman" w:hAnsi="Times New Roman"/>
          <w:sz w:val="18"/>
          <w:szCs w:val="18"/>
          <w:color w:val="auto"/>
        </w:rPr>
        <w:t>. The Company shall use its reasonable best efforts to cause to be delivered to Parent resignations, in form and substance reasonably acceptable to Parent, executed by each director of the Company in office as of immediately prior to the Second Effective Time and effective upon the Second Effective Time.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MERGERS</w:t>
      </w:r>
    </w:p>
    <w:p>
      <w:pPr>
        <w:spacing w:after="0" w:line="207"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Obligations of Each Party Under This Agreement</w:t>
      </w:r>
      <w:r>
        <w:rPr>
          <w:rFonts w:ascii="Times New Roman" w:cs="Times New Roman" w:eastAsia="Times New Roman" w:hAnsi="Times New Roman"/>
          <w:sz w:val="18"/>
          <w:szCs w:val="18"/>
          <w:color w:val="auto"/>
        </w:rPr>
        <w:t>. The respective obligations of each party to consummate the Mergers shall be subject to the satisfaction (or waiver, if permissible under Law) at or prior to the First Effective Time of each of the following conditions:</w:t>
      </w:r>
    </w:p>
    <w:p>
      <w:pPr>
        <w:spacing w:after="0" w:line="54" w:lineRule="exact"/>
        <w:rPr>
          <w:sz w:val="20"/>
          <w:szCs w:val="20"/>
          <w:color w:val="auto"/>
        </w:rPr>
      </w:pPr>
    </w:p>
    <w:p>
      <w:pPr>
        <w:ind w:right="20" w:firstLine="1428"/>
        <w:spacing w:after="0" w:line="282" w:lineRule="auto"/>
        <w:tabs>
          <w:tab w:leader="none" w:pos="167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shall have obtained the Required Company Vote at the Company Stockholders Meeting (as such meeting may have been adjourned or postponed in accordance with this Agreement);</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8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(i) Law or Order shall have been issued, entered, promulgated or enacted that restrains, enjoins, or otherwise prohibits or makes illegal the consummation of the Mergers or (ii) injunction, Order or award restraining or enjoining, or otherwise prohibiting, the consummation of the Mergers shall have been issued by any Governmental Entity having jurisdiction over any party and remain in force (each, a “</w:t>
      </w: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440" w:top="270" w:right="439" w:bottom="1440" w:gutter="0" w:footer="0" w:header="0"/>
        </w:sectPr>
      </w:pPr>
    </w:p>
    <w:bookmarkStart w:id="78" w:name="page79"/>
    <w:bookmarkEnd w:id="78"/>
    <w:p>
      <w:pPr>
        <w:jc w:val="both"/>
        <w:ind w:right="20" w:firstLine="1428"/>
        <w:spacing w:after="0" w:line="266" w:lineRule="auto"/>
        <w:tabs>
          <w:tab w:leader="none" w:pos="167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Regulatory Law</w:t>
      </w:r>
      <w:r>
        <w:rPr>
          <w:rFonts w:ascii="Times New Roman" w:cs="Times New Roman" w:eastAsia="Times New Roman" w:hAnsi="Times New Roman"/>
          <w:sz w:val="18"/>
          <w:szCs w:val="18"/>
          <w:color w:val="auto"/>
        </w:rPr>
        <w:t xml:space="preserve">: Any required consents, authorizations, approvals, orders, filings and declarations required to be obtained prior to the consummation of the Mergers pursuant to a Regulatory Law in any jurisdiction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Company Disclosure Schedule shall have been filed, occurred or been obtained (or any applicable waiting period thereunder shall have expired or been terminated), as applicable;</w:t>
      </w:r>
    </w:p>
    <w:p>
      <w:pPr>
        <w:spacing w:after="0" w:line="175"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The shares of Parent Common Stock to be issued in the Mergers shall have been authorized and approved for listing on the Nasdaq, subject to official notice of issuance; and</w:t>
      </w:r>
    </w:p>
    <w:p>
      <w:pPr>
        <w:spacing w:after="0" w:line="161" w:lineRule="exact"/>
        <w:rPr>
          <w:rFonts w:ascii="Times New Roman" w:cs="Times New Roman" w:eastAsia="Times New Roman" w:hAnsi="Times New Roman"/>
          <w:sz w:val="18"/>
          <w:szCs w:val="18"/>
          <w:color w:val="auto"/>
        </w:rPr>
      </w:pPr>
    </w:p>
    <w:p>
      <w:pPr>
        <w:ind w:firstLine="1428"/>
        <w:spacing w:after="0" w:line="282" w:lineRule="auto"/>
        <w:tabs>
          <w:tab w:leader="none" w:pos="167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been declared effective by the SEC under the Securities Act and shall not be the subject of any stop order.</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Conditions to Obligations of Parent and the Merger Subs</w:t>
      </w:r>
      <w:r>
        <w:rPr>
          <w:rFonts w:ascii="Times New Roman" w:cs="Times New Roman" w:eastAsia="Times New Roman" w:hAnsi="Times New Roman"/>
          <w:sz w:val="18"/>
          <w:szCs w:val="18"/>
          <w:color w:val="auto"/>
        </w:rPr>
        <w:t>. The respective obligations of each Parent Party to consummate the Mergers shall be subject to the satisfaction (or waiver, if permissible under Law) at or prior to the First Effective Time of each of the following conditions:</w:t>
      </w:r>
    </w:p>
    <w:p>
      <w:pPr>
        <w:spacing w:after="0" w:line="68" w:lineRule="exact"/>
        <w:rPr>
          <w:sz w:val="20"/>
          <w:szCs w:val="20"/>
          <w:color w:val="auto"/>
        </w:rPr>
      </w:pPr>
    </w:p>
    <w:p>
      <w:pPr>
        <w:jc w:val="both"/>
        <w:ind w:firstLine="1428"/>
        <w:spacing w:after="0" w:line="252" w:lineRule="auto"/>
        <w:tabs>
          <w:tab w:leader="none" w:pos="167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(i) The representations and warranties of the Company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true and correct in all respects as of the date this Agreement and as of the Closing Date with the same force and effect as if made on and as of such date (or, in the case of such representations and warranties that address matters only as of a particular date or time, as of such date or time),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 the representations and warranties of the Company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Company Material Adverse Effect or other similar qualifications contained therein) (A) as of the date of the Original Agreement (with respect to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or as of the date of this Agreement (with respect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3.26</w:t>
      </w:r>
      <w:r>
        <w:rPr>
          <w:rFonts w:ascii="Times New Roman" w:cs="Times New Roman" w:eastAsia="Times New Roman" w:hAnsi="Times New Roman"/>
          <w:sz w:val="18"/>
          <w:szCs w:val="18"/>
          <w:color w:val="auto"/>
        </w:rPr>
        <w:t xml:space="preserve">) and (B) as of the Closing Date with the same force and effect as if made on and as of such date (or, in the case of such representations and warranties that address matters only as of a particular date or time, as of such date or time), (iii) the representations and warranties of the Company contained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shall be true and correct in all respects as of the date of this Agreement and as of the Closing Date with the same force and effect as if made on and as of such date, and (iv) all other representations and warranties of the Company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(except for those representations and warranties set forth in the foregoing clauses (i) through (iii)) shall be true and correct in all respects (without giving effect to any qualifications as to materiality or Company Material Adverse Effect or other similar qualifications contained therein) as of the date of the Original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70" w:right="439" w:bottom="1440" w:gutter="0" w:footer="0" w:header="0"/>
        </w:sectPr>
      </w:pPr>
    </w:p>
    <w:bookmarkStart w:id="79" w:name="page80"/>
    <w:bookmarkEnd w:id="79"/>
    <w:p>
      <w:pPr>
        <w:ind w:right="20" w:firstLine="1428"/>
        <w:spacing w:after="0" w:line="282" w:lineRule="auto"/>
        <w:tabs>
          <w:tab w:leader="none" w:pos="1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of Obligations of the Company</w:t>
      </w:r>
      <w:r>
        <w:rPr>
          <w:rFonts w:ascii="Times New Roman" w:cs="Times New Roman" w:eastAsia="Times New Roman" w:hAnsi="Times New Roman"/>
          <w:sz w:val="18"/>
          <w:szCs w:val="18"/>
          <w:color w:val="auto"/>
        </w:rPr>
        <w:t>: The Company shall have performed or complied in all material respects with all covenants and agreements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the Original Agreement, no Company Material Adverse Effect shall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occurred;</w:t>
      </w:r>
    </w:p>
    <w:p>
      <w:pPr>
        <w:spacing w:after="0" w:line="206"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Company shall have delivered to Parent a certificate, dated as of the Closing Date and signed by an executive officer of the Company, certifying that the conditions provided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7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The Company shall have delivered to Parent an affidavit, dated as of the Closing Date, sworn under penalty of perjury and in form and substance reasonably satisfactory to Parent in compliance with the Code and Treasury Regulations certifying that the transactions contemplated by this Agreement are exempt from withholding pursuant to Section 1445 of the Code; and</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67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 The Notes Restructuring Transactions shall have been consummated in accordance with the Notes Restructuring Agreement.</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Additional Conditions to Obligations of the Company</w:t>
      </w:r>
      <w:r>
        <w:rPr>
          <w:rFonts w:ascii="Times New Roman" w:cs="Times New Roman" w:eastAsia="Times New Roman" w:hAnsi="Times New Roman"/>
          <w:sz w:val="18"/>
          <w:szCs w:val="18"/>
          <w:color w:val="auto"/>
        </w:rPr>
        <w:t>. The obligations of the Company to consummate the Mergers shall be subject to the satisfaction (or waiver, if permissible under Law) at or prior to the First Effective Time of each of the following conditions:</w:t>
      </w:r>
    </w:p>
    <w:p>
      <w:pPr>
        <w:spacing w:after="0" w:line="54" w:lineRule="exact"/>
        <w:rPr>
          <w:sz w:val="20"/>
          <w:szCs w:val="20"/>
          <w:color w:val="auto"/>
        </w:rPr>
      </w:pPr>
    </w:p>
    <w:p>
      <w:pPr>
        <w:jc w:val="both"/>
        <w:ind w:firstLine="1428"/>
        <w:spacing w:after="0" w:line="253" w:lineRule="auto"/>
        <w:tabs>
          <w:tab w:leader="none" w:pos="170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Parent Parties</w:t>
      </w:r>
      <w:r>
        <w:rPr>
          <w:rFonts w:ascii="Times New Roman" w:cs="Times New Roman" w:eastAsia="Times New Roman" w:hAnsi="Times New Roman"/>
          <w:sz w:val="18"/>
          <w:szCs w:val="18"/>
          <w:color w:val="auto"/>
        </w:rPr>
        <w:t xml:space="preserve">: (i) Any representation or warranty of the Parent Parties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and (ii) any other representation and warranty of the Parent Parties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for those representations and warranties set forth in the foregoing clause (i)) shall be true and correct in all respects (without giving effect to any qualifications as to materiality or Parent Material Adverse Effect or other similar qualifications contained therein) (A) as of the date of the Original Agreement (with respect to all such representations and warranties other than those contained in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or as of the date of this Agreement (with respect to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and (B)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70" w:right="439" w:bottom="1440" w:gutter="0" w:footer="0" w:header="0"/>
        </w:sectPr>
      </w:pPr>
    </w:p>
    <w:bookmarkStart w:id="80" w:name="page81"/>
    <w:bookmarkEnd w:id="80"/>
    <w:p>
      <w:pPr>
        <w:ind w:right="20" w:firstLine="1428"/>
        <w:spacing w:after="0" w:line="282" w:lineRule="auto"/>
        <w:tabs>
          <w:tab w:leader="none" w:pos="17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of Obligations of the Parent Parties</w:t>
      </w:r>
      <w:r>
        <w:rPr>
          <w:rFonts w:ascii="Times New Roman" w:cs="Times New Roman" w:eastAsia="Times New Roman" w:hAnsi="Times New Roman"/>
          <w:sz w:val="18"/>
          <w:szCs w:val="18"/>
          <w:color w:val="auto"/>
        </w:rPr>
        <w:t>: The Parent Parties shall have performed or complied in all material respects with all covenants and agreements to be performed or complied with by them under this Agreement at or prior to the Closing; and</w:t>
      </w:r>
    </w:p>
    <w:p>
      <w:pPr>
        <w:spacing w:after="0" w:line="161" w:lineRule="exact"/>
        <w:rPr>
          <w:rFonts w:ascii="Times New Roman" w:cs="Times New Roman" w:eastAsia="Times New Roman" w:hAnsi="Times New Roman"/>
          <w:sz w:val="18"/>
          <w:szCs w:val="18"/>
          <w:color w:val="auto"/>
        </w:rPr>
      </w:pPr>
    </w:p>
    <w:p>
      <w:pPr>
        <w:ind w:right="20" w:firstLine="1428"/>
        <w:spacing w:after="0" w:line="282" w:lineRule="auto"/>
        <w:tabs>
          <w:tab w:leader="none" w:pos="167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Parent shall have delivered to the Company a certificate, dated as of the Closing Date and signed by an executive officer of Parent, certifying that the conditions provided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prior to the First Effective Time, and the Mergers and the other transactions contemplated hereby may be abandoned:</w:t>
      </w:r>
    </w:p>
    <w:p>
      <w:pPr>
        <w:spacing w:after="0" w:line="54" w:lineRule="exact"/>
        <w:rPr>
          <w:sz w:val="20"/>
          <w:szCs w:val="20"/>
          <w:color w:val="auto"/>
        </w:rPr>
      </w:pPr>
    </w:p>
    <w:p>
      <w:pPr>
        <w:ind w:left="1680" w:hanging="252"/>
        <w:spacing w:after="0"/>
        <w:tabs>
          <w:tab w:leader="none" w:pos="1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Consent</w:t>
      </w:r>
      <w:r>
        <w:rPr>
          <w:rFonts w:ascii="Times New Roman" w:cs="Times New Roman" w:eastAsia="Times New Roman" w:hAnsi="Times New Roman"/>
          <w:sz w:val="18"/>
          <w:szCs w:val="18"/>
          <w:color w:val="auto"/>
        </w:rPr>
        <w:t>: By mutual written consent of Parent and the Company;</w:t>
      </w:r>
    </w:p>
    <w:p>
      <w:pPr>
        <w:spacing w:after="0" w:line="225" w:lineRule="exact"/>
        <w:rPr>
          <w:rFonts w:ascii="Times New Roman" w:cs="Times New Roman" w:eastAsia="Times New Roman" w:hAnsi="Times New Roman"/>
          <w:sz w:val="18"/>
          <w:szCs w:val="18"/>
          <w:color w:val="auto"/>
        </w:rPr>
      </w:pPr>
    </w:p>
    <w:p>
      <w:pPr>
        <w:jc w:val="both"/>
        <w:ind w:right="20" w:firstLine="1428"/>
        <w:spacing w:after="0" w:line="253" w:lineRule="auto"/>
        <w:tabs>
          <w:tab w:leader="none" w:pos="168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By either the Company or Parent if the First Effective Time shall not have occurred on or before October 21, 2026 (the “</w:t>
      </w:r>
      <w:r>
        <w:rPr>
          <w:rFonts w:ascii="Times New Roman" w:cs="Times New Roman" w:eastAsia="Times New Roman" w:hAnsi="Times New Roman"/>
          <w:sz w:val="18"/>
          <w:szCs w:val="18"/>
          <w:u w:val="single" w:color="auto"/>
          <w:color w:val="auto"/>
        </w:rPr>
        <w:t>Initial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Initial Outside Date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(to the extent related to the Regulatory Laws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be satisfied, but all other conditions to the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either have been satisfied (other than conditions that by their nature can only be satisfied on the Closing Date) or waived by Parent, Merger Sub I, Merger Sub II or the Company, as applicable, then the Outside Date shall automatically be extended to December 5, 2026 (the “</w:t>
      </w:r>
      <w:r>
        <w:rPr>
          <w:rFonts w:ascii="Times New Roman" w:cs="Times New Roman" w:eastAsia="Times New Roman" w:hAnsi="Times New Roman"/>
          <w:sz w:val="18"/>
          <w:szCs w:val="18"/>
          <w:u w:val="single" w:color="auto"/>
          <w:color w:val="auto"/>
        </w:rPr>
        <w:t>Extended Outside Date</w:t>
      </w:r>
      <w:r>
        <w:rPr>
          <w:rFonts w:ascii="Times New Roman" w:cs="Times New Roman" w:eastAsia="Times New Roman" w:hAnsi="Times New Roman"/>
          <w:sz w:val="18"/>
          <w:szCs w:val="18"/>
          <w:color w:val="auto"/>
        </w:rPr>
        <w:t>” and together with the Initial Outside Date,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unless Parent and the Company mutually agree in writing to an earlier Extended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material breach of any of its obligation under this Agreement is the primary cause of, or resulted in, the failure of the First Effective Time to occur on or before the Initial Outside Date or the Extended Outside Date, as the case may be. For purposes of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the failure of the First Effective Time to occur shall be deemed to include any failure of the Second Effective Time to occur within one (1) hour following the First Effective Time;</w:t>
      </w:r>
    </w:p>
    <w:p>
      <w:pPr>
        <w:spacing w:after="0" w:line="194"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7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 xml:space="preserve">: By either the Company or Parent, if any Legal Impediment permanently restraining, enjoining or otherwise prohibiting or making illegal the Mergers (or otherwise prohibiting the consummation of the Mergers) shall have become final and non-appealable such that the condition specified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would not be satisfied at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any party whose material breach of any of its obligations under this Agreement is the primary cause of, or resulted in, the issuance of such Legal Impediment;</w:t>
      </w:r>
    </w:p>
    <w:p>
      <w:pPr>
        <w:spacing w:after="0" w:line="183"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Company Vote</w:t>
      </w:r>
      <w:r>
        <w:rPr>
          <w:rFonts w:ascii="Times New Roman" w:cs="Times New Roman" w:eastAsia="Times New Roman" w:hAnsi="Times New Roman"/>
          <w:sz w:val="18"/>
          <w:szCs w:val="18"/>
          <w:color w:val="auto"/>
        </w:rPr>
        <w:t>: By either the Company or Parent, if the Required Company Vote shall not have been obtained upon a vote taken thereon at the Company Stockholders Meeting (as such meeting may have been adjourned or postponed in accordance with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81" w:name="page82"/>
    <w:bookmarkEnd w:id="81"/>
    <w:p>
      <w:pPr>
        <w:ind w:left="4" w:firstLine="1428"/>
        <w:spacing w:after="0" w:line="282" w:lineRule="auto"/>
        <w:tabs>
          <w:tab w:leader="none" w:pos="169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Company Board Recommendation</w:t>
      </w:r>
      <w:r>
        <w:rPr>
          <w:rFonts w:ascii="Times New Roman" w:cs="Times New Roman" w:eastAsia="Times New Roman" w:hAnsi="Times New Roman"/>
          <w:sz w:val="18"/>
          <w:szCs w:val="18"/>
          <w:color w:val="auto"/>
        </w:rPr>
        <w:t xml:space="preserve">: By Parent, if (i) the Company Board shall have effected a Change of Company Board Recommendation or (ii) the Company shall have materially breached its obligations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57" w:lineRule="auto"/>
        <w:tabs>
          <w:tab w:leader="none" w:pos="167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By the Company, prior to obtaining the Required Company Vote, if the Company Board (or a committee thereof) shall have determined to terminate this Agreement in order to substantially concurrently with such termination enter into a definitive agreement providing for a Company Superior Proposal; provided that (i) the Company has complied with its obligations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w:t>
      </w:r>
    </w:p>
    <w:p>
      <w:pPr>
        <w:spacing w:after="0" w:line="1" w:lineRule="exact"/>
        <w:rPr>
          <w:rFonts w:ascii="Times New Roman" w:cs="Times New Roman" w:eastAsia="Times New Roman" w:hAnsi="Times New Roman"/>
          <w:sz w:val="18"/>
          <w:szCs w:val="18"/>
          <w:color w:val="auto"/>
        </w:rPr>
      </w:pPr>
    </w:p>
    <w:p>
      <w:pPr>
        <w:ind w:left="4" w:right="20" w:hanging="4"/>
        <w:spacing w:after="0" w:line="260" w:lineRule="auto"/>
        <w:tabs>
          <w:tab w:leader="none" w:pos="28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concurrently with or prior to (and as a condition to) the termination of this Agreement, the Company pays to Parent the Company Termination Fee;</w:t>
      </w:r>
    </w:p>
    <w:p>
      <w:pPr>
        <w:spacing w:after="0" w:line="181" w:lineRule="exact"/>
        <w:rPr>
          <w:rFonts w:ascii="Times New Roman" w:cs="Times New Roman" w:eastAsia="Times New Roman" w:hAnsi="Times New Roman"/>
          <w:sz w:val="18"/>
          <w:szCs w:val="18"/>
          <w:color w:val="auto"/>
        </w:rPr>
      </w:pPr>
    </w:p>
    <w:p>
      <w:pPr>
        <w:jc w:val="both"/>
        <w:ind w:left="4" w:firstLine="1428"/>
        <w:spacing w:after="0" w:line="254" w:lineRule="auto"/>
        <w:tabs>
          <w:tab w:leader="none" w:pos="170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Breach</w:t>
      </w:r>
      <w:r>
        <w:rPr>
          <w:rFonts w:ascii="Times New Roman" w:cs="Times New Roman" w:eastAsia="Times New Roman" w:hAnsi="Times New Roman"/>
          <w:sz w:val="18"/>
          <w:szCs w:val="18"/>
          <w:color w:val="auto"/>
        </w:rPr>
        <w:t xml:space="preserve">: By Parent, if: (i) there has been a breach by the Company of its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is not reasonably capable of being satisfied while such breach is continuing, (ii) Parent shall have delivered to the Company written notice of such breach and (iii)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by the earlier of (x) the Business Day prior to the applicable Outside Date or (y) thirty (30) days following the date of delivery of such written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if Parent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or</w:t>
      </w:r>
    </w:p>
    <w:p>
      <w:pPr>
        <w:spacing w:after="0" w:line="191" w:lineRule="exact"/>
        <w:rPr>
          <w:rFonts w:ascii="Times New Roman" w:cs="Times New Roman" w:eastAsia="Times New Roman" w:hAnsi="Times New Roman"/>
          <w:sz w:val="18"/>
          <w:szCs w:val="18"/>
          <w:color w:val="auto"/>
        </w:rPr>
      </w:pPr>
    </w:p>
    <w:p>
      <w:pPr>
        <w:jc w:val="both"/>
        <w:ind w:left="4" w:right="20" w:firstLine="1428"/>
        <w:spacing w:after="0" w:line="254" w:lineRule="auto"/>
        <w:tabs>
          <w:tab w:leader="none" w:pos="169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Breach</w:t>
      </w:r>
      <w:r>
        <w:rPr>
          <w:rFonts w:ascii="Times New Roman" w:cs="Times New Roman" w:eastAsia="Times New Roman" w:hAnsi="Times New Roman"/>
          <w:sz w:val="18"/>
          <w:szCs w:val="18"/>
          <w:color w:val="auto"/>
        </w:rPr>
        <w:t xml:space="preserve">: By the Company, if: (i) there has been a breach by any Parent Party of any of their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by the earlier of (x) the Business Day prior to the applicable Outside Date or (y) at least thirty (30) days following the date of delivery of such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terminate this Agreement pursuant to this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if the Company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to be satisfied.</w:t>
      </w:r>
    </w:p>
    <w:p>
      <w:pPr>
        <w:spacing w:after="0" w:line="188" w:lineRule="exact"/>
        <w:rPr>
          <w:rFonts w:ascii="Times New Roman" w:cs="Times New Roman" w:eastAsia="Times New Roman" w:hAnsi="Times New Roman"/>
          <w:sz w:val="18"/>
          <w:szCs w:val="18"/>
          <w:color w:val="auto"/>
        </w:rPr>
      </w:pPr>
    </w:p>
    <w:p>
      <w:pPr>
        <w:jc w:val="both"/>
        <w:ind w:left="4" w:firstLine="1428"/>
        <w:spacing w:after="0" w:line="266" w:lineRule="auto"/>
        <w:tabs>
          <w:tab w:leader="none" w:pos="166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xml:space="preserve">: By Parent, if the Notes Restructuring Agreement is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if such termination of the Notes Restructuring Agreement primarily results from Parent’s material breach of the provisions thereof.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4"/>
          </w:cols>
          <w:pgMar w:left="436" w:top="270" w:right="439" w:bottom="1440" w:gutter="0" w:footer="0" w:header="0"/>
        </w:sectPr>
      </w:pPr>
    </w:p>
    <w:bookmarkStart w:id="82" w:name="page83"/>
    <w:bookmarkEnd w:id="82"/>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valid termination of this Agreement by either the Company or Parent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Notwithstanding anything herein to the contrary, nothing herein shall relieve any party for liabilities or damages incurred or suffered (including the loss to the stockholders of Parent or Company, as applicable, of the benefits of the transactions contemplated by this Agreement) as a result of a Willful and Material Breach or Fraud by the Company, on the one hand, or a Parent Party, on the other hand. No termination of this Agreement shall affect the obligations of the parties contained in the Confidentiality Agreement or the Clean Team Agreement, all of which obligations shall survive the termination of this Agreement in accordance with their terms.</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1428"/>
        <w:spacing w:after="0" w:line="259" w:lineRule="auto"/>
        <w:tabs>
          <w:tab w:leader="none" w:pos="172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Parent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or by either the Company or Parent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at a time when Parent would have been entitled to terminate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then the Company shall pay, or cause to be paid, to Parent on the second (2nd) Business Day following such termination a termination fee equal to (i) $5,000,000,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 amount equal to Parent’s documented Expenses incurred prior to (and including) the date of the termination of this Agreement (the “</w:t>
      </w:r>
      <w:r>
        <w:rPr>
          <w:rFonts w:ascii="Times New Roman" w:cs="Times New Roman" w:eastAsia="Times New Roman" w:hAnsi="Times New Roman"/>
          <w:sz w:val="18"/>
          <w:szCs w:val="18"/>
          <w:u w:val="single" w:color="auto"/>
          <w:color w:val="auto"/>
        </w:rPr>
        <w:t>Company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69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the Company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then the Company shall pay, or cause to be paid, to Parent the Company Termination Fee substantially concurrently with or prior to (and as a condition to) such termination.</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70" w:lineRule="auto"/>
        <w:tabs>
          <w:tab w:leader="none" w:pos="1686"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this Agreement is terminated (x) by the Company or Parent pursuant to </w:t>
      </w:r>
      <w:r>
        <w:rPr>
          <w:rFonts w:ascii="Times New Roman" w:cs="Times New Roman" w:eastAsia="Times New Roman" w:hAnsi="Times New Roman"/>
          <w:sz w:val="17"/>
          <w:szCs w:val="17"/>
          <w:u w:val="single" w:color="auto"/>
          <w:color w:val="auto"/>
        </w:rPr>
        <w:t>Section 8.1(b)</w:t>
      </w:r>
      <w:r>
        <w:rPr>
          <w:rFonts w:ascii="Times New Roman" w:cs="Times New Roman" w:eastAsia="Times New Roman" w:hAnsi="Times New Roman"/>
          <w:sz w:val="17"/>
          <w:szCs w:val="17"/>
          <w:color w:val="auto"/>
        </w:rPr>
        <w:t xml:space="preserve"> and, at the time of such termination, all of the conditions to Closing set forth in </w:t>
      </w:r>
      <w:r>
        <w:rPr>
          <w:rFonts w:ascii="Times New Roman" w:cs="Times New Roman" w:eastAsia="Times New Roman" w:hAnsi="Times New Roman"/>
          <w:sz w:val="17"/>
          <w:szCs w:val="17"/>
          <w:u w:val="single" w:color="auto"/>
          <w:color w:val="auto"/>
        </w:rPr>
        <w:t>Article 7</w:t>
      </w:r>
      <w:r>
        <w:rPr>
          <w:rFonts w:ascii="Times New Roman" w:cs="Times New Roman" w:eastAsia="Times New Roman" w:hAnsi="Times New Roman"/>
          <w:sz w:val="17"/>
          <w:szCs w:val="17"/>
          <w:color w:val="auto"/>
        </w:rPr>
        <w:t xml:space="preserve"> have been satisfied (other than conditions that by their nature can only be satisfied on the Closing Date) or waived by Parent, Merger Sub I, Merger Sub II or the Company, as applicable, other than the condition set forth in </w:t>
      </w:r>
      <w:r>
        <w:rPr>
          <w:rFonts w:ascii="Times New Roman" w:cs="Times New Roman" w:eastAsia="Times New Roman" w:hAnsi="Times New Roman"/>
          <w:sz w:val="17"/>
          <w:szCs w:val="17"/>
          <w:u w:val="single" w:color="auto"/>
          <w:color w:val="auto"/>
        </w:rPr>
        <w:t>Section 7.2(f)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of such condition to be satisfied did not primarily result from Parent’s material breach of the provisions of the Notes Restructuring Agreement, or</w:t>
      </w:r>
    </w:p>
    <w:p>
      <w:pPr>
        <w:spacing w:after="0" w:line="2"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27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pursuant to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then the Company shall pay, or cause to be paid, to Parent the Company Termination Fee, no later than the second (2nd) Business Day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this Agreement to the contrary, solely for purposes of the Company’s obligation to pay or cause to be paid to Parent the Company Termination Fee pursuant to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Parent’s documented Expenses shall be deemed to equal the lesser of (A) Parent’s documented Expenses actually incurred and (B) the Parent Expense Cap.</w:t>
      </w:r>
    </w:p>
    <w:p>
      <w:pPr>
        <w:spacing w:after="0" w:line="188"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69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in any such case, (i) a Company Acquisition Proposal shall have been publicly disclosed or announced or shall have become publicly known or made known to the Company Board or senior management of the Company, and shall not have been publicly withdrawn, in each case, after the date hereof and prior to the time of the Company Stockholders Meeting (in the case of a termination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or the date of such termination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4"/>
          </w:cols>
          <w:pgMar w:left="436" w:top="270" w:right="439" w:bottom="1440" w:gutter="0" w:footer="0" w:header="0"/>
        </w:sectPr>
      </w:pPr>
    </w:p>
    <w:bookmarkStart w:id="83" w:name="page84"/>
    <w:bookmarkEnd w:id="83"/>
    <w:p>
      <w:pPr>
        <w:jc w:val="both"/>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 termination pursuant to </w:t>
      </w:r>
      <w:r>
        <w:rPr>
          <w:rFonts w:ascii="Times New Roman" w:cs="Times New Roman" w:eastAsia="Times New Roman" w:hAnsi="Times New Roman"/>
          <w:sz w:val="17"/>
          <w:szCs w:val="17"/>
          <w:u w:val="single" w:color="auto"/>
          <w:color w:val="auto"/>
        </w:rPr>
        <w:t>Section 8.1(b)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8.1(g)</w:t>
      </w:r>
      <w:r>
        <w:rPr>
          <w:rFonts w:ascii="Times New Roman" w:cs="Times New Roman" w:eastAsia="Times New Roman" w:hAnsi="Times New Roman"/>
          <w:sz w:val="17"/>
          <w:szCs w:val="17"/>
          <w:color w:val="auto"/>
        </w:rPr>
        <w:t xml:space="preserve">) and (ii) within twelve (12) months following such termination, the Company or any Company Subsidiary enters into a definitive agreement with respect to, or consummates, a Company Acquisition Proposal, then the Company shall pay, or caused to be paid, to Parent the Company Termination Fee no later than two Business Days following the consummation of such transaction. Notwithstanding the foregoing, in the event this Agreement is terminated pursuant to </w:t>
      </w:r>
      <w:r>
        <w:rPr>
          <w:rFonts w:ascii="Times New Roman" w:cs="Times New Roman" w:eastAsia="Times New Roman" w:hAnsi="Times New Roman"/>
          <w:sz w:val="17"/>
          <w:szCs w:val="17"/>
          <w:u w:val="single" w:color="auto"/>
          <w:color w:val="auto"/>
        </w:rPr>
        <w:t>Section 8.1(b)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8.1(d)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8.1(g)</w:t>
      </w:r>
      <w:r>
        <w:rPr>
          <w:rFonts w:ascii="Times New Roman" w:cs="Times New Roman" w:eastAsia="Times New Roman" w:hAnsi="Times New Roman"/>
          <w:sz w:val="17"/>
          <w:szCs w:val="17"/>
          <w:color w:val="auto"/>
        </w:rPr>
        <w:t xml:space="preserve">, and the holders of the Secured Notes or any of their respective Related Funds (as defined in the Notes Restructuring Agreement), in each case, were not a Person or a part of a group of Persons (as defined in Section 13(d)(3) of the Exchange Act) that submitted the Company Acquisition Proposal described in </w:t>
      </w:r>
      <w:r>
        <w:rPr>
          <w:rFonts w:ascii="Times New Roman" w:cs="Times New Roman" w:eastAsia="Times New Roman" w:hAnsi="Times New Roman"/>
          <w:sz w:val="17"/>
          <w:szCs w:val="17"/>
          <w:u w:val="single" w:color="auto"/>
          <w:color w:val="auto"/>
        </w:rPr>
        <w:t>Section 8.3(d)</w:t>
      </w:r>
    </w:p>
    <w:p>
      <w:pPr>
        <w:spacing w:after="0" w:line="5" w:lineRule="exact"/>
        <w:rPr>
          <w:sz w:val="20"/>
          <w:szCs w:val="20"/>
          <w:color w:val="auto"/>
        </w:rPr>
      </w:pPr>
    </w:p>
    <w:p>
      <w:pPr>
        <w:jc w:val="both"/>
        <w:ind w:left="4" w:hanging="4"/>
        <w:spacing w:after="0" w:line="251" w:lineRule="auto"/>
        <w:tabs>
          <w:tab w:leader="none" w:pos="247" w:val="left"/>
        </w:tabs>
        <w:numPr>
          <w:ilvl w:val="0"/>
          <w:numId w:val="1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have otherwise complied in all material respects with their obligations under the Notes Restructuring Agreement prior to the date of such termination, the holders of the Secured Notes shall be entitled to propose to the Company a bona fide restructuring transaction and/or that the Company become subject to a voluntary or involuntary reorganization or restructuring under applicable Laws relating to bankruptcy, insolvency or the protection of creditors generally with respect to the Company and the Secured Notes or otherwise enter into a definitive agreement to effect such reorganization or restructuring process during the twelve (12) month period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consummation of such restructuring transaction, (1) the Company shall pay, or cause to be paid, to Parent an amount equal to the lesser of (I) Parent’s documented Expenses incurred prior to (and including) the date of such termination and (II) the Parent Expense Cap and (2) without limiting the Company’s obligation pursuant to the foregoing clause (1), the Company shall not otherwise be required to pay or cause to be paid to Parent the Company Termination Fee. For purposes of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term “Company Acquisition Proposal” shall have the meaning assigned to such term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except that the references to “15%” and “85%” therein shall be deemed to be references to “50%”.</w:t>
      </w:r>
    </w:p>
    <w:p>
      <w:pPr>
        <w:spacing w:after="0" w:line="192" w:lineRule="exact"/>
        <w:rPr>
          <w:rFonts w:ascii="Times New Roman" w:cs="Times New Roman" w:eastAsia="Times New Roman" w:hAnsi="Times New Roman"/>
          <w:sz w:val="18"/>
          <w:szCs w:val="18"/>
          <w:u w:val="single" w:color="auto"/>
          <w:color w:val="auto"/>
        </w:rPr>
      </w:pPr>
    </w:p>
    <w:p>
      <w:pPr>
        <w:ind w:left="4" w:right="20" w:firstLine="1428"/>
        <w:spacing w:after="0" w:line="282" w:lineRule="auto"/>
        <w:tabs>
          <w:tab w:leader="none" w:pos="16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made by wire transfer of immediately available funds to an account designated in writing by Parent, or in the absence of such designation, an account established for the sole benefit of Parent.</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56" w:lineRule="auto"/>
        <w:tabs>
          <w:tab w:leader="none" w:pos="168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and agrees (i)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Parent and the Merger Subs in the circumstances in which such Company Termination Fee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payment of the Company Termination Fee shall be considered in lieu of, or a replacement or substitution for, damages incurred in the event of Willful and Material Breach or Fraud. For the avoidance of doubt, in no event shall the Company be required to pay the Company Termination Fee on more than one occasion.</w:t>
      </w:r>
    </w:p>
    <w:p>
      <w:pPr>
        <w:spacing w:after="0" w:line="187"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70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pay (or cause to be paid)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in each case when due, the Company shall pay to Parent, together with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(A) interest on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Parent’s Expenses up to the Parent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4"/>
          </w:cols>
          <w:pgMar w:left="436" w:top="270" w:right="439" w:bottom="1440" w:gutter="0" w:footer="0" w:header="0"/>
        </w:sectPr>
      </w:pPr>
    </w:p>
    <w:bookmarkStart w:id="84" w:name="page85"/>
    <w:bookmarkEnd w:id="84"/>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Expense Cap), from the date of termination of this Agreement at a rate per annum equal to the Prime Rate in effect on the date that such payment was required to be made through the date that such payment was actually received and (B) Parent’s out-of-pocket costs and expenses (including reasonable attorneys’ fees) incurred in the collection of such overdue amounts, including in connection with any related Proceedings commenced. Notwithstanding anything herein to the contrary, the Company’s obligation to pay or cause to be paid Parent’s Expenses pursuant to and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subject to the Company’s receipt of written notice from Parent setting forth, in reasonable detail, the amount of Parent’s Expenses to be so paid.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or covenants in this Agreement or in any instrument delivered pursuant to this Agreement shall survive the Second Effective Time except that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Second Effective Time, which shall survive to the extent expressly provided for herein.</w:t>
      </w:r>
    </w:p>
    <w:p>
      <w:pPr>
        <w:spacing w:after="0" w:line="180"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for (a) the expenses in connection with printing and mailing the Proxy Statement/Prospectus and Registration Statement and any Other Filings required in connection with the actions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(b) all SEC filing fees relating to the Mergers and the transactions contemplated by this Agreement and (c) the fees in connection with the approvals required under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related to the Mergers and the transactions contemplated by this Agreement (of which fees and expenses (A) set forth in clauses (a) and (b)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borne, in each case, equally by Parent and the Company and (B) set forth in clause (c) shall be borne by Parent), all fees and expenses incurred in connection with the preparation, negotiation and performance of this Agreement and the consummation of the transactions contemplated by this Agreement shall be paid by the party incurring such expenses, whether or not the Mergers are consummated.</w:t>
      </w:r>
    </w:p>
    <w:p>
      <w:pPr>
        <w:spacing w:after="0" w:line="189"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(to the extent no “bounce back” or similar message indicating non-delivery is received with respect thereto and delivery is followed within one Business Day pursuant to either clause (a) or (b)), in each case, as follows (or to such other Persons or addressees as may be designated in writing by the party to receive such notice):</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any Parent Party, addressed to it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Santa Clara, CA 95054</w:t>
      </w:r>
    </w:p>
    <w:tbl>
      <w:tblPr>
        <w:tblLayout w:type="fixed"/>
        <w:tblInd w:w="1420" w:type="dxa"/>
        <w:tblCellMar>
          <w:top w:w="0" w:type="dxa"/>
          <w:left w:w="0" w:type="dxa"/>
          <w:bottom w:w="0" w:type="dxa"/>
          <w:right w:w="0" w:type="dxa"/>
        </w:tblCellMar>
      </w:tblPr>
      <w:tr>
        <w:trPr>
          <w:trHeight w:val="207"/>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87"/>
              </w:rPr>
              <w:t>Attention:  </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Keyvan Mohajer</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Warren Heit</w:t>
            </w:r>
          </w:p>
        </w:tc>
      </w:tr>
      <w:tr>
        <w:trPr>
          <w:trHeight w:val="216"/>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6"/>
              </w:rPr>
              <w:t>Email: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keyvan@soundhound.com</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warren@soundhound.com</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70" w:right="439" w:bottom="1440" w:gutter="0" w:footer="0" w:header="0"/>
        </w:sectPr>
      </w:pPr>
    </w:p>
    <w:bookmarkStart w:id="85" w:name="page86"/>
    <w:bookmarkEnd w:id="8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 (for information purposes only):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505 Montgomery Street, Suite 2000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 94111</w:t>
      </w:r>
    </w:p>
    <w:tbl>
      <w:tblPr>
        <w:tblLayout w:type="fixed"/>
        <w:tblInd w:w="1420" w:type="dxa"/>
        <w:tblCellMar>
          <w:top w:w="0" w:type="dxa"/>
          <w:left w:w="0" w:type="dxa"/>
          <w:bottom w:w="0" w:type="dxa"/>
          <w:right w:w="0" w:type="dxa"/>
        </w:tblCellMar>
      </w:tblPr>
      <w:tr>
        <w:trPr>
          <w:trHeight w:val="207"/>
        </w:trPr>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5"/>
              </w:rPr>
              <w:t>Attention:  </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Luke Bergstrom</w:t>
            </w:r>
          </w:p>
        </w:tc>
      </w:tr>
      <w:tr>
        <w:trPr>
          <w:trHeight w:val="216"/>
        </w:trPr>
        <w:tc>
          <w:tcPr>
            <w:tcW w:w="500" w:type="dxa"/>
            <w:vAlign w:val="bottom"/>
          </w:tcPr>
          <w:p>
            <w:pPr>
              <w:jc w:val="center"/>
              <w:ind w:left="291"/>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Max Schleusener</w:t>
            </w:r>
          </w:p>
        </w:tc>
      </w:tr>
      <w:tr>
        <w:trPr>
          <w:trHeight w:val="216"/>
        </w:trPr>
        <w:tc>
          <w:tcPr>
            <w:tcW w:w="500" w:type="dxa"/>
            <w:vAlign w:val="bottom"/>
          </w:tcPr>
          <w:p>
            <w:pPr>
              <w:jc w:val="center"/>
              <w:ind w:left="291"/>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Lauren Lefcoe</w:t>
            </w: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 luke.bergstrom@lw.com</w:t>
            </w:r>
          </w:p>
        </w:tc>
      </w:tr>
      <w:tr>
        <w:trPr>
          <w:trHeight w:val="234"/>
        </w:trPr>
        <w:tc>
          <w:tcPr>
            <w:tcW w:w="500" w:type="dxa"/>
            <w:vAlign w:val="bottom"/>
          </w:tcPr>
          <w:p>
            <w:pPr>
              <w:jc w:val="center"/>
              <w:ind w:left="291"/>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max.schleusener@lw.com</w:t>
            </w:r>
          </w:p>
        </w:tc>
      </w:tr>
    </w:tbl>
    <w:p>
      <w:pPr>
        <w:ind w:left="2000" w:hanging="189"/>
        <w:spacing w:after="0"/>
        <w:tabs>
          <w:tab w:leader="none" w:pos="2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lauren.lefcoe@lw.com</w:t>
      </w:r>
    </w:p>
    <w:p>
      <w:pPr>
        <w:spacing w:after="0" w:line="98"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addressed to it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LivePerson, Inc.</w:t>
      </w:r>
    </w:p>
    <w:p>
      <w:pPr>
        <w:ind w:left="1420"/>
        <w:spacing w:after="0" w:line="196" w:lineRule="auto"/>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Floor M1</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John Collins</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          Monica Greenberg</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JCollins@liveperson.com</w:t>
      </w:r>
    </w:p>
    <w:p>
      <w:pPr>
        <w:spacing w:after="0" w:line="9" w:lineRule="exact"/>
        <w:rPr>
          <w:sz w:val="20"/>
          <w:szCs w:val="20"/>
          <w:color w:val="auto"/>
        </w:rPr>
      </w:pPr>
    </w:p>
    <w:p>
      <w:pPr>
        <w:ind w:left="980" w:right="6440" w:firstLine="831"/>
        <w:spacing w:after="0" w:line="386" w:lineRule="auto"/>
        <w:tabs>
          <w:tab w:leader="none" w:pos="1984"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MGreenberg@liveperson.com with a copy to (for information purposes only):</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10004</w:t>
      </w:r>
    </w:p>
    <w:tbl>
      <w:tblPr>
        <w:tblLayout w:type="fixed"/>
        <w:tblInd w:w="1420" w:type="dxa"/>
        <w:tblCellMar>
          <w:top w:w="0" w:type="dxa"/>
          <w:left w:w="0" w:type="dxa"/>
          <w:bottom w:w="0" w:type="dxa"/>
          <w:right w:w="0" w:type="dxa"/>
        </w:tblCellMar>
      </w:tblPr>
      <w:tr>
        <w:trPr>
          <w:trHeight w:val="207"/>
        </w:trPr>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5"/>
              </w:rPr>
              <w:t>Attention:  </w:t>
            </w: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Philip Richter</w:t>
            </w:r>
          </w:p>
        </w:tc>
      </w:tr>
      <w:tr>
        <w:trPr>
          <w:trHeight w:val="216"/>
        </w:trPr>
        <w:tc>
          <w:tcPr>
            <w:tcW w:w="500" w:type="dxa"/>
            <w:vAlign w:val="bottom"/>
          </w:tcPr>
          <w:p>
            <w:pPr>
              <w:jc w:val="center"/>
              <w:ind w:left="295"/>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Mark Hayek</w:t>
            </w:r>
          </w:p>
        </w:tc>
      </w:tr>
      <w:tr>
        <w:trPr>
          <w:trHeight w:val="216"/>
        </w:trPr>
        <w:tc>
          <w:tcPr>
            <w:tcW w:w="500" w:type="dxa"/>
            <w:vAlign w:val="bottom"/>
          </w:tcPr>
          <w:p>
            <w:pPr>
              <w:jc w:val="center"/>
              <w:ind w:left="295"/>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Adam Cohen</w:t>
            </w: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 Philip.Richter@friedfrank.com</w:t>
            </w:r>
          </w:p>
        </w:tc>
      </w:tr>
      <w:tr>
        <w:trPr>
          <w:trHeight w:val="216"/>
        </w:trPr>
        <w:tc>
          <w:tcPr>
            <w:tcW w:w="500" w:type="dxa"/>
            <w:vAlign w:val="bottom"/>
          </w:tcPr>
          <w:p>
            <w:pPr>
              <w:jc w:val="center"/>
              <w:ind w:left="295"/>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Mark.Hayek@friedfrank.com</w:t>
            </w:r>
          </w:p>
        </w:tc>
      </w:tr>
      <w:tr>
        <w:trPr>
          <w:trHeight w:val="234"/>
        </w:trPr>
        <w:tc>
          <w:tcPr>
            <w:tcW w:w="500" w:type="dxa"/>
            <w:vAlign w:val="bottom"/>
          </w:tcPr>
          <w:p>
            <w:pPr>
              <w:jc w:val="center"/>
              <w:ind w:left="295"/>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Adam.Cohen@friedfrank.com</w:t>
            </w: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term:</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Notes</w:t>
      </w:r>
      <w:r>
        <w:rPr>
          <w:rFonts w:ascii="Times New Roman" w:cs="Times New Roman" w:eastAsia="Times New Roman" w:hAnsi="Times New Roman"/>
          <w:sz w:val="18"/>
          <w:szCs w:val="18"/>
          <w:color w:val="auto"/>
        </w:rPr>
        <w:t>” means the Company’s 0% Convertible Senior Notes due 2026.</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 Person that directly or indirectly, through one or more intermediaries, controls, is controlled by, or is under common control with, the first-mentioned Person.</w:t>
      </w:r>
    </w:p>
    <w:p>
      <w:pPr>
        <w:spacing w:after="0" w:line="160"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xml:space="preserve">” means the sum of (a) the difference of (i) $42,784,532.64,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Company Shortfall Cash,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(b) the Aggregate Exercise Price.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70" w:right="439" w:bottom="1440" w:gutter="0" w:footer="0" w:header="0"/>
        </w:sectPr>
      </w:pPr>
    </w:p>
    <w:bookmarkStart w:id="86" w:name="page87"/>
    <w:bookmarkEnd w:id="86"/>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Aggregate Exercise Price</w:t>
      </w:r>
      <w:r>
        <w:rPr>
          <w:rFonts w:ascii="Times New Roman" w:cs="Times New Roman" w:eastAsia="Times New Roman" w:hAnsi="Times New Roman"/>
          <w:sz w:val="18"/>
          <w:szCs w:val="18"/>
          <w:color w:val="auto"/>
        </w:rPr>
        <w:t>” means the aggregate dollar amount of the exercise prices of all In-the-Money Company Options (other than Assumed Options).</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Inputs</w:t>
      </w:r>
      <w:r>
        <w:rPr>
          <w:rFonts w:ascii="Times New Roman" w:cs="Times New Roman" w:eastAsia="Times New Roman" w:hAnsi="Times New Roman"/>
          <w:sz w:val="18"/>
          <w:szCs w:val="18"/>
          <w:color w:val="auto"/>
        </w:rPr>
        <w:t>” shall mean data, work of authorship, text or other content used or relied upon by any aspect of AI Technologies to generate any AI Output.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Output</w:t>
      </w:r>
      <w:r>
        <w:rPr>
          <w:rFonts w:ascii="Times New Roman" w:cs="Times New Roman" w:eastAsia="Times New Roman" w:hAnsi="Times New Roman"/>
          <w:sz w:val="18"/>
          <w:szCs w:val="18"/>
          <w:color w:val="auto"/>
        </w:rPr>
        <w:t>” shall mean any data, work of authorship, text or other content that is generated by any AI Technologies.</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shall mean any Software or other technology related to deep learning, machine learning, self-improving, generative 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U.S. and non-U.S. Laws relating to the prevention of corruption and bribery, including, without limitation, the U.S. Foreign Corrupt Practices Act of 1977, as amended, and the UK Bribery Act 2010, as amended.</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 under the Exchange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set forth in Rule 14d-1(g)(3) under the Exchange Act.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 xml:space="preserve">” means the number of shares of Parent Common Stock derived from dividing (a) the Aggregate Consideration Amount,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(b) the Parent Closing Stock Price.</w:t>
      </w:r>
    </w:p>
    <w:p>
      <w:pPr>
        <w:spacing w:after="0" w:line="160" w:lineRule="exact"/>
        <w:rPr>
          <w:sz w:val="20"/>
          <w:szCs w:val="20"/>
          <w:color w:val="auto"/>
        </w:rPr>
      </w:pPr>
    </w:p>
    <w:p>
      <w:pPr>
        <w:jc w:val="both"/>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 Value</w:t>
      </w:r>
      <w:r>
        <w:rPr>
          <w:rFonts w:ascii="Times New Roman" w:cs="Times New Roman" w:eastAsia="Times New Roman" w:hAnsi="Times New Roman"/>
          <w:sz w:val="18"/>
          <w:szCs w:val="18"/>
          <w:color w:val="auto"/>
        </w:rPr>
        <w:t xml:space="preserve">” means an amount equal to the (a) the Closing Merger Consideration,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(b) the Parent Closing VWAP Stock Price.</w:t>
      </w:r>
    </w:p>
    <w:p>
      <w:pPr>
        <w:spacing w:after="0" w:line="158"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TASE Cash Merger Consideration</w:t>
      </w:r>
      <w:r>
        <w:rPr>
          <w:rFonts w:ascii="Times New Roman" w:cs="Times New Roman" w:eastAsia="Times New Roman" w:hAnsi="Times New Roman"/>
          <w:sz w:val="18"/>
          <w:szCs w:val="18"/>
          <w:color w:val="auto"/>
        </w:rPr>
        <w:t xml:space="preserve">” means an amount equal to (a) the Closing Merger Consideration Value,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(b) the Closing TASE Merger Consideration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Closing TASE Cash Merger Consideration is greater than $7,500,000, then the Closing TASE Cash Merger Consideration will equal $7,500,000.</w:t>
      </w:r>
    </w:p>
    <w:p>
      <w:pPr>
        <w:spacing w:after="0" w:line="17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TASE Merger Consideration Percentage</w:t>
      </w:r>
      <w:r>
        <w:rPr>
          <w:rFonts w:ascii="Times New Roman" w:cs="Times New Roman" w:eastAsia="Times New Roman" w:hAnsi="Times New Roman"/>
          <w:sz w:val="18"/>
          <w:szCs w:val="18"/>
          <w:color w:val="auto"/>
        </w:rPr>
        <w:t xml:space="preserve">” means an amount equal to the quotient of (a) the Fully Diluted TASE Common Number,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Common Number.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collective bargaining agreement, works council agreement, or other agreement, understanding or Contract (including any addenda, side letter, memorandum of understanding, letter of assent, neutrality agreement or ancillary agreement thereto) with any Union.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440" w:top="270" w:right="439" w:bottom="1440" w:gutter="0" w:footer="0" w:header="0"/>
        </w:sectPr>
      </w:pPr>
    </w:p>
    <w:bookmarkStart w:id="87" w:name="page88"/>
    <w:bookmarkEnd w:id="87"/>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Acceptable Confidentiality Agreement</w:t>
      </w:r>
      <w:r>
        <w:rPr>
          <w:rFonts w:ascii="Times New Roman" w:cs="Times New Roman" w:eastAsia="Times New Roman" w:hAnsi="Times New Roman"/>
          <w:sz w:val="18"/>
          <w:szCs w:val="18"/>
          <w:color w:val="auto"/>
        </w:rPr>
        <w:t xml:space="preserve">” means a confidentiality agreement entered into by the Company after the date of the Original Agreement, in either case, that contains confidentiality provisions that are no less favorable in the aggregate to the Company than those contained in the Confidentiality Agreement and do not in any way restrict the Company or its representatives from complying with its disclosure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confidentiality agreement need not contain any standstill provision and shall not include any provision conflicting with or otherwise impairing the Company’s ability to comply with its obligations under this Agreement.</w:t>
      </w:r>
    </w:p>
    <w:p>
      <w:pPr>
        <w:spacing w:after="0" w:line="183"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offer, proposal or indication of interest from any Person or group of Persons as defined in Section 13(d)(3) of the Exchange Act (other than Parent and the Parent Subsidiaries) at any time relating to any transaction or series of related transactions (other than the Mergers)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9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the Company or any of the Company Subsidiaries.</w:t>
      </w:r>
    </w:p>
    <w:p>
      <w:pPr>
        <w:spacing w:after="0" w:line="162"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Cash Balance</w:t>
      </w:r>
      <w:r>
        <w:rPr>
          <w:rFonts w:ascii="Times New Roman" w:cs="Times New Roman" w:eastAsia="Times New Roman" w:hAnsi="Times New Roman"/>
          <w:sz w:val="18"/>
          <w:szCs w:val="18"/>
          <w:color w:val="auto"/>
        </w:rPr>
        <w:t xml:space="preserve">” means the amount of cash and cash equivalents in the final Estimated 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Company Cash Balance will give pro forma effect (i.e., as a deduction) for all amounts payable by the Company that remain unpaid in connection with the transactions contemplated by this Agreement, the Notes Restructuring Agreement, and any similar or alternative transactions involving the Company,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Company Transaction Expenses, (ii) unpaid amounts used or to be used to repurchase and retire or extinguish 2026 Notes between April 1, 2026, and the Closing Date, if any, and (iii) the amount to be remitted to the holders of First Lien Notes by the Company under Section 2.01(b)(i) of the Notes Restructuring Agreement and to the holders of Second Lien Notes under Section 2.01(c)(i) under the Notes Restructuring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fees and expenses payable by the Company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shall be excluded from “Company Cash Balance” hereunder.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0"/>
          </w:cols>
          <w:pgMar w:left="440" w:top="270" w:right="439" w:bottom="1440" w:gutter="0" w:footer="0" w:header="0"/>
        </w:sectPr>
      </w:pPr>
    </w:p>
    <w:bookmarkStart w:id="88" w:name="page89"/>
    <w:bookmarkEnd w:id="8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each Company Option and Company RSU Award.</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(a) the Company’s Amended and Restated 2019 Stock Incentive Plan and (b) the Company’s Amended and Restated 2018 Inducement Plan.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2019 Employee Stock Purchase Plan, as amended.</w:t>
      </w:r>
    </w:p>
    <w:p>
      <w:pPr>
        <w:spacing w:after="0" w:line="225"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means any Effect occurring or arising after the date of the Original Agreement that is material to the Company and the Company Subsidiaries (taken as a whole) that (a) was not known or reasonably foreseeable to the Company or the Company Board as of or prior to the date of the Original Agreement and becomes known to the Company Board following the date of the Original Agreement and (b) does not involve or relate to a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of the following Effects constitute a Company Intervening Event: (i) changes in the price or trading volume of the Company Common Stock or Parent Common Stock (it being understood that the facts or occurrences giving rise to or contributing to such changes may be taken into account in determining whether there has been a Company Intervening Event) or changes in the credit rating of the Company or Parent, (ii) the Company or Parent meeting, failing to meet, or exceeding any internal or published projections, forecasts, estimates or predictions in respect of revenues, earnings or other financial or operating metrics for any period (it being understood that the facts or occurrences giving rise to or contributing to such circumstances may be taken into account in determining whether there has been a Company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spacing w:after="0" w:line="190"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event, occurrence, condition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or would reasonably be expected to have a material adverse effect on the business, condition (financial or otherwise), assets, liabilities, operations or results of operations of the Company and the Company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Effects arising out of, or resulting from the following shall not constitute a Company Material Adverse Effect, and shall not otherwise be taken into account in determining whether a Company Material Adverse Effect has occurred or would reasonably be expected to occur, except that Effects with respect to clauses (a), (b) or (c) of the below shall be considered to the extent such Effect disproportionately and adversely impacts the Company or the Company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changes in securities, credit or other financial markets, including interest rates or exchange rates in the United States or globally or (ii) changes in conditions in the industries (including seasonal fluctuations) in which the Company or the Company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0"/>
          </w:cols>
          <w:pgMar w:left="440" w:top="270" w:right="439" w:bottom="1440" w:gutter="0" w:footer="0" w:header="0"/>
        </w:sectPr>
      </w:pPr>
    </w:p>
    <w:bookmarkStart w:id="89" w:name="page90"/>
    <w:bookmarkEnd w:id="89"/>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the Company by the terms of this Agreement or taken or not taken with the prior written consent of Parent (other than its obligations to operate its business in the ordinary course), (e) the execution, announcement, pendency or consummation of the Original Agreement, this Agreement and the transactions contemplated hereby, including any litigation arising out of or relating to the Original Agreement, this Agreement or the Mergers, the identity of Parent, departures of officers or employees, changes in relationships with suppliers or customers or other business relations, in each case solely to the extent resulting from the execution, announcement, pendency or consummation of the Original Agreement,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this Agreement and the transactions contemplated hereby or to address the consequences of litigation of, compliance with or performance under, the Original Agreement or this Agreement, (f) changes in the trading price or trading volume of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Company Material Adverse Effect has occurred, or (g) any failure by the Company or any of the Company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Company Material Adverse Effect has occurred.</w:t>
      </w:r>
    </w:p>
    <w:p>
      <w:pPr>
        <w:spacing w:after="0" w:line="19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Minimum Cash</w:t>
      </w:r>
      <w:r>
        <w:rPr>
          <w:rFonts w:ascii="Times New Roman" w:cs="Times New Roman" w:eastAsia="Times New Roman" w:hAnsi="Times New Roman"/>
          <w:sz w:val="18"/>
          <w:szCs w:val="18"/>
          <w:color w:val="auto"/>
        </w:rPr>
        <w:t xml:space="preserve">” means an amount in cash equal to (a) $74,000,000,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Closing Date occurs in the calendar month of July, the amount for purposes of this clause (a) shall be $71,000,000,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amount of cash, if any, paid by the Company to repurchase and retire the 2026 Notes between April 1, 2026, and the Closing Date.</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acquire shares of Company Common Stock granted under a Company Equity Plan or granted to a Company employee or other service provider outside of the Company Equity Plans.</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that is owned or purported to be owned by the Company or any of the Company Subsidiaries.</w:t>
      </w:r>
    </w:p>
    <w:p>
      <w:pPr>
        <w:spacing w:after="0" w:line="162"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shall mean each and all current and past services (including cloud-based service offered via the Internet) and products (including any and all Data products, applications, algorithms and other Software), in each case, including those that that incorporate or employ any AI Technologies (“</w:t>
      </w:r>
      <w:r>
        <w:rPr>
          <w:rFonts w:ascii="Times New Roman" w:cs="Times New Roman" w:eastAsia="Times New Roman" w:hAnsi="Times New Roman"/>
          <w:sz w:val="18"/>
          <w:szCs w:val="18"/>
          <w:u w:val="single" w:color="auto"/>
          <w:color w:val="auto"/>
        </w:rPr>
        <w:t>Company AI Products</w:t>
      </w:r>
      <w:r>
        <w:rPr>
          <w:rFonts w:ascii="Times New Roman" w:cs="Times New Roman" w:eastAsia="Times New Roman" w:hAnsi="Times New Roman"/>
          <w:sz w:val="18"/>
          <w:szCs w:val="18"/>
          <w:color w:val="auto"/>
        </w:rPr>
        <w:t>”), made commercially available, marketed, distributed, developed, supported, sold, imported for resale, licensed out, or otherwise provided by or on behalf of the Company or any Company Subsidiary, including products and services under development.</w:t>
      </w:r>
    </w:p>
    <w:p>
      <w:pPr>
        <w:spacing w:after="0" w:line="18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Representatives</w:t>
      </w:r>
      <w:r>
        <w:rPr>
          <w:rFonts w:ascii="Times New Roman" w:cs="Times New Roman" w:eastAsia="Times New Roman" w:hAnsi="Times New Roman"/>
          <w:sz w:val="18"/>
          <w:szCs w:val="18"/>
          <w:color w:val="auto"/>
        </w:rPr>
        <w:t>” means the Company’s and the Company Subsidiaries’ respective directors, officers, employees, accountants, consultants, legal counsel, investment bankers, advisors, agents, brokers and other representatives acting for or on behalf of the Company or any Company Subsidiary.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70" w:right="439" w:bottom="1440" w:gutter="0" w:footer="0" w:header="0"/>
        </w:sectPr>
      </w:pPr>
    </w:p>
    <w:bookmarkStart w:id="90" w:name="page91"/>
    <w:bookmarkEnd w:id="90"/>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an award of restricted stock units with respect to shares of Company Common Stock granted under a Company Equity Plan.</w:t>
      </w:r>
    </w:p>
    <w:p>
      <w:pPr>
        <w:spacing w:after="0" w:line="160" w:lineRule="exact"/>
        <w:rPr>
          <w:sz w:val="20"/>
          <w:szCs w:val="20"/>
          <w:color w:val="auto"/>
        </w:rPr>
      </w:pPr>
    </w:p>
    <w:p>
      <w:pPr>
        <w:jc w:val="both"/>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Shortfall Cash</w:t>
      </w:r>
      <w:r>
        <w:rPr>
          <w:rFonts w:ascii="Times New Roman" w:cs="Times New Roman" w:eastAsia="Times New Roman" w:hAnsi="Times New Roman"/>
          <w:sz w:val="18"/>
          <w:szCs w:val="18"/>
          <w:color w:val="auto"/>
        </w:rPr>
        <w:t xml:space="preserve">” means an amount in cash equal to (a) the Company Minimum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Company Cash Balance;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negative number results from such calculation, “Company Shortfall Cash” shall be zero (0).</w:t>
      </w:r>
    </w:p>
    <w:p>
      <w:pPr>
        <w:spacing w:after="0" w:line="160" w:lineRule="exact"/>
        <w:rPr>
          <w:sz w:val="20"/>
          <w:szCs w:val="20"/>
          <w:color w:val="auto"/>
        </w:rPr>
      </w:pPr>
    </w:p>
    <w:p>
      <w:pPr>
        <w:jc w:val="both"/>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means a bona fide written Company Acquisition Proposal (except the references therein to “15%” shall be replaced by “80%” and the references to “85%” shall be replaced by “25%”) made by a third party which the Company Board determines in good faith (after consultation with its outside counsel and, with respect to financial matters, financial advisors),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 if accepted, is reasonably likely to be consummated on the terms proposed, taking into account any required redemption, exchange, repayment or restructuring of the 2026 Notes and/or the Secured Notes required in connection with such Company Acquisition Proposal in accordance with the indentures and other agreements governing the 2026 Notes and the Secured Notes, as applicable (and whether the holders of the 2026 Notes and/or the Secured Notes would be reasonably expected to consent to such Company Acquisition Proposal in accordance with the indentures and other agreements governing the 2026 Notes and the Secured Notes, as applicable) and (b) is more favorable to the Company’s stockholders from a financial point of view than the Mergers.</w:t>
      </w:r>
    </w:p>
    <w:p>
      <w:pPr>
        <w:spacing w:after="0" w:line="192"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all fees and expenses incurred by or on behalf of the Company or by any other Person for which the Company is responsible in connection with or related to the negotiation, preparation, execution and performance of the Original Agreement and this Agreement, the Notes Restructuring Agreement and the transactions contemplated hereby and thereby and any similar or alternative transaction involving the Company,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Notes Restructuring Agreement and by such other similar or alternative transactions, as applicable.</w:t>
      </w:r>
    </w:p>
    <w:p>
      <w:pPr>
        <w:spacing w:after="0" w:line="19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warrants to subscribe for and purchase shares of Company Common Stock, including those warrants to subscribe for and purchase shares of Company Common Stock pursuant to that certain (a) Warrant to Purchase Common Stock, Certificate Number 0001, and (b) Warrant, Certificate Number 0002, in each case, issued June 3, 2024, by and between the Company and Lynrock Lake Master Fund LP.</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0"/>
          </w:cols>
          <w:pgMar w:left="440" w:top="270" w:right="439" w:bottom="1440" w:gutter="0" w:footer="0" w:header="0"/>
        </w:sectPr>
      </w:pPr>
    </w:p>
    <w:bookmarkStart w:id="91" w:name="page92"/>
    <w:bookmarkEnd w:id="91"/>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means each employee of the Company or any of the Company Subsidiaries who is employed by the Company or any of the Company Subsidiaries as of immediately prior to the First Effective Time and who continues to be actively employed by the Surviving Corporation (or any of its affiliates) on or following the Second Effective Time.</w:t>
      </w:r>
    </w:p>
    <w:p>
      <w:pPr>
        <w:spacing w:after="0" w:line="176"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legally binding commitments to which in each case a Person is a party or by which any of the properties or assets of such Person or its Subsidiaries are bound.</w:t>
      </w:r>
    </w:p>
    <w:p>
      <w:pPr>
        <w:spacing w:after="0" w:line="180"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spacing w:after="0" w:line="176"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shall mean any information, inputs, figures, facts, numbers, statistics, geographic and location information, AI Inputs, validation data, and test data, data collections, and databases, in any form, whether structured or unstructured.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(a) “employee benefit plan” as defined in Section 3(3) of ERISA (whether or not subject to ERISA),</w:t>
      </w:r>
    </w:p>
    <w:p>
      <w:pPr>
        <w:spacing w:after="0" w:line="27" w:lineRule="exact"/>
        <w:rPr>
          <w:sz w:val="20"/>
          <w:szCs w:val="20"/>
          <w:color w:val="auto"/>
        </w:rPr>
      </w:pPr>
    </w:p>
    <w:p>
      <w:pPr>
        <w:jc w:val="both"/>
        <w:ind w:left="4" w:hanging="4"/>
        <w:spacing w:after="0" w:line="251" w:lineRule="auto"/>
        <w:tabs>
          <w:tab w:leader="none" w:pos="26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commission, sales, deferred compensation, stock purchase, health, medical, dental, vision, or other health plans, disability, accident, life insurance, holiday, vacation, paid time off, perquisite, fringe benefit, severance, termination, change of control, transaction, retention, employment, separation, retirement, pension, or savings, plans, programs, policies, agreements or arrangements, other than any statutory plan, program, or arrangement that is required under applicable Laws and maintained by any Governmental Entity.</w:t>
      </w:r>
    </w:p>
    <w:p>
      <w:pPr>
        <w:spacing w:after="0" w:line="194"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which regulate or relate to pollution or the protection of the environment or human health and safety (solely to the extent related to exposure to Hazardous Substances), including Laws related to the use, treatment, storage, transportation, handling or Release of Hazardous Substances.</w:t>
      </w:r>
    </w:p>
    <w:p>
      <w:pPr>
        <w:spacing w:after="0" w:line="176"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waiver, variance, exemption, license, clearance, or other authorization required under any applicable Environmental Law.</w:t>
      </w:r>
    </w:p>
    <w:p>
      <w:pPr>
        <w:spacing w:after="0" w:line="162"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4"/>
          </w:cols>
          <w:pgMar w:left="436" w:top="270" w:right="439" w:bottom="1440" w:gutter="0" w:footer="0" w:header="0"/>
        </w:sectPr>
      </w:pPr>
    </w:p>
    <w:bookmarkStart w:id="92" w:name="page93"/>
    <w:bookmarkEnd w:id="9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promulgated thereunder.</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includes all out-of-pocket fees, costs and other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the Original Agreement and this Agreement and the transactions contemplated hereby, including the preparation, printing, filing and mailing of the Proxy Statement/Prospectus or Registration Statement and all other matters related to the transactions contemplated by this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Notes</w:t>
      </w:r>
      <w:r>
        <w:rPr>
          <w:rFonts w:ascii="Times New Roman" w:cs="Times New Roman" w:eastAsia="Times New Roman" w:hAnsi="Times New Roman"/>
          <w:sz w:val="18"/>
          <w:szCs w:val="18"/>
          <w:color w:val="auto"/>
        </w:rPr>
        <w:t>” means the Company’s First Lien Convertible Senior Notes due 2029.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fraud under Delaware law.</w:t>
      </w:r>
    </w:p>
    <w:p>
      <w:pPr>
        <w:spacing w:after="0" w:line="225"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Common Number</w:t>
      </w:r>
      <w:r>
        <w:rPr>
          <w:rFonts w:ascii="Times New Roman" w:cs="Times New Roman" w:eastAsia="Times New Roman" w:hAnsi="Times New Roman"/>
          <w:sz w:val="18"/>
          <w:szCs w:val="18"/>
          <w:color w:val="auto"/>
        </w:rPr>
        <w:t xml:space="preserve">” means, without duplication, the sum of (a) the total number of shares of Company Common Stock that are issued and outstanding immediately prior to the First Effective Time (excluding Company Cancelled Shares),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total number of shares of Company Common Stock that are issuable upon the conversion, exercise or settlement in full of all In-the-Money Company Options, Company RSU Awards, convertible securities, or other rights to acquire Company Common Stock that are outstanding as of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“Fully Diluted Common Number” shall not include (a) the Company Rights or any securities of the Company issuable upon the exercise thereof pursuant to the Tax Benefits Preservation Plan or (b) any shares of Company Common Stock that are issuable upon the exercise or conversion of the Company Warrants or the 2026 Notes and the First Lien Notes except to the extent such Company Warrants or notes are exercised or converted into shares of Company Common Stock prior to the First Effective Time.</w:t>
      </w:r>
    </w:p>
    <w:p>
      <w:pPr>
        <w:spacing w:after="0" w:line="192"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TASE Common Number</w:t>
      </w:r>
      <w:r>
        <w:rPr>
          <w:rFonts w:ascii="Times New Roman" w:cs="Times New Roman" w:eastAsia="Times New Roman" w:hAnsi="Times New Roman"/>
          <w:sz w:val="18"/>
          <w:szCs w:val="18"/>
          <w:color w:val="auto"/>
        </w:rPr>
        <w:t>” means, without duplication, the total number of TASE Shares that are issued and outstanding immediately prior to the Second Effective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440" w:top="270" w:right="439" w:bottom="1440" w:gutter="0" w:footer="0" w:header="0"/>
        </w:sectPr>
      </w:pPr>
    </w:p>
    <w:bookmarkStart w:id="93" w:name="page94"/>
    <w:bookmarkEnd w:id="93"/>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spacing w:after="0" w:line="180"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supranational, national, federal, state, regional, provincial, county, municipal, local or foreign government and any entity exercising or entitled to exercise executive, legislative, judicial, regulatory, taxing, administrative, prosecutorial or arbitral functions of or pertaining to government, (b) any agency, division, bureau, department, commission, board, tribunal, or other subdivision or instrumentality of any government, entity or organization described in the foregoing clause (a), and any court, judicial authority, arbitrator, or arbitral tribunal, and (c) any public international organization (such as the World Bank, United Nations).</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material, chemical or waste that is listed, defined or regulated as “hazardous,” “toxic,” a “pollutant,” or a “contaminant”, or words of similar regulatory meaning or effect, under any Environmental Law, including asbestos or asbestos-containing materials, petroleum or petroleum by-products, radioactive materials, per- and polyfluoroalkyl substances or polychlorinated biphenyls.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In-the-Money Company Option</w:t>
      </w:r>
      <w:r>
        <w:rPr>
          <w:rFonts w:ascii="Times New Roman" w:cs="Times New Roman" w:eastAsia="Times New Roman" w:hAnsi="Times New Roman"/>
          <w:sz w:val="18"/>
          <w:szCs w:val="18"/>
          <w:color w:val="auto"/>
        </w:rPr>
        <w:t>” means each Company Option that is not an Out-of-the-Money Company Option.</w:t>
      </w:r>
    </w:p>
    <w:p>
      <w:pPr>
        <w:spacing w:after="0" w:line="225"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now known or hereafter recognized in any jurisdiction throughout the world, including all: (a) patents, patent disclosures and patent applications, together with all provisionals, reissues, continuations, continuations-in-part, divisions, revisions, extensions, and reexaminations thereof; (b) trademarks, service marks, trade dress, logos, slogans, brand names, trade names, Internet domain names, social media accounts and handles, corporate names, and other indicia of source or origin, together with all translations, adaptations, derivations, and combinations thereof, and all applications and registrations in connection therewith; (c) rights associated with works of authorship (whether or not published) and all copyrights, mask works and designs and all applications, renewals and registrations in connection therewith; (d) intellectual property rights in Software and all website content (including text, graphics, images, audio, video, and data), intellectual and proprietary rights in databases, data compilations and data collection methods; and (e) trade secret rights and rights in know-how and confidential and proprietary information, information, designs, formulae, compositions, algorithms, procedures, methods, techniques, ideas, research and development, data, specifications, processes, inventions (whether patentable or not and whether reduced to practice or not) and improvements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(f) other proprietary rights arising from or related to AI Technologies, and (g) all applications and registrations for the foregoing.</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means the Israel Securities Authority.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70" w:right="439" w:bottom="1440" w:gutter="0" w:footer="0" w:header="0"/>
        </w:sectPr>
      </w:pPr>
    </w:p>
    <w:bookmarkStart w:id="94" w:name="page95"/>
    <w:bookmarkEnd w:id="9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Israeli Securities Laws</w:t>
      </w:r>
      <w:r>
        <w:rPr>
          <w:rFonts w:ascii="Times New Roman" w:cs="Times New Roman" w:eastAsia="Times New Roman" w:hAnsi="Times New Roman"/>
          <w:sz w:val="18"/>
          <w:szCs w:val="18"/>
          <w:color w:val="auto"/>
        </w:rPr>
        <w:t>” means (a) the Israeli Securities Law of 1968 and the rules, regulations and guidance provided thereunder and</w:t>
      </w:r>
    </w:p>
    <w:p>
      <w:pPr>
        <w:spacing w:after="0" w:line="27" w:lineRule="exact"/>
        <w:rPr>
          <w:sz w:val="20"/>
          <w:szCs w:val="20"/>
          <w:color w:val="auto"/>
        </w:rPr>
      </w:pPr>
    </w:p>
    <w:p>
      <w:pPr>
        <w:ind w:left="4" w:hanging="4"/>
        <w:spacing w:after="0" w:line="260" w:lineRule="auto"/>
        <w:tabs>
          <w:tab w:leader="none" w:pos="28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TASE and the regulations promulgated thereunder, including the relevant provisions of the bylaws of the TASECH, each as amended from time to time.</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Israel Tax Authority.</w:t>
      </w:r>
    </w:p>
    <w:p>
      <w:pPr>
        <w:spacing w:after="0" w:line="225" w:lineRule="exact"/>
        <w:rPr>
          <w:sz w:val="20"/>
          <w:szCs w:val="20"/>
          <w:color w:val="auto"/>
        </w:rPr>
      </w:pPr>
    </w:p>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(after inquiry of direct reports) of the individuals listed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of the Company Disclosure Schedule.</w:t>
      </w:r>
    </w:p>
    <w:p>
      <w:pPr>
        <w:spacing w:after="0" w:line="162"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international, national, federal, regional, provincial, state, municipal, foreign, and local laws, common laws, statutes, constitutions, treaties, ordinances, bylaws, rules, regulations, or other requirements, legally binding guidance, consent permits, policies, restrictions or licenses enacted, adopted, promulgated, issued, enforced, applied, or entered by any Governmental Entity and any Orders.</w:t>
      </w:r>
    </w:p>
    <w:p>
      <w:pPr>
        <w:spacing w:after="0" w:line="176"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spacing w:after="0" w:line="183" w:lineRule="exact"/>
        <w:rPr>
          <w:sz w:val="20"/>
          <w:szCs w:val="20"/>
          <w:color w:val="auto"/>
        </w:rPr>
      </w:pPr>
    </w:p>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or within the meaning of Section 3(37) of ERISA) or any plan that has two or more contributing sponsors at least two of whom are not under common control within the meaning of Section 4063 of ERISA.</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Share</w:t>
      </w:r>
      <w:r>
        <w:rPr>
          <w:rFonts w:ascii="Times New Roman" w:cs="Times New Roman" w:eastAsia="Times New Roman" w:hAnsi="Times New Roman"/>
          <w:sz w:val="18"/>
          <w:szCs w:val="18"/>
          <w:color w:val="auto"/>
        </w:rPr>
        <w:t xml:space="preserve">” means, with respect to a Company Option, the quotient obtained by dividing (a) the product of (i) the excess of the Per Share Cash Equivalent Consideration over the per share exercise price of such Company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number of shares of Company Common Stock subject to such Company Option immediately prior to the First Effective Time,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Per Share Cash Equivalent Consideration.</w:t>
      </w:r>
    </w:p>
    <w:p>
      <w:pPr>
        <w:spacing w:after="0" w:line="176"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w:t>
      </w:r>
      <w:r>
        <w:rPr>
          <w:rFonts w:ascii="Times New Roman" w:cs="Times New Roman" w:eastAsia="Times New Roman" w:hAnsi="Times New Roman"/>
          <w:sz w:val="18"/>
          <w:szCs w:val="18"/>
          <w:color w:val="auto"/>
        </w:rPr>
        <w:t>” shall mean any Software that is distributed as “free software” or “open source software”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“open source licenses.”</w:t>
      </w:r>
    </w:p>
    <w:p>
      <w:pPr>
        <w:spacing w:after="0" w:line="183" w:lineRule="exact"/>
        <w:rPr>
          <w:sz w:val="20"/>
          <w:szCs w:val="20"/>
          <w:color w:val="auto"/>
        </w:rPr>
      </w:pPr>
    </w:p>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executive order, stay, consent decree, determination, ruling, assessment, stipulation, decision, writ, injunction, decree or arbitration award in each case, enacted, adopted, promulgated, imposed, applied, or entered by or with any Governmental Entity.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4"/>
          </w:cols>
          <w:pgMar w:left="436" w:top="270" w:right="459" w:bottom="1440" w:gutter="0" w:footer="0" w:header="0"/>
        </w:sectPr>
      </w:pPr>
    </w:p>
    <w:bookmarkStart w:id="95" w:name="page96"/>
    <w:bookmarkEnd w:id="95"/>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means the Israeli Income Tax Ordinance (New Version), 1961, as amended, and all rules and regulations promulgated thereunder, as may be amended from time to time, including, any publications and clarifications issued by the ITA.</w:t>
      </w:r>
    </w:p>
    <w:p>
      <w:pPr>
        <w:spacing w:after="0" w:line="162"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all filings made by, or required to be made by, the Company or Parent with the SEC in connection with the transactions contemplated by this Agreement, other than the Proxy Statement/Prospectus and Registration Statement.</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Out-of-the-Money Company Option</w:t>
      </w:r>
      <w:r>
        <w:rPr>
          <w:rFonts w:ascii="Times New Roman" w:cs="Times New Roman" w:eastAsia="Times New Roman" w:hAnsi="Times New Roman"/>
          <w:sz w:val="18"/>
          <w:szCs w:val="18"/>
          <w:color w:val="auto"/>
        </w:rPr>
        <w:t>” means any Company Option having a per-share exercise price equal to or in excess of the Per Share Cash Equivalent Consideration (calculated for this purpose as if all Company Options were included in the definition of Fully Diluted Common Number).</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Parent or any of the Parent Subsidiaries.</w:t>
      </w:r>
    </w:p>
    <w:p>
      <w:pPr>
        <w:spacing w:after="0" w:line="162"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Stock Price</w:t>
      </w:r>
      <w:r>
        <w:rPr>
          <w:rFonts w:ascii="Times New Roman" w:cs="Times New Roman" w:eastAsia="Times New Roman" w:hAnsi="Times New Roman"/>
          <w:sz w:val="18"/>
          <w:szCs w:val="18"/>
          <w:color w:val="auto"/>
        </w:rPr>
        <w:t xml:space="preserve">” means the Parent Closing VWAP Stock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such price per share (a) exceeds $12 per share, “Parent Closing Stock Price” means $12 per share or (b) falls below $7 per share, “Parent Closing Stock Price” means $7 per share.</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VWAP Stock Price</w:t>
      </w:r>
      <w:r>
        <w:rPr>
          <w:rFonts w:ascii="Times New Roman" w:cs="Times New Roman" w:eastAsia="Times New Roman" w:hAnsi="Times New Roman"/>
          <w:sz w:val="18"/>
          <w:szCs w:val="18"/>
          <w:color w:val="auto"/>
        </w:rPr>
        <w:t>” means the price per share of a share of Parent Common Stock derived from the average of the daily volume weighted average prices of a share of Parent Common Stock on the Nasdaq on each of the ten (10) consecutive Trading Days ending on (and including) the Trading Day that is three (3) Trading Days prior to the Closing Date, rounded down to the nearest penny, as reported by Bloomberg.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Class A Common Stock of Parent, par value $0.0001 per share.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Expense Cap</w:t>
      </w:r>
      <w:r>
        <w:rPr>
          <w:rFonts w:ascii="Times New Roman" w:cs="Times New Roman" w:eastAsia="Times New Roman" w:hAnsi="Times New Roman"/>
          <w:sz w:val="18"/>
          <w:szCs w:val="18"/>
          <w:color w:val="auto"/>
        </w:rPr>
        <w:t>” means an amount equal to $3,750,000.</w:t>
      </w:r>
    </w:p>
    <w:p>
      <w:pPr>
        <w:spacing w:after="0" w:line="225"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Effect that, individually or in the aggregate, has or would reasonably be expected to have a material adverse effect on the business, condition (financial or otherwise), assets, liabilities, operations or results of operations of Parent and the Parent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Effects arising out of, or resulting from the following shall not constitute a Parent Material Adverse Effect, and shall not otherwise be taken into account in determining whether a Parent Material Adverse Effect has occurred or would reasonably be expected to occur, except that Effects with respect to clauses (a), (b) or (c) of the below shall be considered to the extent such Effect disproportionately and adversely impacts Parent or the Parent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(ii) changes in securities, credit or other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96" w:name="page97"/>
    <w:bookmarkEnd w:id="96"/>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financial markets, including interest rates or exchange rates in the United States or globally, or changes in conditions in the industries (including seasonal fluctuations) in which Parent or Parent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Parent by the terms of this Agreement or taken or not taken with the prior written consent of, Parent (other than its obligations to operate its business in the ordinary course), (e) the execution, announcement, pendency or consummation of the Original Agreement or this Agreement and the transactions contemplated hereby, including any litigation arising out of or relating to the Original Agreement, this Agreement or the Mergers, the identity of the Company, departures of officers or employees, changes in relationships with suppliers or customers or other business relations, in each case solely to the extent resulting from the execution, announcement, pendency or consummation of the Original Agreement or this Agreement and the transactions contemplated thereby and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or this Agreement and the transactions contemplated hereby or to address the consequences of litigation of, compliance with or performance under, the Original Agreement or this Agreement, (f) changes in the trading price or trading volume of Parent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Parent Material Adverse Effect has occurred, or (g) any failure by Parent or any of the Parent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Parent Material Adverse Effect has occurred.</w:t>
      </w:r>
    </w:p>
    <w:p>
      <w:pPr>
        <w:spacing w:after="0" w:line="19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Representatives</w:t>
      </w:r>
      <w:r>
        <w:rPr>
          <w:rFonts w:ascii="Times New Roman" w:cs="Times New Roman" w:eastAsia="Times New Roman" w:hAnsi="Times New Roman"/>
          <w:sz w:val="18"/>
          <w:szCs w:val="18"/>
          <w:color w:val="auto"/>
        </w:rPr>
        <w:t>” means Parent’s and the Parent Subsidiaries’ respective directors, officers, employees, accountants, consultants, legal counsel, investment bankers, advisors, agents and other representatives acting for or on behalf of Parent or any Parent Subsidiary.</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means the issuance of shares of Parent Common Stock to the stockholders of the Company pursuant to and in accordance with the terms of this Agreement.</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Equivalent Consideration</w:t>
      </w:r>
      <w:r>
        <w:rPr>
          <w:rFonts w:ascii="Times New Roman" w:cs="Times New Roman" w:eastAsia="Times New Roman" w:hAnsi="Times New Roman"/>
          <w:sz w:val="18"/>
          <w:szCs w:val="18"/>
          <w:color w:val="auto"/>
        </w:rPr>
        <w:t>” means the product (rounded to the nearest cent) obtained by multiplying (a) the Per Share Merger Consideration by (b) the Parent Closing Stock Price.</w:t>
      </w:r>
    </w:p>
    <w:p>
      <w:pPr>
        <w:spacing w:after="0" w:line="160"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Merger Consideration</w:t>
      </w:r>
      <w:r>
        <w:rPr>
          <w:rFonts w:ascii="Times New Roman" w:cs="Times New Roman" w:eastAsia="Times New Roman" w:hAnsi="Times New Roman"/>
          <w:sz w:val="18"/>
          <w:szCs w:val="18"/>
          <w:color w:val="auto"/>
        </w:rPr>
        <w:t xml:space="preserve">” means an amount in cash equal to (a) the Closing TASE Cash Merger Consideration,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TASE Common Number.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20"/>
          </w:cols>
          <w:pgMar w:left="440" w:top="270" w:right="439" w:bottom="1440" w:gutter="0" w:footer="0" w:header="0"/>
        </w:sectPr>
      </w:pPr>
    </w:p>
    <w:bookmarkStart w:id="97" w:name="page98"/>
    <w:bookmarkEnd w:id="97"/>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number of fully paid and nonassessable shares of Parent Common Stock equal to (a) the Closing Merger Consideration,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Common Number.</w:t>
      </w:r>
    </w:p>
    <w:p>
      <w:pPr>
        <w:spacing w:after="0" w:line="162" w:lineRule="exact"/>
        <w:rPr>
          <w:sz w:val="20"/>
          <w:szCs w:val="20"/>
          <w:color w:val="auto"/>
        </w:rPr>
      </w:pPr>
    </w:p>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not yet due and payable or the amount or validity of which is being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(c) Liens arising from transfer restrictions under securities Laws or related Laws of any jurisdiction, (d) nonexclusive licenses of Intellectual Property, and (e) (i) matters of record,</w:t>
      </w:r>
    </w:p>
    <w:p>
      <w:pPr>
        <w:spacing w:after="0" w:line="3" w:lineRule="exact"/>
        <w:rPr>
          <w:sz w:val="20"/>
          <w:szCs w:val="20"/>
          <w:color w:val="auto"/>
        </w:rPr>
      </w:pPr>
    </w:p>
    <w:p>
      <w:pPr>
        <w:jc w:val="both"/>
        <w:ind w:left="4" w:hanging="4"/>
        <w:spacing w:after="0" w:line="253" w:lineRule="auto"/>
        <w:tabs>
          <w:tab w:leader="none" w:pos="2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would be disclosed by a current, accurate survey or physical inspection of applicable real property, (iii) applicable building, zoning and land use regulations, (iv) Liens encumbering the fee interest in the property constituting Company Leased Real Property and Liens of landlords and sublandlords pursuant to the leases and subleases of the Company Leased Real Property and (v) other imperfections or irregularities in title, charges, restrictions and other encumbrances that do not materially detract from the current use of the Company Leased Real Property to which they relate.</w:t>
      </w:r>
    </w:p>
    <w:p>
      <w:pPr>
        <w:spacing w:after="0" w:line="189"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trust, unincorporated organization, other entity or group (as defined in Section 13(d) of the Exchange Act).</w:t>
      </w:r>
    </w:p>
    <w:p>
      <w:pPr>
        <w:spacing w:after="0" w:line="162"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in any form that is capable, directly or indirectly, of being associated with, related or linked to, or could reasonably be used to identify, describe, contact or locate, an individual, device, or household (including name, address, telephone number, email address, billing information, online identifier, device identifier, IP address, browsing history, search history or other website, application or online activity or usage data, location data, or biometric data) or is otherwise considered “personally identifiable information,” “personal information,” “personal data,” or any similar term by any applicable Laws and/or Privacy Requirements.</w:t>
      </w:r>
    </w:p>
    <w:p>
      <w:pPr>
        <w:spacing w:after="0" w:line="181" w:lineRule="exact"/>
        <w:rPr>
          <w:sz w:val="20"/>
          <w:szCs w:val="20"/>
          <w:color w:val="auto"/>
        </w:rPr>
      </w:pPr>
    </w:p>
    <w:p>
      <w:pPr>
        <w:jc w:val="both"/>
        <w:ind w:left="4"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per annum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from time to time as the prime lending rate prevailing during any relevant period.</w:t>
      </w:r>
    </w:p>
    <w:p>
      <w:pPr>
        <w:spacing w:after="0" w:line="160" w:lineRule="exact"/>
        <w:rPr>
          <w:sz w:val="20"/>
          <w:szCs w:val="20"/>
          <w:color w:val="auto"/>
        </w:rPr>
      </w:pPr>
    </w:p>
    <w:p>
      <w:pPr>
        <w:jc w:val="both"/>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Security Laws</w:t>
      </w:r>
      <w:r>
        <w:rPr>
          <w:rFonts w:ascii="Times New Roman" w:cs="Times New Roman" w:eastAsia="Times New Roman" w:hAnsi="Times New Roman"/>
          <w:sz w:val="18"/>
          <w:szCs w:val="18"/>
          <w:color w:val="auto"/>
        </w:rPr>
        <w:t>” means all applicable Laws, guidance, and standards relating to the privacy, data security, data breach notification, Processing of Personal Information, website and mobile application privacy policies and practices, consumer protection, online safety, online platform and digital services regulation, the processing and security of payment card information (including the Payment Card Industry Data Security Standard and other applicable card association rules), the processing of biometric information or biometric identifiers, artificial intelligence, chatbots, wiretapping, the interception of electronic communications, the tracking or monitoring of online activity, data- or web-scraping, advertising or marketing, and email, text message, or telephone communications.</w:t>
      </w:r>
    </w:p>
    <w:p>
      <w:pPr>
        <w:spacing w:after="0" w:line="187"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suit, lawsuit, claim, charge, complaint, hearing, arbitration, litigation, mediation, grievance, audit, examination, investigation or other proceeding (including any civil, criminal, administrative, investigative or appellate proceeding), in each case, by or before any Governmental Entity.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24"/>
          </w:cols>
          <w:pgMar w:left="436" w:top="270" w:right="439" w:bottom="1440" w:gutter="0" w:footer="0" w:header="0"/>
        </w:sectPr>
      </w:pPr>
    </w:p>
    <w:bookmarkStart w:id="98" w:name="page99"/>
    <w:bookmarkEnd w:id="98"/>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which is performed on information, including Personal Information, such as the use, collection, processing, storage, disclosure, dissemination, combination or disposal of such information, and/or is considered “processing” by any applicable Privacy Requirements.</w:t>
      </w:r>
    </w:p>
    <w:p>
      <w:pPr>
        <w:spacing w:after="0" w:line="176"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applicable supranational, national, federal, state, provincial or local Law designed or intended to (a)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or (b) regulate foreign investment, foreign ownership or control, or the acquisition of assets or securities by foreign persons for purposes of national security, protection of critical infrastructure, or other national interests.</w:t>
      </w:r>
    </w:p>
    <w:p>
      <w:pPr>
        <w:spacing w:after="0" w:line="183"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or leaching of any Hazardous Substance into the environment.</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territory that is, or has been since April 24, 2019, the subject of comprehensive country-wide or region-wide Sanctions (currently, Cuba, Iran, North Korea, Syria, and the Crimea, so-called Donetsk People’s Republic, and so-called Luhansk People’s Republic regions of Ukraine).</w:t>
      </w:r>
    </w:p>
    <w:p>
      <w:pPr>
        <w:spacing w:after="0" w:line="176"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listed on any sanctions-related list of designated Persons, maintained by the Office of Foreign Assets Control of the U.S. Department of the Treasury’s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the United Kingdom, the European Union, or any European Union member state; (b) any Person operating, organized or resident in a Sanctioned Country; or (c) the government of a Sanctioned Country or the Government of Venezuela; or (d) any Person that is, in the aggregate, directly or indirectly owned, 50 percent or more, or controlled by, or acting or purporting to act on behalf of, a Person or Persons described in clauses (a), (b) or (c).</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Laws relating to economic or financial sanctions or trade embargoes imposed, administered or enforced by the United States (including by OFAC or the U.S. Department of State), the United Nations Security Council, the United Kingdom, the European Union, or any European Union member state.</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Scraped Dataset</w:t>
      </w:r>
      <w:r>
        <w:rPr>
          <w:rFonts w:ascii="Times New Roman" w:cs="Times New Roman" w:eastAsia="Times New Roman" w:hAnsi="Times New Roman"/>
          <w:sz w:val="18"/>
          <w:szCs w:val="18"/>
          <w:color w:val="auto"/>
        </w:rPr>
        <w:t>” shall mean any Data that was collected or generated by Company or a third-party using web scraping, web crawling, or web harvesting Software or any technology or service that turns the unstructured data found on the web into machine readable, structured data that is ready for analysis.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440" w:top="270" w:right="439" w:bottom="1440" w:gutter="0" w:footer="0" w:header="0"/>
        </w:sectPr>
      </w:pPr>
    </w:p>
    <w:bookmarkStart w:id="99" w:name="page100"/>
    <w:bookmarkEnd w:id="9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Lien Notes</w:t>
      </w:r>
      <w:r>
        <w:rPr>
          <w:rFonts w:ascii="Times New Roman" w:cs="Times New Roman" w:eastAsia="Times New Roman" w:hAnsi="Times New Roman"/>
          <w:sz w:val="18"/>
          <w:szCs w:val="18"/>
          <w:color w:val="auto"/>
        </w:rPr>
        <w:t>” means the Company’s Second Lien Senior Subordinated Secured Notes due 2029.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Ordinance and the regulations and rules promulgated thereunder.</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Trustee</w:t>
      </w:r>
      <w:r>
        <w:rPr>
          <w:rFonts w:ascii="Times New Roman" w:cs="Times New Roman" w:eastAsia="Times New Roman" w:hAnsi="Times New Roman"/>
          <w:sz w:val="18"/>
          <w:szCs w:val="18"/>
          <w:color w:val="auto"/>
        </w:rPr>
        <w:t>” means, ESOP Management and Trust Services Ltd., the trustee appointed by the Company in accordance with the provisions of Section 102(b) of the Ordinance and the rules and regulations promulgated in connection therewith, as amended.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means, collectively, the First Lien Notes and the Second Lien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(a) accidental, unlawful or unauthorized access, use, loss, exfiltration, disclosure, alteration, destruction, encryption, compromise, or other Processing of Personal Information and/or confidential information; (b) accidental, unlawful or unauthorized occurrence or series of related occurrences on or conducted through the Company IT Assets that jeopardizes or impacts the confidentiality, integrity, or availability of the Company IT Assets or any Personal Information or confidential information stored or otherwise Processed therein; or (c) occurrence that constitutes a “data breach,” “security breach,” “personal data breach,” “security incident,” “cybersecurity incident,” or any similar term under any applicable Law.</w:t>
      </w:r>
    </w:p>
    <w:p>
      <w:pPr>
        <w:spacing w:after="0" w:line="187"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spacing w:after="0" w:line="189"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w:t>
      </w:r>
      <w:r>
        <w:rPr>
          <w:rFonts w:ascii="Times New Roman" w:cs="Times New Roman" w:eastAsia="Times New Roman" w:hAnsi="Times New Roman"/>
          <w:sz w:val="18"/>
          <w:szCs w:val="18"/>
          <w:color w:val="auto"/>
        </w:rPr>
        <w:t>” means the Tel-Aviv Stock Exchange Ltd.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70" w:right="439" w:bottom="1440" w:gutter="0" w:footer="0" w:header="0"/>
        </w:sectPr>
      </w:pPr>
    </w:p>
    <w:bookmarkStart w:id="100" w:name="page101"/>
    <w:bookmarkEnd w:id="10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TASECH</w:t>
      </w:r>
      <w:r>
        <w:rPr>
          <w:rFonts w:ascii="Times New Roman" w:cs="Times New Roman" w:eastAsia="Times New Roman" w:hAnsi="Times New Roman"/>
          <w:sz w:val="18"/>
          <w:szCs w:val="18"/>
          <w:color w:val="auto"/>
        </w:rPr>
        <w:t>” means the Tel-Aviv Stock Exchange Clearing House Ltd.</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 Share</w:t>
      </w:r>
      <w:r>
        <w:rPr>
          <w:rFonts w:ascii="Times New Roman" w:cs="Times New Roman" w:eastAsia="Times New Roman" w:hAnsi="Times New Roman"/>
          <w:sz w:val="18"/>
          <w:szCs w:val="18"/>
          <w:color w:val="auto"/>
        </w:rPr>
        <w:t>” means, as of any time of determination, each share of Company Common Stock issued and outstanding that is held through the TASECH.</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means that certain Tax Benefits Preservation Plan, dated as of January 22, 2024, by and between the Company and Equiniti Trust Company, LLC, as Rights Agent, as amended by that certain Amendment No. 1 to the Tax Benefits Preservation Plan, dated as of February 16, 2024.</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(including information return), certificate, claim for refund, election, estimated tax filing or declaration required to be filed or actually filed with a Governmental Entity with respect to Taxes, including any schedule or attachment thereto, and including any amendments thereof.</w:t>
      </w:r>
    </w:p>
    <w:p>
      <w:pPr>
        <w:spacing w:after="0" w:line="176"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and non-U.S. (a) taxes, assessments, fees, levies, duties, tariffs, imposts and other charges in the nature of a tax,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occupation, disability, registration, gains tax and estimated taxes, and (b) any interest, penalty, or additional amounts imposed with respect to any of the foregoing, whether disputed or not.</w:t>
      </w:r>
    </w:p>
    <w:p>
      <w:pPr>
        <w:spacing w:after="0" w:line="183"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Compliance Laws</w:t>
      </w:r>
      <w:r>
        <w:rPr>
          <w:rFonts w:ascii="Times New Roman" w:cs="Times New Roman" w:eastAsia="Times New Roman" w:hAnsi="Times New Roman"/>
          <w:sz w:val="18"/>
          <w:szCs w:val="18"/>
          <w:color w:val="auto"/>
        </w:rPr>
        <w:t>” means (a) any Laws enforced by the U.S. Government relating to the regulation of imports, exports, re-exports, transfers, releases, shipments, transmissions or any other provision of goods, technology, software or services, including the International Traffic in Arms Regulations (ITAR), 22 C.F.R. Parts 120 et seq., the Export Administration Regulations (EAR), 15 C.F.R. Parts 730 et seq., the Arms Export Control Act (22 U.S.C. § 1778), the International Emergency Economic Powers Act (50 U.S.C. §§ 1701–1706), Section 999 of the Internal Revenue Code, the Export Control Reform Act of 2018 (50 U.S.C. §§ 4801-4861) Foreign Trade Regulations (15 C.F.R. Part 30) all applicable customs and import Laws, including the customs regulations set forth in Title 19 of the Code of Federal Regulations and 19 C.F.R. Chapter 1, the Tariff Act of 1930 and the Laws, regulations and programs administered or enforced by the U.S. Department of Commerce, U.S. International Trade Commission, U.S. Customs and Border Protection, U.S. Immigration and Customs Enforcement and their respective predecessor agencies, the antiboycott Laws administered by the U.S. Department of Commerce and U.S. Department of the Treasury’s Internal Revenue Service, and (b) all applicable trade, export control, import, and antiboycott Laws imposed, administered or enforced in jurisdictions in which the Company operates or has operated, except to the extent inconsistent with U.S. Law.</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shares of Parent Common Stock are traded on the Nasdaq.</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0"/>
          </w:cols>
          <w:pgMar w:left="440" w:top="270" w:right="439" w:bottom="1440" w:gutter="0" w:footer="0" w:header="0"/>
        </w:sectPr>
      </w:pPr>
    </w:p>
    <w:bookmarkStart w:id="101" w:name="page102"/>
    <w:bookmarkEnd w:id="10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Training Data</w:t>
      </w:r>
      <w:r>
        <w:rPr>
          <w:rFonts w:ascii="Times New Roman" w:cs="Times New Roman" w:eastAsia="Times New Roman" w:hAnsi="Times New Roman"/>
          <w:sz w:val="18"/>
          <w:szCs w:val="18"/>
          <w:color w:val="auto"/>
        </w:rPr>
        <w:t>” shall mean any data used to develop, train, refine, fine tune, test or improve the Company’s AI Technologies, including Data contained in or obtained from Scraped Datasets.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union, labor organization, works council, employee association or other bargaining unit representative.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of a representation, warranty or covenant that is the consequence of a deliberate act or omission of the breaching party.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97" w:lineRule="exact"/>
        <w:rPr>
          <w:sz w:val="20"/>
          <w:szCs w:val="20"/>
          <w:color w:val="auto"/>
        </w:rPr>
      </w:pPr>
    </w:p>
    <w:tbl>
      <w:tblPr>
        <w:tblLayout w:type="fixed"/>
        <w:tblInd w:w="440" w:type="dxa"/>
        <w:tblCellMar>
          <w:top w:w="0" w:type="dxa"/>
          <w:left w:w="0" w:type="dxa"/>
          <w:bottom w:w="0" w:type="dxa"/>
          <w:right w:w="0" w:type="dxa"/>
        </w:tblCellMar>
      </w:tblPr>
      <w:tr>
        <w:trPr>
          <w:trHeight w:val="227"/>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4"/>
              </w:rPr>
              <w:t>Agreement</w:t>
            </w:r>
          </w:p>
        </w:tc>
        <w:tc>
          <w:tcPr>
            <w:tcW w:w="3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Preamble</w:t>
            </w:r>
          </w:p>
        </w:tc>
        <w:tc>
          <w:tcPr>
            <w:tcW w:w="0" w:type="dxa"/>
            <w:vAlign w:val="bottom"/>
          </w:tcPr>
          <w:p>
            <w:pPr>
              <w:spacing w:after="0"/>
              <w:rPr>
                <w:sz w:val="1"/>
                <w:szCs w:val="1"/>
                <w:color w:val="auto"/>
              </w:rPr>
            </w:pPr>
          </w:p>
        </w:tc>
      </w:tr>
      <w:tr>
        <w:trPr>
          <w:trHeight w:val="20"/>
        </w:trPr>
        <w:tc>
          <w:tcPr>
            <w:tcW w:w="4220" w:type="dxa"/>
            <w:vAlign w:val="bottom"/>
            <w:gridSpan w:val="21"/>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“Appraisal Rights”</w:t>
            </w:r>
          </w:p>
        </w:tc>
        <w:tc>
          <w:tcPr>
            <w:tcW w:w="104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2.11(a)</w:t>
            </w:r>
          </w:p>
        </w:tc>
        <w:tc>
          <w:tcPr>
            <w:tcW w:w="0" w:type="dxa"/>
            <w:vAlign w:val="bottom"/>
          </w:tcPr>
          <w:p>
            <w:pPr>
              <w:spacing w:after="0" w:line="20" w:lineRule="exact"/>
              <w:rPr>
                <w:sz w:val="1"/>
                <w:szCs w:val="1"/>
                <w:color w:val="auto"/>
              </w:rPr>
            </w:pPr>
          </w:p>
        </w:tc>
      </w:tr>
      <w:tr>
        <w:trPr>
          <w:trHeight w:val="156"/>
        </w:trPr>
        <w:tc>
          <w:tcPr>
            <w:tcW w:w="4220" w:type="dxa"/>
            <w:vAlign w:val="bottom"/>
            <w:gridSpan w:val="21"/>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5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6"/>
              </w:rPr>
              <w:t>Section</w:t>
            </w: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“Assumed Option”</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2.6(a)(i)</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“Assumed RSU Award”</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2.6(b)(ii)</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“Change of Company Board Recommendation”</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6.3(a)</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“Clean Team Agreement”</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6.2(b)</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“Closing”</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1.2(a)</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“Closing Date”</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1.2(a)</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“COBRA”</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3.9(d)</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401(k) Plans”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6.8(c)</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160" w:type="dxa"/>
            <w:vAlign w:val="bottom"/>
            <w:gridSpan w:val="6"/>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AI Products”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9.4</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160" w:type="dxa"/>
            <w:vAlign w:val="bottom"/>
            <w:gridSpan w:val="6"/>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Board”</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160" w:type="dxa"/>
            <w:vAlign w:val="bottom"/>
            <w:gridSpan w:val="6"/>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Board Recommendation”</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Book-Entry Shares”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2.2(b)(ii)</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Bylaws”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3.1(b)</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Cancelled Shares”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w w:val="98"/>
              </w:rPr>
              <w:t>Section 2.1(a)(iii)</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Capitalization Date”</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3.2(a)</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Certificated Shares”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2.2(b)(i)</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Charter”</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3.1(b)</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Common Stock”</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860" w:type="dxa"/>
            <w:vAlign w:val="bottom"/>
            <w:gridSpan w:val="11"/>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Disclosure Schedule”</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Article 3</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880" w:type="dxa"/>
            <w:vAlign w:val="bottom"/>
            <w:gridSpan w:val="1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Fairness Opinion”</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3.21</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880" w:type="dxa"/>
            <w:vAlign w:val="bottom"/>
            <w:gridSpan w:val="1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Financial Statements”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3.7(c)</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880" w:type="dxa"/>
            <w:vAlign w:val="bottom"/>
            <w:gridSpan w:val="12"/>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ISA Documents”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3.7(a)</w:t>
            </w: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102" w:name="page103"/>
    <w:bookmarkEnd w:id="1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IT Assets”</w:t>
            </w:r>
          </w:p>
        </w:tc>
        <w:tc>
          <w:tcPr>
            <w:tcW w:w="23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Section 3.15(j)</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Leased Real Property”</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3.18(b)</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Material Contract”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3.11(b)</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Notice Period”</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w w:val="98"/>
              </w:rPr>
              <w:t>Section 6.3(e)(i)</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Permits”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3.12</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Preferred Stock”</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Real Property Leases”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3.18(b)</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Registered Intellectual Property”</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3.15(a)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Related Party”</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3.24</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Rights”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3.2(c)</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SEC Documents”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3.7(a)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Stock”</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Stockholders Meeting”</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6.1(a)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Subsidiary”</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Termination Fee”</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8.3(a)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Transaction Litigation”</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6.6</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“Confidentiality Agreement”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6.2(b)</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“Continuing Service Provider”</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w w:val="98"/>
              </w:rPr>
              <w:t>Section 2.6(a)(i)</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“Covered Persons”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6.9(a)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“Current ESPP Offering Periods”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2.6(d)</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“Data Partners”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3.16(a)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“DGCL”</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“Dissenting Shares”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2.11(a)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“Effect”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9.4</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“Effective Time”</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“Enforceability Limitations”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3.3(a)</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“Estimated Closing Statement”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2.8</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“Exchange Agent”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2.2(a)</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“Extended Outside Date”</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8.1(b)</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“First Certificate of Merger”</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“First Effective Time”</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“First Merger”</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“First Surviving Corporation”</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1180" w:type="dxa"/>
            <w:vAlign w:val="bottom"/>
            <w:gridSpan w:val="6"/>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“Houlihan Lokey”</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3.21</w:t>
            </w:r>
          </w:p>
        </w:tc>
      </w:tr>
      <w:tr>
        <w:trPr>
          <w:trHeight w:val="20"/>
        </w:trPr>
        <w:tc>
          <w:tcPr>
            <w:tcW w:w="80" w:type="dxa"/>
            <w:vAlign w:val="bottom"/>
          </w:tcPr>
          <w:p>
            <w:pPr>
              <w:spacing w:after="0" w:line="20" w:lineRule="exact"/>
              <w:rPr>
                <w:sz w:val="1"/>
                <w:szCs w:val="1"/>
                <w:color w:val="auto"/>
              </w:rPr>
            </w:pPr>
          </w:p>
        </w:tc>
        <w:tc>
          <w:tcPr>
            <w:tcW w:w="1180" w:type="dxa"/>
            <w:vAlign w:val="bottom"/>
            <w:gridSpan w:val="6"/>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“Initial Outside Date”</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8.1(b)</w:t>
            </w:r>
          </w:p>
        </w:tc>
      </w:tr>
      <w:tr>
        <w:trPr>
          <w:trHeight w:val="20"/>
        </w:trPr>
        <w:tc>
          <w:tcPr>
            <w:tcW w:w="80" w:type="dxa"/>
            <w:vAlign w:val="bottom"/>
          </w:tcPr>
          <w:p>
            <w:pPr>
              <w:spacing w:after="0" w:line="20" w:lineRule="exact"/>
              <w:rPr>
                <w:sz w:val="1"/>
                <w:szCs w:val="1"/>
                <w:color w:val="auto"/>
              </w:rPr>
            </w:pPr>
          </w:p>
        </w:tc>
        <w:tc>
          <w:tcPr>
            <w:tcW w:w="1420" w:type="dxa"/>
            <w:vAlign w:val="bottom"/>
            <w:gridSpan w:val="8"/>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“Integration Planning Activities”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6.14(a)</w:t>
            </w:r>
          </w:p>
        </w:tc>
      </w:tr>
      <w:tr>
        <w:trPr>
          <w:trHeight w:val="20"/>
        </w:trPr>
        <w:tc>
          <w:tcPr>
            <w:tcW w:w="80" w:type="dxa"/>
            <w:vAlign w:val="bottom"/>
          </w:tcPr>
          <w:p>
            <w:pPr>
              <w:spacing w:after="0" w:line="20" w:lineRule="exact"/>
              <w:rPr>
                <w:sz w:val="1"/>
                <w:szCs w:val="1"/>
                <w:color w:val="auto"/>
              </w:rPr>
            </w:pPr>
          </w:p>
        </w:tc>
        <w:tc>
          <w:tcPr>
            <w:tcW w:w="1680" w:type="dxa"/>
            <w:vAlign w:val="bottom"/>
            <w:gridSpan w:val="10"/>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“Intended Tax Treatment”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2.10</w:t>
            </w:r>
          </w:p>
        </w:tc>
      </w:tr>
      <w:tr>
        <w:trPr>
          <w:trHeight w:val="385"/>
        </w:trPr>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92</w:t>
            </w:r>
          </w:p>
        </w:tc>
      </w:tr>
    </w:tbl>
    <w:p>
      <w:pPr>
        <w:sectPr>
          <w:pgSz w:w="11900" w:h="16838" w:orient="portrait"/>
          <w:cols w:equalWidth="0" w:num="1">
            <w:col w:w="9579"/>
          </w:cols>
          <w:pgMar w:left="880" w:top="257" w:right="1440" w:bottom="1440" w:gutter="0" w:footer="0" w:header="0"/>
        </w:sectPr>
      </w:pPr>
    </w:p>
    <w:bookmarkStart w:id="103" w:name="page104"/>
    <w:bookmarkEnd w:id="1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9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“Intermediate Sub”</w:t>
            </w:r>
          </w:p>
        </w:tc>
        <w:tc>
          <w:tcPr>
            <w:tcW w:w="2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“Israeli Employees”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3.10(j)</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“Legal Impediment”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7.1(b)</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 Sub I”</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 Sub I Merger Shares”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2.1(a)(v)</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 Sub II”</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 Subs”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“New Plans”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6.8(b)</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“Non-U.S. Company Benefit Plan”</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3.9(a)</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“Notes Restructuring Agreement”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“Notes Restructuring Transactions”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“OFAC”</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9.4</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“Old Plans”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6.8(b)</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“Original Agreement”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“Outside Date”</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8.1(b)</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Board”</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Financial Statements”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4.5(c)</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Parties”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SEC Documents”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4.5(a)</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Subsidiary”</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8"/>
              </w:rPr>
              <w:t>Section 2.1(a)(iii)</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“Privacy Requirements”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3.16(a)</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“Proxy Statement/Prospectus”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6.1(a)</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“Registration Statement”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6.1(a)</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“Required Company Vote”</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3.3(a)</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“Section 14 Arrangement”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3.10(j)</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“Second Certificate of Merger”</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480" w:type="dxa"/>
            <w:vAlign w:val="bottom"/>
            <w:tcBorders>
              <w:left w:val="single" w:sz="8" w:color="auto"/>
            </w:tcBorders>
            <w:gridSpan w:val="4"/>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“Second Effective Time”</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840" w:type="dxa"/>
            <w:vAlign w:val="bottom"/>
            <w:tcBorders>
              <w:left w:val="single" w:sz="8" w:color="auto"/>
            </w:tcBorders>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“Second Merger”</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“Surviving Corporation”</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“Takeover Statutes”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3.23</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“Tax Benefits Preservation Plan Waiver”</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3.3(b)</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480" w:type="dxa"/>
            <w:vAlign w:val="bottom"/>
            <w:tcBorders>
              <w:left w:val="single" w:sz="8" w:color="auto"/>
            </w:tcBorders>
            <w:gridSpan w:val="1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“Terminated Company 401(k) Plan”</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6.8(c)</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480" w:type="dxa"/>
            <w:vAlign w:val="bottom"/>
            <w:tcBorders>
              <w:left w:val="single" w:sz="8" w:color="auto"/>
            </w:tcBorders>
            <w:gridSpan w:val="14"/>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“Trade Secrets”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9.4</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2900" w:type="dxa"/>
            <w:vAlign w:val="bottom"/>
            <w:gridSpan w:val="16"/>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“WARN Act”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3.10(f)</w:t>
            </w:r>
          </w:p>
        </w:tc>
      </w:tr>
      <w:tr>
        <w:trPr>
          <w:trHeight w:val="385"/>
        </w:trPr>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93</w:t>
            </w:r>
          </w:p>
        </w:tc>
      </w:tr>
    </w:tbl>
    <w:p>
      <w:pPr>
        <w:sectPr>
          <w:pgSz w:w="11900" w:h="16838" w:orient="portrait"/>
          <w:cols w:equalWidth="0" w:num="1">
            <w:col w:w="9579"/>
          </w:cols>
          <w:pgMar w:left="880" w:top="257" w:right="1440" w:bottom="1440" w:gutter="0" w:footer="0" w:header="0"/>
        </w:sectPr>
      </w:pPr>
    </w:p>
    <w:bookmarkStart w:id="104" w:name="page105"/>
    <w:bookmarkEnd w:id="104"/>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162"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the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(including, for the avoidance of doubt, the Original Agreement) and, except as otherwise expressly provided herein or therein, are not intended to confer upon any other Person any rights or remedies hereunder or thereunder.</w:t>
      </w:r>
    </w:p>
    <w:p>
      <w:pPr>
        <w:spacing w:after="0" w:line="183"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any of the parties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spacing w:after="0" w:line="180"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87"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shall be binding upon and inure solely to the benefit of the parties and their respective successors and assigns, and, 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nothing in this Agreement is intended to or shall confer upon any other Person any right, benefit or remedy of any nature whatsoever under or by reason of this Agreement.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spacing w:after="0" w:line="189"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Mutual Drafting; Interpretation</w:t>
      </w:r>
      <w:r>
        <w:rPr>
          <w:rFonts w:ascii="Times New Roman" w:cs="Times New Roman" w:eastAsia="Times New Roman" w:hAnsi="Times New Roman"/>
          <w:sz w:val="18"/>
          <w:szCs w:val="18"/>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440" w:top="270" w:right="439" w:bottom="1440" w:gutter="0" w:footer="0" w:header="0"/>
        </w:sectPr>
      </w:pPr>
    </w:p>
    <w:bookmarkStart w:id="105" w:name="page106"/>
    <w:bookmarkEnd w:id="105"/>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and “Schedules” are intended to refer to Sections of this Agreement, and Exhibits and Schedules to this Agreement.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 the term “or” shall not be deemed to be exclusive. Any Contract or Law defined or referred to herein means any such Contract or Law as from time to time amended, modified or supplemented, unless otherwise specifically indicated. Any statement in this Agreement to the effect that any information, document or other material has been “furnished,” “delivered” or “made available” to a party or its representatives means that such information, document or other material was posted to the electronic data room hosted by Intralinks on behalf of the Company in connection with the transactions contemplated hereby no later than 11:59 p.m. New York City time on the date that is two Business Days prior to the date of the Original Agreement and has been made available on a continuous basis by or on behalf the Company for review therein by Parent and the Parent Representatives since such time.</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Governing Law; Consent to Jurisdiction;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66" w:lineRule="auto"/>
        <w:tabs>
          <w:tab w:leader="none" w:pos="170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175" w:lineRule="exact"/>
        <w:rPr>
          <w:rFonts w:ascii="Times New Roman" w:cs="Times New Roman" w:eastAsia="Times New Roman" w:hAnsi="Times New Roman"/>
          <w:sz w:val="18"/>
          <w:szCs w:val="18"/>
          <w:color w:val="auto"/>
        </w:rPr>
      </w:pPr>
    </w:p>
    <w:p>
      <w:pPr>
        <w:jc w:val="both"/>
        <w:ind w:firstLine="1428"/>
        <w:spacing w:after="0" w:line="253" w:lineRule="auto"/>
        <w:tabs>
          <w:tab w:leader="none" w:pos="169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Nothing in this Agreement shall affect the right of any party to this Agreement to serve process in any other manner permitted by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440" w:top="270" w:right="439" w:bottom="1440" w:gutter="0" w:footer="0" w:header="0"/>
        </w:sectPr>
      </w:pPr>
    </w:p>
    <w:bookmarkStart w:id="106" w:name="page107"/>
    <w:bookmarkEnd w:id="106"/>
    <w:p>
      <w:pPr>
        <w:jc w:val="both"/>
        <w:ind w:firstLine="1428"/>
        <w:spacing w:after="0" w:line="253" w:lineRule="auto"/>
        <w:tabs>
          <w:tab w:leader="none" w:pos="170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9.12(c)</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 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194"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if any of the provisions of this Agreement are not performed in accordance with their specific terms or are otherwise breached (including failing to take such actions as are required by the parties hereunder to consummate the transactions contemplated hereby), irreparable damage would occur, no adequate remedy at Law would exist and damages would be difficult to determine, and accordingly, subject to the limitations set forth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(a) the parties shall be entitled to an injunction or injunctions to prevent breaches of this Agreement and to specific performance of the terms hereof, in each case, in the Court of Chancery of the State of Delaware or, solely if such court does not have subject matter jurisdiction, the Superior Court of the State of Delaware (Complex</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70" w:right="439" w:bottom="1440" w:gutter="0" w:footer="0" w:header="0"/>
        </w:sectPr>
      </w:pPr>
    </w:p>
    <w:bookmarkStart w:id="107" w:name="page108"/>
    <w:bookmarkEnd w:id="107"/>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this being in addition to any other remedy to which they are entitled at Law or in equity, (b) the parties waive any requirement for the securing or posting of any bond in connection with the obtaining of any specific performance or injunctive relief and (c) the parties shall waive, in any action for specific performance, the defense of adequacy of a remedy at Law. The Company’s or Parent’s pursuit of specific performance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parties shall be entitled to an injunction or injunctions to prevent breaches of this Agreement and to enforce specifically the terms and provisions of this Agreement (without necessity of posting bond or other security (any requirements therefor being expressly waived)) in 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this being in addition to any other remedy to which they are entitled at Law or in equity.</w:t>
      </w:r>
    </w:p>
    <w:p>
      <w:pPr>
        <w:spacing w:after="0" w:line="192" w:lineRule="exact"/>
        <w:rPr>
          <w:sz w:val="20"/>
          <w:szCs w:val="20"/>
          <w:color w:val="auto"/>
        </w:rPr>
      </w:pPr>
    </w:p>
    <w:p>
      <w:pPr>
        <w:jc w:val="both"/>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Modification or Amendment</w:t>
      </w:r>
      <w:r>
        <w:rPr>
          <w:rFonts w:ascii="Times New Roman" w:cs="Times New Roman" w:eastAsia="Times New Roman" w:hAnsi="Times New Roman"/>
          <w:sz w:val="18"/>
          <w:szCs w:val="18"/>
          <w:color w:val="auto"/>
        </w:rPr>
        <w:t xml:space="preserve">. This Agreement may be amended, modified or supplemented by the parties by action taken or authorized by their respective Boards of Directors at any time prior to the First Effective Time, whether before or after Company has obtained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amendment shall be made that, pursuant to applicable Law, requires further approval or adoption by the stockholders of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87"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xml:space="preserve">. At any time prior to the First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440" w:top="270" w:right="439" w:bottom="1440" w:gutter="0" w:footer="0" w:header="0"/>
        </w:sectPr>
      </w:pPr>
    </w:p>
    <w:bookmarkStart w:id="108" w:name="page109"/>
    <w:bookmarkEnd w:id="108"/>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Parent Parties and the Company have caused this Agreement to be executed as of the date first written above by their respective officers or managers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 I</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 II</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LIGHTSPEED MERGER SUB II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000"/>
          </w:cols>
          <w:pgMar w:left="440" w:top="270" w:right="459" w:bottom="1440" w:gutter="0" w:footer="0" w:header="0"/>
        </w:sectPr>
      </w:pPr>
    </w:p>
    <w:bookmarkStart w:id="109" w:name="page110"/>
    <w:bookmarkEnd w:id="109"/>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Collins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Financial Officer and Chief Operating</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9600"/>
      </w:cols>
      <w:pgMar w:left="1440" w:top="26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1"/>
      <w:numFmt w:val="lowerLetter"/>
      <w:start w:val="1"/>
    </w:lvl>
    <w:lvl w:ilvl="1">
      <w:lvlJc w:val="left"/>
      <w:lvlText w:val="(%2)"/>
      <w:numFmt w:val="lowerLetter"/>
      <w:start w:val="1"/>
    </w:lvl>
  </w:abstractNum>
  <w:abstractNum w:abstractNumId="4">
    <w:nsid w:val="4AD084E9"/>
    <w:multiLevelType w:val="hybridMultilevel"/>
    <w:lvl w:ilvl="0">
      <w:lvlJc w:val="left"/>
      <w:lvlText w:val="(%1)"/>
      <w:numFmt w:val="lowerLetter"/>
      <w:start w:val="35"/>
    </w:lvl>
    <w:lvl w:ilvl="1">
      <w:lvlJc w:val="left"/>
      <w:lvlText w:val="(%2)"/>
      <w:numFmt w:val="lowerLetter"/>
      <w:start w:val="2"/>
    </w:lvl>
  </w:abstractNum>
  <w:abstractNum w:abstractNumId="5">
    <w:nsid w:val="1F48EAA1"/>
    <w:multiLevelType w:val="hybridMultilevel"/>
    <w:lvl w:ilvl="0">
      <w:lvlJc w:val="left"/>
      <w:lvlText w:val="(%1)"/>
      <w:numFmt w:val="lowerLetter"/>
      <w:start w:val="6"/>
    </w:lvl>
  </w:abstractNum>
  <w:abstractNum w:abstractNumId="6">
    <w:nsid w:val="1381823A"/>
    <w:multiLevelType w:val="hybridMultilevel"/>
    <w:lvl w:ilvl="0">
      <w:lvlJc w:val="left"/>
      <w:lvlText w:val="(%1)"/>
      <w:numFmt w:val="lowerLetter"/>
      <w:start w:val="1"/>
    </w:lvl>
  </w:abstractNum>
  <w:abstractNum w:abstractNumId="7">
    <w:nsid w:val="5DB70AE5"/>
    <w:multiLevelType w:val="hybridMultilevel"/>
    <w:lvl w:ilvl="0">
      <w:lvlJc w:val="left"/>
      <w:lvlText w:val="(%1)"/>
      <w:numFmt w:val="lowerLetter"/>
      <w:start w:val="1"/>
    </w:lvl>
    <w:lvl w:ilvl="1">
      <w:lvlJc w:val="left"/>
      <w:lvlText w:val="(%2)"/>
      <w:numFmt w:val="lowerLetter"/>
      <w:start w:val="9"/>
    </w:lvl>
  </w:abstractNum>
  <w:abstractNum w:abstractNumId="8">
    <w:nsid w:val="100F8FCA"/>
    <w:multiLevelType w:val="hybridMultilevel"/>
    <w:lvl w:ilvl="0">
      <w:lvlJc w:val="left"/>
      <w:lvlText w:val="%1"/>
      <w:numFmt w:val="lowerLetter"/>
      <w:start w:val="1"/>
    </w:lvl>
    <w:lvl w:ilvl="1">
      <w:lvlJc w:val="left"/>
      <w:lvlText w:val="(%2)"/>
      <w:numFmt w:val="lowerRoman"/>
      <w:start w:val="2"/>
    </w:lvl>
  </w:abstractNum>
  <w:abstractNum w:abstractNumId="9">
    <w:nsid w:val="6590700B"/>
    <w:multiLevelType w:val="hybridMultilevel"/>
    <w:lvl w:ilvl="0">
      <w:lvlJc w:val="left"/>
      <w:lvlText w:val="(%1)"/>
      <w:numFmt w:val="lowerLetter"/>
      <w:start w:val="2"/>
    </w:lvl>
    <w:lvl w:ilvl="1">
      <w:lvlJc w:val="left"/>
      <w:lvlText w:val="(%2)"/>
      <w:numFmt w:val="lowerRoman"/>
      <w:start w:val="1"/>
    </w:lvl>
  </w:abstractNum>
  <w:abstractNum w:abstractNumId="10">
    <w:nsid w:val="15014ACB"/>
    <w:multiLevelType w:val="hybridMultilevel"/>
    <w:lvl w:ilvl="0">
      <w:lvlJc w:val="left"/>
      <w:lvlText w:val="(%1)"/>
      <w:numFmt w:val="lowerLetter"/>
      <w:start w:val="3"/>
    </w:lvl>
  </w:abstractNum>
  <w:abstractNum w:abstractNumId="11">
    <w:nsid w:val="5F5E7FD0"/>
    <w:multiLevelType w:val="hybridMultilevel"/>
    <w:lvl w:ilvl="0">
      <w:lvlJc w:val="left"/>
      <w:lvlText w:val="(%1)"/>
      <w:numFmt w:val="lowerLetter"/>
      <w:start w:val="1"/>
    </w:lvl>
  </w:abstractNum>
  <w:abstractNum w:abstractNumId="12">
    <w:nsid w:val="98A314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3">
    <w:nsid w:val="799D024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5"/>
    </w:lvl>
  </w:abstractNum>
  <w:abstractNum w:abstractNumId="14">
    <w:nsid w:val="6B94764"/>
    <w:multiLevelType w:val="hybridMultilevel"/>
    <w:lvl w:ilvl="0">
      <w:lvlJc w:val="left"/>
      <w:lvlText w:val="(%1)"/>
      <w:numFmt w:val="upperLetter"/>
      <w:start w:val="9"/>
    </w:lvl>
  </w:abstractNum>
  <w:abstractNum w:abstractNumId="15">
    <w:nsid w:val="42C296BD"/>
    <w:multiLevelType w:val="hybridMultilevel"/>
    <w:lvl w:ilvl="0">
      <w:lvlJc w:val="left"/>
      <w:lvlText w:val="(%1)"/>
      <w:numFmt w:val="lowerLetter"/>
      <w:start w:val="3"/>
    </w:lvl>
  </w:abstractNum>
  <w:abstractNum w:abstractNumId="16">
    <w:nsid w:val="168E121F"/>
    <w:multiLevelType w:val="hybridMultilevel"/>
    <w:lvl w:ilvl="0">
      <w:lvlJc w:val="left"/>
      <w:lvlText w:val="(%1)"/>
      <w:numFmt w:val="lowerLetter"/>
      <w:start w:val="6"/>
    </w:lvl>
  </w:abstractNum>
  <w:abstractNum w:abstractNumId="17">
    <w:nsid w:val="1EBA5D23"/>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18">
    <w:nsid w:val="661E3F1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9">
    <w:nsid w:val="5DC79EA8"/>
    <w:multiLevelType w:val="hybridMultilevel"/>
    <w:lvl w:ilvl="0">
      <w:lvlJc w:val="left"/>
      <w:lvlText w:val="%1"/>
      <w:numFmt w:val="lowerLetter"/>
      <w:start w:val="1"/>
    </w:lvl>
    <w:lvl w:ilvl="1">
      <w:lvlJc w:val="left"/>
      <w:lvlText w:val="(%2)"/>
      <w:numFmt w:val="lowerLetter"/>
      <w:start w:val="61"/>
    </w:lvl>
  </w:abstractNum>
  <w:abstractNum w:abstractNumId="20">
    <w:nsid w:val="540A471C"/>
    <w:multiLevelType w:val="hybridMultilevel"/>
    <w:lvl w:ilvl="0">
      <w:lvlJc w:val="left"/>
      <w:lvlText w:val="(%1)"/>
      <w:numFmt w:val="lowerLetter"/>
      <w:start w:val="2"/>
    </w:lvl>
    <w:lvl w:ilvl="1">
      <w:lvlJc w:val="left"/>
      <w:lvlText w:val="(%2)"/>
      <w:numFmt w:val="lowerLetter"/>
      <w:start w:val="9"/>
    </w:lvl>
  </w:abstractNum>
  <w:abstractNum w:abstractNumId="21">
    <w:nsid w:val="7BD3EE7B"/>
    <w:multiLevelType w:val="hybridMultilevel"/>
    <w:lvl w:ilvl="0">
      <w:lvlJc w:val="left"/>
      <w:lvlText w:val="%1"/>
      <w:numFmt w:val="lowerLetter"/>
      <w:start w:val="1"/>
    </w:lvl>
    <w:lvl w:ilvl="1">
      <w:lvlJc w:val="left"/>
      <w:lvlText w:val="(%2)"/>
      <w:numFmt w:val="lowerLetter"/>
      <w:start w:val="35"/>
    </w:lvl>
  </w:abstractNum>
  <w:abstractNum w:abstractNumId="22">
    <w:nsid w:val="51D9C564"/>
    <w:multiLevelType w:val="hybridMultilevel"/>
    <w:lvl w:ilvl="0">
      <w:lvlJc w:val="left"/>
      <w:lvlText w:val="(%1)"/>
      <w:numFmt w:val="lowerLetter"/>
      <w:start w:val="3"/>
    </w:lvl>
    <w:lvl w:ilvl="1">
      <w:lvlJc w:val="left"/>
      <w:lvlText w:val="%2"/>
      <w:numFmt w:val="lowerLetter"/>
      <w:start w:val="1"/>
    </w:lvl>
  </w:abstractNum>
  <w:abstractNum w:abstractNumId="23">
    <w:nsid w:val="613EFDC5"/>
    <w:multiLevelType w:val="hybridMultilevel"/>
    <w:lvl w:ilvl="0">
      <w:lvlJc w:val="left"/>
      <w:lvlText w:val="(%1)"/>
      <w:numFmt w:val="lowerLetter"/>
      <w:start w:val="4"/>
    </w:lvl>
    <w:lvl w:ilvl="1">
      <w:lvlJc w:val="left"/>
      <w:lvlText w:val="(%2)"/>
      <w:numFmt w:val="lowerRoman"/>
      <w:start w:val="1"/>
    </w:lvl>
  </w:abstractNum>
  <w:abstractNum w:abstractNumId="24">
    <w:nsid w:val="BF72B14"/>
    <w:multiLevelType w:val="hybridMultilevel"/>
    <w:lvl w:ilvl="0">
      <w:lvlJc w:val="left"/>
      <w:lvlText w:val="(%1)"/>
      <w:numFmt w:val="lowerLetter"/>
      <w:start w:val="1"/>
    </w:lvl>
  </w:abstractNum>
  <w:abstractNum w:abstractNumId="25">
    <w:nsid w:val="11447B73"/>
    <w:multiLevelType w:val="hybridMultilevel"/>
    <w:lvl w:ilvl="0">
      <w:lvlJc w:val="left"/>
      <w:lvlText w:val="(%1)"/>
      <w:numFmt w:val="lowerLetter"/>
      <w:start w:val="1"/>
    </w:lvl>
  </w:abstractNum>
  <w:abstractNum w:abstractNumId="26">
    <w:nsid w:val="42963E5A"/>
    <w:multiLevelType w:val="hybridMultilevel"/>
    <w:lvl w:ilvl="0">
      <w:lvlJc w:val="left"/>
      <w:lvlText w:val="%1"/>
      <w:numFmt w:val="lowerLetter"/>
      <w:start w:val="1"/>
    </w:lvl>
    <w:lvl w:ilvl="1">
      <w:lvlJc w:val="left"/>
      <w:lvlText w:val="(%2)"/>
      <w:numFmt w:val="lowerLetter"/>
      <w:start w:val="1"/>
    </w:lvl>
  </w:abstractNum>
  <w:abstractNum w:abstractNumId="27">
    <w:nsid w:val="A0382C5"/>
    <w:multiLevelType w:val="hybridMultilevel"/>
    <w:lvl w:ilvl="0">
      <w:lvlJc w:val="left"/>
      <w:lvlText w:val="(%1)"/>
      <w:numFmt w:val="lowerLetter"/>
      <w:start w:val="35"/>
    </w:lvl>
    <w:lvl w:ilvl="1">
      <w:lvlJc w:val="left"/>
      <w:lvlText w:val="%2"/>
      <w:numFmt w:val="lowerLetter"/>
      <w:start w:val="1"/>
    </w:lvl>
  </w:abstractNum>
  <w:abstractNum w:abstractNumId="28">
    <w:nsid w:val="8F2B15E"/>
    <w:multiLevelType w:val="hybridMultilevel"/>
    <w:lvl w:ilvl="0">
      <w:lvlJc w:val="left"/>
      <w:lvlText w:val="(%1)"/>
      <w:numFmt w:val="lowerLetter"/>
      <w:start w:val="3"/>
    </w:lvl>
  </w:abstractNum>
  <w:abstractNum w:abstractNumId="29">
    <w:nsid w:val="1A32234B"/>
    <w:multiLevelType w:val="hybridMultilevel"/>
    <w:lvl w:ilvl="0">
      <w:lvlJc w:val="left"/>
      <w:lvlText w:val="(%1)"/>
      <w:numFmt w:val="lowerLetter"/>
      <w:start w:val="1"/>
    </w:lvl>
  </w:abstractNum>
  <w:abstractNum w:abstractNumId="30">
    <w:nsid w:val="3B0FD379"/>
    <w:multiLevelType w:val="hybridMultilevel"/>
    <w:lvl w:ilvl="0">
      <w:lvlJc w:val="left"/>
      <w:lvlText w:val="(%1)"/>
      <w:numFmt w:val="lowerLetter"/>
      <w:start w:val="3"/>
    </w:lvl>
  </w:abstractNum>
  <w:abstractNum w:abstractNumId="31">
    <w:nsid w:val="68EB2F63"/>
    <w:multiLevelType w:val="hybridMultilevel"/>
    <w:lvl w:ilvl="0">
      <w:lvlJc w:val="left"/>
      <w:lvlText w:val="(%1)"/>
      <w:numFmt w:val="lowerLetter"/>
      <w:start w:val="1"/>
    </w:lvl>
  </w:abstractNum>
  <w:abstractNum w:abstractNumId="32">
    <w:nsid w:val="4962813B"/>
    <w:multiLevelType w:val="hybridMultilevel"/>
    <w:lvl w:ilvl="0">
      <w:lvlJc w:val="left"/>
      <w:lvlText w:val="(%1)"/>
      <w:numFmt w:val="lowerLetter"/>
      <w:start w:val="1"/>
    </w:lvl>
  </w:abstractNum>
  <w:abstractNum w:abstractNumId="33">
    <w:nsid w:val="60B6DF70"/>
    <w:multiLevelType w:val="hybridMultilevel"/>
    <w:lvl w:ilvl="0">
      <w:lvlJc w:val="left"/>
      <w:lvlText w:val="(%1)"/>
      <w:numFmt w:val="lowerLetter"/>
      <w:start w:val="4"/>
    </w:lvl>
  </w:abstractNum>
  <w:abstractNum w:abstractNumId="34">
    <w:nsid w:val="6A5EE64"/>
    <w:multiLevelType w:val="hybridMultilevel"/>
    <w:lvl w:ilvl="0">
      <w:lvlJc w:val="left"/>
      <w:lvlText w:val="(%1)"/>
      <w:numFmt w:val="lowerLetter"/>
      <w:start w:val="1"/>
    </w:lvl>
  </w:abstractNum>
  <w:abstractNum w:abstractNumId="35">
    <w:nsid w:val="14330624"/>
    <w:multiLevelType w:val="hybridMultilevel"/>
    <w:lvl w:ilvl="0">
      <w:lvlJc w:val="left"/>
      <w:lvlText w:val="%1"/>
      <w:numFmt w:val="lowerRoman"/>
      <w:start w:val="1"/>
    </w:lvl>
    <w:lvl w:ilvl="1">
      <w:lvlJc w:val="left"/>
      <w:lvlText w:val="(%2)"/>
      <w:numFmt w:val="lowerLetter"/>
      <w:start w:val="1"/>
    </w:lvl>
  </w:abstractNum>
  <w:abstractNum w:abstractNumId="36">
    <w:nsid w:val="7FFFCA11"/>
    <w:multiLevelType w:val="hybridMultilevel"/>
    <w:lvl w:ilvl="0">
      <w:lvlJc w:val="left"/>
      <w:lvlText w:val="(%1)"/>
      <w:numFmt w:val="lowerRoman"/>
      <w:start w:val="2"/>
    </w:lvl>
    <w:lvl w:ilvl="1">
      <w:lvlJc w:val="left"/>
      <w:lvlText w:val="%2"/>
      <w:numFmt w:val="lowerLetter"/>
      <w:start w:val="1"/>
    </w:lvl>
  </w:abstractNum>
  <w:abstractNum w:abstractNumId="37">
    <w:nsid w:val="1A27709E"/>
    <w:multiLevelType w:val="hybridMultilevel"/>
    <w:lvl w:ilvl="0">
      <w:lvlJc w:val="left"/>
      <w:lvlText w:val="(%1)"/>
      <w:numFmt w:val="lowerRoman"/>
      <w:start w:val="4"/>
    </w:lvl>
    <w:lvl w:ilvl="1">
      <w:lvlJc w:val="left"/>
      <w:lvlText w:val="(%2)"/>
      <w:numFmt w:val="lowerLetter"/>
      <w:start w:val="2"/>
    </w:lvl>
  </w:abstractNum>
  <w:abstractNum w:abstractNumId="38">
    <w:nsid w:val="71EA1109"/>
    <w:multiLevelType w:val="hybridMultilevel"/>
    <w:lvl w:ilvl="0">
      <w:lvlJc w:val="left"/>
      <w:lvlText w:val="%1"/>
      <w:numFmt w:val="lowerLetter"/>
      <w:start w:val="1"/>
    </w:lvl>
    <w:lvl w:ilvl="1">
      <w:lvlJc w:val="left"/>
      <w:lvlText w:val="(%2)"/>
      <w:numFmt w:val="lowerLetter"/>
      <w:start w:val="3"/>
    </w:lvl>
  </w:abstractNum>
  <w:abstractNum w:abstractNumId="39">
    <w:nsid w:val="100F59DC"/>
    <w:multiLevelType w:val="hybridMultilevel"/>
    <w:lvl w:ilvl="0">
      <w:lvlJc w:val="left"/>
      <w:lvlText w:val="(%1)"/>
      <w:numFmt w:val="lowerLetter"/>
      <w:start w:val="61"/>
    </w:lvl>
    <w:lvl w:ilvl="1">
      <w:lvlJc w:val="left"/>
      <w:lvlText w:val="(%2)"/>
      <w:numFmt w:val="lowerLetter"/>
      <w:start w:val="4"/>
    </w:lvl>
  </w:abstractNum>
  <w:abstractNum w:abstractNumId="40">
    <w:nsid w:val="7FB7E0AA"/>
    <w:multiLevelType w:val="hybridMultilevel"/>
    <w:lvl w:ilvl="0">
      <w:lvlJc w:val="left"/>
      <w:lvlText w:val="(%1)"/>
      <w:numFmt w:val="lowerRoman"/>
      <w:start w:val="1"/>
    </w:lvl>
  </w:abstractNum>
  <w:abstractNum w:abstractNumId="41">
    <w:nsid w:val="6EB5BD4"/>
    <w:multiLevelType w:val="hybridMultilevel"/>
    <w:lvl w:ilvl="0">
      <w:lvlJc w:val="left"/>
      <w:lvlText w:val="%1"/>
      <w:numFmt w:val="lowerRoman"/>
      <w:start w:val="1"/>
    </w:lvl>
    <w:lvl w:ilvl="1">
      <w:lvlJc w:val="left"/>
      <w:lvlText w:val="(%2)"/>
      <w:numFmt w:val="lowerLetter"/>
      <w:start w:val="1"/>
    </w:lvl>
  </w:abstractNum>
  <w:abstractNum w:abstractNumId="42">
    <w:nsid w:val="6F6DD9AC"/>
    <w:multiLevelType w:val="hybridMultilevel"/>
    <w:lvl w:ilvl="0">
      <w:lvlJc w:val="left"/>
      <w:lvlText w:val="(%1)"/>
      <w:numFmt w:val="lowerRoman"/>
      <w:start w:val="2"/>
    </w:lvl>
    <w:lvl w:ilvl="1">
      <w:lvlJc w:val="left"/>
      <w:lvlText w:val="%2"/>
      <w:numFmt w:val="lowerLetter"/>
      <w:start w:val="1"/>
    </w:lvl>
  </w:abstractNum>
  <w:abstractNum w:abstractNumId="43">
    <w:nsid w:val="94211F2"/>
    <w:multiLevelType w:val="hybridMultilevel"/>
    <w:lvl w:ilvl="0">
      <w:lvlJc w:val="left"/>
      <w:lvlText w:val="(%1)"/>
      <w:numFmt w:val="lowerRoman"/>
      <w:start w:val="11"/>
    </w:lvl>
    <w:lvl w:ilvl="1">
      <w:lvlJc w:val="left"/>
      <w:lvlText w:val="(%2)"/>
      <w:numFmt w:val="lowerLetter"/>
      <w:start w:val="2"/>
    </w:lvl>
  </w:abstractNum>
  <w:abstractNum w:abstractNumId="44">
    <w:nsid w:val="885E1B"/>
    <w:multiLevelType w:val="hybridMultilevel"/>
    <w:lvl w:ilvl="0">
      <w:lvlJc w:val="left"/>
      <w:lvlText w:val="(%1)"/>
      <w:numFmt w:val="lowerLetter"/>
      <w:start w:val="4"/>
    </w:lvl>
  </w:abstractNum>
  <w:abstractNum w:abstractNumId="45">
    <w:nsid w:val="76272110"/>
    <w:multiLevelType w:val="hybridMultilevel"/>
    <w:lvl w:ilvl="0">
      <w:lvlJc w:val="left"/>
      <w:lvlText w:val="(%1)"/>
      <w:numFmt w:val="lowerLetter"/>
      <w:start w:val="7"/>
    </w:lvl>
  </w:abstractNum>
  <w:abstractNum w:abstractNumId="46">
    <w:nsid w:val="4C04A8AF"/>
    <w:multiLevelType w:val="hybridMultilevel"/>
    <w:lvl w:ilvl="0">
      <w:lvlJc w:val="left"/>
      <w:lvlText w:val="(%1)"/>
      <w:numFmt w:val="lowerLetter"/>
      <w:start w:val="1"/>
    </w:lvl>
    <w:lvl w:ilvl="1">
      <w:lvlJc w:val="left"/>
      <w:lvlText w:val="(%2)"/>
      <w:numFmt w:val="lowerRoman"/>
      <w:start w:val="1"/>
    </w:lvl>
  </w:abstractNum>
  <w:abstractNum w:abstractNumId="47">
    <w:nsid w:val="1716703B"/>
    <w:multiLevelType w:val="hybridMultilevel"/>
    <w:lvl w:ilvl="0">
      <w:lvlJc w:val="left"/>
      <w:lvlText w:val="(%1)"/>
      <w:numFmt w:val="lowerRoman"/>
      <w:start w:val="7"/>
    </w:lvl>
  </w:abstractNum>
  <w:abstractNum w:abstractNumId="48">
    <w:nsid w:val="14E17E33"/>
    <w:multiLevelType w:val="hybridMultilevel"/>
    <w:lvl w:ilvl="0">
      <w:lvlJc w:val="left"/>
      <w:lvlText w:val="(%1)"/>
      <w:numFmt w:val="lowerRoman"/>
      <w:start w:val="15"/>
    </w:lvl>
  </w:abstractNum>
  <w:abstractNum w:abstractNumId="49">
    <w:nsid w:val="3222E7CD"/>
    <w:multiLevelType w:val="hybridMultilevel"/>
    <w:lvl w:ilvl="0">
      <w:lvlJc w:val="left"/>
      <w:lvlText w:val="(%1)"/>
      <w:numFmt w:val="lowerLetter"/>
      <w:start w:val="2"/>
    </w:lvl>
  </w:abstractNum>
  <w:abstractNum w:abstractNumId="50">
    <w:nsid w:val="74DE0EE3"/>
    <w:multiLevelType w:val="hybridMultilevel"/>
    <w:lvl w:ilvl="0">
      <w:lvlJc w:val="left"/>
      <w:lvlText w:val="%1"/>
      <w:numFmt w:val="lowerLetter"/>
      <w:start w:val="1"/>
    </w:lvl>
    <w:lvl w:ilvl="1">
      <w:lvlJc w:val="left"/>
      <w:lvlText w:val="(%2)"/>
      <w:numFmt w:val="lowerLetter"/>
      <w:start w:val="3"/>
    </w:lvl>
  </w:abstractNum>
  <w:abstractNum w:abstractNumId="51">
    <w:nsid w:val="68EBC550"/>
    <w:multiLevelType w:val="hybridMultilevel"/>
    <w:lvl w:ilvl="0">
      <w:lvlJc w:val="left"/>
      <w:lvlText w:val="(%1)"/>
      <w:numFmt w:val="lowerLetter"/>
      <w:start w:val="61"/>
    </w:lvl>
    <w:lvl w:ilvl="1">
      <w:lvlJc w:val="left"/>
      <w:lvlText w:val="%2"/>
      <w:numFmt w:val="lowerLetter"/>
      <w:start w:val="1"/>
    </w:lvl>
  </w:abstractNum>
  <w:abstractNum w:abstractNumId="52">
    <w:nsid w:val="2DF6D648"/>
    <w:multiLevelType w:val="hybridMultilevel"/>
    <w:lvl w:ilvl="0">
      <w:lvlJc w:val="left"/>
      <w:lvlText w:val="%1"/>
      <w:numFmt w:val="lowerLetter"/>
      <w:start w:val="1"/>
    </w:lvl>
    <w:lvl w:ilvl="1">
      <w:lvlJc w:val="left"/>
      <w:lvlText w:val="(%2)"/>
      <w:numFmt w:val="lowerLetter"/>
      <w:start w:val="1"/>
    </w:lvl>
  </w:abstractNum>
  <w:abstractNum w:abstractNumId="53">
    <w:nsid w:val="46B7D447"/>
    <w:multiLevelType w:val="hybridMultilevel"/>
    <w:lvl w:ilvl="0">
      <w:lvlJc w:val="left"/>
      <w:lvlText w:val="(%1)"/>
      <w:numFmt w:val="lowerLetter"/>
      <w:start w:val="22"/>
    </w:lvl>
    <w:lvl w:ilvl="1">
      <w:lvlJc w:val="left"/>
      <w:lvlText w:val="%2"/>
      <w:numFmt w:val="lowerLetter"/>
      <w:start w:val="1"/>
    </w:lvl>
  </w:abstractNum>
  <w:abstractNum w:abstractNumId="54">
    <w:nsid w:val="4A2AC315"/>
    <w:multiLevelType w:val="hybridMultilevel"/>
    <w:lvl w:ilvl="0">
      <w:lvlJc w:val="left"/>
      <w:lvlText w:val="(%1)"/>
      <w:numFmt w:val="lowerLetter"/>
      <w:start w:val="25"/>
    </w:lvl>
    <w:lvl w:ilvl="1">
      <w:lvlJc w:val="left"/>
      <w:lvlText w:val="(%2)"/>
      <w:numFmt w:val="lowerLetter"/>
      <w:start w:val="2"/>
    </w:lvl>
  </w:abstractNum>
  <w:abstractNum w:abstractNumId="55">
    <w:nsid w:val="39EE015C"/>
    <w:multiLevelType w:val="hybridMultilevel"/>
    <w:lvl w:ilvl="0">
      <w:lvlJc w:val="left"/>
      <w:lvlText w:val="(%1)"/>
      <w:numFmt w:val="lowerLetter"/>
      <w:start w:val="9"/>
    </w:lvl>
    <w:lvl w:ilvl="1">
      <w:lvlJc w:val="left"/>
      <w:lvlText w:val="%2"/>
      <w:numFmt w:val="lowerLetter"/>
      <w:start w:val="1"/>
    </w:lvl>
  </w:abstractNum>
  <w:abstractNum w:abstractNumId="56">
    <w:nsid w:val="57FC4FBB"/>
    <w:multiLevelType w:val="hybridMultilevel"/>
    <w:lvl w:ilvl="0">
      <w:lvlJc w:val="left"/>
      <w:lvlText w:val="(%1)"/>
      <w:numFmt w:val="lowerLetter"/>
      <w:start w:val="3"/>
    </w:lvl>
  </w:abstractNum>
  <w:abstractNum w:abstractNumId="57">
    <w:nsid w:val="CC1016F"/>
    <w:multiLevelType w:val="hybridMultilevel"/>
    <w:lvl w:ilvl="0">
      <w:lvlJc w:val="left"/>
      <w:lvlText w:val="%1"/>
      <w:numFmt w:val="lowerLetter"/>
      <w:start w:val="1"/>
    </w:lvl>
    <w:lvl w:ilvl="1">
      <w:lvlJc w:val="left"/>
      <w:lvlText w:val="(%2)"/>
      <w:numFmt w:val="lowerLetter"/>
      <w:start w:val="7"/>
    </w:lvl>
  </w:abstractNum>
  <w:abstractNum w:abstractNumId="58">
    <w:nsid w:val="43F18422"/>
    <w:multiLevelType w:val="hybridMultilevel"/>
    <w:lvl w:ilvl="0">
      <w:lvlJc w:val="left"/>
      <w:lvlText w:val="(%1)"/>
      <w:numFmt w:val="lowerLetter"/>
      <w:start w:val="9"/>
    </w:lvl>
    <w:lvl w:ilvl="1">
      <w:lvlJc w:val="left"/>
      <w:lvlText w:val="(%2)"/>
      <w:numFmt w:val="lowerLetter"/>
      <w:start w:val="8"/>
    </w:lvl>
  </w:abstractNum>
  <w:abstractNum w:abstractNumId="59">
    <w:nsid w:val="60EF0119"/>
    <w:multiLevelType w:val="hybridMultilevel"/>
    <w:lvl w:ilvl="0">
      <w:lvlJc w:val="left"/>
      <w:lvlText w:val="(%1)"/>
      <w:numFmt w:val="lowerLetter"/>
      <w:start w:val="12"/>
    </w:lvl>
  </w:abstractNum>
  <w:abstractNum w:abstractNumId="60">
    <w:nsid w:val="26F324BA"/>
    <w:multiLevelType w:val="hybridMultilevel"/>
    <w:lvl w:ilvl="0">
      <w:lvlJc w:val="left"/>
      <w:lvlText w:val="(%1)"/>
      <w:numFmt w:val="lowerLetter"/>
      <w:start w:val="1"/>
    </w:lvl>
  </w:abstractNum>
  <w:abstractNum w:abstractNumId="61">
    <w:nsid w:val="7F01579B"/>
    <w:multiLevelType w:val="hybridMultilevel"/>
    <w:lvl w:ilvl="0">
      <w:lvlJc w:val="left"/>
      <w:lvlText w:val="%1"/>
      <w:numFmt w:val="lowerLetter"/>
      <w:start w:val="1"/>
    </w:lvl>
    <w:lvl w:ilvl="1">
      <w:lvlJc w:val="left"/>
      <w:lvlText w:val="(%2)"/>
      <w:numFmt w:val="lowerLetter"/>
      <w:start w:val="3"/>
    </w:lvl>
  </w:abstractNum>
  <w:abstractNum w:abstractNumId="62">
    <w:nsid w:val="49DA307D"/>
    <w:multiLevelType w:val="hybridMultilevel"/>
    <w:lvl w:ilvl="0">
      <w:lvlJc w:val="left"/>
      <w:lvlText w:val="(%1)"/>
      <w:numFmt w:val="lowerLetter"/>
      <w:start w:val="9"/>
    </w:lvl>
    <w:lvl w:ilvl="1">
      <w:lvlJc w:val="left"/>
      <w:lvlText w:val="(%2)"/>
      <w:numFmt w:val="lowerLetter"/>
      <w:start w:val="5"/>
    </w:lvl>
  </w:abstractNum>
  <w:abstractNum w:abstractNumId="63">
    <w:nsid w:val="7055A5F5"/>
    <w:multiLevelType w:val="hybridMultilevel"/>
    <w:lvl w:ilvl="0">
      <w:lvlJc w:val="left"/>
      <w:lvlText w:val="(%1)"/>
      <w:numFmt w:val="lowerRoman"/>
      <w:start w:val="1"/>
    </w:lvl>
  </w:abstractNum>
  <w:abstractNum w:abstractNumId="64">
    <w:nsid w:val="5FB8370B"/>
    <w:multiLevelType w:val="hybridMultilevel"/>
    <w:lvl w:ilvl="0">
      <w:lvlJc w:val="left"/>
      <w:lvlText w:val="%1"/>
      <w:numFmt w:val="upperLetter"/>
      <w:start w:val="1"/>
    </w:lvl>
    <w:lvl w:ilvl="1">
      <w:lvlJc w:val="left"/>
      <w:lvlText w:val="(%2)"/>
      <w:numFmt w:val="lowerRoman"/>
      <w:start w:val="4"/>
    </w:lvl>
  </w:abstractNum>
  <w:abstractNum w:abstractNumId="65">
    <w:nsid w:val="50801EE1"/>
    <w:multiLevelType w:val="hybridMultilevel"/>
    <w:lvl w:ilvl="0">
      <w:lvlJc w:val="left"/>
      <w:lvlText w:val="(%1)"/>
      <w:numFmt w:val="upperLetter"/>
      <w:start w:val="2"/>
    </w:lvl>
    <w:lvl w:ilvl="1">
      <w:lvlJc w:val="left"/>
      <w:lvlText w:val="%2"/>
      <w:numFmt w:val="lowerRoman"/>
      <w:start w:val="1"/>
    </w:lvl>
  </w:abstractNum>
  <w:abstractNum w:abstractNumId="66">
    <w:nsid w:val="488AC1A"/>
    <w:multiLevelType w:val="hybridMultilevel"/>
    <w:lvl w:ilvl="0">
      <w:lvlJc w:val="left"/>
      <w:lvlText w:val="%1"/>
      <w:numFmt w:val="upperLetter"/>
      <w:start w:val="1"/>
    </w:lvl>
    <w:lvl w:ilvl="1">
      <w:lvlJc w:val="left"/>
      <w:lvlText w:val="(%2)"/>
      <w:numFmt w:val="lowerRoman"/>
      <w:start w:val="10"/>
    </w:lvl>
  </w:abstractNum>
  <w:abstractNum w:abstractNumId="67">
    <w:nsid w:val="5FB8011C"/>
    <w:multiLevelType w:val="hybridMultilevel"/>
    <w:lvl w:ilvl="0">
      <w:lvlJc w:val="left"/>
      <w:lvlText w:val="(%1)"/>
      <w:numFmt w:val="upperLetter"/>
      <w:start w:val="1"/>
    </w:lvl>
    <w:lvl w:ilvl="1">
      <w:lvlJc w:val="left"/>
      <w:lvlText w:val="(%2)"/>
      <w:numFmt w:val="lowerRoman"/>
      <w:start w:val="14"/>
    </w:lvl>
  </w:abstractNum>
  <w:abstractNum w:abstractNumId="68">
    <w:nsid w:val="6AA78F7F"/>
    <w:multiLevelType w:val="hybridMultilevel"/>
    <w:lvl w:ilvl="0">
      <w:lvlJc w:val="left"/>
      <w:lvlText w:val="(%1)"/>
      <w:numFmt w:val="lowerLetter"/>
      <w:start w:val="2"/>
    </w:lvl>
  </w:abstractNum>
  <w:abstractNum w:abstractNumId="69">
    <w:nsid w:val="7672BD23"/>
    <w:multiLevelType w:val="hybridMultilevel"/>
    <w:lvl w:ilvl="0">
      <w:lvlJc w:val="left"/>
      <w:lvlText w:val="(%1)"/>
      <w:numFmt w:val="lowerLetter"/>
      <w:start w:val="1"/>
    </w:lvl>
  </w:abstractNum>
  <w:abstractNum w:abstractNumId="70">
    <w:nsid w:val="6FC75AF8"/>
    <w:multiLevelType w:val="hybridMultilevel"/>
    <w:lvl w:ilvl="0">
      <w:lvlJc w:val="left"/>
      <w:lvlText w:val="(%1)"/>
      <w:numFmt w:val="lowerLetter"/>
      <w:start w:val="1"/>
    </w:lvl>
  </w:abstractNum>
  <w:abstractNum w:abstractNumId="71">
    <w:nsid w:val="6A5F7029"/>
    <w:multiLevelType w:val="hybridMultilevel"/>
    <w:lvl w:ilvl="0">
      <w:lvlJc w:val="left"/>
      <w:lvlText w:val="(%1)"/>
      <w:numFmt w:val="lowerLetter"/>
      <w:start w:val="3"/>
    </w:lvl>
  </w:abstractNum>
  <w:abstractNum w:abstractNumId="72">
    <w:nsid w:val="7D5E18F8"/>
    <w:multiLevelType w:val="hybridMultilevel"/>
    <w:lvl w:ilvl="0">
      <w:lvlJc w:val="left"/>
      <w:lvlText w:val="(%1)"/>
      <w:numFmt w:val="lowerLetter"/>
      <w:start w:val="1"/>
    </w:lvl>
  </w:abstractNum>
  <w:abstractNum w:abstractNumId="73">
    <w:nsid w:val="5F3534A4"/>
    <w:multiLevelType w:val="hybridMultilevel"/>
    <w:lvl w:ilvl="0">
      <w:lvlJc w:val="left"/>
      <w:lvlText w:val="(%1)"/>
      <w:numFmt w:val="lowerLetter"/>
      <w:start w:val="5"/>
    </w:lvl>
  </w:abstractNum>
  <w:abstractNum w:abstractNumId="74">
    <w:nsid w:val="73A1821B"/>
    <w:multiLevelType w:val="hybridMultilevel"/>
    <w:lvl w:ilvl="0">
      <w:lvlJc w:val="left"/>
      <w:lvlText w:val="(%1)"/>
      <w:numFmt w:val="lowerLetter"/>
      <w:start w:val="1"/>
    </w:lvl>
  </w:abstractNum>
  <w:abstractNum w:abstractNumId="75">
    <w:nsid w:val="7DE67713"/>
    <w:multiLevelType w:val="hybridMultilevel"/>
    <w:lvl w:ilvl="0">
      <w:lvlJc w:val="left"/>
      <w:lvlText w:val="(%1)"/>
      <w:numFmt w:val="lowerLetter"/>
      <w:start w:val="1"/>
    </w:lvl>
  </w:abstractNum>
  <w:abstractNum w:abstractNumId="76">
    <w:nsid w:val="555C55B5"/>
    <w:multiLevelType w:val="hybridMultilevel"/>
    <w:lvl w:ilvl="0">
      <w:lvlJc w:val="left"/>
      <w:lvlText w:val="(%1)"/>
      <w:numFmt w:val="lowerLetter"/>
      <w:start w:val="3"/>
    </w:lvl>
  </w:abstractNum>
  <w:abstractNum w:abstractNumId="77">
    <w:nsid w:val="3FA62ACA"/>
    <w:multiLevelType w:val="hybridMultilevel"/>
    <w:lvl w:ilvl="0">
      <w:lvlJc w:val="left"/>
      <w:lvlText w:val="(%1)"/>
      <w:numFmt w:val="decimal"/>
      <w:start w:val="3"/>
    </w:lvl>
    <w:lvl w:ilvl="1">
      <w:lvlJc w:val="left"/>
      <w:lvlText w:val="(%2)"/>
      <w:numFmt w:val="lowerLetter"/>
      <w:start w:val="1"/>
    </w:lvl>
  </w:abstractNum>
  <w:abstractNum w:abstractNumId="78">
    <w:nsid w:val="14FCE74E"/>
    <w:multiLevelType w:val="hybridMultilevel"/>
    <w:lvl w:ilvl="0">
      <w:lvlJc w:val="left"/>
      <w:lvlText w:val="(%1)"/>
      <w:numFmt w:val="lowerLetter"/>
      <w:start w:val="3"/>
    </w:lvl>
  </w:abstractNum>
  <w:abstractNum w:abstractNumId="79">
    <w:nsid w:val="6A3DD3E8"/>
    <w:multiLevelType w:val="hybridMultilevel"/>
    <w:lvl w:ilvl="0">
      <w:lvlJc w:val="left"/>
      <w:lvlText w:val="(%1)"/>
      <w:numFmt w:val="lowerLetter"/>
      <w:start w:val="9"/>
    </w:lvl>
  </w:abstractNum>
  <w:abstractNum w:abstractNumId="80">
    <w:nsid w:val="71C91298"/>
    <w:multiLevelType w:val="hybridMultilevel"/>
    <w:lvl w:ilvl="0">
      <w:lvlJc w:val="left"/>
      <w:lvlText w:val="(%1)"/>
      <w:numFmt w:val="lowerLetter"/>
      <w:start w:val="15"/>
    </w:lvl>
  </w:abstractNum>
  <w:abstractNum w:abstractNumId="81">
    <w:nsid w:val="9DAF632"/>
    <w:multiLevelType w:val="hybridMultilevel"/>
    <w:lvl w:ilvl="0">
      <w:lvlJc w:val="left"/>
      <w:lvlText w:val="(%1)"/>
      <w:numFmt w:val="lowerLetter"/>
      <w:start w:val="22"/>
    </w:lvl>
  </w:abstractNum>
  <w:abstractNum w:abstractNumId="82">
    <w:nsid w:val="53299938"/>
    <w:multiLevelType w:val="hybridMultilevel"/>
    <w:lvl w:ilvl="0">
      <w:lvlJc w:val="left"/>
      <w:lvlText w:val="(%1)"/>
      <w:numFmt w:val="lowerLetter"/>
      <w:start w:val="1"/>
    </w:lvl>
  </w:abstractNum>
  <w:abstractNum w:abstractNumId="83">
    <w:nsid w:val="1FBFE8E0"/>
    <w:multiLevelType w:val="hybridMultilevel"/>
    <w:lvl w:ilvl="0">
      <w:lvlJc w:val="left"/>
      <w:lvlText w:val="(%1)"/>
      <w:numFmt w:val="lowerLetter"/>
      <w:start w:val="35"/>
    </w:lvl>
    <w:lvl w:ilvl="1">
      <w:lvlJc w:val="left"/>
      <w:lvlText w:val="(%2)"/>
      <w:numFmt w:val="lowerLetter"/>
      <w:start w:val="2"/>
    </w:lvl>
  </w:abstractNum>
  <w:abstractNum w:abstractNumId="84">
    <w:nsid w:val="5092CA79"/>
    <w:multiLevelType w:val="hybridMultilevel"/>
    <w:lvl w:ilvl="0">
      <w:lvlJc w:val="left"/>
      <w:lvlText w:val="(%1)"/>
      <w:numFmt w:val="lowerLetter"/>
      <w:start w:val="3"/>
    </w:lvl>
  </w:abstractNum>
  <w:abstractNum w:abstractNumId="85">
    <w:nsid w:val="1D545C4D"/>
    <w:multiLevelType w:val="hybridMultilevel"/>
    <w:lvl w:ilvl="0">
      <w:lvlJc w:val="left"/>
      <w:lvlText w:val="(%1)"/>
      <w:numFmt w:val="lowerLetter"/>
      <w:start w:val="25"/>
    </w:lvl>
    <w:lvl w:ilvl="1">
      <w:lvlJc w:val="left"/>
      <w:lvlText w:val="(%2)"/>
      <w:numFmt w:val="lowerLetter"/>
      <w:start w:val="4"/>
    </w:lvl>
  </w:abstractNum>
  <w:abstractNum w:abstractNumId="86">
    <w:nsid w:val="59ADEA3D"/>
    <w:multiLevelType w:val="hybridMultilevel"/>
    <w:lvl w:ilvl="0">
      <w:lvlJc w:val="left"/>
      <w:lvlText w:val="(%1)"/>
      <w:numFmt w:val="lowerLetter"/>
      <w:start w:val="1"/>
    </w:lvl>
  </w:abstractNum>
  <w:abstractNum w:abstractNumId="87">
    <w:nsid w:val="288F1A34"/>
    <w:multiLevelType w:val="hybridMultilevel"/>
    <w:lvl w:ilvl="0">
      <w:lvlJc w:val="left"/>
      <w:lvlText w:val="(%1)"/>
      <w:numFmt w:val="lowerLetter"/>
      <w:start w:val="2"/>
    </w:lvl>
  </w:abstractNum>
  <w:abstractNum w:abstractNumId="88">
    <w:nsid w:val="2A155DBC"/>
    <w:multiLevelType w:val="hybridMultilevel"/>
    <w:lvl w:ilvl="0">
      <w:lvlJc w:val="left"/>
      <w:lvlText w:val="%1"/>
      <w:numFmt w:val="lowerLetter"/>
      <w:start w:val="1"/>
    </w:lvl>
    <w:lvl w:ilvl="1">
      <w:lvlJc w:val="left"/>
      <w:lvlText w:val="(%2)"/>
      <w:numFmt w:val="lowerLetter"/>
      <w:start w:val="1"/>
    </w:lvl>
  </w:abstractNum>
  <w:abstractNum w:abstractNumId="89">
    <w:nsid w:val="1D9F6E5F"/>
    <w:multiLevelType w:val="hybridMultilevel"/>
    <w:lvl w:ilvl="0">
      <w:lvlJc w:val="left"/>
      <w:lvlText w:val="(%1)"/>
      <w:numFmt w:val="lowerLetter"/>
      <w:start w:val="35"/>
    </w:lvl>
    <w:lvl w:ilvl="1">
      <w:lvlJc w:val="left"/>
      <w:lvlText w:val="%2"/>
      <w:numFmt w:val="lowerLetter"/>
      <w:start w:val="1"/>
    </w:lvl>
  </w:abstractNum>
  <w:abstractNum w:abstractNumId="90">
    <w:nsid w:val="97E1B4E"/>
    <w:multiLevelType w:val="hybridMultilevel"/>
    <w:lvl w:ilvl="0">
      <w:lvlJc w:val="left"/>
      <w:lvlText w:val="(%1)"/>
      <w:numFmt w:val="lowerLetter"/>
      <w:start w:val="2"/>
    </w:lvl>
  </w:abstractNum>
  <w:abstractNum w:abstractNumId="91">
    <w:nsid w:val="51088277"/>
    <w:multiLevelType w:val="hybridMultilevel"/>
    <w:lvl w:ilvl="0">
      <w:lvlJc w:val="left"/>
      <w:lvlText w:val="(%1)"/>
      <w:numFmt w:val="lowerLetter"/>
      <w:start w:val="3"/>
    </w:lvl>
  </w:abstractNum>
  <w:abstractNum w:abstractNumId="92">
    <w:nsid w:val="1CA0C5FA"/>
    <w:multiLevelType w:val="hybridMultilevel"/>
    <w:lvl w:ilvl="0">
      <w:lvlJc w:val="left"/>
      <w:lvlText w:val="(%1)"/>
      <w:numFmt w:val="lowerRoman"/>
      <w:start w:val="1"/>
    </w:lvl>
  </w:abstractNum>
  <w:abstractNum w:abstractNumId="93">
    <w:nsid w:val="53584BCB"/>
    <w:multiLevelType w:val="hybridMultilevel"/>
    <w:lvl w:ilvl="0">
      <w:lvlJc w:val="left"/>
      <w:lvlText w:val="%1"/>
      <w:numFmt w:val="lowerRoman"/>
      <w:start w:val="1"/>
    </w:lvl>
    <w:lvl w:ilvl="1">
      <w:lvlJc w:val="left"/>
      <w:lvlText w:val="(%2)"/>
      <w:numFmt w:val="lowerLetter"/>
      <w:start w:val="6"/>
    </w:lvl>
  </w:abstractNum>
  <w:abstractNum w:abstractNumId="94">
    <w:nsid w:val="415E286C"/>
    <w:multiLevelType w:val="hybridMultilevel"/>
    <w:lvl w:ilvl="0">
      <w:lvlJc w:val="left"/>
      <w:lvlText w:val="(%1)"/>
      <w:numFmt w:val="lowerRoman"/>
      <w:start w:val="1"/>
    </w:lvl>
    <w:lvl w:ilvl="1">
      <w:lvlJc w:val="left"/>
      <w:lvlText w:val="%2"/>
      <w:numFmt w:val="lowerLetter"/>
      <w:start w:val="1"/>
    </w:lvl>
  </w:abstractNum>
  <w:abstractNum w:abstractNumId="95">
    <w:nsid w:val="7C58FD05"/>
    <w:multiLevelType w:val="hybridMultilevel"/>
    <w:lvl w:ilvl="0">
      <w:lvlJc w:val="left"/>
      <w:lvlText w:val="(%1)"/>
      <w:numFmt w:val="lowerLetter"/>
      <w:start w:val="8"/>
    </w:lvl>
  </w:abstractNum>
  <w:abstractNum w:abstractNumId="96">
    <w:nsid w:val="23D86AAC"/>
    <w:multiLevelType w:val="hybridMultilevel"/>
    <w:lvl w:ilvl="0">
      <w:lvlJc w:val="left"/>
      <w:lvlText w:val="(%1)"/>
      <w:numFmt w:val="lowerLetter"/>
      <w:start w:val="1"/>
    </w:lvl>
  </w:abstractNum>
  <w:abstractNum w:abstractNumId="97">
    <w:nsid w:val="45E6D486"/>
    <w:multiLevelType w:val="hybridMultilevel"/>
    <w:lvl w:ilvl="0">
      <w:lvlJc w:val="left"/>
      <w:lvlText w:val="(%1)"/>
      <w:numFmt w:val="lowerLetter"/>
      <w:start w:val="2"/>
    </w:lvl>
  </w:abstractNum>
  <w:abstractNum w:abstractNumId="98">
    <w:nsid w:val="5C10FE21"/>
    <w:multiLevelType w:val="hybridMultilevel"/>
    <w:lvl w:ilvl="0">
      <w:lvlJc w:val="left"/>
      <w:lvlText w:val="%1"/>
      <w:numFmt w:val="lowerLetter"/>
      <w:start w:val="1"/>
    </w:lvl>
    <w:lvl w:ilvl="1">
      <w:lvlJc w:val="left"/>
      <w:lvlText w:val="(%2)"/>
      <w:numFmt w:val="lowerLetter"/>
      <w:start w:val="3"/>
    </w:lvl>
  </w:abstractNum>
  <w:abstractNum w:abstractNumId="99">
    <w:nsid w:val="E7FFA2B"/>
    <w:multiLevelType w:val="hybridMultilevel"/>
    <w:lvl w:ilvl="0">
      <w:lvlJc w:val="left"/>
      <w:lvlText w:val="(%1)"/>
      <w:numFmt w:val="lowerLetter"/>
      <w:start w:val="35"/>
    </w:lvl>
    <w:lvl w:ilvl="1">
      <w:lvlJc w:val="left"/>
      <w:lvlText w:val="(%2)"/>
      <w:numFmt w:val="lowerLetter"/>
      <w:start w:val="5"/>
    </w:lvl>
  </w:abstractNum>
  <w:abstractNum w:abstractNumId="100">
    <w:nsid w:val="3C5991AA"/>
    <w:multiLevelType w:val="hybridMultilevel"/>
    <w:lvl w:ilvl="0">
      <w:lvlJc w:val="left"/>
      <w:lvlText w:val="(%1)"/>
      <w:numFmt w:val="lowerLetter"/>
      <w:start w:val="2"/>
    </w:lvl>
  </w:abstractNum>
  <w:abstractNum w:abstractNumId="101">
    <w:nsid w:val="4BD8591A"/>
    <w:multiLevelType w:val="hybridMultilevel"/>
    <w:lvl w:ilvl="0">
      <w:lvlJc w:val="left"/>
      <w:lvlText w:val="(%1)"/>
      <w:numFmt w:val="lowerLetter"/>
      <w:start w:val="1"/>
    </w:lvl>
  </w:abstractNum>
  <w:abstractNum w:abstractNumId="102">
    <w:nsid w:val="78DF6A55"/>
    <w:multiLevelType w:val="hybridMultilevel"/>
    <w:lvl w:ilvl="0">
      <w:lvlJc w:val="left"/>
      <w:lvlText w:val="(%1)"/>
      <w:numFmt w:val="upperLetter"/>
      <w:start w:val="2"/>
    </w:lvl>
    <w:lvl w:ilvl="1">
      <w:lvlJc w:val="left"/>
      <w:lvlText w:val="(%2)"/>
      <w:numFmt w:val="lowerLetter"/>
      <w:start w:val="2"/>
    </w:lvl>
  </w:abstractNum>
  <w:abstractNum w:abstractNumId="103">
    <w:nsid w:val="39B7AAA2"/>
    <w:multiLevelType w:val="hybridMultilevel"/>
    <w:lvl w:ilvl="0">
      <w:lvlJc w:val="left"/>
      <w:lvlText w:val="(%1)"/>
      <w:numFmt w:val="lowerLetter"/>
      <w:start w:val="4"/>
    </w:lvl>
  </w:abstractNum>
  <w:abstractNum w:abstractNumId="104">
    <w:nsid w:val="2B0D8DBE"/>
    <w:multiLevelType w:val="hybridMultilevel"/>
    <w:lvl w:ilvl="0">
      <w:lvlJc w:val="left"/>
      <w:lvlText w:val="(%1)"/>
      <w:numFmt w:val="lowerLetter"/>
      <w:start w:val="1"/>
    </w:lvl>
  </w:abstractNum>
  <w:abstractNum w:abstractNumId="105">
    <w:nsid w:val="6C80EC70"/>
    <w:multiLevelType w:val="hybridMultilevel"/>
    <w:lvl w:ilvl="0">
      <w:lvlJc w:val="left"/>
      <w:lvlText w:val="(%1)"/>
      <w:numFmt w:val="lowerLetter"/>
      <w:start w:val="2"/>
    </w:lvl>
  </w:abstractNum>
  <w:abstractNum w:abstractNumId="106">
    <w:nsid w:val="379E21B5"/>
    <w:multiLevelType w:val="hybridMultilevel"/>
    <w:lvl w:ilvl="0">
      <w:lvlJc w:val="left"/>
      <w:lvlText w:val="(%1)"/>
      <w:numFmt w:val="lowerLetter"/>
      <w:start w:val="4"/>
    </w:lvl>
  </w:abstractNum>
  <w:abstractNum w:abstractNumId="107">
    <w:nsid w:val="69E373"/>
    <w:multiLevelType w:val="hybridMultilevel"/>
    <w:lvl w:ilvl="0">
      <w:lvlJc w:val="left"/>
      <w:lvlText w:val="(%1)"/>
      <w:numFmt w:val="lowerLetter"/>
      <w:start w:val="1"/>
    </w:lvl>
  </w:abstractNum>
  <w:abstractNum w:abstractNumId="108">
    <w:nsid w:val="2C27173B"/>
    <w:multiLevelType w:val="hybridMultilevel"/>
    <w:lvl w:ilvl="0">
      <w:lvlJc w:val="left"/>
      <w:lvlText w:val="(%1)"/>
      <w:numFmt w:val="lowerLetter"/>
      <w:start w:val="4"/>
    </w:lvl>
  </w:abstractNum>
  <w:abstractNum w:abstractNumId="109">
    <w:nsid w:val="4C9B0904"/>
    <w:multiLevelType w:val="hybridMultilevel"/>
    <w:lvl w:ilvl="0">
      <w:lvlJc w:val="left"/>
      <w:lvlText w:val="(%1)"/>
      <w:numFmt w:val="lowerLetter"/>
      <w:start w:val="1"/>
    </w:lvl>
  </w:abstractNum>
  <w:abstractNum w:abstractNumId="110">
    <w:nsid w:val="6AA7B75C"/>
    <w:multiLevelType w:val="hybridMultilevel"/>
    <w:lvl w:ilvl="0">
      <w:lvlJc w:val="left"/>
      <w:lvlText w:val="(%1)"/>
      <w:numFmt w:val="lowerLetter"/>
      <w:start w:val="3"/>
    </w:lvl>
  </w:abstractNum>
  <w:abstractNum w:abstractNumId="111">
    <w:nsid w:val="1DF029D3"/>
    <w:multiLevelType w:val="hybridMultilevel"/>
    <w:lvl w:ilvl="0">
      <w:lvlJc w:val="left"/>
      <w:lvlText w:val="(%1)"/>
      <w:numFmt w:val="lowerLetter"/>
      <w:start w:val="1"/>
    </w:lvl>
  </w:abstractNum>
  <w:abstractNum w:abstractNumId="112">
    <w:nsid w:val="5675FF36"/>
    <w:multiLevelType w:val="hybridMultilevel"/>
    <w:lvl w:ilvl="0">
      <w:lvlJc w:val="left"/>
      <w:lvlText w:val="(%1)"/>
      <w:numFmt w:val="lowerLetter"/>
      <w:start w:val="2"/>
    </w:lvl>
  </w:abstractNum>
  <w:abstractNum w:abstractNumId="113">
    <w:nsid w:val="3DD15094"/>
    <w:multiLevelType w:val="hybridMultilevel"/>
    <w:lvl w:ilvl="0">
      <w:lvlJc w:val="left"/>
      <w:lvlText w:val="(%1)"/>
      <w:numFmt w:val="lowerLetter"/>
      <w:start w:val="1"/>
    </w:lvl>
  </w:abstractNum>
  <w:abstractNum w:abstractNumId="114">
    <w:nsid w:val="3DB012B3"/>
    <w:multiLevelType w:val="hybridMultilevel"/>
    <w:lvl w:ilvl="0">
      <w:lvlJc w:val="left"/>
      <w:lvlText w:val="(%1)"/>
      <w:numFmt w:val="lowerLetter"/>
      <w:start w:val="2"/>
    </w:lvl>
  </w:abstractNum>
  <w:abstractNum w:abstractNumId="115">
    <w:nsid w:val="2708C9AF"/>
    <w:multiLevelType w:val="hybridMultilevel"/>
    <w:lvl w:ilvl="0">
      <w:lvlJc w:val="left"/>
      <w:lvlText w:val="(%1)"/>
      <w:numFmt w:val="lowerLetter"/>
      <w:start w:val="1"/>
    </w:lvl>
  </w:abstractNum>
  <w:abstractNum w:abstractNumId="116">
    <w:nsid w:val="5B25ACE2"/>
    <w:multiLevelType w:val="hybridMultilevel"/>
    <w:lvl w:ilvl="0">
      <w:lvlJc w:val="left"/>
      <w:lvlText w:val="%1"/>
      <w:numFmt w:val="lowerLetter"/>
      <w:start w:val="1"/>
    </w:lvl>
    <w:lvl w:ilvl="1">
      <w:lvlJc w:val="left"/>
      <w:lvlText w:val="(%2)"/>
      <w:numFmt w:val="lowerLetter"/>
      <w:start w:val="5"/>
    </w:lvl>
  </w:abstractNum>
  <w:abstractNum w:abstractNumId="117">
    <w:nsid w:val="175DFCF0"/>
    <w:multiLevelType w:val="hybridMultilevel"/>
    <w:lvl w:ilvl="0">
      <w:lvlJc w:val="left"/>
      <w:lvlText w:val="(%1)"/>
      <w:numFmt w:val="lowerLetter"/>
      <w:start w:val="35"/>
    </w:lvl>
    <w:lvl w:ilvl="1">
      <w:lvlJc w:val="left"/>
      <w:lvlText w:val="(%2)"/>
      <w:numFmt w:val="lowerLetter"/>
      <w:start w:val="7"/>
    </w:lvl>
  </w:abstractNum>
  <w:abstractNum w:abstractNumId="118">
    <w:nsid w:val="4F97E3E4"/>
    <w:multiLevelType w:val="hybridMultilevel"/>
    <w:lvl w:ilvl="0">
      <w:lvlJc w:val="left"/>
      <w:lvlText w:val="%1"/>
      <w:numFmt w:val="lowerLetter"/>
      <w:start w:val="1"/>
    </w:lvl>
    <w:lvl w:ilvl="1">
      <w:lvlJc w:val="left"/>
      <w:lvlText w:val="(%2)"/>
      <w:numFmt w:val="lowerLetter"/>
      <w:start w:val="1"/>
    </w:lvl>
  </w:abstractNum>
  <w:abstractNum w:abstractNumId="119">
    <w:nsid w:val="53B0A9E"/>
    <w:multiLevelType w:val="hybridMultilevel"/>
    <w:lvl w:ilvl="0">
      <w:lvlJc w:val="left"/>
      <w:lvlText w:val="(%1)"/>
      <w:numFmt w:val="lowerLetter"/>
      <w:start w:val="25"/>
    </w:lvl>
    <w:lvl w:ilvl="1">
      <w:lvlJc w:val="left"/>
      <w:lvlText w:val="(%2)"/>
      <w:numFmt w:val="lowerLetter"/>
      <w:start w:val="4"/>
    </w:lvl>
  </w:abstractNum>
  <w:abstractNum w:abstractNumId="120">
    <w:nsid w:val="34FD6B4F"/>
    <w:multiLevelType w:val="hybridMultilevel"/>
    <w:lvl w:ilvl="0">
      <w:lvlJc w:val="left"/>
      <w:lvlText w:val="(%1)"/>
      <w:numFmt w:val="lowerLetter"/>
      <w:start w:val="9"/>
    </w:lvl>
    <w:lvl w:ilvl="1">
      <w:lvlJc w:val="left"/>
      <w:lvlText w:val="(%2)"/>
      <w:numFmt w:val="lowerLetter"/>
      <w:start w:val="5"/>
    </w:lvl>
  </w:abstractNum>
  <w:abstractNum w:abstractNumId="121">
    <w:nsid w:val="5915FF32"/>
    <w:multiLevelType w:val="hybridMultilevel"/>
    <w:lvl w:ilvl="0">
      <w:lvlJc w:val="left"/>
      <w:lvlText w:val=" "/>
      <w:numFmt w:val="bullet"/>
      <w:start w:val="1"/>
    </w:lvl>
  </w:abstractNum>
  <w:abstractNum w:abstractNumId="122">
    <w:nsid w:val="56438D15"/>
    <w:multiLevelType w:val="hybridMultilevel"/>
    <w:lvl w:ilvl="0">
      <w:lvlJc w:val="left"/>
      <w:lvlText w:val=" "/>
      <w:numFmt w:val="bullet"/>
      <w:start w:val="1"/>
    </w:lvl>
  </w:abstractNum>
  <w:abstractNum w:abstractNumId="123">
    <w:nsid w:val="519E3149"/>
    <w:multiLevelType w:val="hybridMultilevel"/>
    <w:lvl w:ilvl="0">
      <w:lvlJc w:val="left"/>
      <w:lvlText w:val="(%1)"/>
      <w:numFmt w:val="lowerLetter"/>
      <w:start w:val="2"/>
    </w:lvl>
  </w:abstractNum>
  <w:abstractNum w:abstractNumId="124">
    <w:nsid w:val="2C6E4AFD"/>
    <w:multiLevelType w:val="hybridMultilevel"/>
    <w:lvl w:ilvl="0">
      <w:lvlJc w:val="left"/>
      <w:lvlText w:val="(%1)"/>
      <w:numFmt w:val="lowerLetter"/>
      <w:start w:val="2"/>
    </w:lvl>
  </w:abstractNum>
  <w:abstractNum w:abstractNumId="125">
    <w:nsid w:val="17A1B582"/>
    <w:multiLevelType w:val="hybridMultilevel"/>
    <w:lvl w:ilvl="0">
      <w:lvlJc w:val="left"/>
      <w:lvlText w:val="(%1)"/>
      <w:numFmt w:val="lowerRoman"/>
      <w:start w:val="2"/>
    </w:lvl>
  </w:abstractNum>
  <w:abstractNum w:abstractNumId="126">
    <w:nsid w:val="4DF72E4E"/>
    <w:multiLevelType w:val="hybridMultilevel"/>
    <w:lvl w:ilvl="0">
      <w:lvlJc w:val="left"/>
      <w:lvlText w:val="(%1)"/>
      <w:numFmt w:val="lowerLetter"/>
      <w:start w:val="1"/>
    </w:lvl>
  </w:abstractNum>
  <w:abstractNum w:abstractNumId="127">
    <w:nsid w:val="5046B5A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21" Type="http://schemas.openxmlformats.org/officeDocument/2006/relationships/hyperlink" Target="http://www.sec.gov/ix?doc=/Archives/edgar/data/0001840856/000121390026041978/ea0285618-01.htm" TargetMode="External"/><Relationship Id="rId22" Type="http://schemas.openxmlformats.org/officeDocument/2006/relationships/hyperlink" Target="http://www.sec.gov/ix?doc=/Archives/edgar/data/1102993/000110299325000159/lpsn-202509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2026-07-02T16:36:58Z</dcterms:created>
  <dcterms:modified xsi:type="dcterms:W3CDTF">2026-07-02T16:36:58Z</dcterms:modified>
</cp:coreProperties>
</file>