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4"/>
          <w:szCs w:val="24"/>
          <w:color w:val="auto"/>
        </w:rPr>
      </w:pPr>
    </w:p>
    <w:p>
      <w:pPr>
        <w:jc w:val="center"/>
        <w:ind w:left="4640" w:right="2100" w:hanging="2499"/>
        <w:spacing w:after="0" w:line="266" w:lineRule="auto"/>
        <w:tabs>
          <w:tab w:leader="none" w:pos="235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jc w:val="center"/>
        <w:ind w:left="4640" w:right="2080" w:hanging="2505"/>
        <w:spacing w:after="0" w:line="282" w:lineRule="auto"/>
        <w:tabs>
          <w:tab w:leader="none" w:pos="235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000-30141</w:t>
      </w:r>
    </w:p>
    <w:p>
      <w:pPr>
        <w:spacing w:after="0" w:line="26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Delaware</w:t>
            </w:r>
          </w:p>
        </w:tc>
        <w:tc>
          <w:tcPr>
            <w:tcW w:w="5180" w:type="dxa"/>
            <w:vAlign w:val="bottom"/>
          </w:tcPr>
          <w:p>
            <w:pPr>
              <w:jc w:val="right"/>
              <w:ind w:right="2070"/>
              <w:spacing w:after="0"/>
              <w:rPr>
                <w:sz w:val="20"/>
                <w:szCs w:val="20"/>
                <w:color w:val="auto"/>
              </w:rPr>
            </w:pPr>
            <w:r>
              <w:rPr>
                <w:rFonts w:ascii="Arial" w:cs="Arial" w:eastAsia="Arial" w:hAnsi="Arial"/>
                <w:sz w:val="18"/>
                <w:szCs w:val="18"/>
                <w:b w:val="1"/>
                <w:bCs w:val="1"/>
                <w:color w:val="auto"/>
              </w:rPr>
              <w:t>13-3861628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9"/>
        </w:trPr>
        <w:tc>
          <w:tcPr>
            <w:tcW w:w="612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(State or Other Jurisdiction of</w:t>
            </w:r>
          </w:p>
        </w:tc>
        <w:tc>
          <w:tcPr>
            <w:tcW w:w="5180" w:type="dxa"/>
            <w:vAlign w:val="bottom"/>
          </w:tcPr>
          <w:p>
            <w:pPr>
              <w:spacing w:after="0"/>
              <w:rPr>
                <w:sz w:val="19"/>
                <w:szCs w:val="19"/>
                <w:color w:val="auto"/>
              </w:rPr>
            </w:pPr>
          </w:p>
        </w:tc>
      </w:tr>
      <w:tr>
        <w:trPr>
          <w:trHeight w:val="230"/>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Incorporation or Organization)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49"/>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475 Tenth Avenue, 5th Floor</w:t>
            </w:r>
          </w:p>
        </w:tc>
        <w:tc>
          <w:tcPr>
            <w:tcW w:w="5180" w:type="dxa"/>
            <w:vAlign w:val="bottom"/>
          </w:tcPr>
          <w:p>
            <w:pPr>
              <w:spacing w:after="0"/>
              <w:rPr>
                <w:sz w:val="24"/>
                <w:szCs w:val="24"/>
                <w:color w:val="auto"/>
              </w:rPr>
            </w:pPr>
          </w:p>
        </w:tc>
      </w:tr>
      <w:tr>
        <w:trPr>
          <w:trHeight w:val="234"/>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3"/>
              </w:rPr>
              <w:t>New York, New York</w:t>
            </w:r>
          </w:p>
        </w:tc>
        <w:tc>
          <w:tcPr>
            <w:tcW w:w="5180" w:type="dxa"/>
            <w:vAlign w:val="bottom"/>
          </w:tcPr>
          <w:p>
            <w:pPr>
              <w:jc w:val="right"/>
              <w:ind w:right="2270"/>
              <w:spacing w:after="0"/>
              <w:rPr>
                <w:sz w:val="20"/>
                <w:szCs w:val="20"/>
                <w:color w:val="auto"/>
              </w:rPr>
            </w:pPr>
            <w:r>
              <w:rPr>
                <w:rFonts w:ascii="Arial" w:cs="Arial" w:eastAsia="Arial" w:hAnsi="Arial"/>
                <w:sz w:val="18"/>
                <w:szCs w:val="18"/>
                <w:b w:val="1"/>
                <w:bCs w:val="1"/>
                <w:color w:val="auto"/>
              </w:rPr>
              <w:t>10018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43"/>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(Address of Principal Executive Offices)</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(212) 609-4200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(Registrant’s Telephone Number, Including Area Code)</w:t>
      </w:r>
    </w:p>
    <w:p>
      <w:pPr>
        <w:spacing w:after="0" w:line="14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80"/>
          </w:cols>
          <w:pgMar w:left="240" w:top="688" w:right="279" w:bottom="1440" w:gutter="0" w:footer="0" w:header="0"/>
        </w:sectPr>
      </w:pPr>
    </w:p>
    <w:p>
      <w:pPr>
        <w:spacing w:after="0" w:line="145"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06"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80"/>
          </w:cols>
          <w:pgMar w:left="240" w:top="688" w:right="279" w:bottom="1440" w:gutter="0" w:footer="0" w:header="0"/>
          <w:type w:val="continuous"/>
        </w:sectPr>
      </w:pPr>
    </w:p>
    <w:p>
      <w:pPr>
        <w:spacing w:after="0" w:line="134" w:lineRule="exact"/>
        <w:rPr>
          <w:sz w:val="24"/>
          <w:szCs w:val="24"/>
          <w:color w:val="auto"/>
        </w:rPr>
      </w:pPr>
    </w:p>
    <w:p>
      <w:pPr>
        <w:ind w:right="22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November 4, 2015, 57,308,589 shares of the registrant’s common stock were outstanding.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688"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9480" w:type="dxa"/>
            <w:vAlign w:val="bottom"/>
          </w:tcPr>
          <w:p>
            <w:pPr>
              <w:spacing w:after="0"/>
              <w:rPr>
                <w:sz w:val="20"/>
                <w:szCs w:val="20"/>
                <w:color w:val="auto"/>
              </w:rPr>
            </w:pPr>
          </w:p>
        </w:tc>
        <w:tc>
          <w:tcPr>
            <w:tcW w:w="900" w:type="dxa"/>
            <w:vAlign w:val="bottom"/>
            <w:gridSpan w:val="4"/>
          </w:tcPr>
          <w:p>
            <w:pPr>
              <w:ind w:left="220"/>
              <w:spacing w:after="0"/>
              <w:rPr>
                <w:sz w:val="20"/>
                <w:szCs w:val="20"/>
                <w:color w:val="auto"/>
              </w:rPr>
            </w:pPr>
            <w:r>
              <w:rPr>
                <w:rFonts w:ascii="Arial" w:cs="Arial" w:eastAsia="Arial" w:hAnsi="Arial"/>
                <w:sz w:val="18"/>
                <w:szCs w:val="18"/>
                <w:color w:val="auto"/>
              </w:rPr>
              <w:t>PAGE</w:t>
            </w:r>
          </w:p>
        </w:tc>
      </w:tr>
      <w:tr>
        <w:trPr>
          <w:trHeight w:val="27"/>
        </w:trPr>
        <w:tc>
          <w:tcPr>
            <w:tcW w:w="1040" w:type="dxa"/>
            <w:vAlign w:val="bottom"/>
            <w:tcBorders>
              <w:bottom w:val="single" w:sz="8" w:color="CCFFCC"/>
            </w:tcBorders>
          </w:tcPr>
          <w:p>
            <w:pPr>
              <w:spacing w:after="0"/>
              <w:rPr>
                <w:sz w:val="2"/>
                <w:szCs w:val="2"/>
                <w:color w:val="auto"/>
              </w:rPr>
            </w:pPr>
          </w:p>
        </w:tc>
        <w:tc>
          <w:tcPr>
            <w:tcW w:w="9480" w:type="dxa"/>
            <w:vAlign w:val="bottom"/>
            <w:tcBorders>
              <w:bottom w:val="single" w:sz="8" w:color="CCFFC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1040" w:type="dxa"/>
            <w:vAlign w:val="bottom"/>
            <w:shd w:val="clear" w:color="auto" w:fill="CCFFCC"/>
          </w:tcPr>
          <w:p>
            <w:pPr>
              <w:ind w:left="40"/>
              <w:spacing w:after="0" w:line="196" w:lineRule="exact"/>
              <w:rPr>
                <w:sz w:val="20"/>
                <w:szCs w:val="20"/>
                <w:color w:val="auto"/>
              </w:rPr>
            </w:pPr>
            <w:r>
              <w:rPr>
                <w:rFonts w:ascii="Arial" w:cs="Arial" w:eastAsia="Arial" w:hAnsi="Arial"/>
                <w:sz w:val="18"/>
                <w:szCs w:val="18"/>
                <w:color w:val="auto"/>
              </w:rPr>
              <w:t>Part I.</w:t>
            </w:r>
          </w:p>
        </w:tc>
        <w:tc>
          <w:tcPr>
            <w:tcW w:w="9480" w:type="dxa"/>
            <w:vAlign w:val="bottom"/>
            <w:shd w:val="clear" w:color="auto" w:fill="CCFFCC"/>
          </w:tcPr>
          <w:p>
            <w:pPr>
              <w:ind w:left="260"/>
              <w:spacing w:after="0" w:line="196" w:lineRule="exact"/>
              <w:rPr>
                <w:sz w:val="20"/>
                <w:szCs w:val="20"/>
                <w:color w:val="auto"/>
              </w:rPr>
            </w:pPr>
            <w:r>
              <w:rPr>
                <w:rFonts w:ascii="Arial" w:cs="Arial" w:eastAsia="Arial" w:hAnsi="Arial"/>
                <w:sz w:val="18"/>
                <w:szCs w:val="18"/>
                <w:color w:val="auto"/>
              </w:rPr>
              <w:t>Financial Information</w:t>
            </w:r>
          </w:p>
        </w:tc>
        <w:tc>
          <w:tcPr>
            <w:tcW w:w="900" w:type="dxa"/>
            <w:vAlign w:val="bottom"/>
            <w:gridSpan w:val="4"/>
            <w:shd w:val="clear" w:color="auto" w:fill="CCFFCC"/>
          </w:tcPr>
          <w:p>
            <w:pPr>
              <w:jc w:val="right"/>
              <w:ind w:right="10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Financial Statements (Unaudited):</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Balance Sheets as of September 30, 2015 and December 31, 2014</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91"/>
              </w:rPr>
              <w:t>Condensed Consolidated Statements of Operations for the Three and Nine Months Ended September 30, 2015 and 2014</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29"/>
        </w:trPr>
        <w:tc>
          <w:tcPr>
            <w:tcW w:w="1040" w:type="dxa"/>
            <w:vAlign w:val="bottom"/>
            <w:shd w:val="clear" w:color="auto" w:fill="CCFFCC"/>
          </w:tcPr>
          <w:p>
            <w:pPr>
              <w:spacing w:after="0"/>
              <w:rPr>
                <w:sz w:val="19"/>
                <w:szCs w:val="19"/>
                <w:color w:val="auto"/>
              </w:rPr>
            </w:pPr>
          </w:p>
        </w:tc>
        <w:tc>
          <w:tcPr>
            <w:tcW w:w="9480" w:type="dxa"/>
            <w:vAlign w:val="bottom"/>
            <w:shd w:val="clear" w:color="auto" w:fill="CCFFCC"/>
          </w:tcPr>
          <w:p>
            <w:pPr>
              <w:ind w:left="600"/>
              <w:spacing w:after="0"/>
              <w:rPr>
                <w:sz w:val="20"/>
                <w:szCs w:val="20"/>
                <w:color w:val="auto"/>
              </w:rPr>
            </w:pPr>
            <w:r>
              <w:rPr>
                <w:rFonts w:ascii="Arial" w:cs="Arial" w:eastAsia="Arial" w:hAnsi="Arial"/>
                <w:sz w:val="18"/>
                <w:szCs w:val="18"/>
                <w:color w:val="auto"/>
                <w:w w:val="91"/>
              </w:rPr>
              <w:t>Condensed Consolidated Statements of Comprehensive Loss for the Three and Nine Months Ended September 30, 2015</w:t>
            </w:r>
          </w:p>
        </w:tc>
        <w:tc>
          <w:tcPr>
            <w:tcW w:w="6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37"/>
        </w:trPr>
        <w:tc>
          <w:tcPr>
            <w:tcW w:w="1040" w:type="dxa"/>
            <w:vAlign w:val="bottom"/>
            <w:shd w:val="clear" w:color="auto" w:fill="CCFFCC"/>
          </w:tcPr>
          <w:p>
            <w:pPr>
              <w:spacing w:after="0"/>
              <w:rPr>
                <w:sz w:val="20"/>
                <w:szCs w:val="20"/>
                <w:color w:val="auto"/>
              </w:rPr>
            </w:pPr>
          </w:p>
        </w:tc>
        <w:tc>
          <w:tcPr>
            <w:tcW w:w="9480" w:type="dxa"/>
            <w:vAlign w:val="bottom"/>
            <w:shd w:val="clear" w:color="auto" w:fill="CCFFCC"/>
          </w:tcPr>
          <w:p>
            <w:pPr>
              <w:ind w:left="600"/>
              <w:spacing w:after="0" w:line="190" w:lineRule="exact"/>
              <w:rPr>
                <w:sz w:val="20"/>
                <w:szCs w:val="20"/>
                <w:color w:val="auto"/>
              </w:rPr>
            </w:pPr>
            <w:r>
              <w:rPr>
                <w:rFonts w:ascii="Arial" w:cs="Arial" w:eastAsia="Arial" w:hAnsi="Arial"/>
                <w:sz w:val="18"/>
                <w:szCs w:val="18"/>
                <w:color w:val="auto"/>
              </w:rPr>
              <w:t>and 2014</w:t>
            </w:r>
          </w:p>
        </w:tc>
        <w:tc>
          <w:tcPr>
            <w:tcW w:w="900" w:type="dxa"/>
            <w:vAlign w:val="bottom"/>
            <w:gridSpan w:val="4"/>
            <w:shd w:val="clear" w:color="auto" w:fill="CCFFCC"/>
          </w:tcPr>
          <w:p>
            <w:pPr>
              <w:jc w:val="right"/>
              <w:ind w:right="100"/>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Statements of Cash Flows for the Nine Months Ended September 30, 2015 and 2014</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48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Controls and Procedures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Part II.</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1A.</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Risk Factors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Defaults Upon Senior Securities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5.</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480" w:type="dxa"/>
            <w:vAlign w:val="bottom"/>
            <w:tcBorders>
              <w:top w:val="single" w:sz="8" w:color="CCFFCC"/>
            </w:tcBorders>
          </w:tcPr>
          <w:p>
            <w:pPr>
              <w:spacing w:after="0"/>
              <w:rPr>
                <w:sz w:val="23"/>
                <w:szCs w:val="23"/>
                <w:color w:val="auto"/>
              </w:rPr>
            </w:pPr>
          </w:p>
        </w:tc>
        <w:tc>
          <w:tcPr>
            <w:tcW w:w="6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6.</w:t>
            </w:r>
          </w:p>
        </w:tc>
        <w:tc>
          <w:tcPr>
            <w:tcW w:w="948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Exhibits</w:t>
            </w:r>
          </w:p>
        </w:tc>
        <w:tc>
          <w:tcPr>
            <w:tcW w:w="900" w:type="dxa"/>
            <w:vAlign w:val="bottom"/>
            <w:gridSpan w:val="4"/>
            <w:shd w:val="clear" w:color="auto" w:fill="CCFFCC"/>
          </w:tcPr>
          <w:p>
            <w:pPr>
              <w:jc w:val="right"/>
              <w:ind w:right="10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r>
      <w:tr>
        <w:trPr>
          <w:trHeight w:val="324"/>
        </w:trPr>
        <w:tc>
          <w:tcPr>
            <w:tcW w:w="1040" w:type="dxa"/>
            <w:vAlign w:val="bottom"/>
            <w:tcBorders>
              <w:top w:val="single" w:sz="8" w:color="CCFFCC"/>
            </w:tcBorders>
          </w:tcPr>
          <w:p>
            <w:pPr>
              <w:spacing w:after="0"/>
              <w:rPr>
                <w:sz w:val="24"/>
                <w:szCs w:val="24"/>
                <w:color w:val="auto"/>
              </w:rPr>
            </w:pPr>
          </w:p>
        </w:tc>
        <w:tc>
          <w:tcPr>
            <w:tcW w:w="948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Signatures</w:t>
            </w:r>
          </w:p>
        </w:tc>
        <w:tc>
          <w:tcPr>
            <w:tcW w:w="9480" w:type="dxa"/>
            <w:vAlign w:val="bottom"/>
            <w:shd w:val="clear" w:color="auto" w:fill="CCFFCC"/>
          </w:tcPr>
          <w:p>
            <w:pPr>
              <w:spacing w:after="0"/>
              <w:rPr>
                <w:sz w:val="21"/>
                <w:szCs w:val="21"/>
                <w:color w:val="auto"/>
              </w:rPr>
            </w:pPr>
          </w:p>
        </w:tc>
        <w:tc>
          <w:tcPr>
            <w:tcW w:w="900" w:type="dxa"/>
            <w:vAlign w:val="bottom"/>
            <w:gridSpan w:val="4"/>
            <w:shd w:val="clear" w:color="auto" w:fill="CCFFCC"/>
          </w:tcPr>
          <w:p>
            <w:pPr>
              <w:jc w:val="right"/>
              <w:ind w:right="100"/>
              <w:spacing w:after="0" w:line="202" w:lineRule="exact"/>
              <w:rPr>
                <w:sz w:val="20"/>
                <w:szCs w:val="20"/>
                <w:color w:val="auto"/>
              </w:rPr>
            </w:pPr>
            <w:r>
              <w:rPr>
                <w:rFonts w:ascii="Arial" w:cs="Arial" w:eastAsia="Arial" w:hAnsi="Arial"/>
                <w:sz w:val="18"/>
                <w:szCs w:val="18"/>
                <w:color w:val="0000FF"/>
              </w:rPr>
              <w:t>37</w:t>
            </w:r>
          </w:p>
        </w:tc>
      </w:tr>
      <w:tr>
        <w:trPr>
          <w:trHeight w:val="459"/>
        </w:trPr>
        <w:tc>
          <w:tcPr>
            <w:tcW w:w="1040" w:type="dxa"/>
            <w:vAlign w:val="bottom"/>
            <w:tcBorders>
              <w:top w:val="single" w:sz="8" w:color="CCFFCC"/>
            </w:tcBorders>
          </w:tcPr>
          <w:p>
            <w:pPr>
              <w:spacing w:after="0"/>
              <w:rPr>
                <w:sz w:val="24"/>
                <w:szCs w:val="24"/>
                <w:color w:val="auto"/>
              </w:rPr>
            </w:pPr>
          </w:p>
        </w:tc>
        <w:tc>
          <w:tcPr>
            <w:tcW w:w="9480" w:type="dxa"/>
            <w:vAlign w:val="bottom"/>
            <w:tcBorders>
              <w:top w:val="single" w:sz="8" w:color="CCFFCC"/>
            </w:tcBorders>
          </w:tcPr>
          <w:p>
            <w:pPr>
              <w:ind w:left="4620"/>
              <w:spacing w:after="0"/>
              <w:rPr>
                <w:sz w:val="20"/>
                <w:szCs w:val="20"/>
                <w:color w:val="auto"/>
              </w:rPr>
            </w:pPr>
            <w:r>
              <w:rPr>
                <w:rFonts w:ascii="Arial" w:cs="Arial" w:eastAsia="Arial" w:hAnsi="Arial"/>
                <w:sz w:val="18"/>
                <w:szCs w:val="18"/>
                <w:color w:val="auto"/>
              </w:rPr>
              <w:t>2</w:t>
            </w: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STATEMENTS IN THIS REPORT ABOUT LIVEPERSON, INC.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COMPANY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2014</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(Note 1)</w:t>
            </w:r>
          </w:p>
        </w:tc>
      </w:tr>
      <w:tr>
        <w:trPr>
          <w:trHeight w:val="25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FFCC"/>
            </w:tcBorders>
            <w:shd w:val="clear" w:color="auto" w:fill="CCFFCC"/>
          </w:tcPr>
          <w:p>
            <w:pPr>
              <w:spacing w:after="0"/>
              <w:rPr>
                <w:sz w:val="22"/>
                <w:szCs w:val="22"/>
                <w:color w:val="auto"/>
              </w:rPr>
            </w:pPr>
          </w:p>
        </w:tc>
        <w:tc>
          <w:tcPr>
            <w:tcW w:w="13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40,844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49,372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Cash held as collateral</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5,400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340" w:type="dxa"/>
            <w:vAlign w:val="bottom"/>
            <w:shd w:val="clear" w:color="auto" w:fill="CCFFCC"/>
          </w:tcPr>
          <w:p>
            <w:pPr>
              <w:ind w:left="180"/>
              <w:spacing w:after="0"/>
              <w:rPr>
                <w:sz w:val="20"/>
                <w:szCs w:val="20"/>
                <w:color w:val="auto"/>
              </w:rPr>
            </w:pPr>
            <w:r>
              <w:rPr>
                <w:rFonts w:ascii="Arial" w:cs="Arial" w:eastAsia="Arial" w:hAnsi="Arial"/>
                <w:sz w:val="16"/>
                <w:szCs w:val="16"/>
                <w:color w:val="auto"/>
                <w:w w:val="93"/>
              </w:rPr>
              <w:t>Accounts receivable, net of allowance for doubtful accounts of $1,998 and $1,275 as of September 30, 2015 and December</w:t>
            </w:r>
          </w:p>
        </w:tc>
        <w:tc>
          <w:tcPr>
            <w:tcW w:w="200" w:type="dxa"/>
            <w:vAlign w:val="bottom"/>
            <w:shd w:val="clear" w:color="auto" w:fill="CCFFCC"/>
          </w:tcPr>
          <w:p>
            <w:pPr>
              <w:spacing w:after="0"/>
              <w:rPr>
                <w:sz w:val="19"/>
                <w:szCs w:val="19"/>
                <w:color w:val="auto"/>
              </w:rPr>
            </w:pPr>
          </w:p>
        </w:tc>
        <w:tc>
          <w:tcPr>
            <w:tcW w:w="13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r>
      <w:tr>
        <w:trPr>
          <w:trHeight w:val="219"/>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31, 2014, respectively</w:t>
            </w:r>
          </w:p>
        </w:tc>
        <w:tc>
          <w:tcPr>
            <w:tcW w:w="200" w:type="dxa"/>
            <w:vAlign w:val="bottom"/>
            <w:tcBorders>
              <w:bottom w:val="single" w:sz="8" w:color="CCFFCC"/>
            </w:tcBorders>
            <w:shd w:val="clear" w:color="auto" w:fill="CCFFCC"/>
          </w:tcPr>
          <w:p>
            <w:pPr>
              <w:spacing w:after="0"/>
              <w:rPr>
                <w:sz w:val="19"/>
                <w:szCs w:val="19"/>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32,443</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31,382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11,333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10,374</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tax assets, net</w:t>
            </w:r>
          </w:p>
        </w:tc>
        <w:tc>
          <w:tcPr>
            <w:tcW w:w="20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2,675</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2,575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92,695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93,703</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22,305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19,583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Intangibles, net</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26,809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32,620</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80,387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80,848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tax assets, net</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12,824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10,762</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2,216</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2,301</w:t>
            </w:r>
          </w:p>
        </w:tc>
      </w:tr>
      <w:tr>
        <w:trPr>
          <w:trHeight w:val="284"/>
        </w:trPr>
        <w:tc>
          <w:tcPr>
            <w:tcW w:w="834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237,236</w:t>
            </w:r>
          </w:p>
        </w:tc>
        <w:tc>
          <w:tcPr>
            <w:tcW w:w="120" w:type="dxa"/>
            <w:vAlign w:val="bottom"/>
            <w:tcBorders>
              <w:bottom w:val="single" w:sz="8" w:color="CCFFCC"/>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239,817</w:t>
            </w:r>
          </w:p>
        </w:tc>
      </w:tr>
      <w:tr>
        <w:trPr>
          <w:trHeight w:val="311"/>
        </w:trPr>
        <w:tc>
          <w:tcPr>
            <w:tcW w:w="834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3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260" w:type="dxa"/>
            <w:vAlign w:val="bottom"/>
            <w:shd w:val="clear" w:color="auto" w:fill="CCFFCC"/>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6,769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8,985</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36,902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37,772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10,296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11,992</w:t>
            </w:r>
          </w:p>
        </w:tc>
      </w:tr>
      <w:tr>
        <w:trPr>
          <w:trHeight w:val="33"/>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FFCC"/>
            </w:tcBorders>
            <w:shd w:val="clear" w:color="auto" w:fill="CCFFCC"/>
          </w:tcPr>
          <w:p>
            <w:pPr>
              <w:spacing w:after="0"/>
              <w:rPr>
                <w:sz w:val="20"/>
                <w:szCs w:val="20"/>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53,967</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58,749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731</w:t>
            </w:r>
          </w:p>
        </w:tc>
      </w:tr>
      <w:tr>
        <w:trPr>
          <w:trHeight w:val="33"/>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54,556</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59,480</w:t>
            </w:r>
          </w:p>
        </w:tc>
      </w:tr>
      <w:tr>
        <w:trPr>
          <w:trHeight w:val="318"/>
        </w:trPr>
        <w:tc>
          <w:tcPr>
            <w:tcW w:w="8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Commitments and contingencies (See Note 10)</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 (See Note 11):</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Common stock</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283,179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274,046</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Treasury stock</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(98,114)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(92,627)</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(2,441)</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(1,138)</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182,680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180,337</w:t>
            </w:r>
          </w:p>
        </w:tc>
      </w:tr>
      <w:tr>
        <w:trPr>
          <w:trHeight w:val="33"/>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237,236</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239,817</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6"/>
                <w:szCs w:val="16"/>
                <w:color w:val="auto"/>
              </w:rPr>
            </w:pPr>
          </w:p>
        </w:tc>
        <w:tc>
          <w:tcPr>
            <w:tcW w:w="180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6"/>
                <w:szCs w:val="16"/>
                <w:color w:val="auto"/>
              </w:rPr>
            </w:pPr>
          </w:p>
        </w:tc>
      </w:tr>
      <w:tr>
        <w:trPr>
          <w:trHeight w:val="276"/>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left="503"/>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24"/>
                <w:szCs w:val="24"/>
                <w:color w:val="auto"/>
              </w:rPr>
            </w:pPr>
          </w:p>
        </w:tc>
      </w:tr>
      <w:tr>
        <w:trPr>
          <w:trHeight w:val="264"/>
        </w:trPr>
        <w:tc>
          <w:tcPr>
            <w:tcW w:w="5500" w:type="dxa"/>
            <w:vAlign w:val="bottom"/>
            <w:tcBorders>
              <w:bottom w:val="single" w:sz="8" w:color="CCFFC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FFC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w w:val="89"/>
              </w:rPr>
              <w:t>2014</w:t>
            </w:r>
          </w:p>
        </w:tc>
      </w:tr>
      <w:tr>
        <w:trPr>
          <w:trHeight w:val="256"/>
        </w:trPr>
        <w:tc>
          <w:tcPr>
            <w:tcW w:w="55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60,757</w:t>
            </w:r>
          </w:p>
        </w:tc>
        <w:tc>
          <w:tcPr>
            <w:tcW w:w="120" w:type="dxa"/>
            <w:vAlign w:val="bottom"/>
            <w:tcBorders>
              <w:bottom w:val="single" w:sz="8" w:color="CCFFCC"/>
            </w:tcBorders>
            <w:shd w:val="clear" w:color="auto" w:fill="CCFFCC"/>
          </w:tcPr>
          <w:p>
            <w:pPr>
              <w:spacing w:after="0"/>
              <w:rPr>
                <w:sz w:val="22"/>
                <w:szCs w:val="22"/>
                <w:color w:val="auto"/>
              </w:rPr>
            </w:pPr>
          </w:p>
        </w:tc>
        <w:tc>
          <w:tcPr>
            <w:tcW w:w="3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52,787</w:t>
            </w:r>
          </w:p>
        </w:tc>
        <w:tc>
          <w:tcPr>
            <w:tcW w:w="12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179,861</w:t>
            </w:r>
          </w:p>
        </w:tc>
        <w:tc>
          <w:tcPr>
            <w:tcW w:w="100" w:type="dxa"/>
            <w:vAlign w:val="bottom"/>
            <w:tcBorders>
              <w:bottom w:val="single" w:sz="8" w:color="CCFFCC"/>
            </w:tcBorders>
            <w:shd w:val="clear" w:color="auto" w:fill="CCFFCC"/>
          </w:tcPr>
          <w:p>
            <w:pPr>
              <w:spacing w:after="0"/>
              <w:rPr>
                <w:sz w:val="22"/>
                <w:szCs w:val="22"/>
                <w:color w:val="auto"/>
              </w:rPr>
            </w:pPr>
          </w:p>
        </w:tc>
        <w:tc>
          <w:tcPr>
            <w:tcW w:w="5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151,702</w:t>
            </w:r>
          </w:p>
        </w:tc>
      </w:tr>
      <w:tr>
        <w:trPr>
          <w:trHeight w:val="250"/>
        </w:trPr>
        <w:tc>
          <w:tcPr>
            <w:tcW w:w="5500" w:type="dxa"/>
            <w:vAlign w:val="bottom"/>
          </w:tcPr>
          <w:p>
            <w:pPr>
              <w:ind w:left="40"/>
              <w:spacing w:after="0"/>
              <w:rPr>
                <w:sz w:val="20"/>
                <w:szCs w:val="20"/>
                <w:color w:val="auto"/>
              </w:rPr>
            </w:pPr>
            <w:r>
              <w:rPr>
                <w:rFonts w:ascii="Arial" w:cs="Arial" w:eastAsia="Arial" w:hAnsi="Arial"/>
                <w:sz w:val="16"/>
                <w:szCs w:val="16"/>
                <w:color w:val="auto"/>
              </w:rPr>
              <w:t xml:space="preserve">Costs and expenses </w:t>
            </w:r>
            <w:r>
              <w:rPr>
                <w:rFonts w:ascii="Arial" w:cs="Arial" w:eastAsia="Arial" w:hAnsi="Arial"/>
                <w:sz w:val="21"/>
                <w:szCs w:val="21"/>
                <w:color w:val="auto"/>
                <w:vertAlign w:val="superscript"/>
              </w:rPr>
              <w:t>(1) (2)</w:t>
            </w: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70"/>
        </w:trPr>
        <w:tc>
          <w:tcPr>
            <w:tcW w:w="55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(3)</w:t>
            </w:r>
          </w:p>
        </w:tc>
        <w:tc>
          <w:tcPr>
            <w:tcW w:w="320" w:type="dxa"/>
            <w:vAlign w:val="bottom"/>
            <w:shd w:val="clear" w:color="auto" w:fill="CCFFCC"/>
          </w:tcPr>
          <w:p>
            <w:pPr>
              <w:spacing w:after="0"/>
              <w:rPr>
                <w:sz w:val="23"/>
                <w:szCs w:val="23"/>
                <w:color w:val="auto"/>
              </w:rPr>
            </w:pPr>
          </w:p>
        </w:tc>
        <w:tc>
          <w:tcPr>
            <w:tcW w:w="108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16,937</w:t>
            </w:r>
          </w:p>
        </w:tc>
        <w:tc>
          <w:tcPr>
            <w:tcW w:w="120" w:type="dxa"/>
            <w:vAlign w:val="bottom"/>
            <w:shd w:val="clear" w:color="auto" w:fill="CCFFCC"/>
          </w:tcPr>
          <w:p>
            <w:pPr>
              <w:spacing w:after="0"/>
              <w:rPr>
                <w:sz w:val="23"/>
                <w:szCs w:val="23"/>
                <w:color w:val="auto"/>
              </w:rPr>
            </w:pPr>
          </w:p>
        </w:tc>
        <w:tc>
          <w:tcPr>
            <w:tcW w:w="38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13,304</w:t>
            </w: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jc w:val="right"/>
              <w:ind w:right="41"/>
              <w:spacing w:after="0"/>
              <w:rPr>
                <w:sz w:val="20"/>
                <w:szCs w:val="20"/>
                <w:color w:val="auto"/>
              </w:rPr>
            </w:pPr>
            <w:r>
              <w:rPr>
                <w:rFonts w:ascii="Arial" w:cs="Arial" w:eastAsia="Arial" w:hAnsi="Arial"/>
                <w:sz w:val="16"/>
                <w:szCs w:val="16"/>
                <w:color w:val="auto"/>
              </w:rPr>
              <w:t>51,078</w:t>
            </w:r>
          </w:p>
        </w:tc>
        <w:tc>
          <w:tcPr>
            <w:tcW w:w="10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1"/>
              <w:spacing w:after="0"/>
              <w:rPr>
                <w:sz w:val="20"/>
                <w:szCs w:val="20"/>
                <w:color w:val="auto"/>
              </w:rPr>
            </w:pPr>
            <w:r>
              <w:rPr>
                <w:rFonts w:ascii="Arial" w:cs="Arial" w:eastAsia="Arial" w:hAnsi="Arial"/>
                <w:sz w:val="16"/>
                <w:szCs w:val="16"/>
                <w:color w:val="auto"/>
              </w:rPr>
              <w:t>38,200</w:t>
            </w:r>
          </w:p>
        </w:tc>
      </w:tr>
      <w:tr>
        <w:trPr>
          <w:trHeight w:val="237"/>
        </w:trPr>
        <w:tc>
          <w:tcPr>
            <w:tcW w:w="550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20"/>
                <w:szCs w:val="20"/>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23,286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20,978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71,962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59,449</w:t>
            </w: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7,875</w:t>
            </w:r>
          </w:p>
        </w:tc>
        <w:tc>
          <w:tcPr>
            <w:tcW w:w="120" w:type="dxa"/>
            <w:vAlign w:val="bottom"/>
            <w:tcBorders>
              <w:bottom w:val="single" w:sz="8" w:color="CCFFCC"/>
            </w:tcBorders>
            <w:shd w:val="clear" w:color="auto" w:fill="CCFFCC"/>
          </w:tcPr>
          <w:p>
            <w:pPr>
              <w:spacing w:after="0"/>
              <w:rPr>
                <w:sz w:val="21"/>
                <w:szCs w:val="21"/>
                <w:color w:val="auto"/>
              </w:rPr>
            </w:pPr>
          </w:p>
        </w:tc>
        <w:tc>
          <w:tcPr>
            <w:tcW w:w="38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8,787</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28,511</w:t>
            </w:r>
          </w:p>
        </w:tc>
        <w:tc>
          <w:tcPr>
            <w:tcW w:w="10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28,074</w:t>
            </w:r>
          </w:p>
        </w:tc>
      </w:tr>
      <w:tr>
        <w:trPr>
          <w:trHeight w:val="237"/>
        </w:trPr>
        <w:tc>
          <w:tcPr>
            <w:tcW w:w="550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320" w:type="dxa"/>
            <w:vAlign w:val="bottom"/>
          </w:tcPr>
          <w:p>
            <w:pPr>
              <w:spacing w:after="0"/>
              <w:rPr>
                <w:sz w:val="20"/>
                <w:szCs w:val="20"/>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9,567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9,712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29,476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27,999</w:t>
            </w: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Restructuring costs</w:t>
            </w:r>
          </w:p>
        </w:tc>
        <w:tc>
          <w:tcPr>
            <w:tcW w:w="32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2,988</w:t>
            </w:r>
          </w:p>
        </w:tc>
        <w:tc>
          <w:tcPr>
            <w:tcW w:w="10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5500" w:type="dxa"/>
            <w:vAlign w:val="bottom"/>
          </w:tcPr>
          <w:p>
            <w:pPr>
              <w:ind w:left="180"/>
              <w:spacing w:after="0"/>
              <w:rPr>
                <w:sz w:val="20"/>
                <w:szCs w:val="20"/>
                <w:color w:val="auto"/>
              </w:rPr>
            </w:pPr>
            <w:r>
              <w:rPr>
                <w:rFonts w:ascii="Arial" w:cs="Arial" w:eastAsia="Arial" w:hAnsi="Arial"/>
                <w:sz w:val="16"/>
                <w:szCs w:val="16"/>
                <w:color w:val="auto"/>
              </w:rPr>
              <w:t>Amortization of purchased intangibles</w:t>
            </w:r>
          </w:p>
        </w:tc>
        <w:tc>
          <w:tcPr>
            <w:tcW w:w="320" w:type="dxa"/>
            <w:vAlign w:val="bottom"/>
          </w:tcPr>
          <w:p>
            <w:pPr>
              <w:spacing w:after="0"/>
              <w:rPr>
                <w:sz w:val="20"/>
                <w:szCs w:val="20"/>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3,683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803</w:t>
            </w:r>
          </w:p>
        </w:tc>
      </w:tr>
      <w:tr>
        <w:trPr>
          <w:trHeight w:val="33"/>
        </w:trPr>
        <w:tc>
          <w:tcPr>
            <w:tcW w:w="55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5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costs and expenses</w:t>
            </w:r>
          </w:p>
        </w:tc>
        <w:tc>
          <w:tcPr>
            <w:tcW w:w="32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58,858</w:t>
            </w:r>
          </w:p>
        </w:tc>
        <w:tc>
          <w:tcPr>
            <w:tcW w:w="120" w:type="dxa"/>
            <w:vAlign w:val="bottom"/>
            <w:tcBorders>
              <w:bottom w:val="single" w:sz="8" w:color="CCFFCC"/>
            </w:tcBorders>
            <w:shd w:val="clear" w:color="auto" w:fill="CCFFCC"/>
          </w:tcPr>
          <w:p>
            <w:pPr>
              <w:spacing w:after="0"/>
              <w:rPr>
                <w:sz w:val="21"/>
                <w:szCs w:val="21"/>
                <w:color w:val="auto"/>
              </w:rPr>
            </w:pPr>
          </w:p>
        </w:tc>
        <w:tc>
          <w:tcPr>
            <w:tcW w:w="38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53,188</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187,698</w:t>
            </w:r>
          </w:p>
        </w:tc>
        <w:tc>
          <w:tcPr>
            <w:tcW w:w="10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154,525</w:t>
            </w:r>
          </w:p>
        </w:tc>
      </w:tr>
      <w:tr>
        <w:trPr>
          <w:trHeight w:val="217"/>
        </w:trPr>
        <w:tc>
          <w:tcPr>
            <w:tcW w:w="5500" w:type="dxa"/>
            <w:vAlign w:val="bottom"/>
          </w:tcPr>
          <w:p>
            <w:pPr>
              <w:ind w:left="40"/>
              <w:spacing w:after="0"/>
              <w:rPr>
                <w:sz w:val="20"/>
                <w:szCs w:val="20"/>
                <w:color w:val="auto"/>
              </w:rPr>
            </w:pPr>
            <w:r>
              <w:rPr>
                <w:rFonts w:ascii="Arial" w:cs="Arial" w:eastAsia="Arial" w:hAnsi="Arial"/>
                <w:sz w:val="16"/>
                <w:szCs w:val="16"/>
                <w:color w:val="auto"/>
              </w:rPr>
              <w:t>Income (loss) from operations</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1,899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(7,837)</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(2,823)</w:t>
            </w: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(expense) income</w:t>
            </w:r>
          </w:p>
        </w:tc>
        <w:tc>
          <w:tcPr>
            <w:tcW w:w="32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FFCC"/>
            </w:tcBorders>
            <w:shd w:val="clear" w:color="auto" w:fill="CCFFCC"/>
          </w:tcPr>
          <w:p>
            <w:pPr>
              <w:spacing w:after="0"/>
              <w:rPr>
                <w:sz w:val="23"/>
                <w:szCs w:val="23"/>
                <w:color w:val="auto"/>
              </w:rPr>
            </w:pPr>
          </w:p>
        </w:tc>
        <w:tc>
          <w:tcPr>
            <w:tcW w:w="38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FFCC"/>
            </w:tcBorders>
            <w:shd w:val="clear" w:color="auto" w:fill="CCFFCC"/>
          </w:tcPr>
          <w:p>
            <w:pPr>
              <w:spacing w:after="0"/>
              <w:rPr>
                <w:sz w:val="23"/>
                <w:szCs w:val="23"/>
                <w:color w:val="auto"/>
              </w:rPr>
            </w:pPr>
          </w:p>
        </w:tc>
        <w:tc>
          <w:tcPr>
            <w:tcW w:w="58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184</w:t>
            </w:r>
          </w:p>
        </w:tc>
      </w:tr>
      <w:tr>
        <w:trPr>
          <w:trHeight w:val="200"/>
        </w:trPr>
        <w:tc>
          <w:tcPr>
            <w:tcW w:w="5500" w:type="dxa"/>
            <w:vAlign w:val="bottom"/>
          </w:tcPr>
          <w:p>
            <w:pPr>
              <w:ind w:left="40"/>
              <w:spacing w:after="0"/>
              <w:rPr>
                <w:sz w:val="20"/>
                <w:szCs w:val="20"/>
                <w:color w:val="auto"/>
              </w:rPr>
            </w:pPr>
            <w:r>
              <w:rPr>
                <w:rFonts w:ascii="Arial" w:cs="Arial" w:eastAsia="Arial" w:hAnsi="Arial"/>
                <w:sz w:val="16"/>
                <w:szCs w:val="16"/>
                <w:color w:val="auto"/>
              </w:rPr>
              <w:t>Income (loss) before (benefit from) provision for income</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06"/>
        </w:trPr>
        <w:tc>
          <w:tcPr>
            <w:tcW w:w="5500" w:type="dxa"/>
            <w:vAlign w:val="bottom"/>
          </w:tcPr>
          <w:p>
            <w:pPr>
              <w:ind w:left="40"/>
              <w:spacing w:after="0"/>
              <w:rPr>
                <w:sz w:val="20"/>
                <w:szCs w:val="20"/>
                <w:color w:val="auto"/>
              </w:rPr>
            </w:pPr>
            <w:r>
              <w:rPr>
                <w:rFonts w:ascii="Arial" w:cs="Arial" w:eastAsia="Arial" w:hAnsi="Arial"/>
                <w:sz w:val="16"/>
                <w:szCs w:val="16"/>
                <w:color w:val="auto"/>
              </w:rPr>
              <w:t>taxes</w:t>
            </w:r>
          </w:p>
        </w:tc>
        <w:tc>
          <w:tcPr>
            <w:tcW w:w="320" w:type="dxa"/>
            <w:vAlign w:val="bottom"/>
          </w:tcPr>
          <w:p>
            <w:pPr>
              <w:spacing w:after="0"/>
              <w:rPr>
                <w:sz w:val="17"/>
                <w:szCs w:val="17"/>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(8,208)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(2,639)</w:t>
            </w: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32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FFCC"/>
            </w:tcBorders>
            <w:shd w:val="clear" w:color="auto" w:fill="CCFFCC"/>
          </w:tcPr>
          <w:p>
            <w:pPr>
              <w:spacing w:after="0"/>
              <w:rPr>
                <w:sz w:val="23"/>
                <w:szCs w:val="23"/>
                <w:color w:val="auto"/>
              </w:rPr>
            </w:pPr>
          </w:p>
        </w:tc>
        <w:tc>
          <w:tcPr>
            <w:tcW w:w="38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962</w:t>
            </w:r>
          </w:p>
        </w:tc>
        <w:tc>
          <w:tcPr>
            <w:tcW w:w="12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(2,721)</w:t>
            </w:r>
          </w:p>
        </w:tc>
        <w:tc>
          <w:tcPr>
            <w:tcW w:w="100" w:type="dxa"/>
            <w:vAlign w:val="bottom"/>
            <w:tcBorders>
              <w:bottom w:val="single" w:sz="8" w:color="CCFFCC"/>
            </w:tcBorders>
            <w:shd w:val="clear" w:color="auto" w:fill="CCFFCC"/>
          </w:tcPr>
          <w:p>
            <w:pPr>
              <w:spacing w:after="0"/>
              <w:rPr>
                <w:sz w:val="23"/>
                <w:szCs w:val="23"/>
                <w:color w:val="auto"/>
              </w:rPr>
            </w:pPr>
          </w:p>
        </w:tc>
        <w:tc>
          <w:tcPr>
            <w:tcW w:w="58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507</w:t>
            </w:r>
          </w:p>
        </w:tc>
      </w:tr>
      <w:tr>
        <w:trPr>
          <w:trHeight w:val="284"/>
        </w:trPr>
        <w:tc>
          <w:tcPr>
            <w:tcW w:w="550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1,925</w:t>
            </w:r>
          </w:p>
        </w:tc>
        <w:tc>
          <w:tcPr>
            <w:tcW w:w="120" w:type="dxa"/>
            <w:vAlign w:val="bottom"/>
            <w:tcBorders>
              <w:bottom w:val="single" w:sz="8" w:color="CCFFCC"/>
            </w:tcBorders>
          </w:tcPr>
          <w:p>
            <w:pPr>
              <w:spacing w:after="0"/>
              <w:rPr>
                <w:sz w:val="24"/>
                <w:szCs w:val="24"/>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(1,140)</w:t>
            </w:r>
          </w:p>
        </w:tc>
        <w:tc>
          <w:tcPr>
            <w:tcW w:w="120" w:type="dxa"/>
            <w:vAlign w:val="bottom"/>
            <w:tcBorders>
              <w:bottom w:val="single" w:sz="8" w:color="CCFFCC"/>
            </w:tcBorders>
          </w:tcPr>
          <w:p>
            <w:pPr>
              <w:spacing w:after="0"/>
              <w:rPr>
                <w:sz w:val="24"/>
                <w:szCs w:val="24"/>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(5,487)</w:t>
            </w:r>
          </w:p>
        </w:tc>
        <w:tc>
          <w:tcPr>
            <w:tcW w:w="100" w:type="dxa"/>
            <w:vAlign w:val="bottom"/>
            <w:tcBorders>
              <w:bottom w:val="single" w:sz="8" w:color="CCFFCC"/>
            </w:tcBorders>
          </w:tcPr>
          <w:p>
            <w:pPr>
              <w:spacing w:after="0"/>
              <w:rPr>
                <w:sz w:val="24"/>
                <w:szCs w:val="24"/>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(3,146)</w:t>
            </w:r>
          </w:p>
        </w:tc>
      </w:tr>
      <w:tr>
        <w:trPr>
          <w:trHeight w:val="284"/>
        </w:trPr>
        <w:tc>
          <w:tcPr>
            <w:tcW w:w="5500" w:type="dxa"/>
            <w:vAlign w:val="bottom"/>
            <w:shd w:val="clear" w:color="auto" w:fill="CCFFCC"/>
          </w:tcPr>
          <w:p>
            <w:pPr>
              <w:spacing w:after="0"/>
              <w:rPr>
                <w:sz w:val="24"/>
                <w:szCs w:val="24"/>
                <w:color w:val="auto"/>
              </w:rPr>
            </w:pPr>
          </w:p>
        </w:tc>
        <w:tc>
          <w:tcPr>
            <w:tcW w:w="320" w:type="dxa"/>
            <w:vAlign w:val="bottom"/>
            <w:shd w:val="clear" w:color="auto" w:fill="CCFFCC"/>
          </w:tcPr>
          <w:p>
            <w:pPr>
              <w:spacing w:after="0"/>
              <w:rPr>
                <w:sz w:val="24"/>
                <w:szCs w:val="24"/>
                <w:color w:val="auto"/>
              </w:rPr>
            </w:pPr>
          </w:p>
        </w:tc>
        <w:tc>
          <w:tcPr>
            <w:tcW w:w="10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Net income (loss) per share of common stock:</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FFCC"/>
            </w:tcBorders>
            <w:shd w:val="clear" w:color="auto" w:fill="CCFFCC"/>
          </w:tcPr>
          <w:p>
            <w:pPr>
              <w:spacing w:after="0"/>
              <w:rPr>
                <w:sz w:val="21"/>
                <w:szCs w:val="21"/>
                <w:color w:val="auto"/>
              </w:rPr>
            </w:pPr>
          </w:p>
        </w:tc>
        <w:tc>
          <w:tcPr>
            <w:tcW w:w="38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(0.06)</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7"/>
        </w:trPr>
        <w:tc>
          <w:tcPr>
            <w:tcW w:w="55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FFCC"/>
            </w:tcBorders>
          </w:tcPr>
          <w:p>
            <w:pPr>
              <w:spacing w:after="0"/>
              <w:rPr>
                <w:sz w:val="24"/>
                <w:szCs w:val="2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FFCC"/>
            </w:tcBorders>
          </w:tcPr>
          <w:p>
            <w:pPr>
              <w:spacing w:after="0"/>
              <w:rPr>
                <w:sz w:val="24"/>
                <w:szCs w:val="2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r>
      <w:tr>
        <w:trPr>
          <w:trHeight w:val="284"/>
        </w:trPr>
        <w:tc>
          <w:tcPr>
            <w:tcW w:w="5500" w:type="dxa"/>
            <w:vAlign w:val="bottom"/>
            <w:shd w:val="clear" w:color="auto" w:fill="CCFFCC"/>
          </w:tcPr>
          <w:p>
            <w:pPr>
              <w:spacing w:after="0"/>
              <w:rPr>
                <w:sz w:val="24"/>
                <w:szCs w:val="24"/>
                <w:color w:val="auto"/>
              </w:rPr>
            </w:pPr>
          </w:p>
        </w:tc>
        <w:tc>
          <w:tcPr>
            <w:tcW w:w="320" w:type="dxa"/>
            <w:vAlign w:val="bottom"/>
            <w:shd w:val="clear" w:color="auto" w:fill="CCFFCC"/>
          </w:tcPr>
          <w:p>
            <w:pPr>
              <w:spacing w:after="0"/>
              <w:rPr>
                <w:sz w:val="24"/>
                <w:szCs w:val="24"/>
                <w:color w:val="auto"/>
              </w:rPr>
            </w:pPr>
          </w:p>
        </w:tc>
        <w:tc>
          <w:tcPr>
            <w:tcW w:w="10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Weighted-average shares used to compute net income (loss) per share:</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56,525,647</w:t>
            </w:r>
          </w:p>
        </w:tc>
        <w:tc>
          <w:tcPr>
            <w:tcW w:w="120" w:type="dxa"/>
            <w:vAlign w:val="bottom"/>
            <w:tcBorders>
              <w:bottom w:val="single" w:sz="8" w:color="CCFFCC"/>
            </w:tcBorders>
            <w:shd w:val="clear" w:color="auto" w:fill="CCFFCC"/>
          </w:tcPr>
          <w:p>
            <w:pPr>
              <w:spacing w:after="0"/>
              <w:rPr>
                <w:sz w:val="21"/>
                <w:szCs w:val="21"/>
                <w:color w:val="auto"/>
              </w:rPr>
            </w:pPr>
          </w:p>
        </w:tc>
        <w:tc>
          <w:tcPr>
            <w:tcW w:w="38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w w:val="94"/>
              </w:rPr>
              <w:t>53,868,124</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56,437,198</w:t>
            </w:r>
          </w:p>
        </w:tc>
        <w:tc>
          <w:tcPr>
            <w:tcW w:w="10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w w:val="94"/>
              </w:rPr>
              <w:t>54,238,536</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7"/>
        </w:trPr>
        <w:tc>
          <w:tcPr>
            <w:tcW w:w="55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57,084,437</w:t>
            </w:r>
          </w:p>
        </w:tc>
        <w:tc>
          <w:tcPr>
            <w:tcW w:w="120" w:type="dxa"/>
            <w:vAlign w:val="bottom"/>
            <w:tcBorders>
              <w:bottom w:val="single" w:sz="8" w:color="CCFFCC"/>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4"/>
              </w:rPr>
              <w:t>53,868,124</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56,437,198</w:t>
            </w:r>
          </w:p>
        </w:tc>
        <w:tc>
          <w:tcPr>
            <w:tcW w:w="100" w:type="dxa"/>
            <w:vAlign w:val="bottom"/>
            <w:tcBorders>
              <w:bottom w:val="single" w:sz="8" w:color="CCFFCC"/>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4"/>
              </w:rPr>
              <w:t>54,238,536</w:t>
            </w:r>
          </w:p>
        </w:tc>
      </w:tr>
      <w:tr>
        <w:trPr>
          <w:trHeight w:val="284"/>
        </w:trPr>
        <w:tc>
          <w:tcPr>
            <w:tcW w:w="5500" w:type="dxa"/>
            <w:vAlign w:val="bottom"/>
            <w:shd w:val="clear" w:color="auto" w:fill="CCFFCC"/>
          </w:tcPr>
          <w:p>
            <w:pPr>
              <w:spacing w:after="0"/>
              <w:rPr>
                <w:sz w:val="24"/>
                <w:szCs w:val="24"/>
                <w:color w:val="auto"/>
              </w:rPr>
            </w:pPr>
          </w:p>
        </w:tc>
        <w:tc>
          <w:tcPr>
            <w:tcW w:w="320" w:type="dxa"/>
            <w:vAlign w:val="bottom"/>
            <w:shd w:val="clear" w:color="auto" w:fill="CCFFCC"/>
          </w:tcPr>
          <w:p>
            <w:pPr>
              <w:spacing w:after="0"/>
              <w:rPr>
                <w:sz w:val="24"/>
                <w:szCs w:val="24"/>
                <w:color w:val="auto"/>
              </w:rPr>
            </w:pPr>
          </w:p>
        </w:tc>
        <w:tc>
          <w:tcPr>
            <w:tcW w:w="10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97"/>
        </w:trPr>
        <w:tc>
          <w:tcPr>
            <w:tcW w:w="5500" w:type="dxa"/>
            <w:vAlign w:val="bottom"/>
            <w:tcBorders>
              <w:bottom w:val="single" w:sz="8" w:color="auto"/>
            </w:tcBorders>
          </w:tcPr>
          <w:p>
            <w:pPr>
              <w:spacing w:after="0"/>
              <w:rPr>
                <w:sz w:val="24"/>
                <w:szCs w:val="24"/>
                <w:color w:val="auto"/>
              </w:rPr>
            </w:pPr>
          </w:p>
        </w:tc>
        <w:tc>
          <w:tcPr>
            <w:tcW w:w="320" w:type="dxa"/>
            <w:vAlign w:val="bottom"/>
            <w:tcBorders>
              <w:bottom w:val="single" w:sz="8" w:color="CCFFCC"/>
            </w:tcBorders>
          </w:tcPr>
          <w:p>
            <w:pPr>
              <w:spacing w:after="0"/>
              <w:rPr>
                <w:sz w:val="24"/>
                <w:szCs w:val="24"/>
                <w:color w:val="auto"/>
              </w:rPr>
            </w:pPr>
          </w:p>
        </w:tc>
        <w:tc>
          <w:tcPr>
            <w:tcW w:w="1080" w:type="dxa"/>
            <w:vAlign w:val="bottom"/>
            <w:tcBorders>
              <w:bottom w:val="single" w:sz="8" w:color="CCFFCC"/>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38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CCFFCC"/>
            </w:tcBorders>
          </w:tcPr>
          <w:p>
            <w:pPr>
              <w:spacing w:after="0"/>
              <w:rPr>
                <w:sz w:val="24"/>
                <w:szCs w:val="24"/>
                <w:color w:val="auto"/>
              </w:rPr>
            </w:pPr>
          </w:p>
        </w:tc>
        <w:tc>
          <w:tcPr>
            <w:tcW w:w="112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58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r>
      <w:tr>
        <w:trPr>
          <w:trHeight w:val="250"/>
        </w:trPr>
        <w:tc>
          <w:tcPr>
            <w:tcW w:w="55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Amounts include stock-based compensation expense, as follows:</w:t>
            </w:r>
          </w:p>
        </w:tc>
        <w:tc>
          <w:tcPr>
            <w:tcW w:w="32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r>
      <w:tr>
        <w:trPr>
          <w:trHeight w:val="264"/>
        </w:trPr>
        <w:tc>
          <w:tcPr>
            <w:tcW w:w="55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3"/>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2"/>
                <w:szCs w:val="22"/>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1,209</w:t>
            </w:r>
          </w:p>
        </w:tc>
      </w:tr>
      <w:tr>
        <w:trPr>
          <w:trHeight w:val="276"/>
        </w:trPr>
        <w:tc>
          <w:tcPr>
            <w:tcW w:w="55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320" w:type="dxa"/>
            <w:vAlign w:val="bottom"/>
            <w:shd w:val="clear" w:color="auto" w:fill="CCFFCC"/>
          </w:tcPr>
          <w:p>
            <w:pPr>
              <w:spacing w:after="0"/>
              <w:rPr>
                <w:sz w:val="24"/>
                <w:szCs w:val="24"/>
                <w:color w:val="auto"/>
              </w:rPr>
            </w:pPr>
          </w:p>
        </w:tc>
        <w:tc>
          <w:tcPr>
            <w:tcW w:w="108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760</w:t>
            </w:r>
          </w:p>
        </w:tc>
        <w:tc>
          <w:tcPr>
            <w:tcW w:w="12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1,030</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41"/>
              <w:spacing w:after="0"/>
              <w:rPr>
                <w:sz w:val="20"/>
                <w:szCs w:val="20"/>
                <w:color w:val="auto"/>
              </w:rPr>
            </w:pPr>
            <w:r>
              <w:rPr>
                <w:rFonts w:ascii="Arial" w:cs="Arial" w:eastAsia="Arial" w:hAnsi="Arial"/>
                <w:sz w:val="16"/>
                <w:szCs w:val="16"/>
                <w:color w:val="auto"/>
              </w:rPr>
              <w:t>2,292</w:t>
            </w:r>
          </w:p>
        </w:tc>
        <w:tc>
          <w:tcPr>
            <w:tcW w:w="10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1"/>
              <w:spacing w:after="0"/>
              <w:rPr>
                <w:sz w:val="20"/>
                <w:szCs w:val="20"/>
                <w:color w:val="auto"/>
              </w:rPr>
            </w:pPr>
            <w:r>
              <w:rPr>
                <w:rFonts w:ascii="Arial" w:cs="Arial" w:eastAsia="Arial" w:hAnsi="Arial"/>
                <w:sz w:val="16"/>
                <w:szCs w:val="16"/>
                <w:color w:val="auto"/>
              </w:rPr>
              <w:t>2,766</w:t>
            </w:r>
          </w:p>
        </w:tc>
      </w:tr>
      <w:tr>
        <w:trPr>
          <w:trHeight w:val="264"/>
        </w:trPr>
        <w:tc>
          <w:tcPr>
            <w:tcW w:w="550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22"/>
                <w:szCs w:val="22"/>
                <w:color w:val="auto"/>
              </w:rPr>
            </w:pPr>
          </w:p>
        </w:tc>
        <w:tc>
          <w:tcPr>
            <w:tcW w:w="1080" w:type="dxa"/>
            <w:vAlign w:val="bottom"/>
          </w:tcPr>
          <w:p>
            <w:pPr>
              <w:jc w:val="right"/>
              <w:ind w:right="43"/>
              <w:spacing w:after="0"/>
              <w:rPr>
                <w:sz w:val="20"/>
                <w:szCs w:val="20"/>
                <w:color w:val="auto"/>
              </w:rPr>
            </w:pPr>
            <w:r>
              <w:rPr>
                <w:rFonts w:ascii="Arial" w:cs="Arial" w:eastAsia="Arial" w:hAnsi="Arial"/>
                <w:sz w:val="14"/>
                <w:szCs w:val="14"/>
                <w:color w:val="auto"/>
              </w:rPr>
              <w:t>911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1,088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2,590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2,800</w:t>
            </w:r>
          </w:p>
        </w:tc>
      </w:tr>
      <w:tr>
        <w:trPr>
          <w:trHeight w:val="276"/>
        </w:trPr>
        <w:tc>
          <w:tcPr>
            <w:tcW w:w="55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320" w:type="dxa"/>
            <w:vAlign w:val="bottom"/>
            <w:shd w:val="clear" w:color="auto" w:fill="CCFFCC"/>
          </w:tcPr>
          <w:p>
            <w:pPr>
              <w:spacing w:after="0"/>
              <w:rPr>
                <w:sz w:val="24"/>
                <w:szCs w:val="24"/>
                <w:color w:val="auto"/>
              </w:rPr>
            </w:pPr>
          </w:p>
        </w:tc>
        <w:tc>
          <w:tcPr>
            <w:tcW w:w="108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927</w:t>
            </w:r>
          </w:p>
        </w:tc>
        <w:tc>
          <w:tcPr>
            <w:tcW w:w="12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1,171</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41"/>
              <w:spacing w:after="0"/>
              <w:rPr>
                <w:sz w:val="20"/>
                <w:szCs w:val="20"/>
                <w:color w:val="auto"/>
              </w:rPr>
            </w:pPr>
            <w:r>
              <w:rPr>
                <w:rFonts w:ascii="Arial" w:cs="Arial" w:eastAsia="Arial" w:hAnsi="Arial"/>
                <w:sz w:val="16"/>
                <w:szCs w:val="16"/>
                <w:color w:val="auto"/>
              </w:rPr>
              <w:t>2,819</w:t>
            </w:r>
          </w:p>
        </w:tc>
        <w:tc>
          <w:tcPr>
            <w:tcW w:w="10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1"/>
              <w:spacing w:after="0"/>
              <w:rPr>
                <w:sz w:val="20"/>
                <w:szCs w:val="20"/>
                <w:color w:val="auto"/>
              </w:rPr>
            </w:pPr>
            <w:r>
              <w:rPr>
                <w:rFonts w:ascii="Arial" w:cs="Arial" w:eastAsia="Arial" w:hAnsi="Arial"/>
                <w:sz w:val="16"/>
                <w:szCs w:val="16"/>
                <w:color w:val="auto"/>
              </w:rPr>
              <w:t>2,783</w:t>
            </w:r>
          </w:p>
        </w:tc>
      </w:tr>
      <w:tr>
        <w:trPr>
          <w:trHeight w:val="270"/>
        </w:trPr>
        <w:tc>
          <w:tcPr>
            <w:tcW w:w="5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55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4"/>
                <w:szCs w:val="14"/>
                <w:color w:val="auto"/>
              </w:rPr>
              <w:t>Amounts include depreciation expense, as follows:</w:t>
            </w:r>
          </w:p>
        </w:tc>
        <w:tc>
          <w:tcPr>
            <w:tcW w:w="320" w:type="dxa"/>
            <w:vAlign w:val="bottom"/>
            <w:shd w:val="clear" w:color="auto" w:fill="CCFFCC"/>
          </w:tcPr>
          <w:p>
            <w:pPr>
              <w:spacing w:after="0"/>
              <w:rPr>
                <w:sz w:val="23"/>
                <w:szCs w:val="23"/>
                <w:color w:val="auto"/>
              </w:rPr>
            </w:pPr>
          </w:p>
        </w:tc>
        <w:tc>
          <w:tcPr>
            <w:tcW w:w="10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8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r>
      <w:tr>
        <w:trPr>
          <w:trHeight w:val="264"/>
        </w:trPr>
        <w:tc>
          <w:tcPr>
            <w:tcW w:w="55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3"/>
              <w:spacing w:after="0"/>
              <w:rPr>
                <w:sz w:val="20"/>
                <w:szCs w:val="20"/>
                <w:color w:val="auto"/>
              </w:rPr>
            </w:pPr>
            <w:r>
              <w:rPr>
                <w:rFonts w:ascii="Arial" w:cs="Arial" w:eastAsia="Arial" w:hAnsi="Arial"/>
                <w:sz w:val="14"/>
                <w:szCs w:val="14"/>
                <w:color w:val="auto"/>
              </w:rPr>
              <w:t>2,266</w:t>
            </w:r>
          </w:p>
        </w:tc>
        <w:tc>
          <w:tcPr>
            <w:tcW w:w="12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1,732</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1"/>
              <w:spacing w:after="0"/>
              <w:rPr>
                <w:sz w:val="20"/>
                <w:szCs w:val="20"/>
                <w:color w:val="auto"/>
              </w:rPr>
            </w:pPr>
            <w:r>
              <w:rPr>
                <w:rFonts w:ascii="Arial" w:cs="Arial" w:eastAsia="Arial" w:hAnsi="Arial"/>
                <w:sz w:val="14"/>
                <w:szCs w:val="14"/>
                <w:color w:val="auto"/>
              </w:rPr>
              <w:t>6,491</w:t>
            </w:r>
          </w:p>
        </w:tc>
        <w:tc>
          <w:tcPr>
            <w:tcW w:w="100" w:type="dxa"/>
            <w:vAlign w:val="bottom"/>
          </w:tcPr>
          <w:p>
            <w:pPr>
              <w:spacing w:after="0"/>
              <w:rPr>
                <w:sz w:val="22"/>
                <w:szCs w:val="22"/>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1"/>
              <w:spacing w:after="0"/>
              <w:rPr>
                <w:sz w:val="20"/>
                <w:szCs w:val="20"/>
                <w:color w:val="auto"/>
              </w:rPr>
            </w:pPr>
            <w:r>
              <w:rPr>
                <w:rFonts w:ascii="Arial" w:cs="Arial" w:eastAsia="Arial" w:hAnsi="Arial"/>
                <w:sz w:val="14"/>
                <w:szCs w:val="14"/>
                <w:color w:val="auto"/>
              </w:rPr>
              <w:t>4,776</w:t>
            </w:r>
          </w:p>
        </w:tc>
      </w:tr>
      <w:tr>
        <w:trPr>
          <w:trHeight w:val="276"/>
        </w:trPr>
        <w:tc>
          <w:tcPr>
            <w:tcW w:w="55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320" w:type="dxa"/>
            <w:vAlign w:val="bottom"/>
            <w:shd w:val="clear" w:color="auto" w:fill="CCFFCC"/>
          </w:tcPr>
          <w:p>
            <w:pPr>
              <w:spacing w:after="0"/>
              <w:rPr>
                <w:sz w:val="24"/>
                <w:szCs w:val="24"/>
                <w:color w:val="auto"/>
              </w:rPr>
            </w:pPr>
          </w:p>
        </w:tc>
        <w:tc>
          <w:tcPr>
            <w:tcW w:w="108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41"/>
              <w:spacing w:after="0"/>
              <w:rPr>
                <w:sz w:val="20"/>
                <w:szCs w:val="20"/>
                <w:color w:val="auto"/>
              </w:rPr>
            </w:pPr>
            <w:r>
              <w:rPr>
                <w:rFonts w:ascii="Arial" w:cs="Arial" w:eastAsia="Arial" w:hAnsi="Arial"/>
                <w:sz w:val="14"/>
                <w:szCs w:val="14"/>
                <w:color w:val="auto"/>
              </w:rPr>
              <w:t>819</w:t>
            </w:r>
          </w:p>
        </w:tc>
        <w:tc>
          <w:tcPr>
            <w:tcW w:w="10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1"/>
              <w:spacing w:after="0"/>
              <w:rPr>
                <w:sz w:val="20"/>
                <w:szCs w:val="20"/>
                <w:color w:val="auto"/>
              </w:rPr>
            </w:pPr>
            <w:r>
              <w:rPr>
                <w:rFonts w:ascii="Arial" w:cs="Arial" w:eastAsia="Arial" w:hAnsi="Arial"/>
                <w:sz w:val="14"/>
                <w:szCs w:val="14"/>
                <w:color w:val="auto"/>
              </w:rPr>
              <w:t>603</w:t>
            </w:r>
          </w:p>
        </w:tc>
      </w:tr>
      <w:tr>
        <w:trPr>
          <w:trHeight w:val="264"/>
        </w:trPr>
        <w:tc>
          <w:tcPr>
            <w:tcW w:w="550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22"/>
                <w:szCs w:val="22"/>
                <w:color w:val="auto"/>
              </w:rPr>
            </w:pPr>
          </w:p>
        </w:tc>
        <w:tc>
          <w:tcPr>
            <w:tcW w:w="1080" w:type="dxa"/>
            <w:vAlign w:val="bottom"/>
          </w:tcPr>
          <w:p>
            <w:pPr>
              <w:jc w:val="right"/>
              <w:ind w:right="43"/>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4"/>
                <w:szCs w:val="14"/>
                <w:color w:val="auto"/>
              </w:rPr>
              <w:t>651</w:t>
            </w:r>
          </w:p>
        </w:tc>
      </w:tr>
      <w:tr>
        <w:trPr>
          <w:trHeight w:val="276"/>
        </w:trPr>
        <w:tc>
          <w:tcPr>
            <w:tcW w:w="55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320" w:type="dxa"/>
            <w:vAlign w:val="bottom"/>
            <w:shd w:val="clear" w:color="auto" w:fill="CCFFCC"/>
          </w:tcPr>
          <w:p>
            <w:pPr>
              <w:spacing w:after="0"/>
              <w:rPr>
                <w:sz w:val="24"/>
                <w:szCs w:val="24"/>
                <w:color w:val="auto"/>
              </w:rPr>
            </w:pPr>
          </w:p>
        </w:tc>
        <w:tc>
          <w:tcPr>
            <w:tcW w:w="108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41"/>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21"/>
              <w:spacing w:after="0"/>
              <w:rPr>
                <w:sz w:val="20"/>
                <w:szCs w:val="20"/>
                <w:color w:val="auto"/>
              </w:rPr>
            </w:pPr>
            <w:r>
              <w:rPr>
                <w:rFonts w:ascii="Arial" w:cs="Arial" w:eastAsia="Arial" w:hAnsi="Arial"/>
                <w:sz w:val="14"/>
                <w:szCs w:val="14"/>
                <w:color w:val="auto"/>
              </w:rPr>
              <w:t>529</w:t>
            </w:r>
          </w:p>
        </w:tc>
      </w:tr>
      <w:tr>
        <w:trPr>
          <w:trHeight w:val="270"/>
        </w:trPr>
        <w:tc>
          <w:tcPr>
            <w:tcW w:w="5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55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(3) </w:t>
            </w:r>
            <w:r>
              <w:rPr>
                <w:rFonts w:ascii="Arial" w:cs="Arial" w:eastAsia="Arial" w:hAnsi="Arial"/>
                <w:sz w:val="14"/>
                <w:szCs w:val="14"/>
                <w:color w:val="auto"/>
              </w:rPr>
              <w:t>Amounts include amortization of purchased intangibles, as follows:</w:t>
            </w:r>
          </w:p>
        </w:tc>
        <w:tc>
          <w:tcPr>
            <w:tcW w:w="320" w:type="dxa"/>
            <w:vAlign w:val="bottom"/>
            <w:shd w:val="clear" w:color="auto" w:fill="CCFFCC"/>
          </w:tcPr>
          <w:p>
            <w:pPr>
              <w:spacing w:after="0"/>
              <w:rPr>
                <w:sz w:val="23"/>
                <w:szCs w:val="23"/>
                <w:color w:val="auto"/>
              </w:rPr>
            </w:pPr>
          </w:p>
        </w:tc>
        <w:tc>
          <w:tcPr>
            <w:tcW w:w="10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8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r>
      <w:tr>
        <w:trPr>
          <w:trHeight w:val="258"/>
        </w:trPr>
        <w:tc>
          <w:tcPr>
            <w:tcW w:w="55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3"/>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921</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1"/>
              <w:spacing w:after="0"/>
              <w:rPr>
                <w:sz w:val="20"/>
                <w:szCs w:val="20"/>
                <w:color w:val="auto"/>
              </w:rPr>
            </w:pPr>
            <w:r>
              <w:rPr>
                <w:rFonts w:ascii="Arial" w:cs="Arial" w:eastAsia="Arial" w:hAnsi="Arial"/>
                <w:sz w:val="14"/>
                <w:szCs w:val="14"/>
                <w:color w:val="auto"/>
              </w:rPr>
              <w:t>2,439</w:t>
            </w:r>
          </w:p>
        </w:tc>
        <w:tc>
          <w:tcPr>
            <w:tcW w:w="100" w:type="dxa"/>
            <w:vAlign w:val="bottom"/>
          </w:tcPr>
          <w:p>
            <w:pPr>
              <w:spacing w:after="0"/>
              <w:rPr>
                <w:sz w:val="22"/>
                <w:szCs w:val="22"/>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1"/>
              <w:spacing w:after="0"/>
              <w:rPr>
                <w:sz w:val="20"/>
                <w:szCs w:val="20"/>
                <w:color w:val="auto"/>
              </w:rPr>
            </w:pPr>
            <w:r>
              <w:rPr>
                <w:rFonts w:ascii="Arial" w:cs="Arial" w:eastAsia="Arial" w:hAnsi="Arial"/>
                <w:sz w:val="14"/>
                <w:szCs w:val="14"/>
                <w:color w:val="auto"/>
              </w:rPr>
              <w:t>2,658</w:t>
            </w: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69" w:right="239" w:bottom="1440" w:gutter="0" w:footer="0" w:header="0"/>
          <w:type w:val="continuous"/>
        </w:sectPr>
      </w:pPr>
    </w:p>
    <w:bookmarkStart w:id="5" w:name="page6"/>
    <w:bookmarkEnd w:id="5"/>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FFC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FFCC"/>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w w:val="83"/>
              </w:rPr>
              <w:t>2014</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w w:val="89"/>
              </w:rPr>
              <w:t>2014</w:t>
            </w:r>
          </w:p>
        </w:tc>
      </w:tr>
      <w:tr>
        <w:trPr>
          <w:trHeight w:val="236"/>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CCFFCC"/>
            </w:tcBorders>
            <w:shd w:val="clear" w:color="auto" w:fill="CCFFCC"/>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1,925</w:t>
            </w:r>
          </w:p>
        </w:tc>
        <w:tc>
          <w:tcPr>
            <w:tcW w:w="120" w:type="dxa"/>
            <w:vAlign w:val="bottom"/>
            <w:tcBorders>
              <w:bottom w:val="single" w:sz="8" w:color="CCFFCC"/>
            </w:tcBorders>
            <w:shd w:val="clear" w:color="auto" w:fill="CCFFCC"/>
          </w:tcPr>
          <w:p>
            <w:pPr>
              <w:spacing w:after="0"/>
              <w:rPr>
                <w:sz w:val="20"/>
                <w:szCs w:val="20"/>
                <w:color w:val="auto"/>
              </w:rPr>
            </w:pPr>
          </w:p>
        </w:tc>
        <w:tc>
          <w:tcPr>
            <w:tcW w:w="600" w:type="dxa"/>
            <w:vAlign w:val="bottom"/>
            <w:tcBorders>
              <w:bottom w:val="single" w:sz="8" w:color="CCFFCC"/>
            </w:tcBorders>
            <w:shd w:val="clear" w:color="auto" w:fill="CCFFCC"/>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FFCC"/>
            </w:tcBorders>
            <w:shd w:val="clear" w:color="auto" w:fill="CCFFCC"/>
          </w:tcPr>
          <w:p>
            <w:pPr>
              <w:jc w:val="right"/>
              <w:ind w:right="1"/>
              <w:spacing w:after="0"/>
              <w:rPr>
                <w:sz w:val="20"/>
                <w:szCs w:val="20"/>
                <w:color w:val="auto"/>
              </w:rPr>
            </w:pPr>
            <w:r>
              <w:rPr>
                <w:rFonts w:ascii="Arial" w:cs="Arial" w:eastAsia="Arial" w:hAnsi="Arial"/>
                <w:sz w:val="16"/>
                <w:szCs w:val="16"/>
                <w:color w:val="auto"/>
              </w:rPr>
              <w:t>(1,140)</w:t>
            </w: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(5,487)</w:t>
            </w:r>
          </w:p>
        </w:tc>
        <w:tc>
          <w:tcPr>
            <w:tcW w:w="100" w:type="dxa"/>
            <w:vAlign w:val="bottom"/>
            <w:tcBorders>
              <w:bottom w:val="single" w:sz="8" w:color="CCFFCC"/>
            </w:tcBorders>
            <w:shd w:val="clear" w:color="auto" w:fill="CCFFCC"/>
          </w:tcPr>
          <w:p>
            <w:pPr>
              <w:spacing w:after="0"/>
              <w:rPr>
                <w:sz w:val="20"/>
                <w:szCs w:val="20"/>
                <w:color w:val="auto"/>
              </w:rPr>
            </w:pPr>
          </w:p>
        </w:tc>
        <w:tc>
          <w:tcPr>
            <w:tcW w:w="580" w:type="dxa"/>
            <w:vAlign w:val="bottom"/>
            <w:tcBorders>
              <w:bottom w:val="single" w:sz="8" w:color="CCFFCC"/>
            </w:tcBorders>
            <w:shd w:val="clear" w:color="auto" w:fill="CCFFCC"/>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(3,146)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tcPr>
          <w:p>
            <w:pPr>
              <w:spacing w:after="0"/>
              <w:rPr>
                <w:sz w:val="20"/>
                <w:szCs w:val="20"/>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(2,374)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51</w:t>
            </w:r>
          </w:p>
        </w:tc>
      </w:tr>
      <w:tr>
        <w:trPr>
          <w:trHeight w:val="33"/>
        </w:trPr>
        <w:tc>
          <w:tcPr>
            <w:tcW w:w="516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Comprehensive loss</w:t>
            </w:r>
          </w:p>
        </w:tc>
        <w:tc>
          <w:tcPr>
            <w:tcW w:w="360" w:type="dxa"/>
            <w:vAlign w:val="bottom"/>
            <w:tcBorders>
              <w:bottom w:val="single" w:sz="8" w:color="auto"/>
            </w:tcBorders>
            <w:shd w:val="clear" w:color="auto" w:fill="CCFFCC"/>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FFCC"/>
          </w:tcPr>
          <w:p>
            <w:pPr>
              <w:jc w:val="right"/>
              <w:ind w:right="3"/>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auto"/>
            </w:tcBorders>
            <w:shd w:val="clear" w:color="auto" w:fill="CCFFCC"/>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FFCC"/>
          </w:tcPr>
          <w:p>
            <w:pPr>
              <w:jc w:val="right"/>
              <w:ind w:right="1"/>
              <w:spacing w:after="0"/>
              <w:rPr>
                <w:sz w:val="20"/>
                <w:szCs w:val="20"/>
                <w:color w:val="auto"/>
              </w:rPr>
            </w:pPr>
            <w:r>
              <w:rPr>
                <w:rFonts w:ascii="Arial" w:cs="Arial" w:eastAsia="Arial" w:hAnsi="Arial"/>
                <w:sz w:val="16"/>
                <w:szCs w:val="16"/>
                <w:color w:val="auto"/>
              </w:rPr>
              <w:t>(1,527)</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(6,790)</w:t>
            </w:r>
          </w:p>
        </w:tc>
        <w:tc>
          <w:tcPr>
            <w:tcW w:w="10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(3,095)</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119"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17145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Borders>
              <w:bottom w:val="single" w:sz="8" w:color="CCFFCC"/>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2014</w:t>
            </w:r>
          </w:p>
        </w:tc>
      </w:tr>
      <w:tr>
        <w:trPr>
          <w:trHeight w:val="257"/>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OPERATING ACTIVITIES:</w:t>
            </w: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(5,487)</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(3,146)</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8,793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9,558</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Depreciation</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8,599</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6,559</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Amortization of purchased intangibles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6,122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3,461</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Deferred income taxes and other non-cash tax items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(4,103)</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(1,067)</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Change in fair value of contingent consideration</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3,792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Provision for doubtful accounts, net</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1,688</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1,096</w:t>
            </w:r>
          </w:p>
        </w:tc>
      </w:tr>
      <w:tr>
        <w:trPr>
          <w:trHeight w:val="297"/>
        </w:trPr>
        <w:tc>
          <w:tcPr>
            <w:tcW w:w="8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(2,750)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(4,337)</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(1,278)</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(4,390)</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Other assets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538</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Accounts payable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(2,494)</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(2,248)</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(2,705)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4,373</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Deferred revenue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(1,697)</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5,003</w:t>
            </w:r>
          </w:p>
        </w:tc>
      </w:tr>
      <w:tr>
        <w:trPr>
          <w:trHeight w:val="264"/>
        </w:trPr>
        <w:tc>
          <w:tcPr>
            <w:tcW w:w="8340" w:type="dxa"/>
            <w:vAlign w:val="bottom"/>
            <w:tcBorders>
              <w:bottom w:val="single" w:sz="8" w:color="CCFFCC"/>
            </w:tcBorders>
          </w:tcPr>
          <w:p>
            <w:pPr>
              <w:ind w:left="380"/>
              <w:spacing w:after="0"/>
              <w:rPr>
                <w:sz w:val="20"/>
                <w:szCs w:val="20"/>
                <w:color w:val="auto"/>
              </w:rPr>
            </w:pPr>
            <w:r>
              <w:rPr>
                <w:rFonts w:ascii="Arial" w:cs="Arial" w:eastAsia="Arial" w:hAnsi="Arial"/>
                <w:sz w:val="14"/>
                <w:szCs w:val="14"/>
                <w:color w:val="auto"/>
              </w:rPr>
              <w:t>Other liabilities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2,300</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r>
      <w:tr>
        <w:trPr>
          <w:trHeight w:val="250"/>
        </w:trPr>
        <w:tc>
          <w:tcPr>
            <w:tcW w:w="8340" w:type="dxa"/>
            <w:vAlign w:val="bottom"/>
            <w:shd w:val="clear" w:color="auto" w:fill="CCFFCC"/>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10,865</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14,931</w:t>
            </w:r>
          </w:p>
        </w:tc>
      </w:tr>
      <w:tr>
        <w:trPr>
          <w:trHeight w:val="297"/>
        </w:trPr>
        <w:tc>
          <w:tcPr>
            <w:tcW w:w="8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INVESTING ACTIVITIES:</w:t>
            </w:r>
          </w:p>
        </w:tc>
        <w:tc>
          <w:tcPr>
            <w:tcW w:w="9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Purchases of property and equipment, including capitalized software</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w w:val="91"/>
              </w:rPr>
              <w:t>(11,047)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(6,644)</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Cash held as collateral for foreign exchange forward contracts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(5,400)</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Investment in technology licenses</w:t>
            </w:r>
          </w:p>
        </w:tc>
        <w:tc>
          <w:tcPr>
            <w:tcW w:w="9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(3,451)</w:t>
            </w:r>
          </w:p>
        </w:tc>
      </w:tr>
      <w:tr>
        <w:trPr>
          <w:trHeight w:val="27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Payments for acquisitions and intangible assets, net of cash acquired</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(2,452)</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used in investing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(16,597)</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(12,547)</w:t>
            </w:r>
          </w:p>
        </w:tc>
      </w:tr>
      <w:tr>
        <w:trPr>
          <w:trHeight w:val="297"/>
        </w:trPr>
        <w:tc>
          <w:tcPr>
            <w:tcW w:w="834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Excess tax benefit from the exercise of employee stock options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Proceeds from issuance of common stock in connection with the exercise of options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3,758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6,109</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Acquisition related payments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(2,366)</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(500)</w:t>
            </w:r>
          </w:p>
        </w:tc>
      </w:tr>
      <w:tr>
        <w:trPr>
          <w:trHeight w:val="264"/>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Repurchase of common stock</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(4,202)</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(12,980)</w:t>
            </w:r>
          </w:p>
        </w:tc>
      </w:tr>
      <w:tr>
        <w:trPr>
          <w:trHeight w:val="250"/>
        </w:trPr>
        <w:tc>
          <w:tcPr>
            <w:tcW w:w="8340" w:type="dxa"/>
            <w:vAlign w:val="bottom"/>
            <w:shd w:val="clear" w:color="auto" w:fill="CCFFCC"/>
          </w:tcPr>
          <w:p>
            <w:pPr>
              <w:ind w:left="600"/>
              <w:spacing w:after="0"/>
              <w:rPr>
                <w:sz w:val="20"/>
                <w:szCs w:val="20"/>
                <w:color w:val="auto"/>
              </w:rPr>
            </w:pPr>
            <w:r>
              <w:rPr>
                <w:rFonts w:ascii="Arial" w:cs="Arial" w:eastAsia="Arial" w:hAnsi="Arial"/>
                <w:sz w:val="14"/>
                <w:szCs w:val="14"/>
                <w:color w:val="auto"/>
              </w:rPr>
              <w:t>Net cash used in financing activities</w:t>
            </w:r>
          </w:p>
        </w:tc>
        <w:tc>
          <w:tcPr>
            <w:tcW w:w="92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(7,371)</w:t>
            </w:r>
          </w:p>
        </w:tc>
      </w:tr>
      <w:tr>
        <w:trPr>
          <w:trHeight w:val="250"/>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(782)</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w:t>
            </w:r>
          </w:p>
        </w:tc>
      </w:tr>
      <w:tr>
        <w:trPr>
          <w:trHeight w:val="256"/>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CHANGE IN CASH AND CASH EQUIVALENTS</w:t>
            </w: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(8,528)</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(4,795)</w:t>
            </w:r>
          </w:p>
        </w:tc>
      </w:tr>
      <w:tr>
        <w:trPr>
          <w:trHeight w:val="264"/>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CASH AND CASH EQUIVALENTS - Beginning of the period</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49,372</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91,906</w:t>
            </w:r>
          </w:p>
        </w:tc>
      </w:tr>
      <w:tr>
        <w:trPr>
          <w:trHeight w:val="243"/>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CASH AND CASH EQUIVALENTS - End of the period</w:t>
            </w:r>
          </w:p>
        </w:tc>
        <w:tc>
          <w:tcPr>
            <w:tcW w:w="920" w:type="dxa"/>
            <w:vAlign w:val="bottom"/>
            <w:tcBorders>
              <w:bottom w:val="single" w:sz="8" w:color="auto"/>
            </w:tcBorders>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40,844</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87,111</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SUPPLEMENTAL DISCLOSURE OF OTHER CASH FLOW INFORMATION:</w:t>
            </w:r>
          </w:p>
        </w:tc>
        <w:tc>
          <w:tcPr>
            <w:tcW w:w="9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97"/>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Cash paid for income taxes</w:t>
            </w: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1,497</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2,182</w:t>
            </w:r>
          </w:p>
        </w:tc>
      </w:tr>
      <w:tr>
        <w:trPr>
          <w:trHeight w:val="264"/>
        </w:trPr>
        <w:tc>
          <w:tcPr>
            <w:tcW w:w="8340" w:type="dxa"/>
            <w:vAlign w:val="bottom"/>
            <w:shd w:val="clear" w:color="auto" w:fill="CCFFCC"/>
          </w:tcPr>
          <w:p>
            <w:pPr>
              <w:spacing w:after="0"/>
              <w:rPr>
                <w:sz w:val="22"/>
                <w:szCs w:val="22"/>
                <w:color w:val="auto"/>
              </w:rPr>
            </w:pP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Purchase of property and equipment recorded in accounts payable</w:t>
            </w:r>
          </w:p>
        </w:tc>
        <w:tc>
          <w:tcPr>
            <w:tcW w:w="920" w:type="dxa"/>
            <w:vAlign w:val="bottom"/>
            <w:tcBorders>
              <w:bottom w:val="single" w:sz="8" w:color="auto"/>
            </w:tcBorders>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277</w:t>
            </w:r>
          </w:p>
        </w:tc>
        <w:tc>
          <w:tcPr>
            <w:tcW w:w="12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1,840</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0"/>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Contingent earn-out in connection with acquisitions recorded in accrued expenses</w:t>
            </w: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1,810</w:t>
            </w:r>
          </w:p>
        </w:tc>
      </w:tr>
      <w:tr>
        <w:trPr>
          <w:trHeight w:val="21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Acquisition costs recorded in accrued expenses</w:t>
            </w:r>
          </w:p>
        </w:tc>
        <w:tc>
          <w:tcPr>
            <w:tcW w:w="920" w:type="dxa"/>
            <w:vAlign w:val="bottom"/>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125</w:t>
            </w:r>
          </w:p>
        </w:tc>
      </w:tr>
      <w:tr>
        <w:trPr>
          <w:trHeight w:val="20"/>
        </w:trPr>
        <w:tc>
          <w:tcPr>
            <w:tcW w:w="834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9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69" w:right="239" w:bottom="192" w:gutter="0" w:footer="0" w:header="0"/>
          <w:type w:val="continuous"/>
        </w:sectPr>
      </w:pPr>
    </w:p>
    <w:bookmarkStart w:id="7" w:name="page8"/>
    <w:bookmarkEnd w:id="7"/>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offices in Amsterdam, Atlanta, Berlin, London, Mannheim, Melbourne, Milan, Ra’anana, Reading (UK), San Francisco and Tokyo.</w:t>
      </w:r>
    </w:p>
    <w:p>
      <w:pPr>
        <w:spacing w:after="0" w:line="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LivePerson provides online engagement solutions offering a cloud-based platform which enables businesses to proactively connect with consumers through chat, voice and content delivery, across multiple channels and screens, including websites, social media, tablets and mobile devices. The Company’s engagements are driven by insights derived from a broad set of consumer and business data, including historical, behavioral, operational, and third party data. Each engagement is based on proprietary analytics and a real-time understanding of consumer needs and business objectives. The Company’s products, coupled with its domain knowledge and industry expertise, have been proven to maximize the effectiveness of the online channel — by increasing sales, as well as consumer satisfaction and loyalty ratings for its customers, while also enabling its customers to reduce consumer service costs.</w:t>
      </w:r>
    </w:p>
    <w:p>
      <w:pPr>
        <w:spacing w:after="0" w:line="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LivePerson monitors and analyzes valuable online consumer behavioral data on behalf of its customers. Spanning the breadth of an online visitor session, starting from an initial keyword search through actions on their customer’s website, and even into a shopping cart and an executed sale, this data enables the Company to develop unique insights into consumer behavior during specific transactions within a customer’s user base.</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revenue source is from the sale of LivePerson services to businesses of all sizes. The Company also offers an online marketplace that connects independent service providers (“Experts”) who provide information and knowledge for a fee via real-time chat with individual consumers (“Users”).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accompanying condensed consolidated financial statements as of September 30, 2015 and for the three and nine months ended September 30, 2015 and 2014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September 30, 2015, and the consolidated results of operations, comprehensive loss and cash flows for the interim periods ended September 30, 2015 and 2014.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at December 31, 2014 has been derived from audited consolidated financial statements at that date.</w:t>
      </w:r>
    </w:p>
    <w:p>
      <w:pPr>
        <w:spacing w:after="0" w:line="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2014, included in the Company’s Annual Report on Form 10-K filed with the SEC on March 12, 2015.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balances and transactions have been eliminated.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comparability, certain 2014 amounts have been reclassified where appropriate, to conform to the financial presentation in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33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On September 2015, the FASB issued Accounting Standards Update No. 2015-16, “</w:t>
      </w:r>
      <w:r>
        <w:rPr>
          <w:rFonts w:ascii="Arial" w:cs="Arial" w:eastAsia="Arial" w:hAnsi="Arial"/>
          <w:sz w:val="18"/>
          <w:szCs w:val="18"/>
          <w:i w:val="1"/>
          <w:iCs w:val="1"/>
          <w:color w:val="auto"/>
        </w:rPr>
        <w:t>Business Combinations: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Measurement-Period Adjustments</w:t>
      </w:r>
      <w:r>
        <w:rPr>
          <w:rFonts w:ascii="Arial" w:cs="Arial" w:eastAsia="Arial" w:hAnsi="Arial"/>
          <w:sz w:val="18"/>
          <w:szCs w:val="18"/>
          <w:color w:val="auto"/>
        </w:rPr>
        <w:t>” (“ASU 2015-16”). ASU 2015-16 requires that an acquirer recognize adjustments to provisional amounts that are identified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measurement period in the reporting period in which the adjustment amounts are determined. The amendments in ASU 2015-16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ASU 2015-16 is effective for annual reporting periods beginning after December 15, 2015. The Company is currently in the process of evaluating the impact of adoption of ASU 2015-16 on its financial statements.</w:t>
      </w:r>
    </w:p>
    <w:p>
      <w:pPr>
        <w:spacing w:after="0" w:line="6" w:lineRule="exact"/>
        <w:rPr>
          <w:sz w:val="20"/>
          <w:szCs w:val="20"/>
          <w:color w:val="auto"/>
        </w:rPr>
      </w:pPr>
    </w:p>
    <w:p>
      <w:pPr>
        <w:ind w:right="60" w:firstLine="648"/>
        <w:spacing w:after="0" w:line="265" w:lineRule="auto"/>
        <w:rPr>
          <w:sz w:val="20"/>
          <w:szCs w:val="20"/>
          <w:color w:val="auto"/>
        </w:rPr>
      </w:pPr>
      <w:r>
        <w:rPr>
          <w:rFonts w:ascii="Arial" w:cs="Arial" w:eastAsia="Arial" w:hAnsi="Arial"/>
          <w:sz w:val="17"/>
          <w:szCs w:val="17"/>
          <w:color w:val="auto"/>
        </w:rPr>
        <w:t xml:space="preserve">On February 18, 2015, the Financial Accounting Standards Board (“FASB”) issued Accounting Standards Update (“ASU”) 2015-02,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Amendments to the Consolidation Analysis </w:t>
      </w:r>
      <w:r>
        <w:rPr>
          <w:rFonts w:ascii="Arial" w:cs="Arial" w:eastAsia="Arial" w:hAnsi="Arial"/>
          <w:sz w:val="17"/>
          <w:szCs w:val="17"/>
          <w:color w:val="auto"/>
        </w:rPr>
        <w:t>(“ASU 2015-02”), which affects reporting entities that are required to evaluate whether they should consolidate</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legal entities. All legal entities are subject to reevaluation under the revised consolidation model. The standard amends the consolidation requirements in ASC 810. ASU 2015-02 is effective for fiscal periods beginning after December 15, 2015 for public companies, and early adoption is permitted. The Company does not expect to early adopt ASU 2015-02, which will be effective for its fiscal year ending December 31, 2016. The Company does not believe the standard will have a material impact on its consolidated financial statements.</w:t>
      </w:r>
    </w:p>
    <w:p>
      <w:pPr>
        <w:spacing w:after="0" w:line="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May 2014, the FASB issued ASU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The Company will adopt this guidance at the beginning of its first quarter of fiscal year 2018. Adoption of this guidance is not expected to have a material impact on the Company’s consolidated financial statements or disclosures.</w:t>
      </w:r>
    </w:p>
    <w:p>
      <w:pPr>
        <w:spacing w:after="0" w:line="27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Because the Company provides its application as a service, the Company follows the provisions of FASB Accounting Standards Codification (“ASC”) 605-10-S99, “Revenue Recognition” and ASC 605-25, “Revenue Recognition with Multiple-Element Arrangements.” The Company charges a monthly fee, which varies by type of service, the level of customer usage and website traffic, and in some cases, the number of orders placed via the Company’s online engagement solutions.</w:t>
      </w:r>
    </w:p>
    <w:p>
      <w:pPr>
        <w:spacing w:after="0" w:line="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Pay for Performance (“PFP”) arrangements, in accordance with ASC 605-45, “Principal Agent Considerations,” the Company records revenue for transactions in which it acts as an agent on a net basis, and revenue for transactions in which it acts as a principal on a gross basis.</w:t>
      </w:r>
    </w:p>
    <w:p>
      <w:pPr>
        <w:spacing w:after="0" w:line="6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also sells certain of the LivePerson services directly via Internet download. These services are marketed as LiveEngage for small to medium-sized businesses, and are paid for almost exclusively by credit card. Credit card payments accelerate cash flow and reduce the Company’s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recognizes monthly service revenue based upon the fee charged for the LivePerson services, provided that there is persuasive evidence of an arrangement, no significant Company obligations remain, collection of the resulting receivable is probable and the amount of fees to be paid is fixed or determinable. The Company’s service agreements typically have twelve month terms and, in some cases, are terminable or may terminate upon 30 to 90 days’ notice without penalty. When professional service fees add value to the customer on a standalone basis, the Company recognizes professional service fees upon completion and customer acceptance. The Company establishes a selling price hierarchy for determining the selling price of a deliverable,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04" w:right="239" w:bottom="1440" w:gutter="0" w:footer="0" w:header="0"/>
        </w:sectPr>
      </w:pPr>
    </w:p>
    <w:bookmarkStart w:id="9" w:name="page10"/>
    <w:bookmarkEnd w:id="9"/>
    <w:p>
      <w:pPr>
        <w:jc w:val="both"/>
        <w:ind w:right="20"/>
        <w:spacing w:after="0" w:line="342" w:lineRule="auto"/>
        <w:rPr>
          <w:sz w:val="20"/>
          <w:szCs w:val="20"/>
          <w:color w:val="auto"/>
        </w:rPr>
      </w:pPr>
      <w:r>
        <w:rPr>
          <w:rFonts w:ascii="Arial" w:cs="Arial" w:eastAsia="Arial" w:hAnsi="Arial"/>
          <w:sz w:val="16"/>
          <w:szCs w:val="16"/>
          <w:color w:val="auto"/>
        </w:rPr>
        <w:t>which is based on: (a) vendor-specific objective evidence; (b) third-party evidence; or (c) best estimated selling price. If a professional services arrangement does not qualify for separate accounting, the Company recognizes the fees, and the related labor costs, ratably over the contracted period.</w:t>
      </w:r>
    </w:p>
    <w:p>
      <w:pPr>
        <w:spacing w:after="0" w:line="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the Company’s Consumer segment generated from online transactions between Experts and Users, the Company recognizes revenue net of the Expert fees in accordance with ASC 605-45,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User and retains a portion of the fee, and then remits the balance to the Expert. Revenue from these transactions is recognized when there is persuasive evidence of an arrangement, no significant Company obligations remain, collection of the resulting receivable is probable and the amount of fees to be paid is fixed and determinable.</w:t>
      </w:r>
    </w:p>
    <w:p>
      <w:pPr>
        <w:spacing w:after="0" w:line="29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Diluted net income per common share for the three months ended September 30, 2015 includes the effect of options to purchase 1,429,142 shares of common stock with a weighted average exercise price of $9.02. Diluted net income per common share for the three months ended September 30, 2015 does not include the effect of options to purchase 8,140,127 shares of common stock, as the effect of their inclusion is anti-dilutive. Diluted net loss per common share for the nine months ended September 30, 2015 does not include the effect of options to purchase 9,569,269 shares of common stock, as the effect of their inclusion is anti-dilutive. Diluted net loss per common share for the three and nine months ended September 30, 2014 does not include the effect of options to purchase 11,127,640 shares of common stock, as the effect of their inclusion is anti-dilutive.</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net loss per share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276"/>
        </w:trPr>
        <w:tc>
          <w:tcPr>
            <w:tcW w:w="5620" w:type="dxa"/>
            <w:vAlign w:val="bottom"/>
          </w:tcPr>
          <w:p>
            <w:pPr>
              <w:spacing w:after="0"/>
              <w:rPr>
                <w:sz w:val="24"/>
                <w:szCs w:val="24"/>
                <w:color w:val="auto"/>
              </w:rPr>
            </w:pPr>
          </w:p>
        </w:tc>
        <w:tc>
          <w:tcPr>
            <w:tcW w:w="1960" w:type="dxa"/>
            <w:vAlign w:val="bottom"/>
            <w:tcBorders>
              <w:bottom w:val="single" w:sz="8" w:color="auto"/>
            </w:tcBorders>
            <w:gridSpan w:val="3"/>
          </w:tcPr>
          <w:p>
            <w:pPr>
              <w:jc w:val="center"/>
              <w:ind w:left="843"/>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Borders>
              <w:bottom w:val="single" w:sz="8" w:color="auto"/>
            </w:tcBorders>
            <w:gridSpan w:val="3"/>
          </w:tcPr>
          <w:p>
            <w:pPr>
              <w:jc w:val="center"/>
              <w:ind w:left="823"/>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FFCC"/>
            </w:tcBorders>
          </w:tcPr>
          <w:p>
            <w:pPr>
              <w:spacing w:after="0"/>
              <w:rPr>
                <w:sz w:val="22"/>
                <w:szCs w:val="22"/>
                <w:color w:val="auto"/>
              </w:rPr>
            </w:pPr>
          </w:p>
        </w:tc>
        <w:tc>
          <w:tcPr>
            <w:tcW w:w="13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FFCC"/>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FFCC"/>
            </w:tcBorders>
          </w:tcPr>
          <w:p>
            <w:pPr>
              <w:spacing w:after="0"/>
              <w:rPr>
                <w:sz w:val="22"/>
                <w:szCs w:val="22"/>
                <w:color w:val="auto"/>
              </w:rPr>
            </w:pPr>
          </w:p>
        </w:tc>
        <w:tc>
          <w:tcPr>
            <w:tcW w:w="13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r>
      <w:tr>
        <w:trPr>
          <w:trHeight w:val="236"/>
        </w:trPr>
        <w:tc>
          <w:tcPr>
            <w:tcW w:w="56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Basic</w:t>
            </w:r>
          </w:p>
        </w:tc>
        <w:tc>
          <w:tcPr>
            <w:tcW w:w="1380" w:type="dxa"/>
            <w:vAlign w:val="bottom"/>
            <w:tcBorders>
              <w:bottom w:val="single" w:sz="8" w:color="CCFFCC"/>
            </w:tcBorders>
            <w:shd w:val="clear" w:color="auto" w:fill="CCFFCC"/>
          </w:tcPr>
          <w:p>
            <w:pPr>
              <w:jc w:val="right"/>
              <w:ind w:right="63"/>
              <w:spacing w:after="0"/>
              <w:rPr>
                <w:sz w:val="20"/>
                <w:szCs w:val="20"/>
                <w:color w:val="auto"/>
              </w:rPr>
            </w:pPr>
            <w:r>
              <w:rPr>
                <w:rFonts w:ascii="Arial" w:cs="Arial" w:eastAsia="Arial" w:hAnsi="Arial"/>
                <w:sz w:val="16"/>
                <w:szCs w:val="16"/>
                <w:color w:val="auto"/>
              </w:rPr>
              <w:t>56,525,647</w:t>
            </w:r>
          </w:p>
        </w:tc>
        <w:tc>
          <w:tcPr>
            <w:tcW w:w="120" w:type="dxa"/>
            <w:vAlign w:val="bottom"/>
            <w:tcBorders>
              <w:bottom w:val="single" w:sz="8" w:color="CCFFCC"/>
            </w:tcBorders>
            <w:shd w:val="clear" w:color="auto" w:fill="CCFFCC"/>
          </w:tcPr>
          <w:p>
            <w:pPr>
              <w:spacing w:after="0"/>
              <w:rPr>
                <w:sz w:val="20"/>
                <w:szCs w:val="20"/>
                <w:color w:val="auto"/>
              </w:rPr>
            </w:pPr>
          </w:p>
        </w:tc>
        <w:tc>
          <w:tcPr>
            <w:tcW w:w="46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w w:val="94"/>
              </w:rPr>
              <w:t>53,868,124</w:t>
            </w:r>
          </w:p>
        </w:tc>
        <w:tc>
          <w:tcPr>
            <w:tcW w:w="140" w:type="dxa"/>
            <w:vAlign w:val="bottom"/>
            <w:tcBorders>
              <w:bottom w:val="single" w:sz="8" w:color="CCFFCC"/>
            </w:tcBorders>
            <w:shd w:val="clear" w:color="auto" w:fill="CCFFCC"/>
          </w:tcPr>
          <w:p>
            <w:pPr>
              <w:spacing w:after="0"/>
              <w:rPr>
                <w:sz w:val="20"/>
                <w:szCs w:val="20"/>
                <w:color w:val="auto"/>
              </w:rPr>
            </w:pPr>
          </w:p>
        </w:tc>
        <w:tc>
          <w:tcPr>
            <w:tcW w:w="134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56,437,198</w:t>
            </w:r>
          </w:p>
        </w:tc>
        <w:tc>
          <w:tcPr>
            <w:tcW w:w="100" w:type="dxa"/>
            <w:vAlign w:val="bottom"/>
            <w:tcBorders>
              <w:bottom w:val="single" w:sz="8" w:color="CCFFCC"/>
            </w:tcBorders>
            <w:shd w:val="clear" w:color="auto" w:fill="CCFFCC"/>
          </w:tcPr>
          <w:p>
            <w:pPr>
              <w:spacing w:after="0"/>
              <w:rPr>
                <w:sz w:val="20"/>
                <w:szCs w:val="20"/>
                <w:color w:val="auto"/>
              </w:rPr>
            </w:pPr>
          </w:p>
        </w:tc>
        <w:tc>
          <w:tcPr>
            <w:tcW w:w="46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w w:val="97"/>
              </w:rPr>
              <w:t>54,238,536</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Effect of assumed exercised options</w:t>
            </w: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558,790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90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Borders>
              <w:bottom w:val="single" w:sz="8" w:color="CCFFC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Diluted</w:t>
            </w:r>
          </w:p>
        </w:tc>
        <w:tc>
          <w:tcPr>
            <w:tcW w:w="1380" w:type="dxa"/>
            <w:vAlign w:val="bottom"/>
            <w:tcBorders>
              <w:bottom w:val="single" w:sz="8" w:color="auto"/>
            </w:tcBorders>
            <w:shd w:val="clear" w:color="auto" w:fill="CCFFCC"/>
          </w:tcPr>
          <w:p>
            <w:pPr>
              <w:jc w:val="right"/>
              <w:ind w:right="63"/>
              <w:spacing w:after="0"/>
              <w:rPr>
                <w:sz w:val="20"/>
                <w:szCs w:val="20"/>
                <w:color w:val="auto"/>
              </w:rPr>
            </w:pPr>
            <w:r>
              <w:rPr>
                <w:rFonts w:ascii="Arial" w:cs="Arial" w:eastAsia="Arial" w:hAnsi="Arial"/>
                <w:sz w:val="16"/>
                <w:szCs w:val="16"/>
                <w:color w:val="auto"/>
              </w:rPr>
              <w:t>57,084,437</w:t>
            </w:r>
          </w:p>
        </w:tc>
        <w:tc>
          <w:tcPr>
            <w:tcW w:w="12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w w:val="94"/>
              </w:rPr>
              <w:t>53,868,124</w:t>
            </w:r>
          </w:p>
        </w:tc>
        <w:tc>
          <w:tcPr>
            <w:tcW w:w="14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56,437,198</w:t>
            </w:r>
          </w:p>
        </w:tc>
        <w:tc>
          <w:tcPr>
            <w:tcW w:w="10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w w:val="97"/>
              </w:rPr>
              <w:t>54,238,536</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facilitates real-time online interactions – chat, voice and content delivery across multiple channels and screens for global corporations of all sizes. The Consumer segment facilitates online transactions between Experts and Users and sells its services to consumers.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September 30, 2015,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50,957</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50,957</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3,661</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3,661</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6,139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6,139</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57,096</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3,661</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60,757</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16,364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16,937</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21,333</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1,953</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23,286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1,193</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17,442</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17,442</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18,206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1,135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(17,442)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1,899</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September 30, 2014,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43,702</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43,702</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3,992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3,992</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5,093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5,093</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48,795</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3,992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52,787</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12,679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13,304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19,488</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1,490</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20,978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407</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18,499</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18,499</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16,221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1,877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(18,499)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nine months ended September 30, 2015,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151,767</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151,767</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11,219</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11,219</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16,875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16,875</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168,642</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11,219</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179,861</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49,299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1,779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51,078</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66,865</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5,097</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71,962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3,683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3,683</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60,975</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60,975</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48,795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4,343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(60,975)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(7,837)</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nine months ended September 30, 2014,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125,378</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125,378</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12,441</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12,441</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13,883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13,883</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139,261</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12,441</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151,702</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36,306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38,200</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55,203</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4,246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59,449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803</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56,073</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56,073</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46,949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6,301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(56,073)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(2,823)</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revenues attributable to domestic and foreign operations for the periods presented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0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CCFFC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FFCC"/>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w w:val="89"/>
              </w:rPr>
              <w:t>2014</w:t>
            </w:r>
          </w:p>
        </w:tc>
      </w:tr>
      <w:tr>
        <w:trPr>
          <w:trHeight w:val="236"/>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39,972</w:t>
            </w:r>
          </w:p>
        </w:tc>
        <w:tc>
          <w:tcPr>
            <w:tcW w:w="140" w:type="dxa"/>
            <w:vAlign w:val="bottom"/>
            <w:tcBorders>
              <w:bottom w:val="single" w:sz="8" w:color="CCFFCC"/>
            </w:tcBorders>
            <w:shd w:val="clear" w:color="auto" w:fill="CCFFCC"/>
          </w:tcPr>
          <w:p>
            <w:pPr>
              <w:spacing w:after="0"/>
              <w:rPr>
                <w:sz w:val="20"/>
                <w:szCs w:val="20"/>
                <w:color w:val="auto"/>
              </w:rPr>
            </w:pPr>
          </w:p>
        </w:tc>
        <w:tc>
          <w:tcPr>
            <w:tcW w:w="460" w:type="dxa"/>
            <w:vAlign w:val="bottom"/>
            <w:tcBorders>
              <w:bottom w:val="single" w:sz="8" w:color="CCFFCC"/>
            </w:tcBorders>
            <w:shd w:val="clear" w:color="auto" w:fill="CCFFCC"/>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34,409</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120,409</w:t>
            </w:r>
          </w:p>
        </w:tc>
        <w:tc>
          <w:tcPr>
            <w:tcW w:w="100" w:type="dxa"/>
            <w:vAlign w:val="bottom"/>
            <w:tcBorders>
              <w:bottom w:val="single" w:sz="8" w:color="CCFFCC"/>
            </w:tcBorders>
            <w:shd w:val="clear" w:color="auto" w:fill="CCFFCC"/>
          </w:tcPr>
          <w:p>
            <w:pPr>
              <w:spacing w:after="0"/>
              <w:rPr>
                <w:sz w:val="20"/>
                <w:szCs w:val="20"/>
                <w:color w:val="auto"/>
              </w:rPr>
            </w:pPr>
          </w:p>
        </w:tc>
        <w:tc>
          <w:tcPr>
            <w:tcW w:w="400" w:type="dxa"/>
            <w:vAlign w:val="bottom"/>
            <w:tcBorders>
              <w:bottom w:val="single" w:sz="8" w:color="CCFFCC"/>
            </w:tcBorders>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99,273</w:t>
            </w:r>
          </w:p>
        </w:tc>
      </w:tr>
      <w:tr>
        <w:trPr>
          <w:trHeight w:val="270"/>
        </w:trPr>
        <w:tc>
          <w:tcPr>
            <w:tcW w:w="60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 xml:space="preserve">Other Americas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3,589</w:t>
            </w:r>
          </w:p>
        </w:tc>
        <w:tc>
          <w:tcPr>
            <w:tcW w:w="140" w:type="dxa"/>
            <w:vAlign w:val="bottom"/>
            <w:tcBorders>
              <w:bottom w:val="single" w:sz="8" w:color="CCFFCC"/>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2,936</w:t>
            </w:r>
          </w:p>
        </w:tc>
        <w:tc>
          <w:tcPr>
            <w:tcW w:w="120" w:type="dxa"/>
            <w:vAlign w:val="bottom"/>
            <w:tcBorders>
              <w:bottom w:val="single" w:sz="8" w:color="CCFFC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9,437</w:t>
            </w:r>
          </w:p>
        </w:tc>
        <w:tc>
          <w:tcPr>
            <w:tcW w:w="100" w:type="dxa"/>
            <w:vAlign w:val="bottom"/>
            <w:tcBorders>
              <w:bottom w:val="single" w:sz="8" w:color="CCFFCC"/>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7,259</w:t>
            </w:r>
          </w:p>
        </w:tc>
      </w:tr>
      <w:tr>
        <w:trPr>
          <w:trHeight w:val="23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Americas</w:t>
            </w:r>
          </w:p>
        </w:tc>
        <w:tc>
          <w:tcPr>
            <w:tcW w:w="32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43,561</w:t>
            </w:r>
          </w:p>
        </w:tc>
        <w:tc>
          <w:tcPr>
            <w:tcW w:w="140" w:type="dxa"/>
            <w:vAlign w:val="bottom"/>
            <w:tcBorders>
              <w:bottom w:val="single" w:sz="8" w:color="CCFFCC"/>
            </w:tcBorders>
            <w:shd w:val="clear" w:color="auto" w:fill="CCFFCC"/>
          </w:tcPr>
          <w:p>
            <w:pPr>
              <w:spacing w:after="0"/>
              <w:rPr>
                <w:sz w:val="20"/>
                <w:szCs w:val="20"/>
                <w:color w:val="auto"/>
              </w:rPr>
            </w:pPr>
          </w:p>
        </w:tc>
        <w:tc>
          <w:tcPr>
            <w:tcW w:w="46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37,345</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129,846</w:t>
            </w:r>
          </w:p>
        </w:tc>
        <w:tc>
          <w:tcPr>
            <w:tcW w:w="100" w:type="dxa"/>
            <w:vAlign w:val="bottom"/>
            <w:tcBorders>
              <w:bottom w:val="single" w:sz="8" w:color="CCFFCC"/>
            </w:tcBorders>
            <w:shd w:val="clear" w:color="auto" w:fill="CCFFCC"/>
          </w:tcPr>
          <w:p>
            <w:pPr>
              <w:spacing w:after="0"/>
              <w:rPr>
                <w:sz w:val="20"/>
                <w:szCs w:val="20"/>
                <w:color w:val="auto"/>
              </w:rPr>
            </w:pPr>
          </w:p>
        </w:tc>
        <w:tc>
          <w:tcPr>
            <w:tcW w:w="400" w:type="dxa"/>
            <w:vAlign w:val="bottom"/>
            <w:tcBorders>
              <w:bottom w:val="single" w:sz="8" w:color="CCFFCC"/>
            </w:tcBorders>
            <w:shd w:val="clear" w:color="auto" w:fill="CCFFCC"/>
          </w:tcPr>
          <w:p>
            <w:pPr>
              <w:spacing w:after="0"/>
              <w:rPr>
                <w:sz w:val="20"/>
                <w:szCs w:val="20"/>
                <w:color w:val="auto"/>
              </w:rPr>
            </w:pPr>
          </w:p>
        </w:tc>
        <w:tc>
          <w:tcPr>
            <w:tcW w:w="7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106,532</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EMEA </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13,237</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11,049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38,443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32,618</w:t>
            </w:r>
          </w:p>
        </w:tc>
      </w:tr>
      <w:tr>
        <w:trPr>
          <w:trHeight w:val="270"/>
        </w:trPr>
        <w:tc>
          <w:tcPr>
            <w:tcW w:w="606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APAC </w:t>
            </w:r>
            <w:r>
              <w:rPr>
                <w:rFonts w:ascii="Arial" w:cs="Arial" w:eastAsia="Arial" w:hAnsi="Arial"/>
                <w:sz w:val="21"/>
                <w:szCs w:val="21"/>
                <w:color w:val="auto"/>
                <w:vertAlign w:val="superscript"/>
              </w:rPr>
              <w:t>(3)</w:t>
            </w:r>
          </w:p>
        </w:tc>
        <w:tc>
          <w:tcPr>
            <w:tcW w:w="320" w:type="dxa"/>
            <w:vAlign w:val="bottom"/>
            <w:tcBorders>
              <w:bottom w:val="single" w:sz="8" w:color="auto"/>
            </w:tcBorders>
            <w:shd w:val="clear" w:color="auto" w:fill="CCFFCC"/>
          </w:tcPr>
          <w:p>
            <w:pPr>
              <w:spacing w:after="0"/>
              <w:rPr>
                <w:sz w:val="23"/>
                <w:szCs w:val="23"/>
                <w:color w:val="auto"/>
              </w:rPr>
            </w:pPr>
          </w:p>
        </w:tc>
        <w:tc>
          <w:tcPr>
            <w:tcW w:w="106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3,959</w:t>
            </w:r>
          </w:p>
        </w:tc>
        <w:tc>
          <w:tcPr>
            <w:tcW w:w="140" w:type="dxa"/>
            <w:vAlign w:val="bottom"/>
            <w:shd w:val="clear" w:color="auto" w:fill="CCFFCC"/>
          </w:tcPr>
          <w:p>
            <w:pPr>
              <w:spacing w:after="0"/>
              <w:rPr>
                <w:sz w:val="23"/>
                <w:szCs w:val="23"/>
                <w:color w:val="auto"/>
              </w:rPr>
            </w:pPr>
          </w:p>
        </w:tc>
        <w:tc>
          <w:tcPr>
            <w:tcW w:w="460" w:type="dxa"/>
            <w:vAlign w:val="bottom"/>
            <w:tcBorders>
              <w:bottom w:val="single" w:sz="8" w:color="auto"/>
            </w:tcBorders>
            <w:shd w:val="clear" w:color="auto" w:fill="CCFFCC"/>
          </w:tcPr>
          <w:p>
            <w:pPr>
              <w:spacing w:after="0"/>
              <w:rPr>
                <w:sz w:val="23"/>
                <w:szCs w:val="23"/>
                <w:color w:val="auto"/>
              </w:rPr>
            </w:pPr>
          </w:p>
        </w:tc>
        <w:tc>
          <w:tcPr>
            <w:tcW w:w="92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4,393</w:t>
            </w:r>
          </w:p>
        </w:tc>
        <w:tc>
          <w:tcPr>
            <w:tcW w:w="120" w:type="dxa"/>
            <w:vAlign w:val="bottom"/>
            <w:shd w:val="clear" w:color="auto" w:fill="CCFFCC"/>
          </w:tcPr>
          <w:p>
            <w:pPr>
              <w:spacing w:after="0"/>
              <w:rPr>
                <w:sz w:val="23"/>
                <w:szCs w:val="23"/>
                <w:color w:val="auto"/>
              </w:rPr>
            </w:pPr>
          </w:p>
        </w:tc>
        <w:tc>
          <w:tcPr>
            <w:tcW w:w="260" w:type="dxa"/>
            <w:vAlign w:val="bottom"/>
            <w:tcBorders>
              <w:bottom w:val="single" w:sz="8" w:color="auto"/>
            </w:tcBorders>
            <w:shd w:val="clear" w:color="auto" w:fill="CCFFCC"/>
          </w:tcPr>
          <w:p>
            <w:pPr>
              <w:spacing w:after="0"/>
              <w:rPr>
                <w:sz w:val="23"/>
                <w:szCs w:val="23"/>
                <w:color w:val="auto"/>
              </w:rPr>
            </w:pPr>
          </w:p>
        </w:tc>
        <w:tc>
          <w:tcPr>
            <w:tcW w:w="86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11,572</w:t>
            </w:r>
          </w:p>
        </w:tc>
        <w:tc>
          <w:tcPr>
            <w:tcW w:w="100" w:type="dxa"/>
            <w:vAlign w:val="bottom"/>
            <w:shd w:val="clear" w:color="auto" w:fill="CCFFCC"/>
          </w:tcPr>
          <w:p>
            <w:pPr>
              <w:spacing w:after="0"/>
              <w:rPr>
                <w:sz w:val="23"/>
                <w:szCs w:val="23"/>
                <w:color w:val="auto"/>
              </w:rPr>
            </w:pPr>
          </w:p>
        </w:tc>
        <w:tc>
          <w:tcPr>
            <w:tcW w:w="4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12,552</w:t>
            </w:r>
          </w:p>
        </w:tc>
      </w:tr>
      <w:tr>
        <w:trPr>
          <w:trHeight w:val="244"/>
        </w:trPr>
        <w:tc>
          <w:tcPr>
            <w:tcW w:w="606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60,757</w:t>
            </w:r>
          </w:p>
        </w:tc>
        <w:tc>
          <w:tcPr>
            <w:tcW w:w="14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52,787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179,861</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151,702</w:t>
            </w:r>
          </w:p>
        </w:tc>
      </w:tr>
      <w:tr>
        <w:trPr>
          <w:trHeight w:val="20"/>
        </w:trPr>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91"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long-lived assets by geographic region for the periods presented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4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2014</w:t>
            </w:r>
          </w:p>
        </w:tc>
      </w:tr>
      <w:tr>
        <w:trPr>
          <w:trHeight w:val="23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107,982</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109,006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Israel</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17,122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18,982</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Australia</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7,539</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8,500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Netherlands</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9,159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7,686</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FFCC"/>
          </w:tcPr>
          <w:p>
            <w:pPr>
              <w:spacing w:after="0"/>
              <w:rPr>
                <w:sz w:val="23"/>
                <w:szCs w:val="23"/>
                <w:color w:val="auto"/>
              </w:rPr>
            </w:pPr>
          </w:p>
        </w:tc>
        <w:tc>
          <w:tcPr>
            <w:tcW w:w="13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2,739</w:t>
            </w:r>
          </w:p>
        </w:tc>
        <w:tc>
          <w:tcPr>
            <w:tcW w:w="100" w:type="dxa"/>
            <w:vAlign w:val="bottom"/>
            <w:shd w:val="clear" w:color="auto" w:fill="CCFFCC"/>
          </w:tcPr>
          <w:p>
            <w:pPr>
              <w:spacing w:after="0"/>
              <w:rPr>
                <w:sz w:val="23"/>
                <w:szCs w:val="23"/>
                <w:color w:val="auto"/>
              </w:rPr>
            </w:pPr>
          </w:p>
        </w:tc>
        <w:tc>
          <w:tcPr>
            <w:tcW w:w="220" w:type="dxa"/>
            <w:vAlign w:val="bottom"/>
            <w:tcBorders>
              <w:bottom w:val="single" w:sz="8" w:color="auto"/>
            </w:tcBorders>
            <w:shd w:val="clear" w:color="auto" w:fill="CCFFCC"/>
          </w:tcPr>
          <w:p>
            <w:pPr>
              <w:spacing w:after="0"/>
              <w:rPr>
                <w:sz w:val="23"/>
                <w:szCs w:val="23"/>
                <w:color w:val="auto"/>
              </w:rPr>
            </w:pPr>
          </w:p>
        </w:tc>
        <w:tc>
          <w:tcPr>
            <w:tcW w:w="12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1,940</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long-lived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144,541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146,114</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and Italy</w:t>
      </w:r>
    </w:p>
    <w:p>
      <w:pPr>
        <w:spacing w:after="0" w:line="14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individual customer accounted for 10% or more of consolidated revenue for any of the periods presented. No individual customer accounted for 10% or more of accounts receivable as of September 30, 2015. One customer accounted for approximately 22% of accounts receivable as of December 31, 2014.</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nine months ended September 30, 2015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2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as of December 31, 2014</w:t>
            </w:r>
          </w:p>
        </w:tc>
        <w:tc>
          <w:tcPr>
            <w:tcW w:w="300" w:type="dxa"/>
            <w:vAlign w:val="bottom"/>
            <w:tcBorders>
              <w:top w:val="single" w:sz="8" w:color="auto"/>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72,824</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60" w:type="dxa"/>
            <w:vAlign w:val="bottom"/>
            <w:tcBorders>
              <w:top w:val="single" w:sz="8" w:color="auto"/>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80,848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Adjustments to goodwill:</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exchange adjustment</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
              <w:spacing w:after="0"/>
              <w:rPr>
                <w:sz w:val="20"/>
                <w:szCs w:val="20"/>
                <w:color w:val="auto"/>
              </w:rPr>
            </w:pPr>
            <w:r>
              <w:rPr>
                <w:rFonts w:ascii="Arial" w:cs="Arial" w:eastAsia="Arial" w:hAnsi="Arial"/>
                <w:sz w:val="16"/>
                <w:szCs w:val="16"/>
                <w:color w:val="auto"/>
              </w:rPr>
              <w:t>(461)</w:t>
            </w:r>
          </w:p>
        </w:tc>
        <w:tc>
          <w:tcPr>
            <w:tcW w:w="12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(461)</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Balance as of September 30, 2015</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72,363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80,387</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summarized as follows (see Note 8)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As of September 30, 2015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720" w:type="dxa"/>
            <w:vAlign w:val="bottom"/>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CCFFCC"/>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CCFFCC"/>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72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CCFFCC"/>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28,005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(14,486)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13,519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5.3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16,008</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(6,093)</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9,915</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7.9 years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2.8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1,446</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(879)</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567</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2.3 years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3,440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2,682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9.7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312</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(271)</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7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41</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3.0 years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50,498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26,809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As of December 31, 2014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Net Carrying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720" w:type="dxa"/>
            <w:vAlign w:val="bottom"/>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72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27,844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(11,303)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16,541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5.3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16,008</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(4,055)</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11,953</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7.9 years</w:t>
            </w:r>
          </w:p>
        </w:tc>
        <w:tc>
          <w:tcPr>
            <w:tcW w:w="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1,287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2.8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1,446</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(625)</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821</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2.3 years</w:t>
            </w:r>
          </w:p>
        </w:tc>
        <w:tc>
          <w:tcPr>
            <w:tcW w:w="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3,290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2,790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w w:val="88"/>
              </w:rPr>
              <w:t>9.9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312</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(267)</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7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45</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6"/>
                <w:szCs w:val="16"/>
                <w:color w:val="auto"/>
                <w:w w:val="88"/>
              </w:rPr>
              <w:t>3.0 years</w:t>
            </w:r>
          </w:p>
        </w:tc>
        <w:tc>
          <w:tcPr>
            <w:tcW w:w="2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50,187</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(17,567)</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32,620</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96" w:right="239" w:bottom="1440" w:gutter="0" w:footer="0" w:header="0"/>
        </w:sectPr>
      </w:pPr>
    </w:p>
    <w:bookmarkStart w:id="13" w:name="page14"/>
    <w:bookmarkEnd w:id="13"/>
    <w:p>
      <w:pPr>
        <w:jc w:val="both"/>
        <w:ind w:firstLine="648"/>
        <w:spacing w:after="0" w:line="257" w:lineRule="auto"/>
        <w:rPr>
          <w:sz w:val="20"/>
          <w:szCs w:val="20"/>
          <w:color w:val="auto"/>
        </w:rPr>
      </w:pPr>
      <w:r>
        <w:rPr>
          <w:rFonts w:ascii="Arial" w:cs="Arial" w:eastAsia="Arial" w:hAnsi="Arial"/>
          <w:sz w:val="18"/>
          <w:szCs w:val="18"/>
          <w:color w:val="auto"/>
        </w:rPr>
        <w:t>Amortization expense is calculated over the estimated useful life of the asset. Aggregate amortization expense for intangible assets was $2.0 million and $1.3 million for the three months ended September 30, 2015 and 2014, respectively. Aggregate amortization expense for intangible assets was $6.1 million and $3.5 million for the nine months ended September 30, 2015 and 2014, respectively. For the three and nine months ended September 30, 2015 and 2014, respectively, a portion of this amortization is included in cost of revenue. Estimated amortization expense for the next five years is as follows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right"/>
              <w:ind w:right="201"/>
              <w:spacing w:after="0"/>
              <w:rPr>
                <w:sz w:val="20"/>
                <w:szCs w:val="20"/>
                <w:color w:val="auto"/>
              </w:rPr>
            </w:pPr>
            <w:r>
              <w:rPr>
                <w:rFonts w:ascii="Arial" w:cs="Arial" w:eastAsia="Arial" w:hAnsi="Arial"/>
                <w:sz w:val="14"/>
                <w:szCs w:val="14"/>
                <w:b w:val="1"/>
                <w:bCs w:val="1"/>
                <w:color w:val="auto"/>
                <w:w w:val="99"/>
              </w:rPr>
              <w:t>Estimated Amortization</w:t>
            </w:r>
          </w:p>
        </w:tc>
      </w:tr>
      <w:tr>
        <w:trPr>
          <w:trHeight w:val="192"/>
        </w:trPr>
        <w:tc>
          <w:tcPr>
            <w:tcW w:w="936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Expense</w:t>
            </w:r>
          </w:p>
        </w:tc>
      </w:tr>
      <w:tr>
        <w:trPr>
          <w:trHeight w:val="236"/>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2015</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1,846</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2016</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6,774</w:t>
            </w:r>
          </w:p>
        </w:tc>
      </w:tr>
      <w:tr>
        <w:trPr>
          <w:trHeight w:val="33"/>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2017</w:t>
            </w:r>
          </w:p>
        </w:tc>
        <w:tc>
          <w:tcPr>
            <w:tcW w:w="20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4,956</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2018</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2,837</w:t>
            </w:r>
          </w:p>
        </w:tc>
      </w:tr>
      <w:tr>
        <w:trPr>
          <w:trHeight w:val="33"/>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2019</w:t>
            </w:r>
          </w:p>
        </w:tc>
        <w:tc>
          <w:tcPr>
            <w:tcW w:w="20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2,830</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7,566</w:t>
            </w:r>
          </w:p>
        </w:tc>
      </w:tr>
      <w:tr>
        <w:trPr>
          <w:trHeight w:val="33"/>
        </w:trPr>
        <w:tc>
          <w:tcPr>
            <w:tcW w:w="93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26,809</w:t>
            </w:r>
          </w:p>
        </w:tc>
      </w:tr>
      <w:tr>
        <w:trPr>
          <w:trHeight w:val="20"/>
        </w:trPr>
        <w:tc>
          <w:tcPr>
            <w:tcW w:w="9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Computer equipment and software</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65,665</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55,293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equipment and building improvements</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10,388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9,439</w:t>
            </w:r>
          </w:p>
        </w:tc>
      </w:tr>
      <w:tr>
        <w:trPr>
          <w:trHeight w:val="27"/>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76,053</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64,732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(53,748)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(45,149)</w:t>
            </w:r>
          </w:p>
        </w:tc>
      </w:tr>
      <w:tr>
        <w:trPr>
          <w:trHeight w:val="27"/>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22,305</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19,583</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accrued expenses and other current liabilities for the periods presented (amounts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Payroll and other employee related costs</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15,282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15,373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Professional services and consulting and other vendor fees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14,587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9,258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commissions</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3,268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Contingent earnout (see Notes 8 and 9)</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6,940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2,459</w:t>
            </w:r>
          </w:p>
        </w:tc>
        <w:tc>
          <w:tcPr>
            <w:tcW w:w="10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2,933</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36,902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37,772</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 Pty Ltd.</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9, 2012, the Company acquired all of the outstanding shares of Engage Pty Ltd. (“Engage”), an Australian provider of cloud-based customer contact solutions. The transaction was accounted for under the purchase method of accounting and, accordingly, the operating results of Engage were included in the Company’s consolidated results of operations from the date of acquisition.</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purchase price was approximately $10.6 million. The total acquisition costs incurred in the year ended December 31, 2012 were approximately $0.5 million and are included in general and administrative expenses in the Company’s condensed consolidated statements of operations for the same period. The acquisition enhances the Company’s ability to offer intelligent engagement solutions to businesses in the Asia Pacific region. Of the total purchase price, $0.8 million was allocated to the net</w:t>
      </w:r>
    </w:p>
    <w:p>
      <w:pPr>
        <w:sectPr>
          <w:pgSz w:w="11900" w:h="16838" w:orient="portrait"/>
          <w:cols w:equalWidth="0" w:num="1">
            <w:col w:w="11420"/>
          </w:cols>
          <w:pgMar w:left="240" w:top="584"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4" w:right="239" w:bottom="1440" w:gutter="0" w:footer="0" w:header="0"/>
          <w:type w:val="continuous"/>
        </w:sectPr>
      </w:pPr>
    </w:p>
    <w:bookmarkStart w:id="14" w:name="page15"/>
    <w:bookmarkEnd w:id="14"/>
    <w:p>
      <w:pPr>
        <w:jc w:val="both"/>
        <w:spacing w:after="0" w:line="270" w:lineRule="auto"/>
        <w:rPr>
          <w:sz w:val="20"/>
          <w:szCs w:val="20"/>
          <w:color w:val="auto"/>
        </w:rPr>
      </w:pPr>
      <w:r>
        <w:rPr>
          <w:rFonts w:ascii="Arial" w:cs="Arial" w:eastAsia="Arial" w:hAnsi="Arial"/>
          <w:sz w:val="17"/>
          <w:szCs w:val="17"/>
          <w:color w:val="auto"/>
        </w:rPr>
        <w:t>book values of the acquired assets and assumed liabilities. The historical carrying amounts of such assets and liabilities approximated their fair values. All receivables acquired are expected to be collectible. The purchase price in excess of the fair value of the net book values of the assets acquired and liabilities assumed was allocated to intangible assets based on management’s best estimate of fair values, taking into account all relevant information available at the time of acquisition, and the excess was allocated to goodwill. The goodwill is not deductible for tax purposes. The intangible assets are being amortized over their expected period of benefit. The purchase price includes approximately $1.7 million of potential earn-out consideration for the shareholders if certain revenue targets are achieved. The earn-out is payable in shares of LivePerson common stock and cash. The Company recorded the contingent earn-out as part of the purchase price. In accordance with ASC 480, the Company has classified this amount as a liability with the amount included in accrued expenses. At June 30, 2015, the Company assessed this earn-out and recorded a $0.7 million fair value re-measurement adjustment, which was recorded in operating income as a decrease to general and administrative expenses and costs of revenue. As of September 30, 2015, there was no remaining liability included in accrued expenses relating to this earn-out.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NexGraph, LLC</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11, 2014, the Company acquired all the outstanding shares of NexGraph, LLC (“NexGraph”), a company focused on analytic solutions, in exchange for aggregate cash consideration of $0.5 million. Of the purchase price, $0.1 million was allocated to Intangibles, net, of which was fully amortized as of September 30, 2015; and $0.4 million of the purchase price was allocated to Goodwill.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Synchronite, LLC</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2, 2014, the Company acquired Synchronite, LLC (“Synchronite”), a German-based start-up that provides co-browsing technology. The transaction was accounted for under the purchase method of accounting and, accordingly, the operating results of Synchronite were included in the Company’s consolidated results of operations from the date of acquisition.</w:t>
      </w:r>
    </w:p>
    <w:p>
      <w:pPr>
        <w:spacing w:after="0" w:line="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allocation of the total purchase price of approximately $4.1 million was based upon the estimated fair value of Synchronite’s net tangible and identifiable intangible assets as of the date of acquisition. The total acquisition costs incurred were approximately $0.4 million and are included in general and administrative expenses in the Company’s condensed consolidated statements of operations. Of the total purchase price, $45,000 was allocated to the net book values of the acquired assets and assumed liabilities. The historical carrying amounts of such assets and liabilities approximated their fair values. All receivables acquired are expected to be collectible. The purchase price includes approximately $2.7 million of goodwill and approximately $1.5 million of intangible assets. The goodwill is deductible for tax purposes. The intangible assets are being amortized over their expected period of benefit. The purchase price includes $1.8 million of potential earn-out consideration for the shareholders if complete product integration is achieved. The earn-out is payable in shares of LivePerson common stock and cash. The Company recorded the contingent earn-out as part of the purchase price. In accordance with ASC 480, the Company has classified this amount as a liability and the amount is included in accrued expenses in the September 30, 2015 condensed consolidated balance sheet, due to the variable number of shares that will be issued if and when the targets are achieved. The Company has assessed the earn-out calculation at September 30, 2015 and recorded a $0.1 million fair value re-measurement adjustment, which was recorded in operating income as a increase to general and administrative expenses and costs of revenue. The Company will continue to assess the earn-out calculation in future periods and any future adjustments will affect operating income.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intangible assets are as follows (amounts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Weighted</w:t>
            </w:r>
          </w:p>
        </w:tc>
        <w:tc>
          <w:tcPr>
            <w:tcW w:w="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Average Useful</w:t>
            </w:r>
          </w:p>
        </w:tc>
        <w:tc>
          <w:tcPr>
            <w:tcW w:w="480" w:type="dxa"/>
            <w:vAlign w:val="bottom"/>
          </w:tcPr>
          <w:p>
            <w:pPr>
              <w:spacing w:after="0"/>
              <w:rPr>
                <w:sz w:val="12"/>
                <w:szCs w:val="12"/>
                <w:color w:val="auto"/>
              </w:rPr>
            </w:pPr>
          </w:p>
        </w:tc>
        <w:tc>
          <w:tcPr>
            <w:tcW w:w="1780" w:type="dxa"/>
            <w:vAlign w:val="bottom"/>
            <w:vMerge w:val="restart"/>
          </w:tcPr>
          <w:p>
            <w:pPr>
              <w:jc w:val="right"/>
              <w:ind w:right="8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rPr>
              <w:t>Life (Months)</w:t>
            </w:r>
          </w:p>
        </w:tc>
        <w:tc>
          <w:tcPr>
            <w:tcW w:w="48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Technology</w:t>
            </w:r>
          </w:p>
        </w:tc>
        <w:tc>
          <w:tcPr>
            <w:tcW w:w="2300" w:type="dxa"/>
            <w:vAlign w:val="bottom"/>
            <w:tcBorders>
              <w:top w:val="single" w:sz="8" w:color="auto"/>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89"/>
              </w:rPr>
              <w:t>120</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480" w:type="dxa"/>
            <w:vAlign w:val="bottom"/>
            <w:tcBorders>
              <w:top w:val="single" w:sz="8" w:color="auto"/>
              <w:bottom w:val="single" w:sz="8" w:color="CCFFCC"/>
            </w:tcBorders>
            <w:shd w:val="clear" w:color="auto" w:fill="CCFFCC"/>
          </w:tcPr>
          <w:p>
            <w:pPr>
              <w:jc w:val="right"/>
              <w:ind w:right="2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Trade-name</w:t>
            </w:r>
          </w:p>
        </w:tc>
        <w:tc>
          <w:tcPr>
            <w:tcW w:w="230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Customer relationships</w:t>
            </w:r>
          </w:p>
        </w:tc>
        <w:tc>
          <w:tcPr>
            <w:tcW w:w="230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89"/>
              </w:rPr>
              <w:t>84</w:t>
            </w:r>
          </w:p>
        </w:tc>
        <w:tc>
          <w:tcPr>
            <w:tcW w:w="12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spacing w:after="0"/>
              <w:rPr>
                <w:sz w:val="21"/>
                <w:szCs w:val="21"/>
                <w:color w:val="auto"/>
              </w:rPr>
            </w:pPr>
          </w:p>
        </w:tc>
        <w:tc>
          <w:tcPr>
            <w:tcW w:w="17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Non-compete agreements</w:t>
            </w:r>
          </w:p>
        </w:tc>
        <w:tc>
          <w:tcPr>
            <w:tcW w:w="230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FFCC"/>
            </w:tcBorders>
          </w:tcPr>
          <w:p>
            <w:pPr>
              <w:spacing w:after="0"/>
              <w:rPr>
                <w:sz w:val="2"/>
                <w:szCs w:val="2"/>
                <w:color w:val="auto"/>
              </w:rPr>
            </w:pPr>
          </w:p>
        </w:tc>
        <w:tc>
          <w:tcPr>
            <w:tcW w:w="2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FFCC"/>
            </w:tcBorders>
            <w:shd w:val="clear" w:color="auto" w:fill="CCFFCC"/>
          </w:tcPr>
          <w:p>
            <w:pPr>
              <w:spacing w:after="0"/>
              <w:rPr>
                <w:sz w:val="21"/>
                <w:szCs w:val="21"/>
                <w:color w:val="auto"/>
              </w:rPr>
            </w:pPr>
          </w:p>
        </w:tc>
        <w:tc>
          <w:tcPr>
            <w:tcW w:w="23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2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23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 At Once!, LLC</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7, 2014, the Company acquired Contact At Once!, LLC (“CAO!”), a software company with a cloud-based platform that instantly connects consumers with businesses through instant messaging, text messaging, chat, social media and video over the internet for consumer-to-business sales conversions. The transaction was accounted for under the purchase method of accounting and, accordingly, the operating results of CAO! were included in the Company’s consolidated results of operations from the date of acquisition.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jc w:val="both"/>
        <w:ind w:firstLine="648"/>
        <w:spacing w:after="0" w:line="269" w:lineRule="auto"/>
        <w:rPr>
          <w:sz w:val="20"/>
          <w:szCs w:val="20"/>
          <w:color w:val="auto"/>
        </w:rPr>
      </w:pPr>
      <w:r>
        <w:rPr>
          <w:rFonts w:ascii="Arial" w:cs="Arial" w:eastAsia="Arial" w:hAnsi="Arial"/>
          <w:sz w:val="17"/>
          <w:szCs w:val="17"/>
          <w:color w:val="auto"/>
        </w:rPr>
        <w:t>The allocation of the total purchase price of approximately $67.0 million, which includes approximately $42.8 million in cash, approximately $20.0 million in shares of common stock and approximately $4.2 million of potential earn-out consideration in cash, was based upon the estimated fair value of CAO!’s net tangible and identifiable intangible assets as of the date of acquisition. The historical carrying amounts of such assets and liabilities approximated their fair values. All receivables acquired are expected to be collectible. The purchase price includes approximately $45.1 million of goodwill and approximately $20.4 million of intangible assets. The goodwill will be deductible for tax purposes. The intangible assets are being amortized over their expected period of benefit. The purchase price includes $4.2 million of potential earn-out consideration for the shareholders if certain targeted financial, strategic and integration objectives is achieved. The earn-out is payable in cash. The Company recorded the contingent earn-out as part of the purchase price. In accordance with ASC 480, the Company has classified this amount as a liability and is included in accrued expenses in the December 31, 2014 consolidated balance sheet. At September 30, 2015, the Company assessed this earn-out and recorded a $3.2 million fair value re-measurement adjustment, which was recorded in operating income as a decrease to general and administrative expenses of approximately $1.9 million and costs of revenue of approximately $1.3 million. As of September 30, 2015, there is a remaining liability of $0.7 million included in accrued expenses relating to this contingent earn-out.</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Management’s allocation of the purchase price in connection with the CAO! acquisition is as follows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FFCC"/>
          </w:tcPr>
          <w:p>
            <w:pPr>
              <w:ind w:left="40"/>
              <w:spacing w:after="0"/>
              <w:rPr>
                <w:sz w:val="20"/>
                <w:szCs w:val="20"/>
                <w:color w:val="auto"/>
              </w:rPr>
            </w:pPr>
            <w:r>
              <w:rPr>
                <w:rFonts w:ascii="Arial" w:cs="Arial" w:eastAsia="Arial" w:hAnsi="Arial"/>
                <w:sz w:val="18"/>
                <w:szCs w:val="18"/>
                <w:color w:val="auto"/>
              </w:rPr>
              <w:t>Cash</w:t>
            </w:r>
          </w:p>
        </w:tc>
        <w:tc>
          <w:tcPr>
            <w:tcW w:w="22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FFCC"/>
          </w:tcPr>
          <w:p>
            <w:pPr>
              <w:jc w:val="right"/>
              <w:ind w:right="11"/>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currents assets</w:t>
            </w:r>
          </w:p>
        </w:tc>
        <w:tc>
          <w:tcPr>
            <w:tcW w:w="22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assets</w:t>
            </w:r>
          </w:p>
        </w:tc>
        <w:tc>
          <w:tcPr>
            <w:tcW w:w="22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20,400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Goodwill</w:t>
            </w:r>
          </w:p>
        </w:tc>
        <w:tc>
          <w:tcPr>
            <w:tcW w:w="22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58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45,064</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69,201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FFCC"/>
            </w:tcBorders>
          </w:tcPr>
          <w:p>
            <w:pPr>
              <w:spacing w:after="0"/>
              <w:rPr>
                <w:sz w:val="2"/>
                <w:szCs w:val="2"/>
                <w:color w:val="auto"/>
              </w:rPr>
            </w:pPr>
          </w:p>
        </w:tc>
        <w:tc>
          <w:tcPr>
            <w:tcW w:w="22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58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Liabilities assumed</w:t>
            </w:r>
          </w:p>
        </w:tc>
        <w:tc>
          <w:tcPr>
            <w:tcW w:w="22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64"/>
        </w:trPr>
        <w:tc>
          <w:tcPr>
            <w:tcW w:w="6740" w:type="dxa"/>
            <w:vAlign w:val="bottom"/>
          </w:tcPr>
          <w:p>
            <w:pPr>
              <w:ind w:left="360"/>
              <w:spacing w:after="0"/>
              <w:rPr>
                <w:sz w:val="20"/>
                <w:szCs w:val="20"/>
                <w:color w:val="auto"/>
              </w:rPr>
            </w:pPr>
            <w:r>
              <w:rPr>
                <w:rFonts w:ascii="Arial" w:cs="Arial" w:eastAsia="Arial" w:hAnsi="Arial"/>
                <w:sz w:val="18"/>
                <w:szCs w:val="18"/>
                <w:color w:val="auto"/>
              </w:rPr>
              <w:t>Total purchase price consideration</w:t>
            </w: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66,998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660"/>
              <w:spacing w:after="0"/>
              <w:rPr>
                <w:sz w:val="20"/>
                <w:szCs w:val="20"/>
                <w:color w:val="auto"/>
              </w:rPr>
            </w:pPr>
            <w:r>
              <w:rPr>
                <w:rFonts w:ascii="Arial" w:cs="Arial" w:eastAsia="Arial" w:hAnsi="Arial"/>
                <w:sz w:val="18"/>
                <w:szCs w:val="18"/>
                <w:color w:val="auto"/>
                <w:w w:val="95"/>
              </w:rPr>
              <w:t>The components of the intangible assets are as follows (amounts in thousands):</w:t>
            </w: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740" w:type="dxa"/>
            <w:vAlign w:val="bottom"/>
          </w:tcPr>
          <w:p>
            <w:pPr>
              <w:spacing w:after="0"/>
              <w:rPr>
                <w:sz w:val="24"/>
                <w:szCs w:val="2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Weighted</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Average Useful</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vMerge w:val="restart"/>
          </w:tcPr>
          <w:p>
            <w:pPr>
              <w:jc w:val="right"/>
              <w:ind w:right="79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color w:val="auto"/>
              </w:rPr>
              <w:t>Life (Months)</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Technology</w:t>
            </w:r>
          </w:p>
        </w:tc>
        <w:tc>
          <w:tcPr>
            <w:tcW w:w="2280" w:type="dxa"/>
            <w:vAlign w:val="bottom"/>
            <w:tcBorders>
              <w:top w:val="single" w:sz="8" w:color="auto"/>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96</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580" w:type="dxa"/>
            <w:vAlign w:val="bottom"/>
            <w:tcBorders>
              <w:top w:val="single" w:sz="8" w:color="auto"/>
              <w:bottom w:val="single" w:sz="8" w:color="CCFFCC"/>
            </w:tcBorders>
            <w:shd w:val="clear" w:color="auto" w:fill="CCFFCC"/>
          </w:tcPr>
          <w:p>
            <w:pPr>
              <w:jc w:val="right"/>
              <w:ind w:right="3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480" w:type="dxa"/>
            <w:vAlign w:val="bottom"/>
            <w:tcBorders>
              <w:top w:val="single" w:sz="8" w:color="auto"/>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Trade-name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Customer relationships</w:t>
            </w:r>
          </w:p>
        </w:tc>
        <w:tc>
          <w:tcPr>
            <w:tcW w:w="22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6"/>
              </w:rPr>
              <w:t>120</w:t>
            </w:r>
          </w:p>
        </w:tc>
        <w:tc>
          <w:tcPr>
            <w:tcW w:w="1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FFCC"/>
            </w:tcBorders>
          </w:tcPr>
          <w:p>
            <w:pPr>
              <w:spacing w:after="0"/>
              <w:rPr>
                <w:sz w:val="2"/>
                <w:szCs w:val="2"/>
                <w:color w:val="auto"/>
              </w:rPr>
            </w:pPr>
          </w:p>
        </w:tc>
        <w:tc>
          <w:tcPr>
            <w:tcW w:w="22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FFCC"/>
            </w:tcBorders>
            <w:shd w:val="clear" w:color="auto" w:fill="CCFFCC"/>
          </w:tcPr>
          <w:p>
            <w:pPr>
              <w:spacing w:after="0"/>
              <w:rPr>
                <w:sz w:val="22"/>
                <w:szCs w:val="22"/>
                <w:color w:val="auto"/>
              </w:rPr>
            </w:pPr>
          </w:p>
        </w:tc>
        <w:tc>
          <w:tcPr>
            <w:tcW w:w="228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580" w:type="dxa"/>
            <w:vAlign w:val="bottom"/>
            <w:tcBorders>
              <w:bottom w:val="single" w:sz="8" w:color="CCFFCC"/>
            </w:tcBorders>
            <w:shd w:val="clear" w:color="auto" w:fill="CCFFCC"/>
          </w:tcPr>
          <w:p>
            <w:pPr>
              <w:jc w:val="right"/>
              <w:ind w:right="3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20,400</w:t>
            </w:r>
          </w:p>
        </w:tc>
        <w:tc>
          <w:tcPr>
            <w:tcW w:w="0" w:type="dxa"/>
            <w:vAlign w:val="bottom"/>
          </w:tcPr>
          <w:p>
            <w:pPr>
              <w:spacing w:after="0"/>
              <w:rPr>
                <w:sz w:val="1"/>
                <w:szCs w:val="1"/>
                <w:color w:val="auto"/>
              </w:rPr>
            </w:pP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22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0" w:lineRule="exact"/>
        <w:rPr>
          <w:sz w:val="20"/>
          <w:szCs w:val="20"/>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ind w:left="1140" w:hanging="322"/>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Company’s assets and liabilities that are measured at fair value on a recurring basis, by level, within the fair value hierarchy as of September 30, 2015 and December 31, 2014, are summarized as follows (amounts in thousands). The Company’s restricted cash balance of $5.4 million at September 30, 2015 is not held in a money market account and is not included in the following table.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ind w:left="80"/>
              <w:spacing w:after="0"/>
              <w:rPr>
                <w:sz w:val="20"/>
                <w:szCs w:val="20"/>
                <w:color w:val="auto"/>
              </w:rPr>
            </w:pPr>
            <w:r>
              <w:rPr>
                <w:rFonts w:ascii="Arial" w:cs="Arial" w:eastAsia="Arial" w:hAnsi="Arial"/>
                <w:sz w:val="16"/>
                <w:szCs w:val="16"/>
                <w:b w:val="1"/>
                <w:bCs w:val="1"/>
                <w:color w:val="auto"/>
              </w:rPr>
              <w:t>September 30, 2015</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5"/>
          </w:tcPr>
          <w:p>
            <w:pPr>
              <w:ind w:left="80"/>
              <w:spacing w:after="0"/>
              <w:rPr>
                <w:sz w:val="20"/>
                <w:szCs w:val="20"/>
                <w:color w:val="auto"/>
              </w:rPr>
            </w:pPr>
            <w:r>
              <w:rPr>
                <w:rFonts w:ascii="Arial" w:cs="Arial" w:eastAsia="Arial" w:hAnsi="Arial"/>
                <w:sz w:val="16"/>
                <w:szCs w:val="16"/>
                <w:b w:val="1"/>
                <w:bCs w:val="1"/>
                <w:color w:val="auto"/>
              </w:rPr>
              <w:t>December 31, 2014</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Total</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4,321</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FFCC"/>
            </w:tcBorders>
            <w:gridSpan w:val="2"/>
            <w:shd w:val="clear" w:color="auto" w:fill="CCFFCC"/>
          </w:tcPr>
          <w:p>
            <w:pPr>
              <w:ind w:left="4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4,321</w:t>
            </w: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3,987</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3,987</w:t>
            </w: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ind w:left="42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4,321</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FFCC"/>
          </w:tcPr>
          <w:p>
            <w:pPr>
              <w:ind w:left="420"/>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4,360</w:t>
            </w: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3,987</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3,987</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Contingent earn-outs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782</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6,940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6,940</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FFCC"/>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782</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782</w:t>
            </w: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6,940</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6,940</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only asset that is measured at fair value on a recurring basis is money market funds, based on quoted market prices in active markets and therefore classified as level 1 within the fair value hierarchy. The Company’s contingent earn-out liability and foreign currency derivative contract liability are measured at fair value on a recurring basis and are classified as level 3 and level 2, respectively,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a combination of discounted cash flows and other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contingent earn-out in connection with the acquisition of Engage was $0.9 million as of December 31, 2014 and was recorded in accrued expenses in the condensed consolidated balance sheets. The contingent earn-out balance was increased by $1.8 million in June 2014 in connection with the acquisition of Synchronite and $4.2 million in November 2014 in connection with the acquisition of CAO!. During the three months ended September 30, 2015, the contingent-earnout decreased by $3.5 million in connection with the acquisition of CAO! due to both re-measurement to fair value of $3.2 million and cash payments of $0.3 million. During the nine months ended September 30, 2015, the contingent-earnout decreased by $0.9 million in connection with the Engage acquisition and by $1.7 million in connection with the acquisition of Synchronite due to both re-measurement to fair value and cash payments. The contingent earn-out amounts are recorded in accrued expense on the condensed consolidated balance sheets as they are payable in 2015. The contingent earn-out relating to Engage was based on the potential earn-out consideration if certain revenue targets are achieved. There was no remaining contingent earn-out in connection with the acquisition of Engage as of September 30, 2015. The contingent earn-out relating to Synchronite is based on the fulfillment of a complete product integration and a minimum number of “Co-Browse” interactions per month. The contingent earn-out relating to CAO! is based on achieving certain target strategic and integration objectives and milestones.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338"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Contingent Earn-Out</w:t>
            </w:r>
          </w:p>
        </w:tc>
        <w:tc>
          <w:tcPr>
            <w:tcW w:w="600" w:type="dxa"/>
            <w:vAlign w:val="bottom"/>
            <w:tcBorders>
              <w:bottom w:val="single" w:sz="8" w:color="auto"/>
            </w:tcBorders>
          </w:tcPr>
          <w:p>
            <w:pPr>
              <w:spacing w:after="0"/>
              <w:rPr>
                <w:sz w:val="16"/>
                <w:szCs w:val="16"/>
                <w:color w:val="auto"/>
              </w:rPr>
            </w:pPr>
          </w:p>
        </w:tc>
      </w:tr>
      <w:tr>
        <w:trPr>
          <w:trHeight w:val="264"/>
        </w:trPr>
        <w:tc>
          <w:tcPr>
            <w:tcW w:w="7740" w:type="dxa"/>
            <w:vAlign w:val="bottom"/>
          </w:tcPr>
          <w:p>
            <w:pPr>
              <w:spacing w:after="0"/>
              <w:rPr>
                <w:sz w:val="22"/>
                <w:szCs w:val="22"/>
                <w:color w:val="auto"/>
              </w:rPr>
            </w:pP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8"/>
              </w:rPr>
              <w:t>December 31, 2014</w:t>
            </w:r>
          </w:p>
        </w:tc>
      </w:tr>
      <w:tr>
        <w:trPr>
          <w:trHeight w:val="236"/>
        </w:trPr>
        <w:tc>
          <w:tcPr>
            <w:tcW w:w="77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Beginning of Period</w:t>
            </w:r>
          </w:p>
        </w:tc>
        <w:tc>
          <w:tcPr>
            <w:tcW w:w="440" w:type="dxa"/>
            <w:vAlign w:val="bottom"/>
            <w:tcBorders>
              <w:top w:val="single" w:sz="8" w:color="auto"/>
              <w:bottom w:val="single" w:sz="8" w:color="CCFFCC"/>
            </w:tcBorders>
            <w:shd w:val="clear" w:color="auto" w:fill="CCFFCC"/>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6,940</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760" w:type="dxa"/>
            <w:vAlign w:val="bottom"/>
            <w:tcBorders>
              <w:top w:val="single" w:sz="8" w:color="auto"/>
              <w:bottom w:val="single" w:sz="8" w:color="CCFFCC"/>
            </w:tcBorders>
            <w:shd w:val="clear" w:color="auto" w:fill="CCFFCC"/>
          </w:tcPr>
          <w:p>
            <w:pPr>
              <w:jc w:val="right"/>
              <w:ind w:right="58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1,660</w:t>
            </w:r>
          </w:p>
        </w:tc>
      </w:tr>
      <w:tr>
        <w:trPr>
          <w:trHeight w:val="237"/>
        </w:trPr>
        <w:tc>
          <w:tcPr>
            <w:tcW w:w="7740" w:type="dxa"/>
            <w:vAlign w:val="bottom"/>
          </w:tcPr>
          <w:p>
            <w:pPr>
              <w:ind w:left="160"/>
              <w:spacing w:after="0"/>
              <w:rPr>
                <w:sz w:val="20"/>
                <w:szCs w:val="20"/>
                <w:color w:val="auto"/>
              </w:rPr>
            </w:pPr>
            <w:r>
              <w:rPr>
                <w:rFonts w:ascii="Arial" w:cs="Arial" w:eastAsia="Arial" w:hAnsi="Arial"/>
                <w:sz w:val="16"/>
                <w:szCs w:val="16"/>
                <w:color w:val="auto"/>
              </w:rPr>
              <w:t>Synchronite addition (see Note 8)</w:t>
            </w: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1,810</w:t>
            </w:r>
          </w:p>
        </w:tc>
      </w:tr>
      <w:tr>
        <w:trPr>
          <w:trHeight w:val="33"/>
        </w:trPr>
        <w:tc>
          <w:tcPr>
            <w:tcW w:w="7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7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CAO! addition (see Note 8)</w:t>
            </w:r>
          </w:p>
        </w:tc>
        <w:tc>
          <w:tcPr>
            <w:tcW w:w="44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4,220</w:t>
            </w:r>
          </w:p>
        </w:tc>
      </w:tr>
      <w:tr>
        <w:trPr>
          <w:trHeight w:val="237"/>
        </w:trPr>
        <w:tc>
          <w:tcPr>
            <w:tcW w:w="7740" w:type="dxa"/>
            <w:vAlign w:val="bottom"/>
          </w:tcPr>
          <w:p>
            <w:pPr>
              <w:ind w:left="160"/>
              <w:spacing w:after="0"/>
              <w:rPr>
                <w:sz w:val="20"/>
                <w:szCs w:val="20"/>
                <w:color w:val="auto"/>
              </w:rPr>
            </w:pPr>
            <w:r>
              <w:rPr>
                <w:rFonts w:ascii="Arial" w:cs="Arial" w:eastAsia="Arial" w:hAnsi="Arial"/>
                <w:sz w:val="16"/>
                <w:szCs w:val="16"/>
                <w:color w:val="auto"/>
              </w:rPr>
              <w:t>Cash payments</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(2,366)</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33"/>
        </w:trPr>
        <w:tc>
          <w:tcPr>
            <w:tcW w:w="7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7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Changes in fair value</w:t>
            </w:r>
          </w:p>
        </w:tc>
        <w:tc>
          <w:tcPr>
            <w:tcW w:w="440" w:type="dxa"/>
            <w:vAlign w:val="bottom"/>
            <w:tcBorders>
              <w:bottom w:val="single" w:sz="8" w:color="CCFFCC"/>
            </w:tcBorders>
            <w:shd w:val="clear" w:color="auto" w:fill="CCFFCC"/>
          </w:tcPr>
          <w:p>
            <w:pPr>
              <w:spacing w:after="0"/>
              <w:rPr>
                <w:sz w:val="23"/>
                <w:szCs w:val="23"/>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(3,792)</w:t>
            </w:r>
          </w:p>
        </w:tc>
        <w:tc>
          <w:tcPr>
            <w:tcW w:w="12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CCFFCC"/>
            </w:tcBorders>
            <w:shd w:val="clear" w:color="auto" w:fill="CCFFCC"/>
          </w:tcPr>
          <w:p>
            <w:pPr>
              <w:spacing w:after="0"/>
              <w:rPr>
                <w:sz w:val="23"/>
                <w:szCs w:val="23"/>
                <w:color w:val="auto"/>
              </w:rPr>
            </w:pPr>
          </w:p>
        </w:tc>
        <w:tc>
          <w:tcPr>
            <w:tcW w:w="6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774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44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6,940</w:t>
            </w:r>
          </w:p>
        </w:tc>
      </w:tr>
      <w:tr>
        <w:trPr>
          <w:trHeight w:val="20"/>
        </w:trPr>
        <w:tc>
          <w:tcPr>
            <w:tcW w:w="7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exposed to foreign exchange risks that in part are managed by using derivative financial instruments. Beginning January 2015, the Company entered into foreign currency forward contracts related to risks associated with foreign operations. The Company does not use derivatives for trading purposes and at September 30, 2015 has no derivatives that are designated as fair value hedges.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w:t>
      </w:r>
    </w:p>
    <w:p>
      <w:pPr>
        <w:spacing w:after="0" w:line="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foreign currency forward contracts, the Company was required to pledge cash as collateral security to be maintained at the bank. The collateral shall remain in control of the lender, and these funds can be used to satisfy the outstanding obligation. Accordingly, the Company had cash at the bank of approximately $5.4 million at September 30, 2015 and is recorded as cash held as collateral in current assets.</w:t>
      </w:r>
    </w:p>
    <w:p>
      <w:pPr>
        <w:spacing w:after="0" w:line="5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outstanding foreign currency derivative contracts related primarily to intercompany receivables and payables for the periods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FFCC"/>
            </w:tcBorders>
          </w:tcPr>
          <w:p>
            <w:pPr>
              <w:spacing w:after="0"/>
              <w:rPr>
                <w:sz w:val="16"/>
                <w:szCs w:val="16"/>
                <w:color w:val="auto"/>
              </w:rPr>
            </w:pPr>
          </w:p>
        </w:tc>
        <w:tc>
          <w:tcPr>
            <w:tcW w:w="17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5"/>
              </w:rPr>
              <w:t>As of September 30, 2015</w:t>
            </w:r>
          </w:p>
        </w:tc>
        <w:tc>
          <w:tcPr>
            <w:tcW w:w="17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5"/>
              </w:rPr>
              <w:t>As of December 31, 2014</w:t>
            </w:r>
          </w:p>
        </w:tc>
      </w:tr>
      <w:tr>
        <w:trPr>
          <w:trHeight w:val="250"/>
        </w:trPr>
        <w:tc>
          <w:tcPr>
            <w:tcW w:w="79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Notional amount of foreign currency derivative contracts</w:t>
            </w:r>
          </w:p>
        </w:tc>
        <w:tc>
          <w:tcPr>
            <w:tcW w:w="620" w:type="dxa"/>
            <w:vAlign w:val="bottom"/>
            <w:tcBorders>
              <w:bottom w:val="single" w:sz="8" w:color="CCFFCC"/>
            </w:tcBorders>
            <w:shd w:val="clear" w:color="auto" w:fill="CCFFCC"/>
          </w:tcPr>
          <w:p>
            <w:pPr>
              <w:jc w:val="right"/>
              <w:ind w:right="4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38,351</w:t>
            </w:r>
          </w:p>
        </w:tc>
        <w:tc>
          <w:tcPr>
            <w:tcW w:w="860" w:type="dxa"/>
            <w:vAlign w:val="bottom"/>
            <w:tcBorders>
              <w:bottom w:val="single" w:sz="8" w:color="CCFFCC"/>
            </w:tcBorders>
            <w:shd w:val="clear" w:color="auto" w:fill="CCFFCC"/>
          </w:tcPr>
          <w:p>
            <w:pPr>
              <w:jc w:val="right"/>
              <w:ind w:right="58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FFCC"/>
            </w:tcBorders>
            <w:shd w:val="clear" w:color="auto" w:fill="CCFFCC"/>
          </w:tcPr>
          <w:p>
            <w:pPr>
              <w:ind w:left="640"/>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Fair value of foreign currency derivatives contracts</w:t>
            </w:r>
          </w:p>
        </w:tc>
        <w:tc>
          <w:tcPr>
            <w:tcW w:w="620" w:type="dxa"/>
            <w:vAlign w:val="bottom"/>
          </w:tcPr>
          <w:p>
            <w:pPr>
              <w:jc w:val="right"/>
              <w:ind w:right="44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39</w:t>
            </w:r>
          </w:p>
        </w:tc>
        <w:tc>
          <w:tcPr>
            <w:tcW w:w="86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Company’s derivative instruments is summarized below (in thousands):</w:t>
      </w:r>
    </w:p>
    <w:p>
      <w:pPr>
        <w:spacing w:after="0" w:line="230" w:lineRule="exact"/>
        <w:rPr>
          <w:sz w:val="20"/>
          <w:szCs w:val="20"/>
          <w:color w:val="auto"/>
        </w:rPr>
      </w:pPr>
    </w:p>
    <w:tbl>
      <w:tblPr>
        <w:tblLayout w:type="fixed"/>
        <w:tblInd w:w="414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Fair Value of Derivative Instruments</w:t>
            </w:r>
          </w:p>
        </w:tc>
      </w:tr>
      <w:tr>
        <w:trPr>
          <w:trHeight w:val="264"/>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22"/>
                <w:szCs w:val="22"/>
                <w:color w:val="auto"/>
              </w:rPr>
            </w:pPr>
          </w:p>
        </w:tc>
        <w:tc>
          <w:tcPr>
            <w:tcW w:w="1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7"/>
              </w:rPr>
              <w:t>As of September 30, 2015</w:t>
            </w:r>
          </w:p>
        </w:tc>
        <w:tc>
          <w:tcPr>
            <w:tcW w:w="120" w:type="dxa"/>
            <w:vAlign w:val="bottom"/>
          </w:tcPr>
          <w:p>
            <w:pPr>
              <w:spacing w:after="0"/>
              <w:rPr>
                <w:sz w:val="22"/>
                <w:szCs w:val="22"/>
                <w:color w:val="auto"/>
              </w:rPr>
            </w:pP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5"/>
              </w:rPr>
              <w:t>As of December 31,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-8255</wp:posOffset>
            </wp:positionV>
            <wp:extent cx="716915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Derivative Assets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34925</wp:posOffset>
            </wp:positionV>
            <wp:extent cx="716915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53" w:lineRule="exact"/>
        <w:rPr>
          <w:sz w:val="20"/>
          <w:szCs w:val="20"/>
          <w:color w:val="auto"/>
        </w:rPr>
      </w:pPr>
    </w:p>
    <w:p>
      <w:pPr>
        <w:ind w:left="240"/>
        <w:spacing w:after="0"/>
        <w:tabs>
          <w:tab w:leader="none" w:pos="4140" w:val="left"/>
          <w:tab w:leader="none" w:pos="7780" w:val="left"/>
          <w:tab w:leader="none" w:pos="9280" w:val="left"/>
          <w:tab w:leader="none" w:pos="9700" w:val="left"/>
          <w:tab w:leader="none" w:pos="11060" w:val="left"/>
        </w:tabs>
        <w:rPr>
          <w:sz w:val="20"/>
          <w:szCs w:val="20"/>
          <w:color w:val="auto"/>
        </w:rPr>
      </w:pPr>
      <w:r>
        <w:rPr>
          <w:rFonts w:ascii="Arial" w:cs="Arial" w:eastAsia="Arial" w:hAnsi="Arial"/>
          <w:sz w:val="16"/>
          <w:szCs w:val="16"/>
          <w:color w:val="auto"/>
        </w:rPr>
        <w:t>Foreign currency derivatives contracts</w:t>
      </w:r>
      <w:r>
        <w:rPr>
          <w:sz w:val="20"/>
          <w:szCs w:val="20"/>
          <w:color w:val="auto"/>
        </w:rPr>
        <w:tab/>
      </w:r>
      <w:r>
        <w:rPr>
          <w:rFonts w:ascii="Arial" w:cs="Arial" w:eastAsia="Arial" w:hAnsi="Arial"/>
          <w:sz w:val="16"/>
          <w:szCs w:val="16"/>
          <w:color w:val="auto"/>
        </w:rPr>
        <w:t>Prepaid expenses and other current assets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52070</wp:posOffset>
            </wp:positionV>
            <wp:extent cx="2280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derivatives that are not designated or are not effective as hedges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5280" w:type="dxa"/>
            <w:vAlign w:val="bottom"/>
            <w:tcBorders>
              <w:bottom w:val="single" w:sz="8" w:color="auto"/>
            </w:tcBorders>
            <w:gridSpan w:val="11"/>
          </w:tcPr>
          <w:p>
            <w:pPr>
              <w:ind w:left="420"/>
              <w:spacing w:after="0"/>
              <w:rPr>
                <w:sz w:val="20"/>
                <w:szCs w:val="20"/>
                <w:color w:val="auto"/>
              </w:rPr>
            </w:pPr>
            <w:r>
              <w:rPr>
                <w:rFonts w:ascii="Arial" w:cs="Arial" w:eastAsia="Arial" w:hAnsi="Arial"/>
                <w:sz w:val="14"/>
                <w:szCs w:val="14"/>
                <w:b w:val="1"/>
                <w:bCs w:val="1"/>
                <w:color w:val="auto"/>
                <w:w w:val="99"/>
              </w:rPr>
              <w:t>Gain (losses) on Derivative Instruments Recognized in Income Statement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346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3460" w:type="dxa"/>
            <w:vAlign w:val="bottom"/>
            <w:tcBorders>
              <w:bottom w:val="single" w:sz="8" w:color="CCFFCC"/>
            </w:tcBorders>
          </w:tcPr>
          <w:p>
            <w:pPr>
              <w:spacing w:after="0"/>
              <w:rPr>
                <w:sz w:val="22"/>
                <w:szCs w:val="22"/>
                <w:color w:val="auto"/>
              </w:rPr>
            </w:pP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10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2014</w:t>
            </w:r>
          </w:p>
        </w:tc>
      </w:tr>
      <w:tr>
        <w:trPr>
          <w:trHeight w:val="250"/>
        </w:trPr>
        <w:tc>
          <w:tcPr>
            <w:tcW w:w="3460" w:type="dxa"/>
            <w:vAlign w:val="bottom"/>
            <w:shd w:val="clear" w:color="auto" w:fill="CCFFCC"/>
          </w:tcPr>
          <w:p>
            <w:pPr>
              <w:ind w:left="40"/>
              <w:spacing w:after="0"/>
              <w:rPr>
                <w:sz w:val="20"/>
                <w:szCs w:val="20"/>
                <w:color w:val="auto"/>
              </w:rPr>
            </w:pPr>
            <w:r>
              <w:rPr>
                <w:rFonts w:ascii="Arial" w:cs="Arial" w:eastAsia="Arial" w:hAnsi="Arial"/>
                <w:sz w:val="16"/>
                <w:szCs w:val="16"/>
                <w:color w:val="auto"/>
              </w:rPr>
              <w:t>Foreign currency derivatives contracts</w:t>
            </w:r>
          </w:p>
        </w:tc>
        <w:tc>
          <w:tcPr>
            <w:tcW w:w="1320" w:type="dxa"/>
            <w:vAlign w:val="bottom"/>
            <w:shd w:val="clear" w:color="auto" w:fill="CCFFCC"/>
          </w:tcPr>
          <w:p>
            <w:pPr>
              <w:ind w:left="20"/>
              <w:spacing w:after="0"/>
              <w:rPr>
                <w:sz w:val="20"/>
                <w:szCs w:val="20"/>
                <w:color w:val="auto"/>
              </w:rPr>
            </w:pPr>
            <w:r>
              <w:rPr>
                <w:rFonts w:ascii="Arial" w:cs="Arial" w:eastAsia="Arial" w:hAnsi="Arial"/>
                <w:sz w:val="16"/>
                <w:szCs w:val="16"/>
                <w:color w:val="auto"/>
              </w:rPr>
              <w:t>Other income</w:t>
            </w:r>
          </w:p>
        </w:tc>
        <w:tc>
          <w:tcPr>
            <w:tcW w:w="1800" w:type="dxa"/>
            <w:vAlign w:val="bottom"/>
            <w:gridSpan w:val="3"/>
            <w:shd w:val="clear" w:color="auto" w:fill="CCFFCC"/>
          </w:tcPr>
          <w:p>
            <w:pPr>
              <w:jc w:val="right"/>
              <w:ind w:right="768"/>
              <w:spacing w:after="0"/>
              <w:rPr>
                <w:sz w:val="20"/>
                <w:szCs w:val="20"/>
                <w:color w:val="auto"/>
              </w:rPr>
            </w:pPr>
            <w:r>
              <w:rPr>
                <w:rFonts w:ascii="Arial" w:cs="Arial" w:eastAsia="Arial" w:hAnsi="Arial"/>
                <w:sz w:val="16"/>
                <w:szCs w:val="16"/>
                <w:color w:val="auto"/>
              </w:rPr>
              <w:t>$</w:t>
            </w:r>
          </w:p>
        </w:tc>
        <w:tc>
          <w:tcPr>
            <w:tcW w:w="46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883"/>
              <w:spacing w:after="0"/>
              <w:rPr>
                <w:sz w:val="20"/>
                <w:szCs w:val="20"/>
                <w:color w:val="auto"/>
              </w:rPr>
            </w:pPr>
            <w:r>
              <w:rPr>
                <w:rFonts w:ascii="Arial" w:cs="Arial" w:eastAsia="Arial" w:hAnsi="Arial"/>
                <w:sz w:val="16"/>
                <w:szCs w:val="16"/>
                <w:color w:val="auto"/>
                <w:w w:val="89"/>
              </w:rPr>
              <w:t>$</w:t>
            </w:r>
          </w:p>
        </w:tc>
        <w:tc>
          <w:tcPr>
            <w:tcW w:w="400" w:type="dxa"/>
            <w:vAlign w:val="bottom"/>
            <w:gridSpan w:val="2"/>
            <w:shd w:val="clear" w:color="auto" w:fill="CCFFCC"/>
          </w:tcPr>
          <w:p>
            <w:pPr>
              <w:ind w:lef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FFCC"/>
          </w:tcPr>
          <w:p>
            <w:pPr>
              <w:jc w:val="right"/>
              <w:ind w:right="25"/>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FFCC"/>
          </w:tcPr>
          <w:p>
            <w:pPr>
              <w:spacing w:after="0"/>
              <w:rPr>
                <w:sz w:val="21"/>
                <w:szCs w:val="21"/>
                <w:color w:val="auto"/>
              </w:rPr>
            </w:pPr>
          </w:p>
        </w:tc>
        <w:tc>
          <w:tcPr>
            <w:tcW w:w="32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w:t>
            </w:r>
          </w:p>
        </w:tc>
      </w:tr>
      <w:tr>
        <w:trPr>
          <w:trHeight w:val="20"/>
        </w:trPr>
        <w:tc>
          <w:tcPr>
            <w:tcW w:w="3460" w:type="dxa"/>
            <w:vAlign w:val="bottom"/>
            <w:tcBorders>
              <w:top w:val="single" w:sz="8" w:color="CCFFCC"/>
            </w:tcBorders>
          </w:tcPr>
          <w:p>
            <w:pPr>
              <w:spacing w:after="0" w:line="20" w:lineRule="exact"/>
              <w:rPr>
                <w:sz w:val="1"/>
                <w:szCs w:val="1"/>
                <w:color w:val="auto"/>
              </w:rPr>
            </w:pPr>
          </w:p>
        </w:tc>
        <w:tc>
          <w:tcPr>
            <w:tcW w:w="1320" w:type="dxa"/>
            <w:vAlign w:val="bottom"/>
            <w:tcBorders>
              <w:top w:val="single" w:sz="8" w:color="CCFFCC"/>
            </w:tcBorders>
          </w:tcPr>
          <w:p>
            <w:pPr>
              <w:spacing w:after="0" w:line="20" w:lineRule="exact"/>
              <w:rPr>
                <w:sz w:val="1"/>
                <w:szCs w:val="1"/>
                <w:color w:val="auto"/>
              </w:rPr>
            </w:pPr>
          </w:p>
        </w:tc>
        <w:tc>
          <w:tcPr>
            <w:tcW w:w="7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leases facilities and certain equipment under agreements accounted for as operating leases. These leases generally require the Company to pay all executory costs such as maintenance and insurance. Rental expense for operating leases for the three and nine months ended September 30, 2015 was approximately $2.4 million and $5.9 million, respectively. Rental expense for operating leases for the three and nine months ended September 30, 2014 was approximately $2.3 million and $6.9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has a 401(k) defined contribution plan covering all eligible employees. The Company provides for employer matching contributions equal to 50% of employee contributions, up to the lesser of 5% of eligible compensation or $6,000. Matching contributions are deposited into the employee’s 401(k) account and are subject to 5 year graded vesting. Salaries and related expenses include $0.3 million and $1.0 million of employer matching contributions for the three and nine months ended September 30, 2015, respectively. Salaries and related expenses include $0.2 million and $0.8 million of employer matching contributions for the three and nine months ended September 30, 2014,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2015, there were 100,000,000 shares of common stock authorized, and 57,268,489 shares issued and outstanding. As of December 31, 2014, there were 100,000,000 shares of common stock authorized, and 56,701,331 shares issued and outstanding. The par value for common shares is $0.001.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2015 and December 31, 2014, there were 5,000,000 shares of preferred stock authorized, and zero shares issued and outstanding. The par value for preferred shares is $0.001.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increased the aggregate purchase price of the stock repurchase program from $40.0 million to $50.0 million. On March 5, 2015, the Company’s Board of Directors extended the expiration date of the program out to December 31, 2016. There were 386,812 shares repurchased under this program during 2015, of which 277,360 shares were recorded in treasury stock at par on the condensed consolidated balance sheets as of September 30, 2015. As of September 30, 2015, approximately $6.1 million remained available for purchase under the program.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40"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6"/>
          <w:szCs w:val="16"/>
          <w:color w:val="auto"/>
        </w:rPr>
        <w:t>The following table summarizes stock-based compensation expense related to employee stock options and restricted stock units (“RSUs”)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ASC 718-10 included in Company’s statements of operations for the periods presented (amounts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FFC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FFCC"/>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w w:val="83"/>
              </w:rPr>
              <w:t>2014</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w w:val="89"/>
              </w:rPr>
              <w:t>2014</w:t>
            </w:r>
          </w:p>
        </w:tc>
      </w:tr>
      <w:tr>
        <w:trPr>
          <w:trHeight w:val="236"/>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Cost of revenue</w:t>
            </w:r>
          </w:p>
        </w:tc>
        <w:tc>
          <w:tcPr>
            <w:tcW w:w="360" w:type="dxa"/>
            <w:vAlign w:val="bottom"/>
            <w:tcBorders>
              <w:bottom w:val="single" w:sz="8" w:color="CCFFCC"/>
            </w:tcBorders>
            <w:shd w:val="clear" w:color="auto" w:fill="CCFFCC"/>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FFCC"/>
            </w:tcBorders>
            <w:shd w:val="clear" w:color="auto" w:fill="CCFFCC"/>
          </w:tcPr>
          <w:p>
            <w:pPr>
              <w:spacing w:after="0"/>
              <w:rPr>
                <w:sz w:val="20"/>
                <w:szCs w:val="20"/>
                <w:color w:val="auto"/>
              </w:rPr>
            </w:pPr>
          </w:p>
        </w:tc>
        <w:tc>
          <w:tcPr>
            <w:tcW w:w="600" w:type="dxa"/>
            <w:vAlign w:val="bottom"/>
            <w:tcBorders>
              <w:bottom w:val="single" w:sz="8" w:color="CCFFCC"/>
            </w:tcBorders>
            <w:shd w:val="clear" w:color="auto" w:fill="CCFFCC"/>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1,092</w:t>
            </w:r>
          </w:p>
        </w:tc>
        <w:tc>
          <w:tcPr>
            <w:tcW w:w="100" w:type="dxa"/>
            <w:vAlign w:val="bottom"/>
            <w:tcBorders>
              <w:bottom w:val="single" w:sz="8" w:color="CCFFCC"/>
            </w:tcBorders>
            <w:shd w:val="clear" w:color="auto" w:fill="CCFFCC"/>
          </w:tcPr>
          <w:p>
            <w:pPr>
              <w:spacing w:after="0"/>
              <w:rPr>
                <w:sz w:val="20"/>
                <w:szCs w:val="20"/>
                <w:color w:val="auto"/>
              </w:rPr>
            </w:pPr>
          </w:p>
        </w:tc>
        <w:tc>
          <w:tcPr>
            <w:tcW w:w="580" w:type="dxa"/>
            <w:vAlign w:val="bottom"/>
            <w:tcBorders>
              <w:bottom w:val="single" w:sz="8" w:color="CCFFCC"/>
            </w:tcBorders>
            <w:shd w:val="clear" w:color="auto" w:fill="CCFFCC"/>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1,209</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Sales and marketing expense</w:t>
            </w:r>
          </w:p>
        </w:tc>
        <w:tc>
          <w:tcPr>
            <w:tcW w:w="36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2,292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2,766</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General and administrative expense</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911</w:t>
            </w:r>
          </w:p>
        </w:tc>
        <w:tc>
          <w:tcPr>
            <w:tcW w:w="12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1,088</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2,590</w:t>
            </w:r>
          </w:p>
        </w:tc>
        <w:tc>
          <w:tcPr>
            <w:tcW w:w="10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2,800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Product development expense</w:t>
            </w:r>
          </w:p>
        </w:tc>
        <w:tc>
          <w:tcPr>
            <w:tcW w:w="36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927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2,819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2,783</w:t>
            </w:r>
          </w:p>
        </w:tc>
      </w:tr>
      <w:tr>
        <w:trPr>
          <w:trHeight w:val="33"/>
        </w:trPr>
        <w:tc>
          <w:tcPr>
            <w:tcW w:w="516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Total stock-based compensation included in costs and expenses</w:t>
            </w:r>
          </w:p>
        </w:tc>
        <w:tc>
          <w:tcPr>
            <w:tcW w:w="360" w:type="dxa"/>
            <w:vAlign w:val="bottom"/>
            <w:tcBorders>
              <w:bottom w:val="single" w:sz="8" w:color="auto"/>
            </w:tcBorders>
            <w:shd w:val="clear" w:color="auto" w:fill="CCFFCC"/>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2,886</w:t>
            </w:r>
          </w:p>
        </w:tc>
        <w:tc>
          <w:tcPr>
            <w:tcW w:w="12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auto"/>
            </w:tcBorders>
            <w:shd w:val="clear" w:color="auto" w:fill="CCFFCC"/>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3,654</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8,793</w:t>
            </w:r>
          </w:p>
        </w:tc>
        <w:tc>
          <w:tcPr>
            <w:tcW w:w="10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9,558</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 share weighted average fair value of stock options granted during the three and nine months ended September 30, 2015 was $4.10 and $4.47, respectively. The per share weighted average fair value of stock options granted during the three and nine months ended September 30, 2014 was $4.57 and $4.99, respectively. The fair value of each option grant is estimated on the date of grant using the Black-Scholes option-pricing model with the following weighted average assumptions: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400" w:type="dxa"/>
            <w:vAlign w:val="bottom"/>
            <w:gridSpan w:val="3"/>
          </w:tcPr>
          <w:p>
            <w:pPr>
              <w:jc w:val="center"/>
              <w:ind w:left="963"/>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20" w:type="dxa"/>
            <w:vAlign w:val="bottom"/>
            <w:gridSpan w:val="3"/>
          </w:tcPr>
          <w:p>
            <w:pPr>
              <w:jc w:val="center"/>
              <w:ind w:left="23"/>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6"/>
                <w:szCs w:val="16"/>
                <w:color w:val="auto"/>
              </w:rPr>
            </w:pPr>
          </w:p>
        </w:tc>
      </w:tr>
      <w:tr>
        <w:trPr>
          <w:trHeight w:val="276"/>
        </w:trPr>
        <w:tc>
          <w:tcPr>
            <w:tcW w:w="4360" w:type="dxa"/>
            <w:vAlign w:val="bottom"/>
          </w:tcPr>
          <w:p>
            <w:pPr>
              <w:spacing w:after="0"/>
              <w:rPr>
                <w:sz w:val="24"/>
                <w:szCs w:val="24"/>
                <w:color w:val="auto"/>
              </w:rPr>
            </w:pPr>
          </w:p>
        </w:tc>
        <w:tc>
          <w:tcPr>
            <w:tcW w:w="2400" w:type="dxa"/>
            <w:vAlign w:val="bottom"/>
            <w:tcBorders>
              <w:bottom w:val="single" w:sz="8" w:color="auto"/>
            </w:tcBorders>
            <w:gridSpan w:val="3"/>
          </w:tcPr>
          <w:p>
            <w:pPr>
              <w:jc w:val="center"/>
              <w:ind w:left="963"/>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23"/>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436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FFC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8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FFCC"/>
            </w:tcBorders>
          </w:tcPr>
          <w:p>
            <w:pPr>
              <w:spacing w:after="0"/>
              <w:rPr>
                <w:sz w:val="22"/>
                <w:szCs w:val="22"/>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36"/>
        </w:trPr>
        <w:tc>
          <w:tcPr>
            <w:tcW w:w="4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Dividend yield</w:t>
            </w:r>
          </w:p>
        </w:tc>
        <w:tc>
          <w:tcPr>
            <w:tcW w:w="17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93"/>
              </w:rPr>
              <w:t>0.0%</w:t>
            </w:r>
          </w:p>
        </w:tc>
        <w:tc>
          <w:tcPr>
            <w:tcW w:w="12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center"/>
              <w:ind w:right="501"/>
              <w:spacing w:after="0"/>
              <w:rPr>
                <w:sz w:val="20"/>
                <w:szCs w:val="20"/>
                <w:color w:val="auto"/>
              </w:rPr>
            </w:pPr>
            <w:r>
              <w:rPr>
                <w:rFonts w:ascii="Arial" w:cs="Arial" w:eastAsia="Arial" w:hAnsi="Arial"/>
                <w:sz w:val="16"/>
                <w:szCs w:val="16"/>
                <w:color w:val="auto"/>
                <w:w w:val="93"/>
              </w:rPr>
              <w:t>0.0%</w:t>
            </w:r>
          </w:p>
        </w:tc>
        <w:tc>
          <w:tcPr>
            <w:tcW w:w="100" w:type="dxa"/>
            <w:vAlign w:val="bottom"/>
            <w:tcBorders>
              <w:bottom w:val="single" w:sz="8" w:color="CCFFCC"/>
            </w:tcBorders>
            <w:shd w:val="clear" w:color="auto" w:fill="CCFFCC"/>
          </w:tcPr>
          <w:p>
            <w:pPr>
              <w:spacing w:after="0"/>
              <w:rPr>
                <w:sz w:val="20"/>
                <w:szCs w:val="20"/>
                <w:color w:val="auto"/>
              </w:rPr>
            </w:pPr>
          </w:p>
        </w:tc>
        <w:tc>
          <w:tcPr>
            <w:tcW w:w="1720" w:type="dxa"/>
            <w:vAlign w:val="bottom"/>
            <w:tcBorders>
              <w:bottom w:val="single" w:sz="8" w:color="CCFFCC"/>
            </w:tcBorders>
            <w:gridSpan w:val="2"/>
            <w:shd w:val="clear" w:color="auto" w:fill="CCFFCC"/>
          </w:tcPr>
          <w:p>
            <w:pPr>
              <w:jc w:val="center"/>
              <w:spacing w:after="0"/>
              <w:rPr>
                <w:sz w:val="20"/>
                <w:szCs w:val="20"/>
                <w:color w:val="auto"/>
              </w:rPr>
            </w:pPr>
            <w:r>
              <w:rPr>
                <w:rFonts w:ascii="Arial" w:cs="Arial" w:eastAsia="Arial" w:hAnsi="Arial"/>
                <w:sz w:val="16"/>
                <w:szCs w:val="16"/>
                <w:color w:val="auto"/>
                <w:w w:val="87"/>
              </w:rPr>
              <w:t>0.0%</w:t>
            </w:r>
          </w:p>
        </w:tc>
        <w:tc>
          <w:tcPr>
            <w:tcW w:w="100" w:type="dxa"/>
            <w:vAlign w:val="bottom"/>
            <w:tcBorders>
              <w:bottom w:val="single" w:sz="8" w:color="CCFFCC"/>
            </w:tcBorders>
            <w:shd w:val="clear" w:color="auto" w:fill="CCFFCC"/>
          </w:tcPr>
          <w:p>
            <w:pPr>
              <w:spacing w:after="0"/>
              <w:rPr>
                <w:sz w:val="20"/>
                <w:szCs w:val="20"/>
                <w:color w:val="auto"/>
              </w:rPr>
            </w:pPr>
          </w:p>
        </w:tc>
        <w:tc>
          <w:tcPr>
            <w:tcW w:w="1700" w:type="dxa"/>
            <w:vAlign w:val="bottom"/>
            <w:tcBorders>
              <w:bottom w:val="single" w:sz="8" w:color="CCFFCC"/>
            </w:tcBorders>
            <w:gridSpan w:val="2"/>
            <w:shd w:val="clear" w:color="auto" w:fill="CCFFCC"/>
          </w:tcPr>
          <w:p>
            <w:pPr>
              <w:jc w:val="center"/>
              <w:spacing w:after="0"/>
              <w:rPr>
                <w:sz w:val="20"/>
                <w:szCs w:val="20"/>
                <w:color w:val="auto"/>
              </w:rPr>
            </w:pPr>
            <w:r>
              <w:rPr>
                <w:rFonts w:ascii="Arial" w:cs="Arial" w:eastAsia="Arial" w:hAnsi="Arial"/>
                <w:sz w:val="16"/>
                <w:szCs w:val="16"/>
                <w:color w:val="auto"/>
                <w:w w:val="93"/>
              </w:rPr>
              <w:t>0.0%</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1.7%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501"/>
              <w:spacing w:after="0"/>
              <w:rPr>
                <w:sz w:val="20"/>
                <w:szCs w:val="20"/>
                <w:color w:val="auto"/>
              </w:rPr>
            </w:pPr>
            <w:r>
              <w:rPr>
                <w:rFonts w:ascii="Arial" w:cs="Arial" w:eastAsia="Arial" w:hAnsi="Arial"/>
                <w:sz w:val="16"/>
                <w:szCs w:val="16"/>
                <w:color w:val="auto"/>
                <w:w w:val="93"/>
              </w:rPr>
              <w:t>1.7%</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920" w:type="dxa"/>
            <w:vAlign w:val="bottom"/>
          </w:tcPr>
          <w:p>
            <w:pPr>
              <w:ind w:left="40"/>
              <w:spacing w:after="0"/>
              <w:rPr>
                <w:sz w:val="20"/>
                <w:szCs w:val="20"/>
                <w:color w:val="auto"/>
              </w:rPr>
            </w:pPr>
            <w:r>
              <w:rPr>
                <w:rFonts w:ascii="Arial" w:cs="Arial" w:eastAsia="Arial" w:hAnsi="Arial"/>
                <w:sz w:val="16"/>
                <w:szCs w:val="16"/>
                <w:color w:val="auto"/>
              </w:rPr>
              <w:t>- 1.7%</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c>
          <w:tcPr>
            <w:tcW w:w="900" w:type="dxa"/>
            <w:vAlign w:val="bottom"/>
          </w:tcPr>
          <w:p>
            <w:pPr>
              <w:ind w:left="20"/>
              <w:spacing w:after="0"/>
              <w:rPr>
                <w:sz w:val="20"/>
                <w:szCs w:val="20"/>
                <w:color w:val="auto"/>
              </w:rPr>
            </w:pPr>
            <w:r>
              <w:rPr>
                <w:rFonts w:ascii="Arial" w:cs="Arial" w:eastAsia="Arial" w:hAnsi="Arial"/>
                <w:sz w:val="16"/>
                <w:szCs w:val="16"/>
                <w:color w:val="auto"/>
              </w:rPr>
              <w:t>- 1.7%</w:t>
            </w:r>
          </w:p>
        </w:tc>
      </w:tr>
      <w:tr>
        <w:trPr>
          <w:trHeight w:val="33"/>
        </w:trPr>
        <w:tc>
          <w:tcPr>
            <w:tcW w:w="4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Expected life (in years)</w:t>
            </w:r>
          </w:p>
        </w:tc>
        <w:tc>
          <w:tcPr>
            <w:tcW w:w="17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center"/>
              <w:ind w:right="481"/>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center"/>
              <w:ind w:right="723"/>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center"/>
              <w:ind w:right="739"/>
              <w:spacing w:after="0"/>
              <w:rPr>
                <w:sz w:val="20"/>
                <w:szCs w:val="20"/>
                <w:color w:val="auto"/>
              </w:rPr>
            </w:pPr>
            <w:r>
              <w:rPr>
                <w:rFonts w:ascii="Arial" w:cs="Arial" w:eastAsia="Arial" w:hAnsi="Arial"/>
                <w:sz w:val="16"/>
                <w:szCs w:val="16"/>
                <w:color w:val="auto"/>
                <w:w w:val="89"/>
              </w:rPr>
              <w:t>5</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Historical volatility</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47.4%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501"/>
              <w:spacing w:after="0"/>
              <w:rPr>
                <w:sz w:val="20"/>
                <w:szCs w:val="20"/>
                <w:color w:val="auto"/>
              </w:rPr>
            </w:pPr>
            <w:r>
              <w:rPr>
                <w:rFonts w:ascii="Arial" w:cs="Arial" w:eastAsia="Arial" w:hAnsi="Arial"/>
                <w:sz w:val="16"/>
                <w:szCs w:val="16"/>
                <w:color w:val="auto"/>
                <w:w w:val="92"/>
              </w:rPr>
              <w:t>50.9%</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47.4%</w:t>
            </w:r>
          </w:p>
        </w:tc>
        <w:tc>
          <w:tcPr>
            <w:tcW w:w="920" w:type="dxa"/>
            <w:vAlign w:val="bottom"/>
          </w:tcPr>
          <w:p>
            <w:pPr>
              <w:ind w:left="40"/>
              <w:spacing w:after="0"/>
              <w:rPr>
                <w:sz w:val="20"/>
                <w:szCs w:val="20"/>
                <w:color w:val="auto"/>
              </w:rPr>
            </w:pPr>
            <w:r>
              <w:rPr>
                <w:rFonts w:ascii="Arial" w:cs="Arial" w:eastAsia="Arial" w:hAnsi="Arial"/>
                <w:sz w:val="16"/>
                <w:szCs w:val="16"/>
                <w:color w:val="auto"/>
              </w:rPr>
              <w:t>- 49.7%</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50.9%</w:t>
            </w:r>
          </w:p>
        </w:tc>
        <w:tc>
          <w:tcPr>
            <w:tcW w:w="900" w:type="dxa"/>
            <w:vAlign w:val="bottom"/>
          </w:tcPr>
          <w:p>
            <w:pPr>
              <w:ind w:left="20"/>
              <w:spacing w:after="0"/>
              <w:rPr>
                <w:sz w:val="20"/>
                <w:szCs w:val="20"/>
                <w:color w:val="auto"/>
              </w:rPr>
            </w:pPr>
            <w:r>
              <w:rPr>
                <w:rFonts w:ascii="Arial" w:cs="Arial" w:eastAsia="Arial" w:hAnsi="Arial"/>
                <w:sz w:val="16"/>
                <w:szCs w:val="16"/>
                <w:color w:val="auto"/>
              </w:rPr>
              <w:t>- 53.7%</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description of the methods used in the significant assumptions used to estimate the fair value of stock-based compensation awards follows: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to purchase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established the 2009 Stock Incentive Plan (as amended and restated,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stock incentive plan (the “Amended 2009 Plan”) effective June 7, 2012. The Amended 2009 Plan increased the number of shares authorized for issuance under the plan by an additional 4,250,000, thereby reserving for issuance 23,817,744 shares of common stock in the aggregate. Options to acquire common stock granted thereunder have 10-year terms. As of September 30, 2015, approximately 12,962,000 shares of common stock were reserved for issuance under the 2009 Plan (taking into account all option exercises through September 30, 2015).</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June 2010, the Company’s stockholders approved the 2010 Employee Stock Purchase Plan with 1,000,000 shares of common stock initially reserved for issuance. As of September 30, 2015, approximately 427,113 shares of common stock were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reserved for issuance under the Employee Stock Purchase Plan (taking into account all share purchases through September 30,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20" w:type="dxa"/>
            <w:vAlign w:val="bottom"/>
            <w:gridSpan w:val="5"/>
          </w:tcPr>
          <w:p>
            <w:pPr>
              <w:ind w:left="820"/>
              <w:spacing w:after="0"/>
              <w:rPr>
                <w:sz w:val="20"/>
                <w:szCs w:val="20"/>
                <w:color w:val="auto"/>
              </w:rPr>
            </w:pPr>
            <w:r>
              <w:rPr>
                <w:rFonts w:ascii="Arial" w:cs="Arial" w:eastAsia="Arial" w:hAnsi="Arial"/>
                <w:sz w:val="16"/>
                <w:szCs w:val="16"/>
                <w:b w:val="1"/>
                <w:bCs w:val="1"/>
                <w:color w:val="auto"/>
              </w:rPr>
              <w:t>Stock Option Activity</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Value (in</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20" w:type="dxa"/>
            <w:vAlign w:val="bottom"/>
            <w:gridSpan w:val="2"/>
          </w:tcPr>
          <w:p>
            <w:pPr>
              <w:ind w:left="460"/>
              <w:spacing w:after="0"/>
              <w:rPr>
                <w:sz w:val="20"/>
                <w:szCs w:val="20"/>
                <w:color w:val="auto"/>
              </w:rPr>
            </w:pPr>
            <w:r>
              <w:rPr>
                <w:rFonts w:ascii="Arial" w:cs="Arial" w:eastAsia="Arial" w:hAnsi="Arial"/>
                <w:sz w:val="16"/>
                <w:szCs w:val="16"/>
                <w:b w:val="1"/>
                <w:bCs w:val="1"/>
                <w:color w:val="auto"/>
              </w:rPr>
              <w:t>Options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240" w:type="dxa"/>
            <w:vAlign w:val="bottom"/>
          </w:tcPr>
          <w:p>
            <w:pPr>
              <w:spacing w:after="0"/>
              <w:rPr>
                <w:sz w:val="18"/>
                <w:szCs w:val="18"/>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2014</w:t>
            </w:r>
          </w:p>
        </w:tc>
        <w:tc>
          <w:tcPr>
            <w:tcW w:w="15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10,769,149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10.95</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792,250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(576,577)</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Cancelled or 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(1,415,553)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12.20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September 30, 2015</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9,569,269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11.09</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Options vested and expected to vest at September 30, 2015</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8,582,041</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11.11</w:t>
            </w:r>
          </w:p>
        </w:tc>
        <w:tc>
          <w:tcPr>
            <w:tcW w:w="100" w:type="dxa"/>
            <w:vAlign w:val="bottom"/>
            <w:tcBorders>
              <w:bottom w:val="single" w:sz="8" w:color="CCFFCC"/>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Options exercisable at September 30, 2015</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5,448,479</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10.91</w:t>
            </w:r>
          </w:p>
        </w:tc>
        <w:tc>
          <w:tcPr>
            <w:tcW w:w="100" w:type="dxa"/>
            <w:vAlign w:val="bottom"/>
            <w:tcBorders>
              <w:bottom w:val="single" w:sz="8" w:color="CCFFCC"/>
            </w:tcBorders>
            <w:shd w:val="clear" w:color="auto" w:fill="CCFFCC"/>
          </w:tcPr>
          <w:p>
            <w:pPr>
              <w:spacing w:after="0"/>
              <w:rPr>
                <w:sz w:val="20"/>
                <w:szCs w:val="20"/>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fair value of stock options exercised during the nine months ended September 30, 2015 was approximately $1.5 million. As of September 30, 2015, there was approximately $18.2 million of total unrecognized compensation cost related to nonvested share-based compensation arrangements. That cost is expected to be recognized over a weighted average period of approximately 2.4 years.</w:t>
      </w:r>
    </w:p>
    <w:p>
      <w:pPr>
        <w:spacing w:after="0" w:line="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summary of the status of the Company’s nonvested shares as of December 31, 2014, and changes during the nine months ended September 30, 2015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302"/>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36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w w:val="96"/>
              </w:rPr>
              <w:t>Average Grant-</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FFCC"/>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36"/>
        </w:trPr>
        <w:tc>
          <w:tcPr>
            <w:tcW w:w="85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Nonvested Shares at December 31, 2014</w:t>
            </w:r>
          </w:p>
        </w:tc>
        <w:tc>
          <w:tcPr>
            <w:tcW w:w="13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6,032,315</w:t>
            </w:r>
          </w:p>
        </w:tc>
        <w:tc>
          <w:tcPr>
            <w:tcW w:w="2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792,250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Vested</w:t>
            </w:r>
          </w:p>
        </w:tc>
        <w:tc>
          <w:tcPr>
            <w:tcW w:w="1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(1,288,222)</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Cancelled or expired</w:t>
            </w:r>
          </w:p>
        </w:tc>
        <w:tc>
          <w:tcPr>
            <w:tcW w:w="1360" w:type="dxa"/>
            <w:vAlign w:val="bottom"/>
          </w:tcPr>
          <w:p>
            <w:pPr>
              <w:jc w:val="right"/>
              <w:spacing w:after="0"/>
              <w:rPr>
                <w:sz w:val="20"/>
                <w:szCs w:val="20"/>
                <w:color w:val="auto"/>
              </w:rPr>
            </w:pPr>
            <w:r>
              <w:rPr>
                <w:rFonts w:ascii="Arial" w:cs="Arial" w:eastAsia="Arial" w:hAnsi="Arial"/>
                <w:sz w:val="16"/>
                <w:szCs w:val="16"/>
                <w:color w:val="auto"/>
              </w:rPr>
              <w:t>(1,415,553)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FFC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20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Nonvested Shares at September 30, 2015</w:t>
            </w:r>
          </w:p>
        </w:tc>
        <w:tc>
          <w:tcPr>
            <w:tcW w:w="136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4,120,790</w:t>
            </w:r>
          </w:p>
        </w:tc>
        <w:tc>
          <w:tcPr>
            <w:tcW w:w="2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intrinsic value of nonvested options at September 30,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3680" w:type="dxa"/>
            <w:vAlign w:val="bottom"/>
            <w:gridSpan w:val="5"/>
          </w:tcPr>
          <w:p>
            <w:pPr>
              <w:ind w:left="760"/>
              <w:spacing w:after="0"/>
              <w:rPr>
                <w:sz w:val="20"/>
                <w:szCs w:val="20"/>
                <w:color w:val="auto"/>
              </w:rPr>
            </w:pPr>
            <w:r>
              <w:rPr>
                <w:rFonts w:ascii="Arial" w:cs="Arial" w:eastAsia="Arial" w:hAnsi="Arial"/>
                <w:sz w:val="16"/>
                <w:szCs w:val="16"/>
                <w:b w:val="1"/>
                <w:bCs w:val="1"/>
                <w:color w:val="auto"/>
              </w:rPr>
              <w:t>Restricted Stock Unit Activity</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9"/>
        </w:trPr>
        <w:tc>
          <w:tcPr>
            <w:tcW w:w="5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58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Grant Date Fair Value</w:t>
            </w:r>
          </w:p>
        </w:tc>
        <w:tc>
          <w:tcPr>
            <w:tcW w:w="10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Aggregate Fair Value (in</w:t>
            </w:r>
          </w:p>
        </w:tc>
      </w:tr>
      <w:tr>
        <w:trPr>
          <w:trHeight w:val="210"/>
        </w:trPr>
        <w:tc>
          <w:tcPr>
            <w:tcW w:w="5820" w:type="dxa"/>
            <w:vAlign w:val="bottom"/>
          </w:tcPr>
          <w:p>
            <w:pPr>
              <w:spacing w:after="0"/>
              <w:rPr>
                <w:sz w:val="18"/>
                <w:szCs w:val="18"/>
                <w:color w:val="auto"/>
              </w:rPr>
            </w:pPr>
          </w:p>
        </w:tc>
        <w:tc>
          <w:tcPr>
            <w:tcW w:w="1860" w:type="dxa"/>
            <w:vAlign w:val="bottom"/>
            <w:gridSpan w:val="2"/>
          </w:tcPr>
          <w:p>
            <w:pPr>
              <w:ind w:left="240"/>
              <w:spacing w:after="0"/>
              <w:rPr>
                <w:sz w:val="20"/>
                <w:szCs w:val="20"/>
                <w:color w:val="auto"/>
              </w:rPr>
            </w:pPr>
            <w:r>
              <w:rPr>
                <w:rFonts w:ascii="Arial" w:cs="Arial" w:eastAsia="Arial" w:hAnsi="Arial"/>
                <w:sz w:val="16"/>
                <w:szCs w:val="16"/>
                <w:b w:val="1"/>
                <w:bCs w:val="1"/>
                <w:color w:val="auto"/>
              </w:rPr>
              <w:t>Number of Shares</w:t>
            </w: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 Share)</w:t>
            </w:r>
          </w:p>
        </w:tc>
        <w:tc>
          <w:tcPr>
            <w:tcW w:w="100" w:type="dxa"/>
            <w:vAlign w:val="bottom"/>
          </w:tcPr>
          <w:p>
            <w:pPr>
              <w:spacing w:after="0"/>
              <w:rPr>
                <w:sz w:val="18"/>
                <w:szCs w:val="18"/>
                <w:color w:val="auto"/>
              </w:rPr>
            </w:pPr>
          </w:p>
        </w:tc>
        <w:tc>
          <w:tcPr>
            <w:tcW w:w="1820" w:type="dxa"/>
            <w:vAlign w:val="bottom"/>
          </w:tcPr>
          <w:p>
            <w:pPr>
              <w:jc w:val="right"/>
              <w:ind w:right="49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2014</w:t>
            </w:r>
          </w:p>
        </w:tc>
        <w:tc>
          <w:tcPr>
            <w:tcW w:w="18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Granted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1,256,500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Exercised</w:t>
            </w:r>
          </w:p>
        </w:tc>
        <w:tc>
          <w:tcPr>
            <w:tcW w:w="18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6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1740" w:type="dxa"/>
            <w:vAlign w:val="bottom"/>
          </w:tcPr>
          <w:p>
            <w:pPr>
              <w:jc w:val="right"/>
              <w:spacing w:after="0"/>
              <w:rPr>
                <w:sz w:val="20"/>
                <w:szCs w:val="20"/>
                <w:color w:val="auto"/>
              </w:rPr>
            </w:pPr>
            <w:r>
              <w:rPr>
                <w:rFonts w:ascii="Arial" w:cs="Arial" w:eastAsia="Arial" w:hAnsi="Arial"/>
                <w:sz w:val="16"/>
                <w:szCs w:val="16"/>
                <w:color w:val="auto"/>
              </w:rPr>
              <w:t>(36,000)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Non-vested and outstanding at September 30, 2015</w:t>
            </w:r>
          </w:p>
        </w:tc>
        <w:tc>
          <w:tcPr>
            <w:tcW w:w="17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1,220,500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9,227</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Expected to vest at September 30, 2015</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893,956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6,758</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RSUs granted to employees generally vest over a four-year period. As of September 30, 2015, total unrecognized compensation cost, adjusted for estimated forfeitures, related to nonvested RSUs was approximately $11.1 million and the weighted-average remaining vesting period was 3.5 years.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ind w:firstLine="648"/>
        <w:spacing w:after="0" w:line="273" w:lineRule="auto"/>
        <w:rPr>
          <w:sz w:val="20"/>
          <w:szCs w:val="20"/>
          <w:color w:val="auto"/>
        </w:rPr>
      </w:pPr>
      <w:r>
        <w:rPr>
          <w:rFonts w:ascii="Arial" w:cs="Arial" w:eastAsia="Arial" w:hAnsi="Arial"/>
          <w:sz w:val="17"/>
          <w:szCs w:val="17"/>
          <w:color w:val="auto"/>
        </w:rPr>
        <w:t>In the three months ended September 30, 2015, we issued restricted stock units to certain employees and performance-based restricted stock units to certain executives. Restricted stock units will be eligible to vest based on the employee’s continued employment through the vesting date. The performance-based restricted stock units will be eligible to vest based on our attainment of the 2015 financial performance goal as well as each executive’s continued employment through the vesting date. In order to earn the performance-based restricted stock units, the predetermined goal must be met. Shares earned will vest in March 2016 contingent on the continuous employment of each executive. We recognize stock-based compensation expense associated with these awards over the vesting period, after assessing the probability of achieving the 2015 financial performance goal.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 Costs</w:t>
      </w:r>
    </w:p>
    <w:p>
      <w:pPr>
        <w:spacing w:after="0" w:line="3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restructuring costs relate to the termination and severance costs associated with a large customer contract, as well as re-prioritizing and reallocating resources to focus on areas showing high growth potential. The expense associated with this restructuring was approximately $3.0 million during the nine months ended September 30, 2015 and is classified in the condensed consolidated statements of operations as restructuring costs. The restructuring liability was approximately $1.5 million as of September 30, 2015 and is classified as accrued expenses and other current liabilities on the condensed consolidated balance sheets. The following table presents the detail of expenses and liability for the Company’s restructuring charges for the periods presented (amounts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Expense incurred during the Nine</w:t>
            </w:r>
          </w:p>
        </w:tc>
        <w:tc>
          <w:tcPr>
            <w:tcW w:w="22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5"/>
              </w:rPr>
              <w:t>Liability as of September 30, 2015</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20" w:type="dxa"/>
            <w:vAlign w:val="bottom"/>
            <w:gridSpan w:val="3"/>
          </w:tcPr>
          <w:p>
            <w:pPr>
              <w:ind w:left="80"/>
              <w:spacing w:after="0"/>
              <w:rPr>
                <w:sz w:val="20"/>
                <w:szCs w:val="20"/>
                <w:color w:val="auto"/>
              </w:rPr>
            </w:pPr>
            <w:r>
              <w:rPr>
                <w:rFonts w:ascii="Arial" w:cs="Arial" w:eastAsia="Arial" w:hAnsi="Arial"/>
                <w:sz w:val="14"/>
                <w:szCs w:val="14"/>
                <w:b w:val="1"/>
                <w:bCs w:val="1"/>
                <w:color w:val="auto"/>
              </w:rPr>
              <w:t>Months Ended September 30, 2015</w:t>
            </w:r>
          </w:p>
        </w:tc>
        <w:tc>
          <w:tcPr>
            <w:tcW w:w="2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Contract termination costs</w:t>
            </w:r>
          </w:p>
        </w:tc>
        <w:tc>
          <w:tcPr>
            <w:tcW w:w="980" w:type="dxa"/>
            <w:vAlign w:val="bottom"/>
            <w:tcBorders>
              <w:top w:val="single" w:sz="8" w:color="auto"/>
              <w:bottom w:val="single" w:sz="8" w:color="CCFFCC"/>
            </w:tcBorders>
            <w:shd w:val="clear" w:color="auto" w:fill="CCFFCC"/>
          </w:tcPr>
          <w:p>
            <w:pPr>
              <w:jc w:val="right"/>
              <w:ind w:right="783"/>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1,745</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940" w:type="dxa"/>
            <w:vAlign w:val="bottom"/>
            <w:tcBorders>
              <w:top w:val="single" w:sz="8" w:color="auto"/>
              <w:bottom w:val="single" w:sz="8" w:color="CCFFCC"/>
            </w:tcBorders>
            <w:shd w:val="clear" w:color="auto" w:fill="CCFFCC"/>
          </w:tcPr>
          <w:p>
            <w:pPr>
              <w:jc w:val="right"/>
              <w:ind w:right="762"/>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Severance and other associated costs</w:t>
            </w:r>
          </w:p>
        </w:tc>
        <w:tc>
          <w:tcPr>
            <w:tcW w:w="9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1,243</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FFC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restructuring costs</w:t>
            </w:r>
          </w:p>
        </w:tc>
        <w:tc>
          <w:tcPr>
            <w:tcW w:w="980" w:type="dxa"/>
            <w:vAlign w:val="bottom"/>
            <w:tcBorders>
              <w:bottom w:val="single" w:sz="8" w:color="auto"/>
            </w:tcBorders>
            <w:shd w:val="clear" w:color="auto" w:fill="CCFFCC"/>
          </w:tcPr>
          <w:p>
            <w:pPr>
              <w:jc w:val="right"/>
              <w:ind w:right="783"/>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2,988</w:t>
            </w:r>
          </w:p>
        </w:tc>
        <w:tc>
          <w:tcPr>
            <w:tcW w:w="1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ind w:right="76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1,515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Matters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June 22, 2015, [24]7 Customer, Inc. (“[24]7”) filed suit against the Company in the Northern District of California alleging patent infringement. The Company believes the claims are entirely without merit and intend to defend them vigorously. The Company previously filed an intellectual property suit against [24]7 in the Southern District of New York on March 6, 2014 seeking damages on the grounds that [24]7 reverse engineered and misappropriated the Company’s technology to develop competing products and misused the Company’s business information. Discovery in the New York case is in process.</w:t>
      </w:r>
    </w:p>
    <w:p>
      <w:pPr>
        <w:spacing w:after="0" w:line="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w:t>
      </w:r>
    </w:p>
    <w:p>
      <w:pPr>
        <w:spacing w:after="0" w:line="3" w:lineRule="exact"/>
        <w:rPr>
          <w:sz w:val="20"/>
          <w:szCs w:val="20"/>
          <w:color w:val="auto"/>
        </w:rPr>
      </w:pPr>
    </w:p>
    <w:p>
      <w:pPr>
        <w:jc w:val="both"/>
        <w:ind w:firstLine="8"/>
        <w:spacing w:after="0" w:line="271" w:lineRule="auto"/>
        <w:tabs>
          <w:tab w:leader="none" w:pos="3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to periodic threats of lawsuits, investigations and claims. Regardless of the outcome, litigation can have an adverse impact on the Company because of defense and settlement costs, diversion of management resources and other factors.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right="3980"/>
        <w:spacing w:after="0" w:line="378" w:lineRule="auto"/>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 General</w:t>
      </w:r>
    </w:p>
    <w:p>
      <w:pPr>
        <w:jc w:val="both"/>
        <w:ind w:firstLine="648"/>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LivePerson provides online engagement solutions offering a cloud-based platform which enables businesses to proactively connect with consumers through chat, voice and content delivery, across multiple channels and screens, including websites, social media, tablets and mobile devices. We are organized into two operating segments: Business and Consumer. The Business segment facilitates real-time online interactions — chat, voice and content delivery, across multiple channels and screens for global corporations of all sizes. The Consumer segment facilitates online transactions between independent service providers (“Experts”) and individual consumers (“Users”) seeking information and knowledge for a fee via real-time chat. LivePerson was incorporated in the State of Delaware in November 1995 and the LivePerson service was introduced initially in November 1998.</w:t>
      </w:r>
    </w:p>
    <w:p>
      <w:pPr>
        <w:spacing w:after="0" w:line="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order to sustain growth in these segments, our strategy is to expand our position as the leading provider of online engagement solutions that facilitate real-time assistance and expert advice. To accomplish this, we are focused on the following current initiatives:</w:t>
      </w:r>
    </w:p>
    <w:p>
      <w:pPr>
        <w:spacing w:after="0" w:line="62" w:lineRule="exact"/>
        <w:rPr>
          <w:sz w:val="20"/>
          <w:szCs w:val="20"/>
          <w:color w:val="auto"/>
        </w:rPr>
      </w:pPr>
    </w:p>
    <w:p>
      <w:pPr>
        <w:jc w:val="both"/>
        <w:ind w:left="1140" w:hanging="322"/>
        <w:spacing w:after="0" w:line="264"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Expanding Business with Existing Customers and Adding New Customers. </w:t>
      </w:r>
      <w:r>
        <w:rPr>
          <w:rFonts w:ascii="Arial" w:cs="Arial" w:eastAsia="Arial" w:hAnsi="Arial"/>
          <w:sz w:val="18"/>
          <w:szCs w:val="18"/>
          <w:color w:val="auto"/>
        </w:rPr>
        <w:t>We are expanding our sales capacity by adding enterprise and</w:t>
      </w:r>
      <w:r>
        <w:rPr>
          <w:rFonts w:ascii="Arial" w:cs="Arial" w:eastAsia="Arial" w:hAnsi="Arial"/>
          <w:sz w:val="18"/>
          <w:szCs w:val="18"/>
          <w:i w:val="1"/>
          <w:iCs w:val="1"/>
          <w:color w:val="auto"/>
        </w:rPr>
        <w:t xml:space="preserve"> </w:t>
      </w:r>
      <w:r>
        <w:rPr>
          <w:rFonts w:ascii="Arial" w:cs="Arial" w:eastAsia="Arial" w:hAnsi="Arial"/>
          <w:sz w:val="18"/>
          <w:szCs w:val="18"/>
          <w:color w:val="auto"/>
        </w:rPr>
        <w:t>midmarket sales agents. We have also expanded our efforts to retain existing self-service customers through increased interaction with them during the early stages of their usage of our services.</w:t>
      </w:r>
    </w:p>
    <w:p>
      <w:pPr>
        <w:spacing w:after="0" w:line="73" w:lineRule="exact"/>
        <w:rPr>
          <w:rFonts w:ascii="Arial" w:cs="Arial" w:eastAsia="Arial" w:hAnsi="Arial"/>
          <w:sz w:val="18"/>
          <w:szCs w:val="18"/>
          <w:color w:val="auto"/>
        </w:rPr>
      </w:pPr>
    </w:p>
    <w:p>
      <w:pPr>
        <w:jc w:val="both"/>
        <w:ind w:left="1140" w:hanging="322"/>
        <w:spacing w:after="0" w:line="276" w:lineRule="auto"/>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Introducing New Products and Capabilities. </w:t>
      </w:r>
      <w:r>
        <w:rPr>
          <w:rFonts w:ascii="Arial" w:cs="Arial" w:eastAsia="Arial" w:hAnsi="Arial"/>
          <w:sz w:val="17"/>
          <w:szCs w:val="17"/>
          <w:color w:val="auto"/>
        </w:rPr>
        <w:t>We are investing in product marketing, research and development and executive personnel to</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our expanding efforts to build and launch new products and capabilities to support existing customer deployments, and to further penetrate our total addressable market. These investments are initially focused in the areas of online marketing and mobile consumer engagement enhanced data and reporting and chat transcript text analysis. Over time, we expect to develop and launch additional capabilities which leverage our existing market position as a leader in proactive, intelligence-driven online engagement.</w:t>
      </w:r>
    </w:p>
    <w:p>
      <w:pPr>
        <w:spacing w:after="0" w:line="64" w:lineRule="exact"/>
        <w:rPr>
          <w:rFonts w:ascii="Arial" w:cs="Arial" w:eastAsia="Arial" w:hAnsi="Arial"/>
          <w:sz w:val="17"/>
          <w:szCs w:val="17"/>
          <w:color w:val="auto"/>
        </w:rPr>
      </w:pPr>
    </w:p>
    <w:p>
      <w:pPr>
        <w:jc w:val="both"/>
        <w:ind w:left="1140" w:hanging="322"/>
        <w:spacing w:after="0" w:line="259"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Expanding our International Presence. </w:t>
      </w:r>
      <w:r>
        <w:rPr>
          <w:rFonts w:ascii="Arial" w:cs="Arial" w:eastAsia="Arial" w:hAnsi="Arial"/>
          <w:sz w:val="18"/>
          <w:szCs w:val="18"/>
          <w:color w:val="auto"/>
        </w:rPr>
        <w:t>We continue to increase our investment in sales and support personnel in the United Kingdom, Asia-Pacific, Latin America and Western Europe, particularly France and Germany. We are also working with sales and support partners as we expand our investment in the Asia-Pacific region. We continue to improve the multi-language and translation capabilities within our hosted solutions to further support international expansion.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overview of the three months ended September 30, 2015 compared to the three months ended September 30, 2014:</w:t>
      </w:r>
    </w:p>
    <w:p>
      <w:pPr>
        <w:spacing w:after="0" w:line="117" w:lineRule="exact"/>
        <w:rPr>
          <w:sz w:val="20"/>
          <w:szCs w:val="20"/>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revenue increased 15% to $60.8 million from $52.8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from our Business segment increased 17% to $57.1 million from $48.8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margin decreased to 72% from 75%.</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and expenses increased 11% to $58.9 million from $53.2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increased to $1.9 million from net loss of $1.1 million.</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per enterprise and mid-market customer averaged $187,000 over the trailing twelve months ended September 30, 2015, a 4% sequential increase as compared to the $180,000 calculated for the trailing twelve months ended June 30, 2015. These figures are pro forma to exclude contributions from one large customer contract that ended in the second quarter of 2015.</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ind w:left="1140" w:hanging="32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renewal rate for enterprise and mid-market customers was 88% over the trailing twelve months ended September 30, 2015 and June 30, 2015.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Net Income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net income which are non-GAAP financial measures. The tables below present a reconciliation of adjusted EBITDA and adjusted net income to net loss, the most directly comparable GAAP financial measures.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included adjusted EBITDA and adjusted net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net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net income provide useful information to investors and others in understanding and evaluating our operating results in the same manner as our management and board of directors.</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jc w:val="both"/>
        <w:ind w:left="1140" w:hanging="322"/>
        <w:spacing w:after="0" w:line="264"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equity-based compensation;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(loss) and our other GAAP results. The following table presents a reconciliation of adjusted EBITDA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14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3"/>
        </w:trPr>
        <w:tc>
          <w:tcPr>
            <w:tcW w:w="526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Reconciliation of Adjusted EBITDA</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GAAP net income (loss)</w:t>
            </w:r>
          </w:p>
        </w:tc>
        <w:tc>
          <w:tcPr>
            <w:tcW w:w="920" w:type="dxa"/>
            <w:vAlign w:val="bottom"/>
            <w:tcBorders>
              <w:bottom w:val="single" w:sz="8" w:color="CCFFCC"/>
            </w:tcBorders>
            <w:shd w:val="clear" w:color="auto" w:fill="CCFFCC"/>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1,925</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(1,140)</w:t>
            </w:r>
          </w:p>
        </w:tc>
        <w:tc>
          <w:tcPr>
            <w:tcW w:w="1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(5,487)</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(3,146)</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Amortization of purchased intangibles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1,953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6,122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3,461</w:t>
            </w:r>
          </w:p>
        </w:tc>
      </w:tr>
      <w:tr>
        <w:trPr>
          <w:trHeight w:val="33"/>
        </w:trPr>
        <w:tc>
          <w:tcPr>
            <w:tcW w:w="5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Stock-based compensation</w:t>
            </w: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2,886</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3,654</w:t>
            </w:r>
          </w:p>
        </w:tc>
        <w:tc>
          <w:tcPr>
            <w:tcW w:w="1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8,793</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9,558</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Depreciation</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2,939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2,344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8,599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6,559</w:t>
            </w:r>
          </w:p>
        </w:tc>
      </w:tr>
      <w:tr>
        <w:trPr>
          <w:trHeight w:val="33"/>
        </w:trPr>
        <w:tc>
          <w:tcPr>
            <w:tcW w:w="5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Contingent earn-out adjustments</w:t>
            </w: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8"/>
              </w:rPr>
              <w:t>(3,132)</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(3,792)</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Restructuring costs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2,988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(Benefit from) provision for income taxes</w:t>
            </w: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962</w:t>
            </w:r>
          </w:p>
        </w:tc>
        <w:tc>
          <w:tcPr>
            <w:tcW w:w="1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(2,721)</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507</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Acquisition costs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577</w:t>
            </w:r>
          </w:p>
        </w:tc>
      </w:tr>
      <w:tr>
        <w:trPr>
          <w:trHeight w:val="33"/>
        </w:trPr>
        <w:tc>
          <w:tcPr>
            <w:tcW w:w="5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Other expense (income)</w:t>
            </w:r>
          </w:p>
        </w:tc>
        <w:tc>
          <w:tcPr>
            <w:tcW w:w="920" w:type="dxa"/>
            <w:vAlign w:val="bottom"/>
            <w:tcBorders>
              <w:bottom w:val="single" w:sz="8" w:color="CCFFCC"/>
            </w:tcBorders>
            <w:shd w:val="clear" w:color="auto" w:fill="CCFFCC"/>
          </w:tcPr>
          <w:p>
            <w:pPr>
              <w:spacing w:after="0"/>
              <w:rPr>
                <w:sz w:val="23"/>
                <w:szCs w:val="23"/>
                <w:color w:val="auto"/>
              </w:rPr>
            </w:pP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(184)</w:t>
            </w:r>
          </w:p>
        </w:tc>
      </w:tr>
      <w:tr>
        <w:trPr>
          <w:trHeight w:val="244"/>
        </w:trPr>
        <w:tc>
          <w:tcPr>
            <w:tcW w:w="526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92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6,545</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7,141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14,873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17,332</w:t>
            </w:r>
          </w:p>
        </w:tc>
      </w:tr>
      <w:tr>
        <w:trPr>
          <w:trHeight w:val="20"/>
        </w:trPr>
        <w:tc>
          <w:tcPr>
            <w:tcW w:w="5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net income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ind w:left="1140" w:hanging="322"/>
        <w:spacing w:after="0" w:line="308" w:lineRule="auto"/>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although amortization are non-cash charges, the assets being amortized may have to be replaced in the future, and adjusted net income does not reflect cash capital expenditure requirements for such replacements or for new capital expenditure requirements;</w:t>
      </w:r>
    </w:p>
    <w:p>
      <w:pPr>
        <w:spacing w:after="0" w:line="38" w:lineRule="exact"/>
        <w:rPr>
          <w:rFonts w:ascii="Arial" w:cs="Arial" w:eastAsia="Arial" w:hAnsi="Arial"/>
          <w:sz w:val="17"/>
          <w:szCs w:val="17"/>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equity-based compensation;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left="1140" w:hanging="322"/>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net income differently, which reduces its usefulness as a comparative measure.</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net income alongside other financial performance measures, including various cash flow metrics, net loss and our other GAAP results. The following table presents a reconciliation of adjusted net income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4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3"/>
        </w:trPr>
        <w:tc>
          <w:tcPr>
            <w:tcW w:w="516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Reconciliation of Adjusted Net Income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GAAP net income (loss)</w:t>
            </w:r>
          </w:p>
        </w:tc>
        <w:tc>
          <w:tcPr>
            <w:tcW w:w="920" w:type="dxa"/>
            <w:vAlign w:val="bottom"/>
            <w:tcBorders>
              <w:bottom w:val="single" w:sz="8" w:color="CCFFCC"/>
            </w:tcBorders>
            <w:shd w:val="clear" w:color="auto" w:fill="CCFFCC"/>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1,925</w:t>
            </w:r>
          </w:p>
        </w:tc>
        <w:tc>
          <w:tcPr>
            <w:tcW w:w="12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(1,140)</w:t>
            </w:r>
          </w:p>
        </w:tc>
        <w:tc>
          <w:tcPr>
            <w:tcW w:w="1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(5,487)</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(3,146)</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Amortization of purchased intangibles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1,953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6,122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3,461</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Stock-based compensation</w:t>
            </w: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2,886</w:t>
            </w:r>
          </w:p>
        </w:tc>
        <w:tc>
          <w:tcPr>
            <w:tcW w:w="12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3,654</w:t>
            </w:r>
          </w:p>
        </w:tc>
        <w:tc>
          <w:tcPr>
            <w:tcW w:w="1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8,793</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9,558</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Contingent earn-out adjustments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4"/>
              </w:rPr>
              <w:t>(3,132)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Restructuring costs</w:t>
            </w:r>
          </w:p>
        </w:tc>
        <w:tc>
          <w:tcPr>
            <w:tcW w:w="9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2,988</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Acquisition costs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577</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 xml:space="preserve">Income tax effect of non-GAAP items </w:t>
            </w:r>
            <w:r>
              <w:rPr>
                <w:rFonts w:ascii="Arial" w:cs="Arial" w:eastAsia="Arial" w:hAnsi="Arial"/>
                <w:sz w:val="21"/>
                <w:szCs w:val="21"/>
                <w:color w:val="auto"/>
                <w:vertAlign w:val="superscript"/>
              </w:rPr>
              <w:t>(1)</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94"/>
              </w:rPr>
              <w:t>(1,580)</w:t>
            </w:r>
          </w:p>
        </w:tc>
        <w:tc>
          <w:tcPr>
            <w:tcW w:w="120" w:type="dxa"/>
            <w:vAlign w:val="bottom"/>
            <w:shd w:val="clear" w:color="auto" w:fill="CCFFCC"/>
          </w:tcPr>
          <w:p>
            <w:pPr>
              <w:spacing w:after="0"/>
              <w:rPr>
                <w:sz w:val="23"/>
                <w:szCs w:val="23"/>
                <w:color w:val="auto"/>
              </w:rPr>
            </w:pPr>
          </w:p>
        </w:tc>
        <w:tc>
          <w:tcPr>
            <w:tcW w:w="360" w:type="dxa"/>
            <w:vAlign w:val="bottom"/>
            <w:tcBorders>
              <w:bottom w:val="single" w:sz="8" w:color="auto"/>
            </w:tcBorders>
            <w:shd w:val="clear" w:color="auto" w:fill="CCFFCC"/>
          </w:tcPr>
          <w:p>
            <w:pPr>
              <w:spacing w:after="0"/>
              <w:rPr>
                <w:sz w:val="23"/>
                <w:szCs w:val="23"/>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(3,643)</w:t>
            </w:r>
          </w:p>
        </w:tc>
        <w:tc>
          <w:tcPr>
            <w:tcW w:w="120" w:type="dxa"/>
            <w:vAlign w:val="bottom"/>
            <w:shd w:val="clear" w:color="auto" w:fill="CCFFCC"/>
          </w:tcPr>
          <w:p>
            <w:pPr>
              <w:spacing w:after="0"/>
              <w:rPr>
                <w:sz w:val="23"/>
                <w:szCs w:val="23"/>
                <w:color w:val="auto"/>
              </w:rPr>
            </w:pPr>
          </w:p>
        </w:tc>
        <w:tc>
          <w:tcPr>
            <w:tcW w:w="280" w:type="dxa"/>
            <w:vAlign w:val="bottom"/>
            <w:tcBorders>
              <w:bottom w:val="single" w:sz="8" w:color="auto"/>
            </w:tcBorders>
            <w:shd w:val="clear" w:color="auto" w:fill="CCFFCC"/>
          </w:tcPr>
          <w:p>
            <w:pPr>
              <w:spacing w:after="0"/>
              <w:rPr>
                <w:sz w:val="23"/>
                <w:szCs w:val="23"/>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(3,810)</w:t>
            </w:r>
          </w:p>
        </w:tc>
        <w:tc>
          <w:tcPr>
            <w:tcW w:w="10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(4,602)</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color w:val="auto"/>
              </w:rPr>
              <w:t>Adjusted net income</w:t>
            </w: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2,052</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4,814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5,848</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The Company</w:t>
      </w:r>
      <w:r>
        <w:rPr>
          <w:rFonts w:ascii="Arial" w:cs="Arial" w:eastAsia="Arial" w:hAnsi="Arial"/>
          <w:sz w:val="17"/>
          <w:szCs w:val="17"/>
          <w:color w:val="auto"/>
        </w:rPr>
        <w:t>’</w:t>
      </w:r>
      <w:r>
        <w:rPr>
          <w:rFonts w:ascii="Arial" w:cs="Arial" w:eastAsia="Arial" w:hAnsi="Arial"/>
          <w:sz w:val="15"/>
          <w:szCs w:val="15"/>
          <w:color w:val="auto"/>
        </w:rPr>
        <w:t>s income tax effect does not include discrete items.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significant accounting policies which we believe are the most critical to aid in fully understanding and evaluating the reported consolidated financial results include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Because we provide our application as a service, we follow the provisions of ASC 605-10-S99, “Revenue Recognition” and ASC 605-25, “Revenue Recognition with Multiple-Element Arrangements.” We charge a monthly fee, which varies by type of service, the level of customer usage and website traffic, and in some cases, the number of orders placed via our online engagement solutions.</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certain of our larger customers, we may provide call center labor through an arrangement with one or more of several qualified vendors. For most of these customers, we pass the fee we incur with the labor provider and our fee for the hosted services through to our customers in the form of a fixed fee for each order placed via our online engagement solutions. For these Pay for Performance (“PFP”) arrangements, in accordance with ASC 605-45, “Principal Agent Considerations,” we record revenue for transactions in which we act as an agent on a net basis, and revenue for transactions in which we act as a principal on a gross basis.</w:t>
      </w:r>
    </w:p>
    <w:p>
      <w:pPr>
        <w:spacing w:after="0" w:line="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sell certain of the LivePerson services directly via Internet download. These services are marketed as LiveEngage for small to medium-sized businesses, and are paid for almost exclusively by credit card. Credit card payments accelerate cash flow and reduce our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recognize monthly service revenue based upon the fee charged for the LivePerson services, provided that there is persuasive evidence of an arrangement, no significant Company obligations remain, collection of the resulting receivable is probable and the amount of fees to be paid is fixed or determinable. Our service agreements typically have twelve month terms and, in some cases, are terminable or may terminate upon 30 to 90 days’ notice without penalty. When professional service fees add value to the customer on a standalone basis, we recognize professional service fees upon completion and customer acceptance. We establish a selling price hierarchy for determining the selling price of a deliverable, which is based on: (a) vendor-specific objective evidence; (b) third-party evidence; or (c) estimates. If a professional services arrangement does not qualify for separate accounting, we recognize the fees, and the related labor costs, ratably over the contracted period.</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we recognize revenue net of Expert fees in accordance with ASC 605-45,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 a portion of the fee, and then remit the balance to the Expert. Revenue from these transactions is recognized when there is persuasive evidence of an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arrangement, no significant Company obligations remain, collection of the resulting receivable is probable and the amount of fees to be paid is fixed or determinable.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2015, there was approximately $18.2 million of total unrecognized compensation cost related to nonvested stock options. That cost is expected to be recognized over a weighted average period of approximately 2.4 years. As of September 30, 2015, there was approximately $11.1 million of total unrecognized compensation cost related to nonvested restricted stock units. That cost is expected to be recognized over a weighted average period of approximately 3.5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customers are located primarily in the United States. 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condensed consolidated financial statements. No single customer accounted for or exceeded 10% of our total revenue in the nine months ended September 30, 2015 and 2014. No individual customer accounted for 10% or more of accounts receivable as of September 30, 2015. One customer accounted for approximately 22% of accounts receivable as of December 31, 2014. We did not increase our allowance for doubtful accounts in the three months ended September 30, 2015.</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large portion of receivables are due from larger corporate customers that typically have longer payment cycles.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the FASB issued ASU No. 2011-08, Intangibles — Goodwill and Other (Topic 350).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than it is necessary to perform the second step of the goodwill impairment test.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also the magnitude of any such charge. We perform internal valuation analysis and consider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such comparables.</w:t>
      </w:r>
    </w:p>
    <w:p>
      <w:pPr>
        <w:spacing w:after="0" w:line="7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We evaluate for goodwill impairment annually at September 30</w:t>
      </w:r>
      <w:r>
        <w:rPr>
          <w:rFonts w:ascii="Arial" w:cs="Arial" w:eastAsia="Arial" w:hAnsi="Arial"/>
          <w:sz w:val="24"/>
          <w:szCs w:val="24"/>
          <w:color w:val="auto"/>
          <w:vertAlign w:val="superscript"/>
        </w:rPr>
        <w:t>th</w:t>
      </w:r>
      <w:r>
        <w:rPr>
          <w:rFonts w:ascii="Arial" w:cs="Arial" w:eastAsia="Arial" w:hAnsi="Arial"/>
          <w:sz w:val="17"/>
          <w:szCs w:val="17"/>
          <w:color w:val="auto"/>
        </w:rPr>
        <w:t>. At the end of the third quarter of 2015, we determined that it was not more-likely that the fair value of the reporting units are less than their carrying amount. Accordingly, we did not perform the two-step goodwill impairment test.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The Company does not have any long-lived assets, including intangible assets, which it considered to be impaired.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13, Legal Matters, of the Notes to the Consolidated Financial Statements additional information on our legal proceedings and litigation.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2015, the FASB issued Accounting Standards Update No. 2015-16, “</w:t>
      </w:r>
      <w:r>
        <w:rPr>
          <w:rFonts w:ascii="Arial" w:cs="Arial" w:eastAsia="Arial" w:hAnsi="Arial"/>
          <w:sz w:val="18"/>
          <w:szCs w:val="18"/>
          <w:i w:val="1"/>
          <w:iCs w:val="1"/>
          <w:color w:val="auto"/>
        </w:rPr>
        <w:t>Business Combinations: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Measurement-Period Adjustments</w:t>
      </w:r>
      <w:r>
        <w:rPr>
          <w:rFonts w:ascii="Arial" w:cs="Arial" w:eastAsia="Arial" w:hAnsi="Arial"/>
          <w:sz w:val="18"/>
          <w:szCs w:val="18"/>
          <w:color w:val="auto"/>
        </w:rPr>
        <w:t>” (“ASU 2015-16”). ASU 2015-16 requires that an acquirer recognize adjustments to provisional amounts that are identified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measurement period in the reporting period in which the adjustment amounts are determined. The amendments in ASU 2015-16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ASU 2015-16 is effective for annual reporting periods beginning after December 15, 2015. We are currently in the process of evaluating the impact of adoption of ASU 2015-16 on its financial statements.</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February 18, 2015, the Financial Accounting Standards Board (“FASB”) issued Accounting Standards Update (“ASU”) 2015-02,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Amendments to the Consolidation Analysis </w:t>
      </w:r>
      <w:r>
        <w:rPr>
          <w:rFonts w:ascii="Arial" w:cs="Arial" w:eastAsia="Arial" w:hAnsi="Arial"/>
          <w:sz w:val="18"/>
          <w:szCs w:val="18"/>
          <w:color w:val="auto"/>
        </w:rPr>
        <w:t>(“ASU 2015-02”), which affects reporting entities that are required to evaluate whether they should consolidate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legal entities. All legal entities are subject to reevaluation under the revised consolidation model. The standard amends the consolidation requirements in ASC 810. ASU 2015-02 is effective for fiscal periods beginning after December 15, 2015 for public companies, and early adoption is permitted. We do not expect to early adopt ASU 2015-02, which will be effective for our fiscal year ending December 31, 2016. We do not believe the standard will have a material impact on our condensed consolidated financial statements.</w:t>
      </w:r>
    </w:p>
    <w:p>
      <w:pPr>
        <w:spacing w:after="0" w:line="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May 2014, the FASB issued ASU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We will adopt this guidance at the beginning of its first quarter of fiscal year 2018. Adoption of this guidance is not expected to have a material impact on the Company’s consolidated financial statements or disclosures.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majority of our revenue is generated from monthly service revenues and related professional services from the sale of the LivePerson services. We charge a monthly fee, which varies by service and customer usage. The majority of our larger customers also pay a professional services fee related to implementation.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5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 from our Business segment accounted for 94% of total revenue for the three and nine months ended September 30, 2015. Revenue attributable to our monthly hosted Business services accounted for 90% of total Business revenue for the three and nine months ended September 30, 2015. Revenue from our Business segment accounted for 92% of total revenue for the three and nine months ended September 30, 2014. Revenue attributable to our monthly hosted Business services accounted for 90% of total Business revenue for the three and nine months ended September 30, 2014.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 signing a customer contract and recognizing revenue from that customer. Although this lag typically ranges from 30 to 90 days, it may take more time between contract signing and recognizing revenue in certain situations.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38" w:right="2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8"/>
          <w:szCs w:val="18"/>
          <w:color w:val="auto"/>
        </w:rPr>
        <w:t>Revenue from our Consumer segment is generated from online transactions between Experts and Users and is recognized net of Expert fees and accounted for approximately 6% of total revenue for the three and nine months ended September 30, 2015. Revenue generated from online transactions between Experts and Users and is recognized net of Expert fees and accounted for approximately 8% of total revenue for the three and nine months ended September 30, 2014.</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117" w:lineRule="exact"/>
        <w:rPr>
          <w:sz w:val="20"/>
          <w:szCs w:val="20"/>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140" w:lineRule="exact"/>
        <w:rPr>
          <w:rFonts w:ascii="Arial" w:cs="Arial" w:eastAsia="Arial" w:hAnsi="Arial"/>
          <w:sz w:val="16"/>
          <w:szCs w:val="16"/>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consumer and self-service customers;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sales commissions, public relations, promotional materials, travel expenses and trade show exhibit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nine months ended September 30, 2015, we increased our allowance for doubtful accounts by approximately $0.7 million to approximately $2.0 million, principally due to an increase in the proportion of receivables due as a result of an increase in sales. During 2014, we increased our allowance for doubtful accounts by $0.1 million to approximately $1.3 million, principally due to an increase in the proportion of receivables due as a result of an increase in sales. A large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non-cash compensation amounts are as follows:</w:t>
      </w:r>
    </w:p>
    <w:p>
      <w:pPr>
        <w:sectPr>
          <w:pgSz w:w="11900" w:h="16838" w:orient="portrait"/>
          <w:cols w:equalWidth="0" w:num="1">
            <w:col w:w="11420"/>
          </w:cols>
          <w:pgMar w:left="240" w:top="584" w:right="239" w:bottom="1440" w:gutter="0" w:footer="0" w:header="0"/>
        </w:sectPr>
      </w:pPr>
    </w:p>
    <w:p>
      <w:pPr>
        <w:spacing w:after="0" w:line="338"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81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1981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89"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31115</wp:posOffset>
            </wp:positionV>
            <wp:extent cx="1920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14" w:lineRule="exact"/>
        <w:rPr>
          <w:sz w:val="20"/>
          <w:szCs w:val="20"/>
          <w:color w:val="auto"/>
        </w:rPr>
      </w:pPr>
    </w:p>
    <w:p>
      <w:pPr>
        <w:ind w:left="140"/>
        <w:spacing w:after="0"/>
        <w:tabs>
          <w:tab w:leader="none" w:pos="16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23495</wp:posOffset>
            </wp:positionV>
            <wp:extent cx="1920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(in thousands)</w:t>
      </w:r>
    </w:p>
    <w:p>
      <w:pPr>
        <w:spacing w:after="0" w:line="81" w:lineRule="exact"/>
        <w:rPr>
          <w:sz w:val="20"/>
          <w:szCs w:val="20"/>
          <w:color w:val="auto"/>
        </w:rPr>
      </w:pPr>
    </w:p>
    <w:p>
      <w:pPr>
        <w:sectPr>
          <w:pgSz w:w="11900" w:h="16838" w:orient="portrait"/>
          <w:cols w:equalWidth="0" w:num="2">
            <w:col w:w="8120" w:space="720"/>
            <w:col w:w="2580"/>
          </w:cols>
          <w:pgMar w:left="240" w:top="584" w:right="239" w:bottom="1440" w:gutter="0" w:footer="0" w:header="0"/>
          <w:type w:val="continuous"/>
        </w:sectPr>
      </w:pPr>
    </w:p>
    <w:p>
      <w:pPr>
        <w:ind w:left="40"/>
        <w:spacing w:after="0"/>
        <w:tabs>
          <w:tab w:leader="none" w:pos="5160" w:val="left"/>
          <w:tab w:leader="none" w:pos="6140" w:val="left"/>
          <w:tab w:leader="none" w:pos="6780" w:val="left"/>
          <w:tab w:leader="none" w:pos="7760" w:val="left"/>
          <w:tab w:leader="none" w:pos="8400" w:val="left"/>
          <w:tab w:leader="none" w:pos="9360" w:val="left"/>
          <w:tab w:leader="none" w:pos="9960" w:val="left"/>
          <w:tab w:leader="none" w:pos="10920" w:val="left"/>
        </w:tabs>
        <w:rPr>
          <w:sz w:val="20"/>
          <w:szCs w:val="20"/>
          <w:color w:val="auto"/>
        </w:rPr>
      </w:pPr>
      <w:r>
        <w:rPr>
          <w:rFonts w:ascii="Arial" w:cs="Arial" w:eastAsia="Arial" w:hAnsi="Arial"/>
          <w:sz w:val="16"/>
          <w:szCs w:val="16"/>
          <w:color w:val="auto"/>
        </w:rPr>
        <w:t>Stock-based compensation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2,886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3,654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8,793</w:t>
        <w:tab/>
        <w:t>$</w:t>
      </w:r>
      <w:r>
        <w:rPr>
          <w:sz w:val="20"/>
          <w:szCs w:val="20"/>
          <w:color w:val="auto"/>
        </w:rPr>
        <w:tab/>
      </w:r>
      <w:r>
        <w:rPr>
          <w:rFonts w:ascii="Arial" w:cs="Arial" w:eastAsia="Arial" w:hAnsi="Arial"/>
          <w:sz w:val="15"/>
          <w:szCs w:val="15"/>
          <w:color w:val="auto"/>
        </w:rPr>
        <w:t>9,558</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organized into two operating segments: Business and Consumer. The Business segment facilitates real-time online interactions — chat, voice and content delivery, across multiple channels and screens for global corporations of all sizes. The Consumer segment facilitates online transactions between Experts and Users seeking information and knowledge for a fee via real-time chat.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2015 and 2014</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741"/>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92"/>
              </w:rPr>
              <w:t>Nine Months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3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44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ind w:right="44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22"/>
                <w:szCs w:val="22"/>
                <w:color w:val="auto"/>
              </w:rPr>
            </w:pPr>
          </w:p>
        </w:tc>
        <w:tc>
          <w:tcPr>
            <w:tcW w:w="1040" w:type="dxa"/>
            <w:vAlign w:val="bottom"/>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7"/>
              </w:rPr>
              <w:t>% Change</w:t>
            </w:r>
          </w:p>
        </w:tc>
      </w:tr>
      <w:tr>
        <w:trPr>
          <w:trHeight w:val="263"/>
        </w:trPr>
        <w:tc>
          <w:tcPr>
            <w:tcW w:w="34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6"/>
                <w:szCs w:val="16"/>
                <w:color w:val="auto"/>
              </w:rPr>
              <w:t>Revenue by Segment:</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4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Business</w:t>
            </w: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57,096</w:t>
            </w:r>
          </w:p>
        </w:tc>
        <w:tc>
          <w:tcPr>
            <w:tcW w:w="10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48,795</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168,642</w:t>
            </w:r>
          </w:p>
        </w:tc>
        <w:tc>
          <w:tcPr>
            <w:tcW w:w="1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139,261</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21 %</w:t>
            </w: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Consumer</w:t>
            </w:r>
          </w:p>
        </w:tc>
        <w:tc>
          <w:tcPr>
            <w:tcW w:w="32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3,661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3,992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11,219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12,441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348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60,757</w:t>
            </w:r>
          </w:p>
        </w:tc>
        <w:tc>
          <w:tcPr>
            <w:tcW w:w="10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auto"/>
            </w:tcBorders>
            <w:shd w:val="clear" w:color="auto" w:fill="CCFFCC"/>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52,787</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179,861</w:t>
            </w:r>
          </w:p>
        </w:tc>
        <w:tc>
          <w:tcPr>
            <w:tcW w:w="1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auto"/>
            </w:tcBorders>
            <w:shd w:val="clear" w:color="auto" w:fill="CCFFCC"/>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151,702</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19 %</w:t>
            </w:r>
          </w:p>
        </w:tc>
      </w:tr>
      <w:tr>
        <w:trPr>
          <w:trHeight w:val="20"/>
        </w:trPr>
        <w:tc>
          <w:tcPr>
            <w:tcW w:w="3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Business revenue increased by 17% to $57.1 million in the three months ended September 30, 2015, from $48.8 million in the comparable period in 2014. The increase in revenue from new customers was approximately $9.3 million; and revenue from professional services increased by approximately $1.1 million. The increase in revenue was partially offset by a large customer contract that ended.</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Business revenue increased by 21% to $168.6 million in the nine months ended September 30, 2015, from $139.3 million in the comparable period in 2014. The increase in revenue from new customers was approximately $28.2 million; and revenue from professional services increased by approximately $2.9 million. The increase in revenue was partially offset by a large customer contract that ended.</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Consumer revenue decreased by 8% and 10% to $3.7 million and $11.2 million in the three months and nine months ended September 30, 2015, respectively, from $4.0 million and $12.4 million in the comparable periods in 2014. The decrease was driven by a decrease in the fees we charge experts offset by an increase in the average price charged per minute.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5"/>
              </w:rPr>
              <w:t>Three Months Ended 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3"/>
              </w:rPr>
              <w:t>Nine Months Ended 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780" w:type="dxa"/>
            <w:vAlign w:val="bottom"/>
          </w:tcPr>
          <w:p>
            <w:pPr>
              <w:spacing w:after="0"/>
              <w:rPr>
                <w:sz w:val="22"/>
                <w:szCs w:val="22"/>
                <w:color w:val="auto"/>
              </w:rPr>
            </w:pPr>
          </w:p>
        </w:tc>
        <w:tc>
          <w:tcPr>
            <w:tcW w:w="940" w:type="dxa"/>
            <w:vAlign w:val="bottom"/>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340" w:type="dxa"/>
            <w:vAlign w:val="bottom"/>
          </w:tcPr>
          <w:p>
            <w:pPr>
              <w:spacing w:after="0"/>
              <w:rPr>
                <w:sz w:val="22"/>
                <w:szCs w:val="22"/>
                <w:color w:val="auto"/>
              </w:rPr>
            </w:pPr>
          </w:p>
        </w:tc>
        <w:tc>
          <w:tcPr>
            <w:tcW w:w="1040" w:type="dxa"/>
            <w:vAlign w:val="bottom"/>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780" w:type="dxa"/>
            <w:vAlign w:val="bottom"/>
          </w:tcPr>
          <w:p>
            <w:pPr>
              <w:spacing w:after="0"/>
              <w:rPr>
                <w:sz w:val="22"/>
                <w:szCs w:val="22"/>
                <w:color w:val="auto"/>
              </w:rPr>
            </w:pPr>
          </w:p>
        </w:tc>
        <w:tc>
          <w:tcPr>
            <w:tcW w:w="960" w:type="dxa"/>
            <w:vAlign w:val="bottom"/>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960" w:type="dxa"/>
            <w:vAlign w:val="bottom"/>
          </w:tcPr>
          <w:p>
            <w:pPr>
              <w:jc w:val="right"/>
              <w:ind w:right="8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84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82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Cost of revenue - business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16,364</w:t>
            </w:r>
          </w:p>
        </w:tc>
        <w:tc>
          <w:tcPr>
            <w:tcW w:w="780" w:type="dxa"/>
            <w:vAlign w:val="bottom"/>
          </w:tcPr>
          <w:p>
            <w:pPr>
              <w:jc w:val="right"/>
              <w:ind w:right="27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12,679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49,299</w:t>
            </w:r>
          </w:p>
        </w:tc>
        <w:tc>
          <w:tcPr>
            <w:tcW w:w="780" w:type="dxa"/>
            <w:vAlign w:val="bottom"/>
          </w:tcPr>
          <w:p>
            <w:pPr>
              <w:jc w:val="right"/>
              <w:ind w:right="25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36,306</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3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w:t>
            </w:r>
          </w:p>
        </w:tc>
        <w:tc>
          <w:tcPr>
            <w:tcW w:w="78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w:t>
            </w:r>
          </w:p>
        </w:tc>
        <w:tc>
          <w:tcPr>
            <w:tcW w:w="78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980" w:type="dxa"/>
            <w:vAlign w:val="bottom"/>
            <w:vMerge w:val="restart"/>
          </w:tcPr>
          <w:p>
            <w:pPr>
              <w:ind w:left="40"/>
              <w:spacing w:after="0"/>
              <w:rPr>
                <w:sz w:val="20"/>
                <w:szCs w:val="20"/>
                <w:color w:val="auto"/>
              </w:rPr>
            </w:pPr>
            <w:r>
              <w:rPr>
                <w:rFonts w:ascii="Arial" w:cs="Arial" w:eastAsia="Arial" w:hAnsi="Arial"/>
                <w:sz w:val="16"/>
                <w:szCs w:val="16"/>
                <w:color w:val="auto"/>
              </w:rPr>
              <w:t>Headcount (at period end):</w:t>
            </w:r>
          </w:p>
        </w:tc>
        <w:tc>
          <w:tcPr>
            <w:tcW w:w="320" w:type="dxa"/>
            <w:vAlign w:val="bottom"/>
          </w:tcPr>
          <w:p>
            <w:pPr>
              <w:spacing w:after="0"/>
              <w:rPr>
                <w:sz w:val="14"/>
                <w:szCs w:val="14"/>
                <w:color w:val="auto"/>
              </w:rPr>
            </w:pPr>
          </w:p>
        </w:tc>
        <w:tc>
          <w:tcPr>
            <w:tcW w:w="1060" w:type="dxa"/>
            <w:vAlign w:val="bottom"/>
            <w:vMerge w:val="restart"/>
          </w:tcPr>
          <w:p>
            <w:pPr>
              <w:jc w:val="right"/>
              <w:ind w:right="83"/>
              <w:spacing w:after="0"/>
              <w:rPr>
                <w:sz w:val="20"/>
                <w:szCs w:val="20"/>
                <w:color w:val="auto"/>
              </w:rPr>
            </w:pPr>
            <w:r>
              <w:rPr>
                <w:rFonts w:ascii="Arial" w:cs="Arial" w:eastAsia="Arial" w:hAnsi="Arial"/>
                <w:sz w:val="16"/>
                <w:szCs w:val="16"/>
                <w:color w:val="auto"/>
              </w:rPr>
              <w:t>263</w:t>
            </w:r>
          </w:p>
        </w:tc>
        <w:tc>
          <w:tcPr>
            <w:tcW w:w="780" w:type="dxa"/>
            <w:vAlign w:val="bottom"/>
          </w:tcPr>
          <w:p>
            <w:pPr>
              <w:jc w:val="right"/>
              <w:ind w:right="572"/>
              <w:spacing w:after="0"/>
              <w:rPr>
                <w:sz w:val="20"/>
                <w:szCs w:val="20"/>
                <w:color w:val="auto"/>
              </w:rPr>
            </w:pPr>
            <w:r>
              <w:rPr>
                <w:rFonts w:ascii="Arial" w:cs="Arial" w:eastAsia="Arial" w:hAnsi="Arial"/>
                <w:sz w:val="11"/>
                <w:szCs w:val="11"/>
                <w:color w:val="auto"/>
                <w:w w:val="88"/>
              </w:rPr>
              <w:t>(1)</w:t>
            </w:r>
          </w:p>
        </w:tc>
        <w:tc>
          <w:tcPr>
            <w:tcW w:w="940" w:type="dxa"/>
            <w:vAlign w:val="bottom"/>
            <w:vMerge w:val="restart"/>
          </w:tcPr>
          <w:p>
            <w:pPr>
              <w:jc w:val="right"/>
              <w:ind w:right="101"/>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ind w:right="83"/>
              <w:spacing w:after="0"/>
              <w:rPr>
                <w:sz w:val="20"/>
                <w:szCs w:val="20"/>
                <w:color w:val="auto"/>
              </w:rPr>
            </w:pPr>
            <w:r>
              <w:rPr>
                <w:rFonts w:ascii="Arial" w:cs="Arial" w:eastAsia="Arial" w:hAnsi="Arial"/>
                <w:sz w:val="16"/>
                <w:szCs w:val="16"/>
                <w:color w:val="auto"/>
              </w:rPr>
              <w:t>263</w:t>
            </w:r>
          </w:p>
        </w:tc>
        <w:tc>
          <w:tcPr>
            <w:tcW w:w="780" w:type="dxa"/>
            <w:vAlign w:val="bottom"/>
          </w:tcPr>
          <w:p>
            <w:pPr>
              <w:jc w:val="right"/>
              <w:ind w:right="552"/>
              <w:spacing w:after="0"/>
              <w:rPr>
                <w:sz w:val="20"/>
                <w:szCs w:val="20"/>
                <w:color w:val="auto"/>
              </w:rPr>
            </w:pPr>
            <w:r>
              <w:rPr>
                <w:rFonts w:ascii="Arial" w:cs="Arial" w:eastAsia="Arial" w:hAnsi="Arial"/>
                <w:sz w:val="11"/>
                <w:szCs w:val="11"/>
                <w:color w:val="auto"/>
              </w:rPr>
              <w:t>(1)</w:t>
            </w:r>
          </w:p>
        </w:tc>
        <w:tc>
          <w:tcPr>
            <w:tcW w:w="960" w:type="dxa"/>
            <w:vAlign w:val="bottom"/>
            <w:vMerge w:val="restart"/>
          </w:tcPr>
          <w:p>
            <w:pPr>
              <w:jc w:val="right"/>
              <w:ind w:right="81"/>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70"/>
        </w:trPr>
        <w:tc>
          <w:tcPr>
            <w:tcW w:w="29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4"/>
          <w:szCs w:val="14"/>
          <w:color w:val="auto"/>
        </w:rPr>
        <w:t>Includes 73 employees as a result of the acquisition of CAO!</w:t>
      </w:r>
    </w:p>
    <w:p>
      <w:pPr>
        <w:spacing w:after="0" w:line="1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Cost of revenue increased by 29% to $16.4 million in the three months ended September 30, 2015, from $12.7 million in the comparable period in 2014. This increase in expense was primarily attributable to outside labor provider fees of approximately $2.3 million, an increase in total compensation and related costs for additional and existing customer service, network operations personnel and external consultants in the amount of approximately $1.3 million, and an increase in primary and backup server facilities and allocated overhead related to costs of supporting our server and network infrastructure of approximately $1.0 million as a result of increased revenue. We assessed the contingent earn-outs in connection with our acquisitions and recorded a $1.2 million fair value re-measurement adjustment, which was recorded in operating income as a decrease to cost of revenue. The increase in the cost of revenue was due to the investment in enhancing our business continuity capabilities at our hosting facilities. Additionally, data collection and storage costs have increased in support of expanded scope and quality of the analytical reporting to our customers.</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 of revenue increased by 36% to $49.3 million in the nine months ended September 30, 2015, from $36.3 million in the comparable period in 2014. This increase in expense was primarily attributable to outside labor provider fees of approximately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jc w:val="both"/>
        <w:spacing w:after="0" w:line="293" w:lineRule="auto"/>
        <w:rPr>
          <w:sz w:val="20"/>
          <w:szCs w:val="20"/>
          <w:color w:val="auto"/>
        </w:rPr>
      </w:pPr>
      <w:r>
        <w:rPr>
          <w:rFonts w:ascii="Arial" w:cs="Arial" w:eastAsia="Arial" w:hAnsi="Arial"/>
          <w:sz w:val="16"/>
          <w:szCs w:val="16"/>
          <w:color w:val="auto"/>
        </w:rPr>
        <w:t>$5.6 million, an increase in total compensation and related costs for additional and existing customer service, network operations personnel and external consultants in the amount of approximately $5.1 million, and an increase in primary and backup server facilities and allocated overhead related to costs of supporting our server and network infrastructure of approximately $3.0 million as a result of increased revenue. We assessed the contingent earn-outs in connection with our acquisitions and recorded a $1.4 million fair value re-measurement adjustment, which was recorded in operating income as a decrease to cost of revenue. The increase in the cost of revenue was due to the investment in enhancing our business continuity capabilities at our hosting facilities. Additionally, data collection and storage costs have increased in support of expanded scope and quality of the analytical reporting to our customers.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jc w:val="right"/>
              <w:ind w:right="50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343"/>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22"/>
                <w:szCs w:val="22"/>
                <w:color w:val="auto"/>
              </w:rPr>
            </w:pPr>
          </w:p>
        </w:tc>
        <w:tc>
          <w:tcPr>
            <w:tcW w:w="800" w:type="dxa"/>
            <w:vAlign w:val="bottom"/>
          </w:tcPr>
          <w:p>
            <w:pPr>
              <w:jc w:val="right"/>
              <w:ind w:right="30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860" w:type="dxa"/>
            <w:vAlign w:val="bottom"/>
          </w:tcPr>
          <w:p>
            <w:pPr>
              <w:jc w:val="right"/>
              <w:ind w:right="363"/>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22"/>
                <w:szCs w:val="22"/>
                <w:color w:val="auto"/>
              </w:rPr>
            </w:pPr>
          </w:p>
        </w:tc>
        <w:tc>
          <w:tcPr>
            <w:tcW w:w="820" w:type="dxa"/>
            <w:vAlign w:val="bottom"/>
          </w:tcPr>
          <w:p>
            <w:pPr>
              <w:jc w:val="right"/>
              <w:ind w:right="32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7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940" w:type="dxa"/>
            <w:vAlign w:val="bottom"/>
            <w:tcBorders>
              <w:top w:val="single" w:sz="8" w:color="auto"/>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980" w:type="dxa"/>
            <w:vAlign w:val="bottom"/>
            <w:tcBorders>
              <w:top w:val="single" w:sz="8" w:color="auto"/>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revenue - consumer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23"/>
              <w:spacing w:after="0"/>
              <w:rPr>
                <w:sz w:val="20"/>
                <w:szCs w:val="20"/>
                <w:color w:val="auto"/>
              </w:rPr>
            </w:pPr>
            <w:r>
              <w:rPr>
                <w:rFonts w:ascii="Arial" w:cs="Arial" w:eastAsia="Arial" w:hAnsi="Arial"/>
                <w:sz w:val="16"/>
                <w:szCs w:val="16"/>
                <w:color w:val="auto"/>
              </w:rPr>
              <w:t>573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625</w:t>
            </w:r>
          </w:p>
        </w:tc>
        <w:tc>
          <w:tcPr>
            <w:tcW w:w="1460" w:type="dxa"/>
            <w:vAlign w:val="bottom"/>
            <w:gridSpan w:val="4"/>
          </w:tcPr>
          <w:p>
            <w:pPr>
              <w:jc w:val="right"/>
              <w:ind w:right="140"/>
              <w:spacing w:after="0"/>
              <w:rPr>
                <w:sz w:val="20"/>
                <w:szCs w:val="20"/>
                <w:color w:val="auto"/>
              </w:rPr>
            </w:pPr>
            <w:r>
              <w:rPr>
                <w:rFonts w:ascii="Arial" w:cs="Arial" w:eastAsia="Arial" w:hAnsi="Arial"/>
                <w:sz w:val="16"/>
                <w:szCs w:val="16"/>
                <w:color w:val="auto"/>
              </w:rPr>
              <w:t>(8)%  $</w:t>
            </w:r>
          </w:p>
        </w:tc>
        <w:tc>
          <w:tcPr>
            <w:tcW w:w="860" w:type="dxa"/>
            <w:vAlign w:val="bottom"/>
          </w:tcPr>
          <w:p>
            <w:pPr>
              <w:jc w:val="right"/>
              <w:ind w:right="143"/>
              <w:spacing w:after="0"/>
              <w:rPr>
                <w:sz w:val="20"/>
                <w:szCs w:val="20"/>
                <w:color w:val="auto"/>
              </w:rPr>
            </w:pPr>
            <w:r>
              <w:rPr>
                <w:rFonts w:ascii="Arial" w:cs="Arial" w:eastAsia="Arial" w:hAnsi="Arial"/>
                <w:sz w:val="16"/>
                <w:szCs w:val="16"/>
                <w:color w:val="auto"/>
              </w:rPr>
              <w:t>1,779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1,894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40" w:type="dxa"/>
            <w:vAlign w:val="bottom"/>
          </w:tcPr>
          <w:p>
            <w:pPr>
              <w:spacing w:after="0"/>
              <w:rPr>
                <w:sz w:val="20"/>
                <w:szCs w:val="20"/>
                <w:color w:val="auto"/>
              </w:rPr>
            </w:pPr>
          </w:p>
        </w:tc>
        <w:tc>
          <w:tcPr>
            <w:tcW w:w="840" w:type="dxa"/>
            <w:vAlign w:val="bottom"/>
          </w:tcPr>
          <w:p>
            <w:pPr>
              <w:jc w:val="right"/>
              <w:ind w:right="123"/>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16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43"/>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20"/>
                <w:szCs w:val="20"/>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16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6 %</w:t>
            </w:r>
          </w:p>
        </w:tc>
      </w:tr>
    </w:tbl>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 of revenue remained flat at $0.6 million and $1.8 million in the three months and nine months ended September 30, 2015 and 2014, respectively.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public relations, trade show exhibit expenses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5"/>
              </w:rPr>
              <w:t>Three Months Ended 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3"/>
              </w:rPr>
              <w:t>Nine Months Ended 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780" w:type="dxa"/>
            <w:vAlign w:val="bottom"/>
          </w:tcPr>
          <w:p>
            <w:pPr>
              <w:spacing w:after="0"/>
              <w:rPr>
                <w:sz w:val="22"/>
                <w:szCs w:val="22"/>
                <w:color w:val="auto"/>
              </w:rPr>
            </w:pPr>
          </w:p>
        </w:tc>
        <w:tc>
          <w:tcPr>
            <w:tcW w:w="940" w:type="dxa"/>
            <w:vAlign w:val="bottom"/>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340" w:type="dxa"/>
            <w:vAlign w:val="bottom"/>
          </w:tcPr>
          <w:p>
            <w:pPr>
              <w:spacing w:after="0"/>
              <w:rPr>
                <w:sz w:val="22"/>
                <w:szCs w:val="22"/>
                <w:color w:val="auto"/>
              </w:rPr>
            </w:pPr>
          </w:p>
        </w:tc>
        <w:tc>
          <w:tcPr>
            <w:tcW w:w="1040" w:type="dxa"/>
            <w:vAlign w:val="bottom"/>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780" w:type="dxa"/>
            <w:vAlign w:val="bottom"/>
          </w:tcPr>
          <w:p>
            <w:pPr>
              <w:spacing w:after="0"/>
              <w:rPr>
                <w:sz w:val="22"/>
                <w:szCs w:val="22"/>
                <w:color w:val="auto"/>
              </w:rPr>
            </w:pPr>
          </w:p>
        </w:tc>
        <w:tc>
          <w:tcPr>
            <w:tcW w:w="960" w:type="dxa"/>
            <w:vAlign w:val="bottom"/>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960" w:type="dxa"/>
            <w:vAlign w:val="bottom"/>
          </w:tcPr>
          <w:p>
            <w:pPr>
              <w:jc w:val="right"/>
              <w:ind w:right="8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84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82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Sales and marketing - business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21,333</w:t>
            </w:r>
          </w:p>
        </w:tc>
        <w:tc>
          <w:tcPr>
            <w:tcW w:w="780" w:type="dxa"/>
            <w:vAlign w:val="bottom"/>
          </w:tcPr>
          <w:p>
            <w:pPr>
              <w:jc w:val="right"/>
              <w:ind w:right="27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19,488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66,865</w:t>
            </w:r>
          </w:p>
        </w:tc>
        <w:tc>
          <w:tcPr>
            <w:tcW w:w="780" w:type="dxa"/>
            <w:vAlign w:val="bottom"/>
          </w:tcPr>
          <w:p>
            <w:pPr>
              <w:jc w:val="right"/>
              <w:ind w:right="25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55,203</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3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35%</w:t>
            </w:r>
          </w:p>
        </w:tc>
        <w:tc>
          <w:tcPr>
            <w:tcW w:w="78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37%</w:t>
            </w:r>
          </w:p>
        </w:tc>
        <w:tc>
          <w:tcPr>
            <w:tcW w:w="78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980" w:type="dxa"/>
            <w:vAlign w:val="bottom"/>
            <w:vMerge w:val="restart"/>
          </w:tcPr>
          <w:p>
            <w:pPr>
              <w:ind w:left="40"/>
              <w:spacing w:after="0"/>
              <w:rPr>
                <w:sz w:val="20"/>
                <w:szCs w:val="20"/>
                <w:color w:val="auto"/>
              </w:rPr>
            </w:pPr>
            <w:r>
              <w:rPr>
                <w:rFonts w:ascii="Arial" w:cs="Arial" w:eastAsia="Arial" w:hAnsi="Arial"/>
                <w:sz w:val="16"/>
                <w:szCs w:val="16"/>
                <w:color w:val="auto"/>
              </w:rPr>
              <w:t>Headcount (at period end):</w:t>
            </w:r>
          </w:p>
        </w:tc>
        <w:tc>
          <w:tcPr>
            <w:tcW w:w="320" w:type="dxa"/>
            <w:vAlign w:val="bottom"/>
          </w:tcPr>
          <w:p>
            <w:pPr>
              <w:spacing w:after="0"/>
              <w:rPr>
                <w:sz w:val="14"/>
                <w:szCs w:val="14"/>
                <w:color w:val="auto"/>
              </w:rPr>
            </w:pPr>
          </w:p>
        </w:tc>
        <w:tc>
          <w:tcPr>
            <w:tcW w:w="1060" w:type="dxa"/>
            <w:vAlign w:val="bottom"/>
            <w:vMerge w:val="restart"/>
          </w:tcPr>
          <w:p>
            <w:pPr>
              <w:jc w:val="right"/>
              <w:ind w:right="83"/>
              <w:spacing w:after="0"/>
              <w:rPr>
                <w:sz w:val="20"/>
                <w:szCs w:val="20"/>
                <w:color w:val="auto"/>
              </w:rPr>
            </w:pPr>
            <w:r>
              <w:rPr>
                <w:rFonts w:ascii="Arial" w:cs="Arial" w:eastAsia="Arial" w:hAnsi="Arial"/>
                <w:sz w:val="16"/>
                <w:szCs w:val="16"/>
                <w:color w:val="auto"/>
              </w:rPr>
              <w:t>356</w:t>
            </w:r>
          </w:p>
        </w:tc>
        <w:tc>
          <w:tcPr>
            <w:tcW w:w="780" w:type="dxa"/>
            <w:vAlign w:val="bottom"/>
          </w:tcPr>
          <w:p>
            <w:pPr>
              <w:jc w:val="right"/>
              <w:ind w:right="572"/>
              <w:spacing w:after="0"/>
              <w:rPr>
                <w:sz w:val="20"/>
                <w:szCs w:val="20"/>
                <w:color w:val="auto"/>
              </w:rPr>
            </w:pPr>
            <w:r>
              <w:rPr>
                <w:rFonts w:ascii="Arial" w:cs="Arial" w:eastAsia="Arial" w:hAnsi="Arial"/>
                <w:sz w:val="11"/>
                <w:szCs w:val="11"/>
                <w:color w:val="auto"/>
                <w:w w:val="88"/>
              </w:rPr>
              <w:t>(1)</w:t>
            </w:r>
          </w:p>
        </w:tc>
        <w:tc>
          <w:tcPr>
            <w:tcW w:w="940" w:type="dxa"/>
            <w:vAlign w:val="bottom"/>
            <w:vMerge w:val="restart"/>
          </w:tcPr>
          <w:p>
            <w:pPr>
              <w:jc w:val="right"/>
              <w:ind w:right="101"/>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ind w:right="83"/>
              <w:spacing w:after="0"/>
              <w:rPr>
                <w:sz w:val="20"/>
                <w:szCs w:val="20"/>
                <w:color w:val="auto"/>
              </w:rPr>
            </w:pPr>
            <w:r>
              <w:rPr>
                <w:rFonts w:ascii="Arial" w:cs="Arial" w:eastAsia="Arial" w:hAnsi="Arial"/>
                <w:sz w:val="16"/>
                <w:szCs w:val="16"/>
                <w:color w:val="auto"/>
              </w:rPr>
              <w:t>356</w:t>
            </w:r>
          </w:p>
        </w:tc>
        <w:tc>
          <w:tcPr>
            <w:tcW w:w="780" w:type="dxa"/>
            <w:vAlign w:val="bottom"/>
          </w:tcPr>
          <w:p>
            <w:pPr>
              <w:jc w:val="right"/>
              <w:ind w:right="552"/>
              <w:spacing w:after="0"/>
              <w:rPr>
                <w:sz w:val="20"/>
                <w:szCs w:val="20"/>
                <w:color w:val="auto"/>
              </w:rPr>
            </w:pPr>
            <w:r>
              <w:rPr>
                <w:rFonts w:ascii="Arial" w:cs="Arial" w:eastAsia="Arial" w:hAnsi="Arial"/>
                <w:sz w:val="11"/>
                <w:szCs w:val="11"/>
                <w:color w:val="auto"/>
              </w:rPr>
              <w:t>(1)</w:t>
            </w:r>
          </w:p>
        </w:tc>
        <w:tc>
          <w:tcPr>
            <w:tcW w:w="960" w:type="dxa"/>
            <w:vAlign w:val="bottom"/>
            <w:vMerge w:val="restart"/>
          </w:tcPr>
          <w:p>
            <w:pPr>
              <w:jc w:val="right"/>
              <w:ind w:right="81"/>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70"/>
        </w:trPr>
        <w:tc>
          <w:tcPr>
            <w:tcW w:w="29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21"/>
          <w:szCs w:val="21"/>
          <w:color w:val="auto"/>
          <w:vertAlign w:val="superscript"/>
        </w:rPr>
      </w:pPr>
      <w:r>
        <w:rPr>
          <w:rFonts w:ascii="Arial" w:cs="Arial" w:eastAsia="Arial" w:hAnsi="Arial"/>
          <w:sz w:val="14"/>
          <w:szCs w:val="14"/>
          <w:color w:val="auto"/>
        </w:rPr>
        <w:t>Includes 62 employees as a result of the acquisition of CAO!</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Sales and marketing expenses increased by 9% to $21.3 million in the three months ended September 30, 2015, from $19.5 million in the comparable period in 2014. The increase was primarily due to compensation and related costs for additional and existing sales and marketing personnel of approximately $0.5 million directly related to expanded headcount, and advertising, public relations and trade show exhibit expenses of approximately $0.1 million. Additionally, we continue to invest in our marketing and sales capabilities, as well as invest in our global sales team, global expansion and LiveEngage 2.0 product expansion. The percentage increase for the three months ended September 30, 2015 decreased as compared to the percentage increase for the nine months ended September 30, 2015 as result of our increased focus on strengthening our profitability as the scalability of our operating model and recent investments materialize.</w:t>
      </w:r>
    </w:p>
    <w:p>
      <w:pPr>
        <w:spacing w:after="0" w:line="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and marketing expenses increased by 21% to $66.9 million in the nine months ended September 30, 2015, from $55.2 million in the comparable period in 2014. The increase was primarily due to compensation and related costs for additional and existing sales and marketing personnel of approximately $7.6 million directly related to expanded headcount, and advertising, public relations and trade show exhibit expenses of approximately $1.4 million. Additionally, we continue to invest in our marketing and sales capabilities, as well as invest in our global sales team, global expansion and LiveEngage 2.0 product expansion.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public relations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3"/>
              </w:rPr>
              <w:t>Three Months Ended 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4"/>
              </w:rPr>
              <w:t>Nine Months Ended September 30,</w:t>
            </w:r>
          </w:p>
        </w:tc>
        <w:tc>
          <w:tcPr>
            <w:tcW w:w="840" w:type="dxa"/>
            <w:vAlign w:val="bottom"/>
            <w:tcBorders>
              <w:bottom w:val="single" w:sz="8" w:color="auto"/>
            </w:tcBorders>
          </w:tcPr>
          <w:p>
            <w:pPr>
              <w:spacing w:after="0"/>
              <w:rPr>
                <w:sz w:val="16"/>
                <w:szCs w:val="16"/>
                <w:color w:val="auto"/>
              </w:rPr>
            </w:pPr>
          </w:p>
        </w:tc>
      </w:tr>
      <w:tr>
        <w:trPr>
          <w:trHeight w:val="264"/>
        </w:trPr>
        <w:tc>
          <w:tcPr>
            <w:tcW w:w="3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82"/>
              <w:spacing w:after="0"/>
              <w:rPr>
                <w:sz w:val="20"/>
                <w:szCs w:val="20"/>
                <w:color w:val="auto"/>
              </w:rPr>
            </w:pPr>
            <w:r>
              <w:rPr>
                <w:rFonts w:ascii="Arial" w:cs="Arial" w:eastAsia="Arial" w:hAnsi="Arial"/>
                <w:sz w:val="14"/>
                <w:szCs w:val="14"/>
                <w:b w:val="1"/>
                <w:bCs w:val="1"/>
                <w:color w:val="auto"/>
                <w:w w:val="97"/>
              </w:rPr>
              <w:t>% Change</w:t>
            </w:r>
          </w:p>
        </w:tc>
      </w:tr>
      <w:tr>
        <w:trPr>
          <w:trHeight w:val="264"/>
        </w:trPr>
        <w:tc>
          <w:tcPr>
            <w:tcW w:w="3420" w:type="dxa"/>
            <w:vAlign w:val="bottom"/>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gridSpan w:val="2"/>
          </w:tcPr>
          <w:p>
            <w:pPr>
              <w:jc w:val="right"/>
              <w:ind w:right="323"/>
              <w:spacing w:after="0"/>
              <w:rPr>
                <w:sz w:val="20"/>
                <w:szCs w:val="20"/>
                <w:color w:val="auto"/>
              </w:rPr>
            </w:pPr>
            <w:r>
              <w:rPr>
                <w:rFonts w:ascii="Arial" w:cs="Arial" w:eastAsia="Arial" w:hAnsi="Arial"/>
                <w:sz w:val="14"/>
                <w:szCs w:val="14"/>
                <w:b w:val="1"/>
                <w:bCs w:val="1"/>
                <w:color w:val="auto"/>
                <w:w w:val="99"/>
              </w:rPr>
              <w:t>($ in thousands)</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gridSpan w:val="2"/>
          </w:tcPr>
          <w:p>
            <w:pPr>
              <w:jc w:val="right"/>
              <w:ind w:right="323"/>
              <w:spacing w:after="0"/>
              <w:rPr>
                <w:sz w:val="20"/>
                <w:szCs w:val="20"/>
                <w:color w:val="auto"/>
              </w:rPr>
            </w:pPr>
            <w:r>
              <w:rPr>
                <w:rFonts w:ascii="Arial" w:cs="Arial" w:eastAsia="Arial" w:hAnsi="Arial"/>
                <w:sz w:val="14"/>
                <w:szCs w:val="14"/>
                <w:b w:val="1"/>
                <w:bCs w:val="1"/>
                <w:color w:val="auto"/>
                <w:w w:val="99"/>
              </w:rPr>
              <w:t>($ in thousands)</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Sales and marketing - consumer</w:t>
            </w:r>
          </w:p>
        </w:tc>
        <w:tc>
          <w:tcPr>
            <w:tcW w:w="840" w:type="dxa"/>
            <w:vAlign w:val="bottom"/>
          </w:tcPr>
          <w:p>
            <w:pPr>
              <w:jc w:val="right"/>
              <w:ind w:right="643"/>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3"/>
              <w:spacing w:after="0"/>
              <w:rPr>
                <w:sz w:val="20"/>
                <w:szCs w:val="20"/>
                <w:color w:val="auto"/>
              </w:rPr>
            </w:pPr>
            <w:r>
              <w:rPr>
                <w:rFonts w:ascii="Arial" w:cs="Arial" w:eastAsia="Arial" w:hAnsi="Arial"/>
                <w:sz w:val="16"/>
                <w:szCs w:val="16"/>
                <w:color w:val="auto"/>
                <w:w w:val="89"/>
              </w:rPr>
              <w:t>1,953</w:t>
            </w:r>
          </w:p>
        </w:tc>
        <w:tc>
          <w:tcPr>
            <w:tcW w:w="900" w:type="dxa"/>
            <w:vAlign w:val="bottom"/>
          </w:tcPr>
          <w:p>
            <w:pPr>
              <w:jc w:val="right"/>
              <w:ind w:right="663"/>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w w:val="84"/>
              </w:rPr>
              <w:t>1,490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860" w:type="dxa"/>
            <w:vAlign w:val="bottom"/>
          </w:tcPr>
          <w:p>
            <w:pPr>
              <w:jc w:val="right"/>
              <w:ind w:right="663"/>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23"/>
              <w:spacing w:after="0"/>
              <w:rPr>
                <w:sz w:val="20"/>
                <w:szCs w:val="20"/>
                <w:color w:val="auto"/>
              </w:rPr>
            </w:pPr>
            <w:r>
              <w:rPr>
                <w:rFonts w:ascii="Arial" w:cs="Arial" w:eastAsia="Arial" w:hAnsi="Arial"/>
                <w:sz w:val="16"/>
                <w:szCs w:val="16"/>
                <w:color w:val="auto"/>
                <w:w w:val="89"/>
              </w:rPr>
              <w:t>5,097</w:t>
            </w:r>
          </w:p>
        </w:tc>
        <w:tc>
          <w:tcPr>
            <w:tcW w:w="920" w:type="dxa"/>
            <w:vAlign w:val="bottom"/>
          </w:tcPr>
          <w:p>
            <w:pPr>
              <w:jc w:val="right"/>
              <w:ind w:right="66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w w:val="89"/>
              </w:rPr>
              <w:t>4,246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3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84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w:t>
            </w:r>
          </w:p>
        </w:tc>
        <w:tc>
          <w:tcPr>
            <w:tcW w:w="900" w:type="dxa"/>
            <w:vAlign w:val="bottom"/>
            <w:tcBorders>
              <w:bottom w:val="single" w:sz="8" w:color="CCFFCC"/>
            </w:tcBorders>
            <w:shd w:val="clear" w:color="auto" w:fill="CCFFCC"/>
          </w:tcPr>
          <w:p>
            <w:pPr>
              <w:spacing w:after="0"/>
              <w:rPr>
                <w:sz w:val="21"/>
                <w:szCs w:val="21"/>
                <w:color w:val="auto"/>
              </w:rPr>
            </w:pPr>
          </w:p>
        </w:tc>
        <w:tc>
          <w:tcPr>
            <w:tcW w:w="5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w:t>
            </w:r>
          </w:p>
        </w:tc>
        <w:tc>
          <w:tcPr>
            <w:tcW w:w="92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840" w:type="dxa"/>
            <w:vAlign w:val="bottom"/>
          </w:tcPr>
          <w:p>
            <w:pPr>
              <w:spacing w:after="0"/>
              <w:rPr>
                <w:sz w:val="20"/>
                <w:szCs w:val="20"/>
                <w:color w:val="auto"/>
              </w:rPr>
            </w:pPr>
          </w:p>
        </w:tc>
        <w:tc>
          <w:tcPr>
            <w:tcW w:w="600" w:type="dxa"/>
            <w:vAlign w:val="bottom"/>
          </w:tcPr>
          <w:p>
            <w:pPr>
              <w:jc w:val="right"/>
              <w:ind w:right="143"/>
              <w:spacing w:after="0"/>
              <w:rPr>
                <w:sz w:val="20"/>
                <w:szCs w:val="20"/>
                <w:color w:val="auto"/>
              </w:rPr>
            </w:pPr>
            <w:r>
              <w:rPr>
                <w:rFonts w:ascii="Arial" w:cs="Arial" w:eastAsia="Arial" w:hAnsi="Arial"/>
                <w:sz w:val="16"/>
                <w:szCs w:val="16"/>
                <w:color w:val="auto"/>
              </w:rPr>
              <w:t>8</w:t>
            </w:r>
          </w:p>
        </w:tc>
        <w:tc>
          <w:tcPr>
            <w:tcW w:w="900" w:type="dxa"/>
            <w:vAlign w:val="bottom"/>
          </w:tcPr>
          <w:p>
            <w:pPr>
              <w:spacing w:after="0"/>
              <w:rPr>
                <w:sz w:val="20"/>
                <w:szCs w:val="20"/>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580" w:type="dxa"/>
            <w:vAlign w:val="bottom"/>
          </w:tcPr>
          <w:p>
            <w:pPr>
              <w:jc w:val="right"/>
              <w:ind w:right="123"/>
              <w:spacing w:after="0"/>
              <w:rPr>
                <w:sz w:val="20"/>
                <w:szCs w:val="20"/>
                <w:color w:val="auto"/>
              </w:rPr>
            </w:pPr>
            <w:r>
              <w:rPr>
                <w:rFonts w:ascii="Arial" w:cs="Arial" w:eastAsia="Arial" w:hAnsi="Arial"/>
                <w:sz w:val="16"/>
                <w:szCs w:val="16"/>
                <w:color w:val="auto"/>
              </w:rPr>
              <w:t>8</w:t>
            </w:r>
          </w:p>
        </w:tc>
        <w:tc>
          <w:tcPr>
            <w:tcW w:w="92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and marketing expenses increased by 31% and 20% to $2.0 million and $5.1 million in the three and nine months ended September 30, 2015, respectively, from $1.5 million and $4.2 million in the comparable periods in 2014. This increase is primarily attributable to an increase in advertising and online expenses of approximately $0.4 million and $0.5 million, respectively.</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w w:val="93"/>
              </w:rPr>
              <w:t>Three Months Ended 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w w:val="94"/>
              </w:rPr>
              <w:t>Nine Months Ended 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23"/>
              <w:spacing w:after="0"/>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22"/>
                <w:szCs w:val="22"/>
                <w:color w:val="auto"/>
              </w:rPr>
            </w:pPr>
          </w:p>
        </w:tc>
        <w:tc>
          <w:tcPr>
            <w:tcW w:w="860" w:type="dxa"/>
            <w:vAlign w:val="bottom"/>
          </w:tcPr>
          <w:p>
            <w:pPr>
              <w:jc w:val="right"/>
              <w:ind w:right="40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7"/>
              </w:rPr>
              <w:t>% Change</w:t>
            </w:r>
          </w:p>
        </w:tc>
        <w:tc>
          <w:tcPr>
            <w:tcW w:w="960" w:type="dxa"/>
            <w:vAlign w:val="bottom"/>
          </w:tcPr>
          <w:p>
            <w:pPr>
              <w:jc w:val="right"/>
              <w:ind w:right="403"/>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22"/>
                <w:szCs w:val="22"/>
                <w:color w:val="auto"/>
              </w:rPr>
            </w:pPr>
          </w:p>
        </w:tc>
        <w:tc>
          <w:tcPr>
            <w:tcW w:w="860" w:type="dxa"/>
            <w:vAlign w:val="bottom"/>
          </w:tcPr>
          <w:p>
            <w:pPr>
              <w:jc w:val="right"/>
              <w:ind w:right="42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338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 in thousands)</w:t>
            </w:r>
          </w:p>
        </w:tc>
        <w:tc>
          <w:tcPr>
            <w:tcW w:w="8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 in thousands)</w:t>
            </w:r>
          </w:p>
        </w:tc>
        <w:tc>
          <w:tcPr>
            <w:tcW w:w="8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3"/>
              <w:spacing w:after="0"/>
              <w:rPr>
                <w:sz w:val="20"/>
                <w:szCs w:val="20"/>
                <w:color w:val="auto"/>
              </w:rPr>
            </w:pPr>
            <w:r>
              <w:rPr>
                <w:rFonts w:ascii="Arial" w:cs="Arial" w:eastAsia="Arial" w:hAnsi="Arial"/>
                <w:sz w:val="16"/>
                <w:szCs w:val="16"/>
                <w:color w:val="auto"/>
              </w:rPr>
              <w:t>7,875</w:t>
            </w:r>
          </w:p>
        </w:tc>
        <w:tc>
          <w:tcPr>
            <w:tcW w:w="740" w:type="dxa"/>
            <w:vAlign w:val="bottom"/>
          </w:tcPr>
          <w:p>
            <w:pPr>
              <w:jc w:val="right"/>
              <w:ind w:right="23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8,787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(10)%  $</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28,511</w:t>
            </w:r>
          </w:p>
        </w:tc>
        <w:tc>
          <w:tcPr>
            <w:tcW w:w="760" w:type="dxa"/>
            <w:vAlign w:val="bottom"/>
          </w:tcPr>
          <w:p>
            <w:pPr>
              <w:jc w:val="right"/>
              <w:ind w:right="23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1"/>
              <w:spacing w:after="0"/>
              <w:rPr>
                <w:sz w:val="20"/>
                <w:szCs w:val="20"/>
                <w:color w:val="auto"/>
              </w:rPr>
            </w:pPr>
            <w:r>
              <w:rPr>
                <w:rFonts w:ascii="Arial" w:cs="Arial" w:eastAsia="Arial" w:hAnsi="Arial"/>
                <w:sz w:val="16"/>
                <w:szCs w:val="16"/>
                <w:color w:val="auto"/>
              </w:rPr>
              <w:t>28,074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3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w:t>
            </w:r>
          </w:p>
        </w:tc>
        <w:tc>
          <w:tcPr>
            <w:tcW w:w="74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w:t>
            </w:r>
          </w:p>
        </w:tc>
        <w:tc>
          <w:tcPr>
            <w:tcW w:w="76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380" w:type="dxa"/>
            <w:vAlign w:val="bottom"/>
            <w:vMerge w:val="restart"/>
          </w:tcPr>
          <w:p>
            <w:pPr>
              <w:ind w:left="40"/>
              <w:spacing w:after="0"/>
              <w:rPr>
                <w:sz w:val="20"/>
                <w:szCs w:val="20"/>
                <w:color w:val="auto"/>
              </w:rPr>
            </w:pPr>
            <w:r>
              <w:rPr>
                <w:rFonts w:ascii="Arial" w:cs="Arial" w:eastAsia="Arial" w:hAnsi="Arial"/>
                <w:sz w:val="16"/>
                <w:szCs w:val="16"/>
                <w:color w:val="auto"/>
              </w:rPr>
              <w:t>Headcount (at period end):</w:t>
            </w:r>
          </w:p>
        </w:tc>
        <w:tc>
          <w:tcPr>
            <w:tcW w:w="300" w:type="dxa"/>
            <w:vAlign w:val="bottom"/>
          </w:tcPr>
          <w:p>
            <w:pPr>
              <w:spacing w:after="0"/>
              <w:rPr>
                <w:sz w:val="14"/>
                <w:szCs w:val="14"/>
                <w:color w:val="auto"/>
              </w:rPr>
            </w:pPr>
          </w:p>
        </w:tc>
        <w:tc>
          <w:tcPr>
            <w:tcW w:w="980" w:type="dxa"/>
            <w:vAlign w:val="bottom"/>
            <w:vMerge w:val="restart"/>
          </w:tcPr>
          <w:p>
            <w:pPr>
              <w:jc w:val="right"/>
              <w:ind w:right="83"/>
              <w:spacing w:after="0"/>
              <w:rPr>
                <w:sz w:val="20"/>
                <w:szCs w:val="20"/>
                <w:color w:val="auto"/>
              </w:rPr>
            </w:pPr>
            <w:r>
              <w:rPr>
                <w:rFonts w:ascii="Arial" w:cs="Arial" w:eastAsia="Arial" w:hAnsi="Arial"/>
                <w:sz w:val="16"/>
                <w:szCs w:val="16"/>
                <w:color w:val="auto"/>
              </w:rPr>
              <w:t>112</w:t>
            </w:r>
          </w:p>
        </w:tc>
        <w:tc>
          <w:tcPr>
            <w:tcW w:w="740" w:type="dxa"/>
            <w:vAlign w:val="bottom"/>
          </w:tcPr>
          <w:p>
            <w:pPr>
              <w:jc w:val="right"/>
              <w:ind w:right="532"/>
              <w:spacing w:after="0"/>
              <w:rPr>
                <w:sz w:val="20"/>
                <w:szCs w:val="20"/>
                <w:color w:val="auto"/>
              </w:rPr>
            </w:pPr>
            <w:r>
              <w:rPr>
                <w:rFonts w:ascii="Arial" w:cs="Arial" w:eastAsia="Arial" w:hAnsi="Arial"/>
                <w:sz w:val="11"/>
                <w:szCs w:val="11"/>
                <w:color w:val="auto"/>
                <w:w w:val="88"/>
              </w:rPr>
              <w:t>(1)</w:t>
            </w:r>
          </w:p>
        </w:tc>
        <w:tc>
          <w:tcPr>
            <w:tcW w:w="860" w:type="dxa"/>
            <w:vAlign w:val="bottom"/>
            <w:vMerge w:val="restart"/>
          </w:tcPr>
          <w:p>
            <w:pPr>
              <w:jc w:val="right"/>
              <w:ind w:right="81"/>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83"/>
              <w:spacing w:after="0"/>
              <w:rPr>
                <w:sz w:val="20"/>
                <w:szCs w:val="20"/>
                <w:color w:val="auto"/>
              </w:rPr>
            </w:pPr>
            <w:r>
              <w:rPr>
                <w:rFonts w:ascii="Arial" w:cs="Arial" w:eastAsia="Arial" w:hAnsi="Arial"/>
                <w:sz w:val="16"/>
                <w:szCs w:val="16"/>
                <w:color w:val="auto"/>
              </w:rPr>
              <w:t>112</w:t>
            </w:r>
          </w:p>
        </w:tc>
        <w:tc>
          <w:tcPr>
            <w:tcW w:w="760" w:type="dxa"/>
            <w:vAlign w:val="bottom"/>
          </w:tcPr>
          <w:p>
            <w:pPr>
              <w:jc w:val="right"/>
              <w:ind w:right="532"/>
              <w:spacing w:after="0"/>
              <w:rPr>
                <w:sz w:val="20"/>
                <w:szCs w:val="20"/>
                <w:color w:val="auto"/>
              </w:rPr>
            </w:pPr>
            <w:r>
              <w:rPr>
                <w:rFonts w:ascii="Arial" w:cs="Arial" w:eastAsia="Arial" w:hAnsi="Arial"/>
                <w:sz w:val="11"/>
                <w:szCs w:val="11"/>
                <w:color w:val="auto"/>
              </w:rPr>
              <w:t>(1)</w:t>
            </w:r>
          </w:p>
        </w:tc>
        <w:tc>
          <w:tcPr>
            <w:tcW w:w="860" w:type="dxa"/>
            <w:vAlign w:val="bottom"/>
            <w:vMerge w:val="restart"/>
          </w:tcPr>
          <w:p>
            <w:pPr>
              <w:jc w:val="right"/>
              <w:ind w:right="81"/>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70"/>
        </w:trPr>
        <w:tc>
          <w:tcPr>
            <w:tcW w:w="33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4"/>
          <w:szCs w:val="14"/>
          <w:color w:val="auto"/>
        </w:rPr>
        <w:t>Includes 9 employees as a result of the acquisition of CAO!</w:t>
      </w:r>
    </w:p>
    <w:p>
      <w:pPr>
        <w:spacing w:after="0" w:line="10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General and administrative expenses decreased by 10% to $7.9 million and increased by 2% to $28.5 million in the three and nine months ended September 30, 2015, from $8.8 million and $28.1 million in the comparable periods in 2014. We assessed the contingent earn-outs in connection with our acquisitions and recorded a $1.9 million and $2.4 million fair value re-measurement adjustment for the three and nine months ended September 30, 2015, respectively, which was recorded in operating income as a decrease to general and administrative expenses. This decrease was partially offset by an increase in compensation, outside labor, and related costs of approximately $0.7 million and $2.6 million, respectively.</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5"/>
              </w:rPr>
              <w:t>Three Months Ended 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w w:val="94"/>
              </w:rPr>
              <w:t>Nine Months Ended 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jc w:val="right"/>
              <w:ind w:right="483"/>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22"/>
                <w:szCs w:val="22"/>
                <w:color w:val="auto"/>
              </w:rPr>
            </w:pPr>
          </w:p>
        </w:tc>
        <w:tc>
          <w:tcPr>
            <w:tcW w:w="940" w:type="dxa"/>
            <w:vAlign w:val="bottom"/>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2960" w:type="dxa"/>
            <w:vAlign w:val="bottom"/>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82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840" w:type="dxa"/>
            <w:vAlign w:val="bottom"/>
          </w:tcPr>
          <w:p>
            <w:pPr>
              <w:jc w:val="right"/>
              <w:ind w:right="64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83"/>
              <w:spacing w:after="0"/>
              <w:rPr>
                <w:sz w:val="20"/>
                <w:szCs w:val="20"/>
                <w:color w:val="auto"/>
              </w:rPr>
            </w:pPr>
            <w:r>
              <w:rPr>
                <w:rFonts w:ascii="Arial" w:cs="Arial" w:eastAsia="Arial" w:hAnsi="Arial"/>
                <w:sz w:val="16"/>
                <w:szCs w:val="16"/>
                <w:color w:val="auto"/>
                <w:w w:val="89"/>
              </w:rPr>
              <w:t>9,567</w:t>
            </w:r>
          </w:p>
        </w:tc>
        <w:tc>
          <w:tcPr>
            <w:tcW w:w="780" w:type="dxa"/>
            <w:vAlign w:val="bottom"/>
          </w:tcPr>
          <w:p>
            <w:pPr>
              <w:jc w:val="right"/>
              <w:ind w:right="27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9,712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(1)%  $</w:t>
            </w:r>
          </w:p>
        </w:tc>
        <w:tc>
          <w:tcPr>
            <w:tcW w:w="1060" w:type="dxa"/>
            <w:vAlign w:val="bottom"/>
          </w:tcPr>
          <w:p>
            <w:pPr>
              <w:jc w:val="right"/>
              <w:ind w:right="103"/>
              <w:spacing w:after="0"/>
              <w:rPr>
                <w:sz w:val="20"/>
                <w:szCs w:val="20"/>
                <w:color w:val="auto"/>
              </w:rPr>
            </w:pPr>
            <w:r>
              <w:rPr>
                <w:rFonts w:ascii="Arial" w:cs="Arial" w:eastAsia="Arial" w:hAnsi="Arial"/>
                <w:sz w:val="16"/>
                <w:szCs w:val="16"/>
                <w:color w:val="auto"/>
              </w:rPr>
              <w:t>29,476</w:t>
            </w:r>
          </w:p>
        </w:tc>
        <w:tc>
          <w:tcPr>
            <w:tcW w:w="760" w:type="dxa"/>
            <w:vAlign w:val="bottom"/>
          </w:tcPr>
          <w:p>
            <w:pPr>
              <w:jc w:val="right"/>
              <w:ind w:right="25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27,999</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84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w:t>
            </w:r>
          </w:p>
        </w:tc>
        <w:tc>
          <w:tcPr>
            <w:tcW w:w="78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w:t>
            </w:r>
          </w:p>
        </w:tc>
        <w:tc>
          <w:tcPr>
            <w:tcW w:w="76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960" w:type="dxa"/>
            <w:vAlign w:val="bottom"/>
            <w:vMerge w:val="restart"/>
          </w:tcPr>
          <w:p>
            <w:pPr>
              <w:ind w:left="40"/>
              <w:spacing w:after="0"/>
              <w:rPr>
                <w:sz w:val="20"/>
                <w:szCs w:val="20"/>
                <w:color w:val="auto"/>
              </w:rPr>
            </w:pPr>
            <w:r>
              <w:rPr>
                <w:rFonts w:ascii="Arial" w:cs="Arial" w:eastAsia="Arial" w:hAnsi="Arial"/>
                <w:sz w:val="16"/>
                <w:szCs w:val="16"/>
                <w:color w:val="auto"/>
              </w:rPr>
              <w:t>Headcount (at period end):</w:t>
            </w:r>
          </w:p>
        </w:tc>
        <w:tc>
          <w:tcPr>
            <w:tcW w:w="840" w:type="dxa"/>
            <w:vAlign w:val="bottom"/>
          </w:tcPr>
          <w:p>
            <w:pPr>
              <w:spacing w:after="0"/>
              <w:rPr>
                <w:sz w:val="14"/>
                <w:szCs w:val="14"/>
                <w:color w:val="auto"/>
              </w:rPr>
            </w:pPr>
          </w:p>
        </w:tc>
        <w:tc>
          <w:tcPr>
            <w:tcW w:w="540" w:type="dxa"/>
            <w:vAlign w:val="bottom"/>
            <w:vMerge w:val="restart"/>
          </w:tcPr>
          <w:p>
            <w:pPr>
              <w:jc w:val="right"/>
              <w:ind w:right="83"/>
              <w:spacing w:after="0"/>
              <w:rPr>
                <w:sz w:val="20"/>
                <w:szCs w:val="20"/>
                <w:color w:val="auto"/>
              </w:rPr>
            </w:pPr>
            <w:r>
              <w:rPr>
                <w:rFonts w:ascii="Arial" w:cs="Arial" w:eastAsia="Arial" w:hAnsi="Arial"/>
                <w:sz w:val="16"/>
                <w:szCs w:val="16"/>
                <w:color w:val="auto"/>
              </w:rPr>
              <w:t>259</w:t>
            </w:r>
          </w:p>
        </w:tc>
        <w:tc>
          <w:tcPr>
            <w:tcW w:w="780" w:type="dxa"/>
            <w:vAlign w:val="bottom"/>
          </w:tcPr>
          <w:p>
            <w:pPr>
              <w:jc w:val="right"/>
              <w:ind w:right="552"/>
              <w:spacing w:after="0"/>
              <w:rPr>
                <w:sz w:val="20"/>
                <w:szCs w:val="20"/>
                <w:color w:val="auto"/>
              </w:rPr>
            </w:pPr>
            <w:r>
              <w:rPr>
                <w:rFonts w:ascii="Arial" w:cs="Arial" w:eastAsia="Arial" w:hAnsi="Arial"/>
                <w:sz w:val="11"/>
                <w:szCs w:val="11"/>
                <w:color w:val="auto"/>
              </w:rPr>
              <w:t>(1)</w:t>
            </w:r>
          </w:p>
        </w:tc>
        <w:tc>
          <w:tcPr>
            <w:tcW w:w="940" w:type="dxa"/>
            <w:vAlign w:val="bottom"/>
            <w:vMerge w:val="restart"/>
          </w:tcPr>
          <w:p>
            <w:pPr>
              <w:jc w:val="right"/>
              <w:ind w:right="81"/>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ind w:right="103"/>
              <w:spacing w:after="0"/>
              <w:rPr>
                <w:sz w:val="20"/>
                <w:szCs w:val="20"/>
                <w:color w:val="auto"/>
              </w:rPr>
            </w:pPr>
            <w:r>
              <w:rPr>
                <w:rFonts w:ascii="Arial" w:cs="Arial" w:eastAsia="Arial" w:hAnsi="Arial"/>
                <w:sz w:val="16"/>
                <w:szCs w:val="16"/>
                <w:color w:val="auto"/>
              </w:rPr>
              <w:t>259</w:t>
            </w:r>
          </w:p>
        </w:tc>
        <w:tc>
          <w:tcPr>
            <w:tcW w:w="760" w:type="dxa"/>
            <w:vAlign w:val="bottom"/>
          </w:tcPr>
          <w:p>
            <w:pPr>
              <w:jc w:val="right"/>
              <w:ind w:right="552"/>
              <w:spacing w:after="0"/>
              <w:rPr>
                <w:sz w:val="20"/>
                <w:szCs w:val="20"/>
                <w:color w:val="auto"/>
              </w:rPr>
            </w:pPr>
            <w:r>
              <w:rPr>
                <w:rFonts w:ascii="Arial" w:cs="Arial" w:eastAsia="Arial" w:hAnsi="Arial"/>
                <w:sz w:val="11"/>
                <w:szCs w:val="11"/>
                <w:color w:val="auto"/>
                <w:w w:val="88"/>
              </w:rPr>
              <w:t>(1)</w:t>
            </w:r>
          </w:p>
        </w:tc>
        <w:tc>
          <w:tcPr>
            <w:tcW w:w="940" w:type="dxa"/>
            <w:vAlign w:val="bottom"/>
            <w:vMerge w:val="restart"/>
          </w:tcPr>
          <w:p>
            <w:pPr>
              <w:jc w:val="right"/>
              <w:ind w:right="81"/>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70"/>
        </w:trPr>
        <w:tc>
          <w:tcPr>
            <w:tcW w:w="296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4"/>
          <w:szCs w:val="14"/>
          <w:color w:val="auto"/>
        </w:rPr>
        <w:t>Includes 18 employees as a result of the acquisition of CAO!</w:t>
      </w:r>
    </w:p>
    <w:p>
      <w:pPr>
        <w:spacing w:after="0" w:line="1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Product development costs decreased by 1% to $9.6 million in the three months ended September 30, 2015, from $9.7 million in the comparable period in 2014. This decrease relates to a decrease in compensation, outside labor, and associated costs for existing product development personnel of approximately $0.2 million. We will continue to invest in product development efforts to expand future product offerings as well allow our recent investments in our product offerings to materialize.</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Product development costs increased by 5% to $29.5 million in the nine months ended September 30, 2015, from $28.0 million in the comparable period in 2014. This increase relates to an increase in compensation and associated costs for additional and existing product development personnel of approximately $1.0 million to expand our product offerings and an increase in outsource labor of approximately $0.2 million. We continue to increase our investment in new product development efforts to</w:t>
      </w:r>
    </w:p>
    <w:p>
      <w:pPr>
        <w:sectPr>
          <w:pgSz w:w="11900" w:h="16838" w:orient="portrait"/>
          <w:cols w:equalWidth="0" w:num="1">
            <w:col w:w="11420"/>
          </w:cols>
          <w:pgMar w:left="240" w:top="584"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84" w:right="239" w:bottom="1440" w:gutter="0" w:footer="0" w:header="0"/>
          <w:type w:val="continuous"/>
        </w:sectPr>
      </w:pPr>
    </w:p>
    <w:bookmarkStart w:id="32" w:name="page33"/>
    <w:bookmarkEnd w:id="32"/>
    <w:p>
      <w:pPr>
        <w:spacing w:after="0" w:line="277" w:lineRule="auto"/>
        <w:rPr>
          <w:sz w:val="20"/>
          <w:szCs w:val="20"/>
          <w:color w:val="auto"/>
        </w:rPr>
      </w:pPr>
      <w:r>
        <w:rPr>
          <w:rFonts w:ascii="Arial" w:cs="Arial" w:eastAsia="Arial" w:hAnsi="Arial"/>
          <w:sz w:val="18"/>
          <w:szCs w:val="18"/>
          <w:color w:val="auto"/>
        </w:rPr>
        <w:t>expand future product offerings. We are also investing in partner programs that enable third-parties to develop value-added software applications for our existing and future customers.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6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Restructuring costs consists of termination costs associated with a large customer contract that ended, as well as re-prioritizing and reallocating resources to focus on areas showing high growth potential.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center"/>
              <w:ind w:right="108"/>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5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2"/>
                <w:szCs w:val="22"/>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2015</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2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96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gridSpan w:val="2"/>
          </w:tcPr>
          <w:p>
            <w:pPr>
              <w:jc w:val="right"/>
              <w:ind w:right="103"/>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960" w:type="dxa"/>
            <w:vAlign w:val="bottom"/>
            <w:tcBorders>
              <w:top w:val="single" w:sz="8" w:color="auto"/>
              <w:bottom w:val="single" w:sz="8" w:color="CCFFCC"/>
            </w:tcBorders>
          </w:tcPr>
          <w:p>
            <w:pPr>
              <w:spacing w:after="0"/>
              <w:rPr>
                <w:sz w:val="22"/>
                <w:szCs w:val="22"/>
                <w:color w:val="auto"/>
              </w:rPr>
            </w:pPr>
          </w:p>
        </w:tc>
      </w:tr>
      <w:tr>
        <w:trPr>
          <w:trHeight w:val="250"/>
        </w:trPr>
        <w:tc>
          <w:tcPr>
            <w:tcW w:w="5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Restructuring costs</w:t>
            </w:r>
          </w:p>
        </w:tc>
        <w:tc>
          <w:tcPr>
            <w:tcW w:w="2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FFCC"/>
            </w:tcBorders>
            <w:gridSpan w:val="4"/>
            <w:shd w:val="clear" w:color="auto" w:fill="CCFFCC"/>
          </w:tcPr>
          <w:p>
            <w:pPr>
              <w:jc w:val="right"/>
              <w:ind w:right="100"/>
              <w:spacing w:after="0"/>
              <w:rPr>
                <w:sz w:val="20"/>
                <w:szCs w:val="20"/>
                <w:color w:val="auto"/>
              </w:rPr>
            </w:pPr>
            <w:r>
              <w:rPr>
                <w:rFonts w:ascii="Arial" w:cs="Arial" w:eastAsia="Arial" w:hAnsi="Arial"/>
                <w:sz w:val="16"/>
                <w:szCs w:val="16"/>
                <w:color w:val="auto"/>
              </w:rPr>
              <w:t>100%  $</w:t>
            </w:r>
          </w:p>
        </w:tc>
        <w:tc>
          <w:tcPr>
            <w:tcW w:w="78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6"/>
                <w:szCs w:val="16"/>
                <w:color w:val="auto"/>
              </w:rPr>
              <w:t>2,988</w:t>
            </w:r>
          </w:p>
        </w:tc>
        <w:tc>
          <w:tcPr>
            <w:tcW w:w="680" w:type="dxa"/>
            <w:vAlign w:val="bottom"/>
            <w:tcBorders>
              <w:bottom w:val="single" w:sz="8" w:color="CCFFCC"/>
            </w:tcBorders>
            <w:shd w:val="clear" w:color="auto" w:fill="CCFFCC"/>
          </w:tcPr>
          <w:p>
            <w:pPr>
              <w:jc w:val="right"/>
              <w:ind w:right="44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5220" w:type="dxa"/>
            <w:vAlign w:val="bottom"/>
          </w:tcPr>
          <w:p>
            <w:pPr>
              <w:ind w:left="40"/>
              <w:spacing w:after="0"/>
              <w:rPr>
                <w:sz w:val="20"/>
                <w:szCs w:val="20"/>
                <w:color w:val="auto"/>
              </w:rPr>
            </w:pPr>
            <w:r>
              <w:rPr>
                <w:rFonts w:ascii="Arial" w:cs="Arial" w:eastAsia="Arial" w:hAnsi="Arial"/>
                <w:sz w:val="16"/>
                <w:szCs w:val="16"/>
                <w:color w:val="auto"/>
              </w:rPr>
              <w:t>Percentage of total revenues</w:t>
            </w:r>
          </w:p>
        </w:tc>
        <w:tc>
          <w:tcPr>
            <w:tcW w:w="220" w:type="dxa"/>
            <w:vAlign w:val="bottom"/>
          </w:tcPr>
          <w:p>
            <w:pPr>
              <w:spacing w:after="0"/>
              <w:rPr>
                <w:sz w:val="20"/>
                <w:szCs w:val="20"/>
                <w:color w:val="auto"/>
              </w:rPr>
            </w:pPr>
          </w:p>
        </w:tc>
        <w:tc>
          <w:tcPr>
            <w:tcW w:w="760" w:type="dxa"/>
            <w:vAlign w:val="bottom"/>
          </w:tcPr>
          <w:p>
            <w:pPr>
              <w:ind w:left="3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20" w:type="dxa"/>
            <w:vAlign w:val="bottom"/>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2%</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2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incurred $3.0 million of restructuring costs for the nine months ended September 30, 2015. Restructuring costs were primarily due to approximately $1.7 million of termination costs associated with a large customer contract that ended and approximately $1.2 million of severance and other associated costs.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32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r>
      <w:tr>
        <w:trPr>
          <w:trHeight w:val="250"/>
        </w:trPr>
        <w:tc>
          <w:tcPr>
            <w:tcW w:w="5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21"/>
                <w:szCs w:val="21"/>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21"/>
                <w:szCs w:val="21"/>
                <w:color w:val="auto"/>
              </w:rPr>
            </w:pPr>
          </w:p>
        </w:tc>
        <w:tc>
          <w:tcPr>
            <w:tcW w:w="740" w:type="dxa"/>
            <w:vAlign w:val="bottom"/>
          </w:tcPr>
          <w:p>
            <w:pPr>
              <w:jc w:val="right"/>
              <w:ind w:right="26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960" w:type="dxa"/>
            <w:vAlign w:val="bottom"/>
            <w:tcBorders>
              <w:top w:val="single" w:sz="8" w:color="auto"/>
              <w:bottom w:val="single" w:sz="8" w:color="CCFFCC"/>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960" w:type="dxa"/>
            <w:vAlign w:val="bottom"/>
            <w:tcBorders>
              <w:top w:val="single" w:sz="8" w:color="auto"/>
              <w:bottom w:val="single" w:sz="8" w:color="CCFFCC"/>
            </w:tcBorders>
          </w:tcPr>
          <w:p>
            <w:pPr>
              <w:spacing w:after="0"/>
              <w:rPr>
                <w:sz w:val="22"/>
                <w:szCs w:val="22"/>
                <w:color w:val="auto"/>
              </w:rPr>
            </w:pPr>
          </w:p>
        </w:tc>
      </w:tr>
      <w:tr>
        <w:trPr>
          <w:trHeight w:val="250"/>
        </w:trPr>
        <w:tc>
          <w:tcPr>
            <w:tcW w:w="5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Amortization of purchased intangibles</w:t>
            </w:r>
          </w:p>
        </w:tc>
        <w:tc>
          <w:tcPr>
            <w:tcW w:w="2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FFCC"/>
            </w:tcBorders>
            <w:shd w:val="clear" w:color="auto" w:fill="CCFFCC"/>
          </w:tcPr>
          <w:p>
            <w:pPr>
              <w:jc w:val="right"/>
              <w:ind w:right="144"/>
              <w:spacing w:after="0"/>
              <w:rPr>
                <w:sz w:val="20"/>
                <w:szCs w:val="20"/>
                <w:color w:val="auto"/>
              </w:rPr>
            </w:pPr>
            <w:r>
              <w:rPr>
                <w:rFonts w:ascii="Arial" w:cs="Arial" w:eastAsia="Arial" w:hAnsi="Arial"/>
                <w:sz w:val="16"/>
                <w:szCs w:val="16"/>
                <w:color w:val="auto"/>
              </w:rPr>
              <w:t>1,193</w:t>
            </w:r>
          </w:p>
        </w:tc>
        <w:tc>
          <w:tcPr>
            <w:tcW w:w="2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407</w:t>
            </w:r>
          </w:p>
        </w:tc>
        <w:tc>
          <w:tcPr>
            <w:tcW w:w="1400" w:type="dxa"/>
            <w:vAlign w:val="bottom"/>
            <w:tcBorders>
              <w:bottom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6"/>
                <w:szCs w:val="16"/>
                <w:color w:val="auto"/>
              </w:rPr>
              <w:t>193%  $</w:t>
            </w:r>
          </w:p>
        </w:tc>
        <w:tc>
          <w:tcPr>
            <w:tcW w:w="780" w:type="dxa"/>
            <w:vAlign w:val="bottom"/>
            <w:tcBorders>
              <w:bottom w:val="single" w:sz="8" w:color="CCFFCC"/>
            </w:tcBorders>
            <w:shd w:val="clear" w:color="auto" w:fill="CCFFCC"/>
          </w:tcPr>
          <w:p>
            <w:pPr>
              <w:jc w:val="right"/>
              <w:ind w:right="144"/>
              <w:spacing w:after="0"/>
              <w:rPr>
                <w:sz w:val="20"/>
                <w:szCs w:val="20"/>
                <w:color w:val="auto"/>
              </w:rPr>
            </w:pPr>
            <w:r>
              <w:rPr>
                <w:rFonts w:ascii="Arial" w:cs="Arial" w:eastAsia="Arial" w:hAnsi="Arial"/>
                <w:sz w:val="16"/>
                <w:szCs w:val="16"/>
                <w:color w:val="auto"/>
              </w:rPr>
              <w:t>3,683</w:t>
            </w:r>
          </w:p>
        </w:tc>
        <w:tc>
          <w:tcPr>
            <w:tcW w:w="2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803</w:t>
            </w:r>
          </w:p>
        </w:tc>
        <w:tc>
          <w:tcPr>
            <w:tcW w:w="10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359%</w:t>
            </w: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Percentage of total revenues</w:t>
            </w:r>
          </w:p>
        </w:tc>
        <w:tc>
          <w:tcPr>
            <w:tcW w:w="22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Amortization expense for purchased intangibles increased by 193% and 359% to $1.2 million and $3.7 million in the three and nine months ended September 30, 2015, respectively, from $0.4 million and $0.8 million in the comparable periods in 2014. The increase is primarily attributable to our 2014 acquisitions of CAO!, Synchronite, NexGraph, and our investments in technology licenses.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 amortization expense in the amount of $0.8 million and $0.9 million is included in cost of revenue for the three months ended September 30, 2015 and 2014, respectively. Additional amortization expense in the amount of $2.4 million and $2.7 million is included in cost of revenue for the nine months ended September 30, 2015 and 2014.</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(expense) income consists of interest income on cash and cash equivalents, investment income and financial (expense) income which is a result of currency rate fluctuations associated with exchange rate movement of the U.S. dollar against the New Israeli Shekel, Pound Sterling, Euro, Australian Dollar and Japanese Yen.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66"/>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jc w:val="right"/>
              <w:ind w:right="266"/>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8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r>
      <w:tr>
        <w:trPr>
          <w:trHeight w:val="237"/>
        </w:trPr>
        <w:tc>
          <w:tcPr>
            <w:tcW w:w="5280" w:type="dxa"/>
            <w:vAlign w:val="bottom"/>
            <w:shd w:val="clear" w:color="auto" w:fill="CCFFCC"/>
          </w:tcPr>
          <w:p>
            <w:pPr>
              <w:ind w:left="40"/>
              <w:spacing w:after="0"/>
              <w:rPr>
                <w:sz w:val="20"/>
                <w:szCs w:val="20"/>
                <w:color w:val="auto"/>
              </w:rPr>
            </w:pPr>
            <w:r>
              <w:rPr>
                <w:rFonts w:ascii="Arial" w:cs="Arial" w:eastAsia="Arial" w:hAnsi="Arial"/>
                <w:sz w:val="16"/>
                <w:szCs w:val="16"/>
                <w:color w:val="auto"/>
              </w:rPr>
              <w:t>Other (expense) income</w:t>
            </w:r>
          </w:p>
        </w:tc>
        <w:tc>
          <w:tcPr>
            <w:tcW w:w="2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(369)</w:t>
            </w:r>
          </w:p>
        </w:tc>
        <w:tc>
          <w:tcPr>
            <w:tcW w:w="2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223</w:t>
            </w:r>
          </w:p>
        </w:tc>
        <w:tc>
          <w:tcPr>
            <w:tcW w:w="1440" w:type="dxa"/>
            <w:vAlign w:val="bottom"/>
            <w:gridSpan w:val="4"/>
            <w:shd w:val="clear" w:color="auto" w:fill="CCFFCC"/>
          </w:tcPr>
          <w:p>
            <w:pPr>
              <w:jc w:val="right"/>
              <w:ind w:right="100"/>
              <w:spacing w:after="0"/>
              <w:rPr>
                <w:sz w:val="20"/>
                <w:szCs w:val="20"/>
                <w:color w:val="auto"/>
              </w:rPr>
            </w:pPr>
            <w:r>
              <w:rPr>
                <w:rFonts w:ascii="Arial" w:cs="Arial" w:eastAsia="Arial" w:hAnsi="Arial"/>
                <w:sz w:val="16"/>
                <w:szCs w:val="16"/>
                <w:color w:val="auto"/>
              </w:rPr>
              <w:t>(265)%  $</w:t>
            </w:r>
          </w:p>
        </w:tc>
        <w:tc>
          <w:tcPr>
            <w:tcW w:w="7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(371)</w:t>
            </w:r>
          </w:p>
        </w:tc>
        <w:tc>
          <w:tcPr>
            <w:tcW w:w="2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184</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(302)%</w:t>
            </w:r>
          </w:p>
        </w:tc>
      </w:tr>
      <w:tr>
        <w:trPr>
          <w:trHeight w:val="33"/>
        </w:trPr>
        <w:tc>
          <w:tcPr>
            <w:tcW w:w="52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decrease in other (expense) income in the three months ended September 30, 2015 from the comparable period 2014 is attributable to an increase in financial expense of approximately $0.5 million. Interest income decreased by $0.1 million in the three months ended September 30, 2015 from the comparable period in 2014.</w:t>
      </w:r>
    </w:p>
    <w:p>
      <w:pPr>
        <w:spacing w:after="0" w:line="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Other (expense) income including financial expense increased by approximately $0.4 million in the nine months ended September 30, 2015 from the comparable period 2014. Interest income decreased by $0.1 million in the nine months ended September 30, 2015 from the comparable period in 2014.</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66"/>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jc w:val="right"/>
              <w:ind w:right="266"/>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8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r>
      <w:tr>
        <w:trPr>
          <w:trHeight w:val="237"/>
        </w:trPr>
        <w:tc>
          <w:tcPr>
            <w:tcW w:w="5280" w:type="dxa"/>
            <w:vAlign w:val="bottom"/>
            <w:shd w:val="clear" w:color="auto" w:fill="CCFFCC"/>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2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(395)</w:t>
            </w:r>
          </w:p>
        </w:tc>
        <w:tc>
          <w:tcPr>
            <w:tcW w:w="2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962</w:t>
            </w:r>
          </w:p>
        </w:tc>
        <w:tc>
          <w:tcPr>
            <w:tcW w:w="1440" w:type="dxa"/>
            <w:vAlign w:val="bottom"/>
            <w:gridSpan w:val="4"/>
            <w:shd w:val="clear" w:color="auto" w:fill="CCFFCC"/>
          </w:tcPr>
          <w:p>
            <w:pPr>
              <w:jc w:val="right"/>
              <w:ind w:right="100"/>
              <w:spacing w:after="0"/>
              <w:rPr>
                <w:sz w:val="20"/>
                <w:szCs w:val="20"/>
                <w:color w:val="auto"/>
              </w:rPr>
            </w:pPr>
            <w:r>
              <w:rPr>
                <w:rFonts w:ascii="Arial" w:cs="Arial" w:eastAsia="Arial" w:hAnsi="Arial"/>
                <w:sz w:val="16"/>
                <w:szCs w:val="16"/>
                <w:color w:val="auto"/>
              </w:rPr>
              <w:t>(141)%  $</w:t>
            </w:r>
          </w:p>
        </w:tc>
        <w:tc>
          <w:tcPr>
            <w:tcW w:w="720" w:type="dxa"/>
            <w:vAlign w:val="bottom"/>
            <w:shd w:val="clear" w:color="auto" w:fill="CCFFCC"/>
          </w:tcPr>
          <w:p>
            <w:pPr>
              <w:jc w:val="right"/>
              <w:ind w:right="26"/>
              <w:spacing w:after="0"/>
              <w:rPr>
                <w:sz w:val="20"/>
                <w:szCs w:val="20"/>
                <w:color w:val="auto"/>
              </w:rPr>
            </w:pPr>
            <w:r>
              <w:rPr>
                <w:rFonts w:ascii="Arial" w:cs="Arial" w:eastAsia="Arial" w:hAnsi="Arial"/>
                <w:sz w:val="16"/>
                <w:szCs w:val="16"/>
                <w:color w:val="auto"/>
              </w:rPr>
              <w:t>(2,721)</w:t>
            </w:r>
          </w:p>
        </w:tc>
        <w:tc>
          <w:tcPr>
            <w:tcW w:w="2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507</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(637)%</w:t>
            </w:r>
          </w:p>
        </w:tc>
      </w:tr>
      <w:tr>
        <w:trPr>
          <w:trHeight w:val="33"/>
        </w:trPr>
        <w:tc>
          <w:tcPr>
            <w:tcW w:w="52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recognized a tax benefit from income taxes of $0.4 million and $2.7 million for the three and nine months ended September 30, 2015, respectively, an increase from the tax provision from income taxes of $1.0 million and $0.5 million in the</w:t>
      </w:r>
    </w:p>
    <w:p>
      <w:pPr>
        <w:sectPr>
          <w:pgSz w:w="11900" w:h="16838" w:orient="portrait"/>
          <w:cols w:equalWidth="0" w:num="1">
            <w:col w:w="11420"/>
          </w:cols>
          <w:pgMar w:left="240" w:top="584"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84" w:right="239" w:bottom="1440" w:gutter="0" w:footer="0" w:header="0"/>
          <w:type w:val="continuous"/>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comparable periods in 2014. Our effective tax rate was 33% for the nine months ended September 30, 2015. Our consolidated effective tax rate is impacted by the statutory income tax rates applicable to each of the jurisdictions in which we operate.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 (Loss)</w:t>
      </w:r>
    </w:p>
    <w:p>
      <w:pPr>
        <w:spacing w:after="0" w:line="144"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8"/>
          <w:szCs w:val="18"/>
          <w:color w:val="auto"/>
        </w:rPr>
        <w:t>We had net income of $1.9 million and a net loss of $5.5 million for the three and nine months ended September 30, 2015, respectively, and a net loss of $1.1 million and $3.1 million for the three and nine months ended September 30, 2014, respectively. Net income for the three and nine months ended September 30, 2015 includes a contingent earn-out adjustment for Contact At Once of approximately $3.2 million. Revenue increased by approximately $8.0 million and $28.2 million, respectively, while costs and expenses increased by approximately $5.7 million and $33.2 million, respectively, contributing to an increase in net income of approximately $2.3 million and an increase in net loss of $5.0 million for the three and nine months ended September 30, 2015, respectively.</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Liquidity and Capital Resources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Consolidated Statements of Cash Flows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flows used in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flows used in financing activities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wp:posOffset>
            </wp:positionV>
            <wp:extent cx="1663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ind w:left="420"/>
        <w:spacing w:after="0"/>
        <w:tabs>
          <w:tab w:leader="none" w:pos="18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wp:posOffset>
            </wp:positionV>
            <wp:extent cx="1663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9"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10,865</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14,931</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(16,597)</w:t>
            </w:r>
          </w:p>
        </w:tc>
        <w:tc>
          <w:tcPr>
            <w:tcW w:w="5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(12,547)</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(2,014)</w:t>
            </w:r>
          </w:p>
        </w:tc>
        <w:tc>
          <w:tcPr>
            <w:tcW w:w="5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(7,371)</w:t>
            </w:r>
          </w:p>
        </w:tc>
      </w:tr>
    </w:tbl>
    <w:p>
      <w:pPr>
        <w:spacing w:after="0" w:line="127" w:lineRule="exact"/>
        <w:rPr>
          <w:sz w:val="20"/>
          <w:szCs w:val="20"/>
          <w:color w:val="auto"/>
        </w:rPr>
      </w:pPr>
    </w:p>
    <w:p>
      <w:pPr>
        <w:sectPr>
          <w:pgSz w:w="11900" w:h="16838" w:orient="portrait"/>
          <w:cols w:equalWidth="0" w:num="2">
            <w:col w:w="8100" w:space="720"/>
            <w:col w:w="2600"/>
          </w:cols>
          <w:pgMar w:left="240" w:top="580" w:right="239" w:bottom="1440" w:gutter="0" w:footer="0" w:header="0"/>
          <w:type w:val="continuous"/>
        </w:sectPr>
      </w:pPr>
    </w:p>
    <w:p>
      <w:pPr>
        <w:jc w:val="both"/>
        <w:ind w:firstLine="648"/>
        <w:spacing w:after="0" w:line="276" w:lineRule="auto"/>
        <w:rPr>
          <w:sz w:val="20"/>
          <w:szCs w:val="20"/>
          <w:color w:val="auto"/>
        </w:rPr>
      </w:pPr>
      <w:r>
        <w:rPr>
          <w:rFonts w:ascii="Arial" w:cs="Arial" w:eastAsia="Arial" w:hAnsi="Arial"/>
          <w:sz w:val="17"/>
          <w:szCs w:val="17"/>
          <w:color w:val="auto"/>
        </w:rPr>
        <w:t>As of September 30, 2015, we had approximately $40.8 million in cash and cash equivalents, a decrease of approximately $8.5 million from December 31, 2014. The decrease is primarily attributable to net cash used in investing activities relating to purchases of fixed assets related to the build-out of our co-location facility, restricted cash used for collateral pledge associated with foreign currency forward contracts and cash used in financing activities to repurchase our common stock. This is partially offset by proceeds from the issuance of common stock in connection with the exercise of stock options by employees and cash provided by operating activities. We invest our cash in short-term money market funds.</w:t>
      </w:r>
    </w:p>
    <w:p>
      <w:pPr>
        <w:spacing w:after="0" w:line="6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cash provided by operating activities was $10.9 million for the nine months ended September 30, 2015 and consisted primarily of net loss, non-cash expenses related to ASC 718-10, amortization of purchased intangibles and depreciation, an increase in accounts receivable, prepaid expenses, and a decrease in accounts payable and deferred revenue. Net cash used in operating activities was $14.9 million for the nine months ended September 30, 2014 and consisted primarily of a net loss, non-cash expenses related to ASC 718-10, amortization of purchased intangibles and depreciation, an increase in accounts receivable, prepaid expenses, and accrued expenses, and a decrease in accounts payable.</w:t>
      </w:r>
    </w:p>
    <w:p>
      <w:pPr>
        <w:spacing w:after="0" w:line="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$16.6 million in the nine months ended September 30, 2015 and was due primarily to the purchase of fixed assets for our co-location facilities and restricted cash associated with foreign currency forward contracts. Net cash used in investing activities was $12.5 million in the nine months ended September 30, 2014 and was due primarily to the purchase of fixed assets for our co-location facilities and our investments in technology assets, and our acquisitions of Synchronite and NexGraph.</w:t>
      </w:r>
    </w:p>
    <w:p>
      <w:pPr>
        <w:spacing w:after="0" w:line="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Net cash used in financing activities was $2.0 million in the nine months ended September 30, 2015 and consisted primarily of the issuance of common stock and excess tax benefit for exercise of employee stock options, offset by the repurchase of our common stock and acquisition related payments. Net cash used in financing activities was $7.4 million in the nine months ended September 30, 2014 and consisted primarily of the repurchase of our common stock offset by the proceeds from the issuance of common stock in connection with the exercise of stock options by employees.</w:t>
      </w:r>
    </w:p>
    <w:p>
      <w:pPr>
        <w:spacing w:after="0" w:line="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incurred significant quarterly net losses from inception through June 30, 2003, significant negative cash flows from operations in our quarterly periods from inception through December 31, 2002 and negative cash flows from operations of $0.1 million in the quarterly period ended March 31, 2004. We also incurred a net loss and negative cash flow from operations in the quarterly periods ended March 31, 2013, March 31, 2014, June 30, 2014 and March 31, 2015. We incurred a net loss in the quarterly periods ended June 30, 2013, September 30, 2013, December 31, 2013, as well as in the quarterly periods ended September 30, 2014, December 31, 2014, June 30, 2015, and September 30, 2015. As of September 30, 2015, we had an accumulated deficit of approximately $98.1 million.</w:t>
      </w:r>
    </w:p>
    <w:p>
      <w:pPr>
        <w:spacing w:after="0" w:line="5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special purposes entities, and other than operating leases, which are described below, we do not engage in off-balance sheet financing arrangements.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type w:val="continuous"/>
        </w:sectPr>
      </w:pPr>
    </w:p>
    <w:bookmarkStart w:id="35" w:name="page36"/>
    <w:bookmarkEnd w:id="35"/>
    <w:p>
      <w:pPr>
        <w:jc w:val="both"/>
        <w:ind w:firstLine="648"/>
        <w:spacing w:after="0" w:line="259" w:lineRule="auto"/>
        <w:rPr>
          <w:sz w:val="20"/>
          <w:szCs w:val="20"/>
          <w:color w:val="auto"/>
        </w:rPr>
      </w:pPr>
      <w:r>
        <w:rPr>
          <w:rFonts w:ascii="Arial" w:cs="Arial" w:eastAsia="Arial" w:hAnsi="Arial"/>
          <w:sz w:val="18"/>
          <w:szCs w:val="18"/>
          <w:color w:val="auto"/>
        </w:rPr>
        <w:t>We lease facilities and certain equipment under agreements accounted for as operating leases. These leases generally require us to pay all executory costs such as maintenance and insurance. Rental expense for operating leases for the three and nine months ended September 30, 2015, was approximately $2.4 million and $5.9 million, respectively, and approximately $2.3 million and $6.9 million for the three and six months ended September 30, 2014, respectively.</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2015, our principal commitments were approximately $26.4 million under various operating leases, of which approximately is $ 2.8 million due in 2015. We currently expect that our principal commitments for the year ending December 31, 2015 will not exceed $9.0 million in the aggregate.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at September 30, 2015 are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50"/>
        </w:trPr>
        <w:tc>
          <w:tcPr>
            <w:tcW w:w="3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15"/>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Less than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More than 5</w:t>
            </w:r>
          </w:p>
        </w:tc>
      </w:tr>
      <w:tr>
        <w:trPr>
          <w:trHeight w:val="21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1260" w:type="dxa"/>
            <w:vAlign w:val="bottom"/>
          </w:tcPr>
          <w:p>
            <w:pPr>
              <w:jc w:val="right"/>
              <w:ind w:right="519"/>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1-3 years</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years</w:t>
            </w:r>
          </w:p>
        </w:tc>
      </w:tr>
      <w:tr>
        <w:trPr>
          <w:trHeight w:val="33"/>
        </w:trPr>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Operating leases</w:t>
            </w:r>
          </w:p>
        </w:tc>
        <w:tc>
          <w:tcPr>
            <w:tcW w:w="34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26,411</w:t>
            </w: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7,783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9,129</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9,499</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ind w:left="980"/>
              <w:spacing w:after="0"/>
              <w:rPr>
                <w:sz w:val="20"/>
                <w:szCs w:val="20"/>
                <w:color w:val="auto"/>
              </w:rPr>
            </w:pPr>
            <w:r>
              <w:rPr>
                <w:rFonts w:ascii="Arial" w:cs="Arial" w:eastAsia="Arial" w:hAnsi="Arial"/>
                <w:sz w:val="16"/>
                <w:szCs w:val="16"/>
                <w:color w:val="auto"/>
              </w:rPr>
              <w:t>—</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26,411</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7,783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9,129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9,499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0"/>
        </w:trPr>
        <w:tc>
          <w:tcPr>
            <w:tcW w:w="3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Risks</w:t>
      </w:r>
    </w:p>
    <w:p>
      <w:pPr>
        <w:spacing w:after="0" w:line="11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a result of the expanded scope of our Israeli operations, our currency rate fluctuation risk associated with the exchange rate movement of the U.S. dollar against the New Israeli Shekel (“NIS”) has increased. During the three and nine months ended September 30, 2015, the U.S. dollar appreciated by approximately 9% and 11%, respectively, as compared to the NIS. During the three and nine months ended September 30, 2015, expenses generated by our Israeli operations totaled approximately $14 million and $42 million, respectively. During 2015, we hedged this foreign currency risk exposure.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continue to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Italy and France is the Euro; the functional currency of our operations in Australia is the Australian Dollar; and the functional currency of our operations in Japan is the Japanese Yen.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Risk</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accounts receivable are subject, in the normal course of business, to collection risks. We regularly assess these risks and have established policies and business practices to protect against the adverse effects of collection risks. During the nine months ended September 30, 2015, we increased our allowance for doubtful accounts by $0.7 million. During 2014, we increased our allowance for doubtful accounts from $1.2 million to approximately $1.3 million, principally due to an increase in sales. A larger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September 30, 2015. Based on that evaluation, the Chief Executive Officer and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jc w:val="both"/>
        <w:spacing w:after="0" w:line="302" w:lineRule="auto"/>
        <w:rPr>
          <w:sz w:val="20"/>
          <w:szCs w:val="20"/>
          <w:color w:val="auto"/>
        </w:rPr>
      </w:pPr>
      <w:r>
        <w:rPr>
          <w:rFonts w:ascii="Arial" w:cs="Arial" w:eastAsia="Arial" w:hAnsi="Arial"/>
          <w:sz w:val="16"/>
          <w:szCs w:val="16"/>
          <w:color w:val="auto"/>
        </w:rPr>
        <w:t>Chief Financial Officer concluded that our disclosure controls and procedures were effective as of September 30, 2015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2015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the Effectiveness of Internal Control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June 22, 2015, [24]7 Customer, Inc. (“[24]7”) filed suit against us in the Northern District of California alleging patent infringement. We believe the claims are entirely without merit and intend to defend them vigorously. We previously filed an intellectual property suit against [24]7. in the Southern District of New York on March 6, 2014 seeking damages on the grounds that [24]7 reverse engineered and misappropriated our technology to develop competing products and misused our business information. Discovery in the New York case is in process.</w:t>
      </w:r>
    </w:p>
    <w:p>
      <w:pPr>
        <w:spacing w:after="0" w:line="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Risks that could have a material and adverse impact on our business, results of operations and financial condition include the following: potential fluctuations in our quarterly revenue and operating results; competition in the markets for online sales, marketing and customer service solutions, and online consumer services; our ability to retain existing clients and attract new clients; risks related to new regulatory or other legal requirements that could materially impact our business; volatility of the value of certain currencies in relation to the U.S. dollar, particularly the currency of regions where we have operations; additional regulatory requirements, tax liabilities, currency exchange rate fluctuations and other risks as we expand internationally and/or as we expand into direct-to-consumer services; impairments to goodwill that result in significant charges to earnings; responding</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67" w:lineRule="auto"/>
        <w:rPr>
          <w:sz w:val="20"/>
          <w:szCs w:val="20"/>
          <w:color w:val="auto"/>
        </w:rPr>
      </w:pPr>
      <w:r>
        <w:rPr>
          <w:rFonts w:ascii="Arial" w:cs="Arial" w:eastAsia="Arial" w:hAnsi="Arial"/>
          <w:sz w:val="17"/>
          <w:szCs w:val="17"/>
          <w:color w:val="auto"/>
        </w:rPr>
        <w:t>to rapid technological change and changing client preferences; the adverse effect that the global economic downturn may have on our business and results of operations; our ability to retain key personnel, attract new personnel and to manage staff attrition; our ability to expand our operations internationally; risks related to the ability to successfully integrate past or potential future acquisitions; failures or security breaches in our services, those of our third party providers, or in the websites of our customers; risks related to the regulation or possible misappropriation of personal information belonging to our customers’ Internet users; dependence upon technology systems and third-party content that are beyond our control; privacy concerns relating to the Internet that could result in new legislation or negative public perception; legal liability and/or negative publicity for the services provided to consumers via our technology platforms; risks related to protecting our intellectual property rights or potential infringement of the intellectual property rights of third parties; risks related to technological or other defects distributing our services; increased allowances for doubtful accounts as a result of an increasing amount of receivables due from customers with greater credit risk; delays in our implementation cycles; risks associated with the recent volatility in the capital markets; our ability to secure additional financing to execute our business strategy; risks associated with our current or any future stock repurchase programs, including whether such programs will enhance long-term stockholder value, and whether such stock repurchases could increase the volatility of the price of our common stock and diminish our cash reserves; our ability to license necessary third party software for use in our products and services, and our ability to successfully integrate third party software; changes in accounting principles generally accepted in the United States; our ability to maintain our reputation; risks related to our complex products; our recognition of revenue from subscriptions; our lengthy sales cycles; risks related to our operations in Israel, and the civil and political unrest in that region; natural catastrophic events and interruption to our business by man-made problems; the high volatility of our stock price; and risks related to our common stock being traded on more than one securities exchange. This list is intended to identify only certain of the principal factors that could have a material and adverse impact on our business, results of operations and financial condition. A more detailed description of each of these and other important risk factors can be found under the caption “Risk Factors” in our most recent Annual Report on Form 10-K filed on March 12, 2015 (the “Form 10-K”).</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material changes to the risk factors described in the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 by the Issuer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repurchase activity for the three months ended September 30, 2015 appears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880" w:type="dxa"/>
            <w:vAlign w:val="bottom"/>
          </w:tcPr>
          <w:p>
            <w:pPr>
              <w:jc w:val="center"/>
              <w:ind w:right="20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240" w:type="dxa"/>
            <w:vAlign w:val="bottom"/>
          </w:tcPr>
          <w:p>
            <w:pPr>
              <w:spacing w:after="0"/>
              <w:rPr>
                <w:sz w:val="12"/>
                <w:szCs w:val="12"/>
                <w:color w:val="auto"/>
              </w:rPr>
            </w:pPr>
          </w:p>
        </w:tc>
        <w:tc>
          <w:tcPr>
            <w:tcW w:w="2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Average Price Paid per</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Period</w:t>
            </w:r>
          </w:p>
        </w:tc>
        <w:tc>
          <w:tcPr>
            <w:tcW w:w="2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 (2)</w:t>
            </w:r>
          </w:p>
        </w:tc>
        <w:tc>
          <w:tcPr>
            <w:tcW w:w="240" w:type="dxa"/>
            <w:vAlign w:val="bottom"/>
          </w:tcPr>
          <w:p>
            <w:pPr>
              <w:spacing w:after="0"/>
              <w:rPr>
                <w:sz w:val="16"/>
                <w:szCs w:val="16"/>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 xml:space="preserve">Share </w:t>
            </w:r>
            <w:r>
              <w:rPr>
                <w:rFonts w:ascii="Arial" w:cs="Arial" w:eastAsia="Arial" w:hAnsi="Arial"/>
                <w:sz w:val="8"/>
                <w:szCs w:val="8"/>
                <w:b w:val="1"/>
                <w:bCs w:val="1"/>
                <w:color w:val="auto"/>
                <w:w w:val="99"/>
              </w:rPr>
              <w:t>(1) (2)</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8"/>
                <w:szCs w:val="8"/>
                <w:b w:val="1"/>
                <w:bCs w:val="1"/>
                <w:color w:val="auto"/>
                <w:w w:val="94"/>
              </w:rPr>
              <w:t>(1) (2)</w:t>
            </w:r>
          </w:p>
        </w:tc>
        <w:tc>
          <w:tcPr>
            <w:tcW w:w="280" w:type="dxa"/>
            <w:vAlign w:val="bottom"/>
          </w:tcPr>
          <w:p>
            <w:pPr>
              <w:spacing w:after="0"/>
              <w:rPr>
                <w:sz w:val="16"/>
                <w:szCs w:val="16"/>
                <w:color w:val="auto"/>
              </w:rPr>
            </w:pPr>
          </w:p>
        </w:tc>
        <w:tc>
          <w:tcPr>
            <w:tcW w:w="188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 xml:space="preserve">Programs </w:t>
            </w:r>
            <w:r>
              <w:rPr>
                <w:rFonts w:ascii="Arial" w:cs="Arial" w:eastAsia="Arial" w:hAnsi="Arial"/>
                <w:sz w:val="8"/>
                <w:szCs w:val="8"/>
                <w:b w:val="1"/>
                <w:bCs w:val="1"/>
                <w:color w:val="auto"/>
                <w:w w:val="97"/>
              </w:rPr>
              <w:t>(1) (2) (3)</w:t>
            </w:r>
          </w:p>
        </w:tc>
        <w:tc>
          <w:tcPr>
            <w:tcW w:w="0" w:type="dxa"/>
            <w:vAlign w:val="bottom"/>
          </w:tcPr>
          <w:p>
            <w:pPr>
              <w:spacing w:after="0"/>
              <w:rPr>
                <w:sz w:val="1"/>
                <w:szCs w:val="1"/>
                <w:color w:val="auto"/>
              </w:rPr>
            </w:pPr>
          </w:p>
        </w:tc>
      </w:tr>
      <w:tr>
        <w:trPr>
          <w:trHeight w:val="250"/>
        </w:trPr>
        <w:tc>
          <w:tcPr>
            <w:tcW w:w="230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9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1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80" w:type="dxa"/>
            <w:vAlign w:val="bottom"/>
            <w:tcBorders>
              <w:top w:val="single" w:sz="8" w:color="auto"/>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7,771,186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7/1/2015 – 7/30/2015</w:t>
            </w:r>
          </w:p>
        </w:tc>
        <w:tc>
          <w:tcPr>
            <w:tcW w:w="2200" w:type="dxa"/>
            <w:vAlign w:val="bottom"/>
          </w:tcPr>
          <w:p>
            <w:pPr>
              <w:jc w:val="right"/>
              <w:ind w:right="36"/>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6"/>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1"/>
                <w:szCs w:val="21"/>
                <w:color w:val="auto"/>
              </w:rPr>
            </w:pPr>
          </w:p>
        </w:tc>
        <w:tc>
          <w:tcPr>
            <w:tcW w:w="2160" w:type="dxa"/>
            <w:vAlign w:val="bottom"/>
          </w:tcPr>
          <w:p>
            <w:pPr>
              <w:jc w:val="right"/>
              <w:ind w:right="40"/>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7,541,050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8/1/2015 – 8/31/2015</w:t>
            </w:r>
          </w:p>
        </w:tc>
        <w:tc>
          <w:tcPr>
            <w:tcW w:w="23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FFCC"/>
            </w:tcBorders>
            <w:shd w:val="clear" w:color="auto" w:fill="CCFFCC"/>
          </w:tcPr>
          <w:p>
            <w:pPr>
              <w:spacing w:after="0"/>
              <w:rPr>
                <w:sz w:val="21"/>
                <w:szCs w:val="21"/>
                <w:color w:val="auto"/>
              </w:rPr>
            </w:pPr>
          </w:p>
        </w:tc>
        <w:tc>
          <w:tcPr>
            <w:tcW w:w="20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FFCC"/>
            </w:tcBorders>
            <w:shd w:val="clear" w:color="auto" w:fill="CCFFCC"/>
          </w:tcPr>
          <w:p>
            <w:pPr>
              <w:spacing w:after="0"/>
              <w:rPr>
                <w:sz w:val="21"/>
                <w:szCs w:val="21"/>
                <w:color w:val="auto"/>
              </w:rPr>
            </w:pP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7,541,050</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9/1/2015 – 9/30/2015</w:t>
            </w:r>
          </w:p>
        </w:tc>
        <w:tc>
          <w:tcPr>
            <w:tcW w:w="2200" w:type="dxa"/>
            <w:vAlign w:val="bottom"/>
          </w:tcPr>
          <w:p>
            <w:pPr>
              <w:jc w:val="right"/>
              <w:ind w:right="36"/>
              <w:spacing w:after="0"/>
              <w:rPr>
                <w:sz w:val="20"/>
                <w:szCs w:val="20"/>
                <w:color w:val="auto"/>
              </w:rPr>
            </w:pPr>
            <w:r>
              <w:rPr>
                <w:rFonts w:ascii="Arial" w:cs="Arial" w:eastAsia="Arial" w:hAnsi="Arial"/>
                <w:sz w:val="18"/>
                <w:szCs w:val="18"/>
                <w:color w:val="auto"/>
              </w:rPr>
              <w:t>172,000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6"/>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2160" w:type="dxa"/>
            <w:vAlign w:val="bottom"/>
          </w:tcPr>
          <w:p>
            <w:pPr>
              <w:jc w:val="right"/>
              <w:ind w:right="40"/>
              <w:spacing w:after="0"/>
              <w:rPr>
                <w:sz w:val="20"/>
                <w:szCs w:val="20"/>
                <w:color w:val="auto"/>
              </w:rPr>
            </w:pPr>
            <w:r>
              <w:rPr>
                <w:rFonts w:ascii="Arial" w:cs="Arial" w:eastAsia="Arial" w:hAnsi="Arial"/>
                <w:sz w:val="18"/>
                <w:szCs w:val="18"/>
                <w:color w:val="auto"/>
              </w:rPr>
              <w:t>172,000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6,102,623</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FFCC"/>
            </w:tcBorders>
            <w:shd w:val="clear" w:color="auto" w:fill="CCFFCC"/>
          </w:tcPr>
          <w:p>
            <w:pPr>
              <w:jc w:val="right"/>
              <w:ind w:right="36"/>
              <w:spacing w:after="0"/>
              <w:rPr>
                <w:sz w:val="20"/>
                <w:szCs w:val="20"/>
                <w:color w:val="auto"/>
              </w:rPr>
            </w:pPr>
            <w:r>
              <w:rPr>
                <w:rFonts w:ascii="Arial" w:cs="Arial" w:eastAsia="Arial" w:hAnsi="Arial"/>
                <w:sz w:val="18"/>
                <w:szCs w:val="18"/>
                <w:color w:val="auto"/>
              </w:rPr>
              <w:t>196,000</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FFCC"/>
            </w:tcBorders>
            <w:shd w:val="clear" w:color="auto" w:fill="CCFFCC"/>
          </w:tcPr>
          <w:p>
            <w:pPr>
              <w:jc w:val="right"/>
              <w:ind w:right="16"/>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FFCC"/>
            </w:tcBorders>
            <w:shd w:val="clear" w:color="auto" w:fill="CCFFCC"/>
          </w:tcPr>
          <w:p>
            <w:pPr>
              <w:spacing w:after="0"/>
              <w:rPr>
                <w:sz w:val="21"/>
                <w:szCs w:val="21"/>
                <w:color w:val="auto"/>
              </w:rPr>
            </w:pPr>
          </w:p>
        </w:tc>
        <w:tc>
          <w:tcPr>
            <w:tcW w:w="21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8"/>
                <w:szCs w:val="18"/>
                <w:color w:val="auto"/>
              </w:rPr>
              <w:t>196,000</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6,102,623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59"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December 10, 2012, the Company announced that its Board of Directors approved a share repurchase program through June 30, 2014. Under the stock repurchase program, the Company was authorized to repurchase shares of the Company’s common stock, in the open market or privately negotiated transactions, at times and prices considered appropriate by the Board of Directors depending upon prevailing market conditions and other corporate considerations.</w:t>
      </w:r>
    </w:p>
    <w:p>
      <w:pPr>
        <w:spacing w:after="0" w:line="78"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June 30, 2014, approximately $1.1 million remained available for purchases under the program as in effect at that time. On July 23, 2014, the Company’s Board of Directors extended the expiration date of the program out to December 31, 2014 and also increased the aggregate purchase price of the stock repurchase program from $40.0 million to $50.0 million. On March 5, 2015, the Company’s Board of Directors extended the expiration date of the program out to December 31, 2016. As of September 30, 2015, approximately $6.1 million remained available for purchases under the program.</w:t>
      </w:r>
    </w:p>
    <w:p>
      <w:pPr>
        <w:spacing w:after="0" w:line="80"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Transaction fees related to the share purchases are deducted from the total remaining allowable expenditure amount.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19"/>
          </w:cols>
          <w:pgMar w:left="240" w:top="580"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exhibits are filed as part of this Quarterly Report on Form 10-Q:</w:t>
      </w:r>
    </w:p>
    <w:p>
      <w:pPr>
        <w:sectPr>
          <w:pgSz w:w="11900" w:h="16838" w:orient="portrait"/>
          <w:cols w:equalWidth="0" w:num="1">
            <w:col w:w="11320"/>
          </w:cols>
          <w:pgMar w:left="240" w:top="580" w:right="339" w:bottom="1440" w:gutter="0" w:footer="0" w:header="0"/>
        </w:sect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ind w:right="300" w:firstLine="8"/>
        <w:spacing w:after="0" w:line="342" w:lineRule="auto"/>
        <w:tabs>
          <w:tab w:leader="none" w:pos="35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firstLine="8"/>
        <w:spacing w:after="0" w:line="264" w:lineRule="auto"/>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580" w:right="339" w:bottom="1440" w:gutter="0" w:footer="0" w:header="0"/>
          <w:type w:val="continuous"/>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LIVEPERSON, INC.</w:t>
      </w:r>
    </w:p>
    <w:p>
      <w:pPr>
        <w:spacing w:after="0" w:line="6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Pr>
          <w:p>
            <w:pPr>
              <w:ind w:left="160"/>
              <w:spacing w:after="0"/>
              <w:rPr>
                <w:sz w:val="20"/>
                <w:szCs w:val="20"/>
                <w:color w:val="auto"/>
              </w:rPr>
            </w:pPr>
            <w:r>
              <w:rPr>
                <w:rFonts w:ascii="Arial" w:cs="Arial" w:eastAsia="Arial" w:hAnsi="Arial"/>
                <w:sz w:val="18"/>
                <w:szCs w:val="18"/>
                <w:color w:val="auto"/>
              </w:rPr>
              <w:t>November 9, 2015</w:t>
            </w:r>
          </w:p>
        </w:tc>
        <w:tc>
          <w:tcPr>
            <w:tcW w:w="2020" w:type="dxa"/>
            <w:vAlign w:val="bottom"/>
          </w:tcPr>
          <w:p>
            <w:pPr>
              <w:ind w:left="152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ROBERT P. LOCASCIO</w:t>
            </w:r>
          </w:p>
        </w:tc>
      </w:tr>
      <w:tr>
        <w:trPr>
          <w:trHeight w:val="27"/>
        </w:trPr>
        <w:tc>
          <w:tcPr>
            <w:tcW w:w="5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20" w:type="dxa"/>
            <w:vAlign w:val="bottom"/>
          </w:tcPr>
          <w:p>
            <w:pPr>
              <w:ind w:left="152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70"/>
        </w:trPr>
        <w:tc>
          <w:tcPr>
            <w:tcW w:w="5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020" w:type="dxa"/>
            <w:vAlign w:val="bottom"/>
          </w:tcPr>
          <w:p>
            <w:pPr>
              <w:ind w:left="152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Pr>
          <w:p>
            <w:pPr>
              <w:ind w:left="160"/>
              <w:spacing w:after="0"/>
              <w:rPr>
                <w:sz w:val="20"/>
                <w:szCs w:val="20"/>
                <w:color w:val="auto"/>
              </w:rPr>
            </w:pPr>
            <w:r>
              <w:rPr>
                <w:rFonts w:ascii="Arial" w:cs="Arial" w:eastAsia="Arial" w:hAnsi="Arial"/>
                <w:sz w:val="18"/>
                <w:szCs w:val="18"/>
                <w:color w:val="auto"/>
              </w:rPr>
              <w:t>November 9, 2015</w:t>
            </w:r>
          </w:p>
        </w:tc>
        <w:tc>
          <w:tcPr>
            <w:tcW w:w="2020" w:type="dxa"/>
            <w:vAlign w:val="bottom"/>
          </w:tcPr>
          <w:p>
            <w:pPr>
              <w:ind w:left="152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DANIEL R. MURPHY</w:t>
            </w:r>
          </w:p>
        </w:tc>
      </w:tr>
      <w:tr>
        <w:trPr>
          <w:trHeight w:val="27"/>
        </w:trPr>
        <w:tc>
          <w:tcPr>
            <w:tcW w:w="5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20" w:type="dxa"/>
            <w:vAlign w:val="bottom"/>
          </w:tcPr>
          <w:p>
            <w:pPr>
              <w:ind w:left="152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Daniel R. Murphy</w:t>
            </w:r>
          </w:p>
        </w:tc>
      </w:tr>
      <w:tr>
        <w:trPr>
          <w:trHeight w:val="270"/>
        </w:trPr>
        <w:tc>
          <w:tcPr>
            <w:tcW w:w="5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020" w:type="dxa"/>
            <w:vAlign w:val="bottom"/>
          </w:tcPr>
          <w:p>
            <w:pPr>
              <w:ind w:left="152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594"/>
        </w:trPr>
        <w:tc>
          <w:tcPr>
            <w:tcW w:w="5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41</w:t>
            </w:r>
          </w:p>
        </w:tc>
        <w:tc>
          <w:tcPr>
            <w:tcW w:w="5260" w:type="dxa"/>
            <w:vAlign w:val="bottom"/>
          </w:tcPr>
          <w:p>
            <w:pPr>
              <w:spacing w:after="0"/>
              <w:rPr>
                <w:sz w:val="24"/>
                <w:szCs w:val="24"/>
                <w:color w:val="auto"/>
              </w:rPr>
            </w:pPr>
          </w:p>
        </w:tc>
      </w:tr>
    </w:tbl>
    <w:p>
      <w:pPr>
        <w:sectPr>
          <w:pgSz w:w="11900" w:h="16838" w:orient="portrait"/>
          <w:cols w:equalWidth="0" w:num="1">
            <w:col w:w="11380"/>
          </w:cols>
          <w:pgMar w:left="240" w:top="580" w:right="27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9780" w:type="dxa"/>
            <w:vAlign w:val="bottom"/>
          </w:tcPr>
          <w:p>
            <w:pPr>
              <w:ind w:left="3560"/>
              <w:spacing w:after="0"/>
              <w:rPr>
                <w:sz w:val="20"/>
                <w:szCs w:val="20"/>
                <w:color w:val="auto"/>
              </w:rPr>
            </w:pPr>
            <w:r>
              <w:rPr>
                <w:rFonts w:ascii="Arial" w:cs="Arial" w:eastAsia="Arial" w:hAnsi="Arial"/>
                <w:sz w:val="18"/>
                <w:szCs w:val="18"/>
                <w:color w:val="auto"/>
              </w:rPr>
              <w:t>EXHIBIT INDEX</w:t>
            </w:r>
          </w:p>
        </w:tc>
      </w:tr>
      <w:tr>
        <w:trPr>
          <w:trHeight w:val="486"/>
        </w:trPr>
        <w:tc>
          <w:tcPr>
            <w:tcW w:w="1500" w:type="dxa"/>
            <w:vAlign w:val="bottom"/>
          </w:tcPr>
          <w:p>
            <w:pPr>
              <w:ind w:left="40"/>
              <w:spacing w:after="0"/>
              <w:rPr>
                <w:sz w:val="20"/>
                <w:szCs w:val="20"/>
                <w:color w:val="auto"/>
              </w:rPr>
            </w:pPr>
            <w:r>
              <w:rPr>
                <w:rFonts w:ascii="Arial" w:cs="Arial" w:eastAsia="Arial" w:hAnsi="Arial"/>
                <w:sz w:val="18"/>
                <w:szCs w:val="18"/>
                <w:color w:val="auto"/>
              </w:rPr>
              <w:t>EXHIBIT</w:t>
            </w:r>
          </w:p>
        </w:tc>
        <w:tc>
          <w:tcPr>
            <w:tcW w:w="9780" w:type="dxa"/>
            <w:vAlign w:val="bottom"/>
          </w:tcPr>
          <w:p>
            <w:pPr>
              <w:spacing w:after="0"/>
              <w:rPr>
                <w:sz w:val="24"/>
                <w:szCs w:val="24"/>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9780" w:type="dxa"/>
            <w:vAlign w:val="bottom"/>
          </w:tcPr>
          <w:p>
            <w:pPr>
              <w:spacing w:after="0"/>
              <w:rPr>
                <w:sz w:val="2"/>
                <w:szCs w:val="2"/>
                <w:color w:val="auto"/>
              </w:rPr>
            </w:pPr>
          </w:p>
        </w:tc>
      </w:tr>
      <w:tr>
        <w:trPr>
          <w:trHeight w:val="546"/>
        </w:trPr>
        <w:tc>
          <w:tcPr>
            <w:tcW w:w="1500" w:type="dxa"/>
            <w:vAlign w:val="bottom"/>
          </w:tcPr>
          <w:p>
            <w:pPr>
              <w:ind w:left="40"/>
              <w:spacing w:after="0"/>
              <w:rPr>
                <w:sz w:val="20"/>
                <w:szCs w:val="20"/>
                <w:color w:val="auto"/>
              </w:rPr>
            </w:pPr>
            <w:r>
              <w:rPr>
                <w:rFonts w:ascii="Arial" w:cs="Arial" w:eastAsia="Arial" w:hAnsi="Arial"/>
                <w:sz w:val="18"/>
                <w:szCs w:val="18"/>
                <w:color w:val="auto"/>
              </w:rPr>
              <w:t>31.1</w:t>
            </w:r>
          </w:p>
        </w:tc>
        <w:tc>
          <w:tcPr>
            <w:tcW w:w="9780" w:type="dxa"/>
            <w:vAlign w:val="bottom"/>
          </w:tcPr>
          <w:p>
            <w:pPr>
              <w:ind w:left="20"/>
              <w:spacing w:after="0"/>
              <w:rPr>
                <w:sz w:val="20"/>
                <w:szCs w:val="20"/>
                <w:color w:val="auto"/>
              </w:rPr>
            </w:pPr>
            <w:r>
              <w:rPr>
                <w:rFonts w:ascii="Arial" w:cs="Arial" w:eastAsia="Arial" w:hAnsi="Arial"/>
                <w:sz w:val="18"/>
                <w:szCs w:val="18"/>
                <w:color w:val="auto"/>
                <w:w w:val="90"/>
              </w:rPr>
              <w:t>Certification by Chief Executive Officer pursuant to Exchange Act Rule 13a-14(a), as adopted pursuant to Section 302 of the Sarbanes-</w:t>
            </w:r>
          </w:p>
        </w:tc>
      </w:tr>
      <w:tr>
        <w:trPr>
          <w:trHeight w:val="230"/>
        </w:trPr>
        <w:tc>
          <w:tcPr>
            <w:tcW w:w="150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Oxley Act of 2002</w:t>
            </w:r>
          </w:p>
        </w:tc>
      </w:tr>
      <w:tr>
        <w:trPr>
          <w:trHeight w:val="553"/>
        </w:trPr>
        <w:tc>
          <w:tcPr>
            <w:tcW w:w="1500" w:type="dxa"/>
            <w:vAlign w:val="bottom"/>
          </w:tcPr>
          <w:p>
            <w:pPr>
              <w:ind w:left="40"/>
              <w:spacing w:after="0"/>
              <w:rPr>
                <w:sz w:val="20"/>
                <w:szCs w:val="20"/>
                <w:color w:val="auto"/>
              </w:rPr>
            </w:pPr>
            <w:r>
              <w:rPr>
                <w:rFonts w:ascii="Arial" w:cs="Arial" w:eastAsia="Arial" w:hAnsi="Arial"/>
                <w:sz w:val="18"/>
                <w:szCs w:val="18"/>
                <w:color w:val="auto"/>
              </w:rPr>
              <w:t>31.2</w:t>
            </w:r>
          </w:p>
        </w:tc>
        <w:tc>
          <w:tcPr>
            <w:tcW w:w="9780" w:type="dxa"/>
            <w:vAlign w:val="bottom"/>
          </w:tcPr>
          <w:p>
            <w:pPr>
              <w:ind w:left="20"/>
              <w:spacing w:after="0"/>
              <w:rPr>
                <w:sz w:val="20"/>
                <w:szCs w:val="20"/>
                <w:color w:val="auto"/>
              </w:rPr>
            </w:pPr>
            <w:r>
              <w:rPr>
                <w:rFonts w:ascii="Arial" w:cs="Arial" w:eastAsia="Arial" w:hAnsi="Arial"/>
                <w:sz w:val="18"/>
                <w:szCs w:val="18"/>
                <w:color w:val="auto"/>
                <w:w w:val="91"/>
              </w:rPr>
              <w:t>Certification by Chief Financial Officer pursuant to Exchange Act Rule 13a-14(a), as adopted pursuant to Section 302 of the Sarbanes-</w:t>
            </w:r>
          </w:p>
        </w:tc>
      </w:tr>
      <w:tr>
        <w:trPr>
          <w:trHeight w:val="230"/>
        </w:trPr>
        <w:tc>
          <w:tcPr>
            <w:tcW w:w="150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Oxley Act of 2002</w:t>
            </w:r>
          </w:p>
        </w:tc>
      </w:tr>
      <w:tr>
        <w:trPr>
          <w:trHeight w:val="553"/>
        </w:trPr>
        <w:tc>
          <w:tcPr>
            <w:tcW w:w="1500" w:type="dxa"/>
            <w:vAlign w:val="bottom"/>
          </w:tcPr>
          <w:p>
            <w:pPr>
              <w:ind w:left="40"/>
              <w:spacing w:after="0"/>
              <w:rPr>
                <w:sz w:val="20"/>
                <w:szCs w:val="20"/>
                <w:color w:val="auto"/>
              </w:rPr>
            </w:pPr>
            <w:r>
              <w:rPr>
                <w:rFonts w:ascii="Arial" w:cs="Arial" w:eastAsia="Arial" w:hAnsi="Arial"/>
                <w:sz w:val="18"/>
                <w:szCs w:val="18"/>
                <w:color w:val="auto"/>
              </w:rPr>
              <w:t>32.1**</w:t>
            </w:r>
          </w:p>
        </w:tc>
        <w:tc>
          <w:tcPr>
            <w:tcW w:w="9780" w:type="dxa"/>
            <w:vAlign w:val="bottom"/>
          </w:tcPr>
          <w:p>
            <w:pPr>
              <w:ind w:left="20"/>
              <w:spacing w:after="0"/>
              <w:rPr>
                <w:sz w:val="20"/>
                <w:szCs w:val="20"/>
                <w:color w:val="auto"/>
              </w:rPr>
            </w:pPr>
            <w:r>
              <w:rPr>
                <w:rFonts w:ascii="Arial" w:cs="Arial" w:eastAsia="Arial" w:hAnsi="Arial"/>
                <w:sz w:val="18"/>
                <w:szCs w:val="18"/>
                <w:color w:val="auto"/>
                <w:w w:val="90"/>
              </w:rPr>
              <w:t>Certification by Chief Executive Officer pursuant to 18 U.S.C. Section 1350, as adopted pursuant to Section 906 of the Sarbanes-Oxley</w:t>
            </w:r>
          </w:p>
        </w:tc>
      </w:tr>
      <w:tr>
        <w:trPr>
          <w:trHeight w:val="230"/>
        </w:trPr>
        <w:tc>
          <w:tcPr>
            <w:tcW w:w="150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553"/>
        </w:trPr>
        <w:tc>
          <w:tcPr>
            <w:tcW w:w="1500" w:type="dxa"/>
            <w:vAlign w:val="bottom"/>
          </w:tcPr>
          <w:p>
            <w:pPr>
              <w:ind w:left="40"/>
              <w:spacing w:after="0"/>
              <w:rPr>
                <w:sz w:val="20"/>
                <w:szCs w:val="20"/>
                <w:color w:val="auto"/>
              </w:rPr>
            </w:pPr>
            <w:r>
              <w:rPr>
                <w:rFonts w:ascii="Arial" w:cs="Arial" w:eastAsia="Arial" w:hAnsi="Arial"/>
                <w:sz w:val="18"/>
                <w:szCs w:val="18"/>
                <w:color w:val="auto"/>
              </w:rPr>
              <w:t>32.2**</w:t>
            </w:r>
          </w:p>
        </w:tc>
        <w:tc>
          <w:tcPr>
            <w:tcW w:w="9780" w:type="dxa"/>
            <w:vAlign w:val="bottom"/>
          </w:tcPr>
          <w:p>
            <w:pPr>
              <w:ind w:left="20"/>
              <w:spacing w:after="0"/>
              <w:rPr>
                <w:sz w:val="20"/>
                <w:szCs w:val="20"/>
                <w:color w:val="auto"/>
              </w:rPr>
            </w:pPr>
            <w:r>
              <w:rPr>
                <w:rFonts w:ascii="Arial" w:cs="Arial" w:eastAsia="Arial" w:hAnsi="Arial"/>
                <w:sz w:val="18"/>
                <w:szCs w:val="18"/>
                <w:color w:val="auto"/>
                <w:w w:val="91"/>
              </w:rPr>
              <w:t>Certification by Chief Financial Officer pursuant to 18 U.S.C. Section 1350, as adopted pursuant to Section 906 of the Sarbanes-Oxley</w:t>
            </w:r>
          </w:p>
        </w:tc>
      </w:tr>
      <w:tr>
        <w:trPr>
          <w:trHeight w:val="230"/>
        </w:trPr>
        <w:tc>
          <w:tcPr>
            <w:tcW w:w="150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101.INS†</w:t>
            </w:r>
          </w:p>
        </w:tc>
        <w:tc>
          <w:tcPr>
            <w:tcW w:w="978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101.SCH†</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101.CAL†</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101.DEF†</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101.LAB†</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67"/>
        </w:trPr>
        <w:tc>
          <w:tcPr>
            <w:tcW w:w="1500" w:type="dxa"/>
            <w:vAlign w:val="bottom"/>
          </w:tcPr>
          <w:p>
            <w:pPr>
              <w:ind w:left="40"/>
              <w:spacing w:after="0"/>
              <w:rPr>
                <w:sz w:val="20"/>
                <w:szCs w:val="20"/>
                <w:color w:val="auto"/>
              </w:rPr>
            </w:pPr>
            <w:r>
              <w:rPr>
                <w:rFonts w:ascii="Arial" w:cs="Arial" w:eastAsia="Arial" w:hAnsi="Arial"/>
                <w:sz w:val="18"/>
                <w:szCs w:val="18"/>
                <w:color w:val="auto"/>
              </w:rPr>
              <w:t>101.PRE†</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21" w:lineRule="exact"/>
        <w:rPr>
          <w:sz w:val="20"/>
          <w:szCs w:val="20"/>
          <w:color w:val="auto"/>
        </w:rPr>
      </w:pPr>
    </w:p>
    <w:p>
      <w:pPr>
        <w:ind w:right="300" w:firstLine="8"/>
        <w:spacing w:after="0" w:line="342" w:lineRule="auto"/>
        <w:tabs>
          <w:tab w:leader="none" w:pos="357"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firstLine="8"/>
        <w:spacing w:after="0" w:line="264"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584"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200" w:type="dxa"/>
            <w:vAlign w:val="bottom"/>
          </w:tcPr>
          <w:p>
            <w:pPr>
              <w:ind w:left="260"/>
              <w:spacing w:after="0"/>
              <w:rPr>
                <w:sz w:val="20"/>
                <w:szCs w:val="20"/>
                <w:color w:val="auto"/>
              </w:rPr>
            </w:pPr>
            <w:r>
              <w:rPr>
                <w:rFonts w:ascii="Arial" w:cs="Arial" w:eastAsia="Arial" w:hAnsi="Arial"/>
                <w:sz w:val="18"/>
                <w:szCs w:val="18"/>
                <w:color w:val="auto"/>
              </w:rPr>
              <w:t>November 9, 2015</w:t>
            </w:r>
          </w:p>
        </w:tc>
        <w:tc>
          <w:tcPr>
            <w:tcW w:w="2340" w:type="dxa"/>
            <w:vAlign w:val="bottom"/>
          </w:tcPr>
          <w:p>
            <w:pPr>
              <w:ind w:left="1580"/>
              <w:spacing w:after="0"/>
              <w:rPr>
                <w:sz w:val="20"/>
                <w:szCs w:val="20"/>
                <w:color w:val="auto"/>
              </w:rPr>
            </w:pPr>
            <w:r>
              <w:rPr>
                <w:rFonts w:ascii="Arial" w:cs="Arial" w:eastAsia="Arial" w:hAnsi="Arial"/>
                <w:sz w:val="18"/>
                <w:szCs w:val="18"/>
                <w:color w:val="auto"/>
              </w:rPr>
              <w:t>By:</w:t>
            </w:r>
          </w:p>
        </w:tc>
        <w:tc>
          <w:tcPr>
            <w:tcW w:w="50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340" w:type="dxa"/>
            <w:vAlign w:val="bottom"/>
            <w:vMerge w:val="restart"/>
          </w:tcPr>
          <w:p>
            <w:pPr>
              <w:ind w:left="1580"/>
              <w:spacing w:after="0"/>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340" w:type="dxa"/>
            <w:vAlign w:val="bottom"/>
            <w:vMerge w:val="continue"/>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340" w:type="dxa"/>
            <w:vAlign w:val="bottom"/>
          </w:tcPr>
          <w:p>
            <w:pPr>
              <w:ind w:left="1580"/>
              <w:spacing w:after="0"/>
              <w:rPr>
                <w:sz w:val="20"/>
                <w:szCs w:val="20"/>
                <w:color w:val="auto"/>
              </w:rPr>
            </w:pPr>
            <w:r>
              <w:rPr>
                <w:rFonts w:ascii="Arial" w:cs="Arial" w:eastAsia="Arial" w:hAnsi="Arial"/>
                <w:sz w:val="18"/>
                <w:szCs w:val="18"/>
                <w:color w:val="auto"/>
              </w:rPr>
              <w:t>Title:</w:t>
            </w: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Daniel R. Murphy, certify that:</w:t>
      </w:r>
    </w:p>
    <w:p>
      <w:pPr>
        <w:spacing w:after="0" w:line="171"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260"/>
              <w:spacing w:after="0"/>
              <w:rPr>
                <w:sz w:val="20"/>
                <w:szCs w:val="20"/>
                <w:color w:val="auto"/>
              </w:rPr>
            </w:pPr>
            <w:r>
              <w:rPr>
                <w:rFonts w:ascii="Arial" w:cs="Arial" w:eastAsia="Arial" w:hAnsi="Arial"/>
                <w:sz w:val="18"/>
                <w:szCs w:val="18"/>
                <w:color w:val="auto"/>
              </w:rPr>
              <w:t>November 9, 2015</w:t>
            </w:r>
          </w:p>
        </w:tc>
        <w:tc>
          <w:tcPr>
            <w:tcW w:w="2240" w:type="dxa"/>
            <w:vAlign w:val="bottom"/>
          </w:tcPr>
          <w:p>
            <w:pPr>
              <w:ind w:left="1480"/>
              <w:spacing w:after="0"/>
              <w:rPr>
                <w:sz w:val="20"/>
                <w:szCs w:val="20"/>
                <w:color w:val="auto"/>
              </w:rPr>
            </w:pPr>
            <w:r>
              <w:rPr>
                <w:rFonts w:ascii="Arial" w:cs="Arial" w:eastAsia="Arial" w:hAnsi="Arial"/>
                <w:sz w:val="18"/>
                <w:szCs w:val="18"/>
                <w:color w:val="auto"/>
              </w:rPr>
              <w:t>By:</w:t>
            </w:r>
          </w:p>
        </w:tc>
        <w:tc>
          <w:tcPr>
            <w:tcW w:w="53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vMerge w:val="restart"/>
          </w:tcPr>
          <w:p>
            <w:pPr>
              <w:ind w:left="1480"/>
              <w:spacing w:after="0"/>
              <w:rPr>
                <w:sz w:val="20"/>
                <w:szCs w:val="20"/>
                <w:color w:val="auto"/>
              </w:rPr>
            </w:pPr>
            <w:r>
              <w:rPr>
                <w:rFonts w:ascii="Arial" w:cs="Arial" w:eastAsia="Arial" w:hAnsi="Arial"/>
                <w:sz w:val="18"/>
                <w:szCs w:val="18"/>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40" w:type="dxa"/>
            <w:vAlign w:val="bottom"/>
            <w:vMerge w:val="continue"/>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240" w:type="dxa"/>
            <w:vAlign w:val="bottom"/>
          </w:tcPr>
          <w:p>
            <w:pPr>
              <w:ind w:left="1480"/>
              <w:spacing w:after="0"/>
              <w:rPr>
                <w:sz w:val="20"/>
                <w:szCs w:val="20"/>
                <w:color w:val="auto"/>
              </w:rPr>
            </w:pPr>
            <w:r>
              <w:rPr>
                <w:rFonts w:ascii="Arial" w:cs="Arial" w:eastAsia="Arial" w:hAnsi="Arial"/>
                <w:sz w:val="18"/>
                <w:szCs w:val="18"/>
                <w:color w:val="auto"/>
              </w:rPr>
              <w:t>Title:</w:t>
            </w:r>
          </w:p>
        </w:tc>
        <w:tc>
          <w:tcPr>
            <w:tcW w:w="53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jc w:val="both"/>
        <w:ind w:left="660" w:right="940" w:hanging="328"/>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2015, as filed with the Securities and Exchange Commission (the “Report”), fully complies with the requirements of Section 13(a) or 15(d) of the Securities Exchange Act of 1934;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200"/>
              <w:spacing w:after="0"/>
              <w:rPr>
                <w:sz w:val="20"/>
                <w:szCs w:val="20"/>
                <w:color w:val="auto"/>
              </w:rPr>
            </w:pPr>
            <w:r>
              <w:rPr>
                <w:rFonts w:ascii="Arial" w:cs="Arial" w:eastAsia="Arial" w:hAnsi="Arial"/>
                <w:sz w:val="18"/>
                <w:szCs w:val="18"/>
                <w:color w:val="auto"/>
              </w:rPr>
              <w:t>November 9, 2015</w:t>
            </w:r>
          </w:p>
        </w:tc>
        <w:tc>
          <w:tcPr>
            <w:tcW w:w="2360" w:type="dxa"/>
            <w:vAlign w:val="bottom"/>
          </w:tcPr>
          <w:p>
            <w:pPr>
              <w:ind w:left="162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360" w:type="dxa"/>
            <w:vAlign w:val="bottom"/>
            <w:vMerge w:val="restart"/>
          </w:tcPr>
          <w:p>
            <w:pPr>
              <w:ind w:left="1620"/>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360" w:type="dxa"/>
            <w:vAlign w:val="bottom"/>
            <w:vMerge w:val="continue"/>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360" w:type="dxa"/>
            <w:vAlign w:val="bottom"/>
          </w:tcPr>
          <w:p>
            <w:pPr>
              <w:ind w:left="162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Daniel R. Murphy, Chief Financial Officer of LivePerson, Inc. (the “Company”), certify, pursuant to 18 U.S.C. Section 1350, as adopted pursuant to Section 906 of the Sarbanes-Oxley Act of 2002, that:</w:t>
      </w:r>
    </w:p>
    <w:p>
      <w:pPr>
        <w:spacing w:after="0" w:line="116" w:lineRule="exact"/>
        <w:rPr>
          <w:sz w:val="20"/>
          <w:szCs w:val="20"/>
          <w:color w:val="auto"/>
        </w:rPr>
      </w:pPr>
    </w:p>
    <w:p>
      <w:pPr>
        <w:jc w:val="both"/>
        <w:ind w:left="660" w:right="940" w:hanging="328"/>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2015, as filed with the Securities and Exchange Commission (the “Report”), fully complies with the requirements of Section 13(a) or 15(d) of the Securities Exchange Act of 1934;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300"/>
              <w:spacing w:after="0"/>
              <w:rPr>
                <w:sz w:val="20"/>
                <w:szCs w:val="20"/>
                <w:color w:val="auto"/>
              </w:rPr>
            </w:pPr>
            <w:r>
              <w:rPr>
                <w:rFonts w:ascii="Arial" w:cs="Arial" w:eastAsia="Arial" w:hAnsi="Arial"/>
                <w:sz w:val="18"/>
                <w:szCs w:val="18"/>
                <w:color w:val="auto"/>
              </w:rPr>
              <w:t>November 9, 2015</w:t>
            </w:r>
          </w:p>
        </w:tc>
        <w:tc>
          <w:tcPr>
            <w:tcW w:w="2400" w:type="dxa"/>
            <w:vAlign w:val="bottom"/>
          </w:tcPr>
          <w:p>
            <w:pPr>
              <w:ind w:left="164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400" w:type="dxa"/>
            <w:vAlign w:val="bottom"/>
            <w:vMerge w:val="restart"/>
          </w:tcPr>
          <w:p>
            <w:pPr>
              <w:ind w:left="164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400" w:type="dxa"/>
            <w:vAlign w:val="bottom"/>
          </w:tcPr>
          <w:p>
            <w:pPr>
              <w:ind w:left="164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decimal"/>
      <w:start w:val="3"/>
    </w:lvl>
  </w:abstractNum>
  <w:abstractNum w:abstractNumId="5">
    <w:nsid w:val="8EDBDAB"/>
    <w:multiLevelType w:val="hybridMultilevel"/>
    <w:lvl w:ilvl="0">
      <w:lvlJc w:val="left"/>
      <w:lvlText w:val="%1."/>
      <w:numFmt w:val="decimal"/>
      <w:start w:val="4"/>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5"/>
    </w:lvl>
  </w:abstractNum>
  <w:abstractNum w:abstractNumId="9">
    <w:nsid w:val="189A769B"/>
    <w:multiLevelType w:val="hybridMultilevel"/>
    <w:lvl w:ilvl="0">
      <w:lvlJc w:val="left"/>
      <w:lvlText w:val="%1."/>
      <w:numFmt w:val="decimal"/>
      <w:start w:val="6"/>
    </w:lvl>
  </w:abstractNum>
  <w:abstractNum w:abstractNumId="10">
    <w:nsid w:val="54E49EB4"/>
    <w:multiLevelType w:val="hybridMultilevel"/>
    <w:lvl w:ilvl="0">
      <w:lvlJc w:val="left"/>
      <w:lvlText w:val="%1."/>
      <w:numFmt w:val="decimal"/>
      <w:start w:val="7"/>
    </w:lvl>
  </w:abstractNum>
  <w:abstractNum w:abstractNumId="11">
    <w:nsid w:val="71F32454"/>
    <w:multiLevelType w:val="hybridMultilevel"/>
    <w:lvl w:ilvl="0">
      <w:lvlJc w:val="left"/>
      <w:lvlText w:val="%1."/>
      <w:numFmt w:val="decimal"/>
      <w:start w:val="8"/>
    </w:lvl>
  </w:abstractNum>
  <w:abstractNum w:abstractNumId="12">
    <w:nsid w:val="2CA88611"/>
    <w:multiLevelType w:val="hybridMultilevel"/>
    <w:lvl w:ilvl="0">
      <w:lvlJc w:val="left"/>
      <w:lvlText w:val="%1."/>
      <w:numFmt w:val="decimal"/>
      <w:start w:val="9"/>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decimal"/>
      <w:start w:val="450"/>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2019-12-29T15:41:09Z</dcterms:created>
  <dcterms:modified xsi:type="dcterms:W3CDTF">2019-12-29T15:41:09Z</dcterms:modified>
</cp:coreProperties>
</file>