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688" w:right="279" w:bottom="1440" w:gutter="0" w:footer="0" w:header="0"/>
          <w:type w:val="continuous"/>
        </w:sectPr>
      </w:pPr>
    </w:p>
    <w:p>
      <w:pPr>
        <w:spacing w:after="0" w:line="134"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5, 2015, 57,051,150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900" w:type="dxa"/>
            <w:vAlign w:val="bottom"/>
            <w:gridSpan w:val="4"/>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48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48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900" w:type="dxa"/>
            <w:vAlign w:val="bottom"/>
            <w:gridSpan w:val="4"/>
            <w:shd w:val="clear" w:color="auto" w:fill="CCFFCC"/>
          </w:tcPr>
          <w:p>
            <w:pPr>
              <w:jc w:val="right"/>
              <w:ind w:right="10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Unaudited Condensed Consolidated Balance Sheets as of March 31, 2015 and December 31,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4"/>
              </w:rPr>
              <w:t>Unaudited Condensed Consolidated Statements of Operations for the Three Months Ended March 31,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48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1"/>
              </w:rPr>
              <w:t>Unaudited Condensed Consolidated Statements of Comprehensive Loss for the Three Months Ended March 31, 2015 and</w:t>
            </w:r>
          </w:p>
        </w:tc>
        <w:tc>
          <w:tcPr>
            <w:tcW w:w="6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48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2014</w:t>
            </w:r>
          </w:p>
        </w:tc>
        <w:tc>
          <w:tcPr>
            <w:tcW w:w="900" w:type="dxa"/>
            <w:vAlign w:val="bottom"/>
            <w:gridSpan w:val="4"/>
            <w:shd w:val="clear" w:color="auto" w:fill="CCFFCC"/>
          </w:tcPr>
          <w:p>
            <w:pPr>
              <w:jc w:val="right"/>
              <w:ind w:right="100"/>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3"/>
              </w:rPr>
              <w:t>Unaudited Condensed Consolidated Statements of Cash Flows for the Three Months Ended March 31,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 (Unaudited)</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324"/>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480" w:type="dxa"/>
            <w:vAlign w:val="bottom"/>
            <w:shd w:val="clear" w:color="auto" w:fill="CCFFCC"/>
          </w:tcPr>
          <w:p>
            <w:pPr>
              <w:spacing w:after="0"/>
              <w:rPr>
                <w:sz w:val="21"/>
                <w:szCs w:val="21"/>
                <w:color w:val="auto"/>
              </w:rPr>
            </w:pPr>
          </w:p>
        </w:tc>
        <w:tc>
          <w:tcPr>
            <w:tcW w:w="900" w:type="dxa"/>
            <w:vAlign w:val="bottom"/>
            <w:gridSpan w:val="4"/>
            <w:shd w:val="clear" w:color="auto" w:fill="CCFFCC"/>
          </w:tcPr>
          <w:p>
            <w:pPr>
              <w:jc w:val="right"/>
              <w:ind w:right="100"/>
              <w:spacing w:after="0" w:line="202" w:lineRule="exact"/>
              <w:rPr>
                <w:sz w:val="20"/>
                <w:szCs w:val="20"/>
                <w:color w:val="auto"/>
              </w:rPr>
            </w:pPr>
            <w:r>
              <w:rPr>
                <w:rFonts w:ascii="Arial" w:cs="Arial" w:eastAsia="Arial" w:hAnsi="Arial"/>
                <w:sz w:val="18"/>
                <w:szCs w:val="18"/>
                <w:color w:val="0000FF"/>
              </w:rPr>
              <w:t>37</w:t>
            </w:r>
          </w:p>
        </w:tc>
      </w:tr>
      <w:tr>
        <w:trPr>
          <w:trHeight w:val="459"/>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40,836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49,372</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$1,360 and $1,275 as of March 31, 2015 and December 31,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2014, respectively</w:t>
            </w:r>
          </w:p>
        </w:tc>
        <w:tc>
          <w:tcPr>
            <w:tcW w:w="2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35,588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31,382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12,919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10,374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1,236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2,575</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90,579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93,703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20,973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19,583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30,629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32,620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80,310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80,848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11,281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10,762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2,301</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236,088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239,817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12,568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8,985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31,531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37,772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10,216</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11,992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54,315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58,749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731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55,039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59,480</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(See Note 10)</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 (See Note 11):</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277,801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274,046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(94,682)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(92,627)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181,049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180,337</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236,088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239,817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center"/>
              <w:ind w:right="22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63"/>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7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2014</w:t>
            </w:r>
          </w:p>
        </w:tc>
      </w:tr>
      <w:tr>
        <w:trPr>
          <w:trHeight w:val="256"/>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59,770</w:t>
            </w:r>
          </w:p>
        </w:tc>
        <w:tc>
          <w:tcPr>
            <w:tcW w:w="1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47,828</w:t>
            </w: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0"/>
        </w:trPr>
        <w:tc>
          <w:tcPr>
            <w:tcW w:w="87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320" w:type="dxa"/>
            <w:vAlign w:val="bottom"/>
            <w:shd w:val="clear" w:color="auto" w:fill="CCFFCC"/>
          </w:tcPr>
          <w:p>
            <w:pPr>
              <w:spacing w:after="0"/>
              <w:rPr>
                <w:sz w:val="23"/>
                <w:szCs w:val="23"/>
                <w:color w:val="auto"/>
              </w:rPr>
            </w:pP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16,254</w:t>
            </w:r>
          </w:p>
        </w:tc>
        <w:tc>
          <w:tcPr>
            <w:tcW w:w="12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11,735</w:t>
            </w: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24,294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18,395</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10,164</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9,499</w:t>
            </w: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9,800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8,951</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1,313</w:t>
            </w:r>
          </w:p>
        </w:tc>
        <w:tc>
          <w:tcPr>
            <w:tcW w:w="1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190</w:t>
            </w:r>
          </w:p>
        </w:tc>
      </w:tr>
      <w:tr>
        <w:trPr>
          <w:trHeight w:val="217"/>
        </w:trPr>
        <w:tc>
          <w:tcPr>
            <w:tcW w:w="870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61,825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48,770</w:t>
            </w:r>
          </w:p>
        </w:tc>
      </w:tr>
      <w:tr>
        <w:trPr>
          <w:trHeight w:val="33"/>
        </w:trPr>
        <w:tc>
          <w:tcPr>
            <w:tcW w:w="87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(2,055)</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(942)</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7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before benefit from income taxes</w:t>
            </w:r>
          </w:p>
        </w:tc>
        <w:tc>
          <w:tcPr>
            <w:tcW w:w="3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(2,286)</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(1,025)</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Benefit from income taxes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87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(794)</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 per share of common stock:</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90"/>
        </w:trPr>
        <w:tc>
          <w:tcPr>
            <w:tcW w:w="87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90"/>
        </w:trPr>
        <w:tc>
          <w:tcPr>
            <w:tcW w:w="87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56,291,383</w:t>
            </w:r>
          </w:p>
        </w:tc>
        <w:tc>
          <w:tcPr>
            <w:tcW w:w="12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54,666,535</w:t>
            </w:r>
          </w:p>
        </w:tc>
      </w:tr>
      <w:tr>
        <w:trPr>
          <w:trHeight w:val="237"/>
        </w:trPr>
        <w:tc>
          <w:tcPr>
            <w:tcW w:w="8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56,291,383</w:t>
            </w:r>
          </w:p>
        </w:tc>
        <w:tc>
          <w:tcPr>
            <w:tcW w:w="1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54,666,535</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8700" w:type="dxa"/>
            <w:vAlign w:val="bottom"/>
            <w:tcBorders>
              <w:bottom w:val="single" w:sz="8" w:color="auto"/>
            </w:tcBorders>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r>
      <w:tr>
        <w:trPr>
          <w:trHeight w:val="244"/>
        </w:trPr>
        <w:tc>
          <w:tcPr>
            <w:tcW w:w="8700" w:type="dxa"/>
            <w:vAlign w:val="bottom"/>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 compensation expense, as follows: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360</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814</w:t>
            </w: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843</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680</w:t>
            </w:r>
          </w:p>
        </w:tc>
      </w:tr>
      <w:tr>
        <w:trPr>
          <w:trHeight w:val="276"/>
        </w:trPr>
        <w:tc>
          <w:tcPr>
            <w:tcW w:w="87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r>
      <w:tr>
        <w:trPr>
          <w:trHeight w:val="264"/>
        </w:trPr>
        <w:tc>
          <w:tcPr>
            <w:tcW w:w="8700" w:type="dxa"/>
            <w:vAlign w:val="bottom"/>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1,903</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1,397</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207</w:t>
            </w: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200</w:t>
            </w:r>
          </w:p>
        </w:tc>
      </w:tr>
      <w:tr>
        <w:trPr>
          <w:trHeight w:val="264"/>
        </w:trPr>
        <w:tc>
          <w:tcPr>
            <w:tcW w:w="8700" w:type="dxa"/>
            <w:vAlign w:val="bottom"/>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177</w:t>
            </w:r>
          </w:p>
        </w:tc>
      </w:tr>
      <w:tr>
        <w:trPr>
          <w:trHeight w:val="276"/>
        </w:trPr>
        <w:tc>
          <w:tcPr>
            <w:tcW w:w="87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r>
      <w:tr>
        <w:trPr>
          <w:trHeight w:val="264"/>
        </w:trPr>
        <w:tc>
          <w:tcPr>
            <w:tcW w:w="8700" w:type="dxa"/>
            <w:vAlign w:val="bottom"/>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7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FFCC"/>
          </w:tcPr>
          <w:p>
            <w:pPr>
              <w:spacing w:after="0"/>
              <w:rPr>
                <w:sz w:val="24"/>
                <w:szCs w:val="24"/>
                <w:color w:val="auto"/>
              </w:rPr>
            </w:pPr>
          </w:p>
        </w:tc>
        <w:tc>
          <w:tcPr>
            <w:tcW w:w="30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868</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FFCC"/>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CCFFCC"/>
            </w:tcBorders>
            <w:shd w:val="clear" w:color="auto" w:fill="CCFFCC"/>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(794)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140</w:t>
            </w:r>
          </w:p>
        </w:tc>
      </w:tr>
      <w:tr>
        <w:trPr>
          <w:trHeight w:val="33"/>
        </w:trPr>
        <w:tc>
          <w:tcPr>
            <w:tcW w:w="834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900" w:type="dxa"/>
            <w:vAlign w:val="bottom"/>
            <w:tcBorders>
              <w:bottom w:val="single" w:sz="8" w:color="auto"/>
            </w:tcBorders>
            <w:shd w:val="clear" w:color="auto" w:fill="CCFFCC"/>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(3,047)</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(654)</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1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(794)</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2,794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2,697</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2,578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1,981</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2,152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1,058</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Deferred income taxes and other non-cash tax items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Provision for doubtful accounts, net</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271</w:t>
            </w:r>
          </w:p>
        </w:tc>
      </w:tr>
      <w:tr>
        <w:trPr>
          <w:trHeight w:val="303"/>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(4,609)</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(2,544)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(3,930)</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460</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1,114</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(3,828)</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(1,776)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(1,586)</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(414)</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operating activities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(7,580)</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(2,999)</w:t>
            </w:r>
          </w:p>
        </w:tc>
      </w:tr>
      <w:tr>
        <w:trPr>
          <w:trHeight w:val="297"/>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(1,783)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(1,456)</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Investment in technology licenses</w:t>
            </w:r>
          </w:p>
        </w:tc>
        <w:tc>
          <w:tcPr>
            <w:tcW w:w="9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(3,174)</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40" w:type="dxa"/>
            <w:vAlign w:val="bottom"/>
            <w:shd w:val="clear" w:color="auto" w:fill="CCFFCC"/>
          </w:tcPr>
          <w:p>
            <w:pPr>
              <w:spacing w:after="0"/>
              <w:rPr>
                <w:sz w:val="23"/>
                <w:szCs w:val="23"/>
                <w:color w:val="auto"/>
              </w:rPr>
            </w:pPr>
          </w:p>
        </w:tc>
        <w:tc>
          <w:tcPr>
            <w:tcW w:w="6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(1,783)</w:t>
            </w:r>
          </w:p>
        </w:tc>
        <w:tc>
          <w:tcPr>
            <w:tcW w:w="120" w:type="dxa"/>
            <w:vAlign w:val="bottom"/>
            <w:tcBorders>
              <w:bottom w:val="single" w:sz="8" w:color="CCFFC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(4,755)</w:t>
            </w:r>
          </w:p>
        </w:tc>
      </w:tr>
      <w:tr>
        <w:trPr>
          <w:trHeight w:val="297"/>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Excess tax benefit from the exercise of employee stock options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751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2,978</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(2,058)</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(7,841)</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(4,863)</w:t>
            </w:r>
          </w:p>
        </w:tc>
      </w:tr>
      <w:tr>
        <w:trPr>
          <w:trHeight w:val="25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84</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94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(8,536)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(12,533)</w:t>
            </w: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7"/>
              </w:rPr>
              <w:t>49,372</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91,906</w:t>
            </w:r>
          </w:p>
        </w:tc>
      </w:tr>
      <w:tr>
        <w:trPr>
          <w:trHeight w:val="283"/>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40,836</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79,373</w:t>
            </w:r>
          </w:p>
        </w:tc>
      </w:tr>
      <w:tr>
        <w:trPr>
          <w:trHeight w:val="264"/>
        </w:trPr>
        <w:tc>
          <w:tcPr>
            <w:tcW w:w="834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Cash paid for income taxes</w:t>
            </w:r>
          </w:p>
        </w:tc>
        <w:tc>
          <w:tcPr>
            <w:tcW w:w="940" w:type="dxa"/>
            <w:vAlign w:val="bottom"/>
            <w:tcBorders>
              <w:bottom w:val="single" w:sz="8" w:color="auto"/>
            </w:tcBorders>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583</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1,037</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1,174</w:t>
            </w:r>
          </w:p>
        </w:tc>
      </w:tr>
      <w:tr>
        <w:trPr>
          <w:trHeight w:val="21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Acquisition costs in connection with NexGraph recorded in accrued expenses</w:t>
            </w:r>
          </w:p>
        </w:tc>
        <w:tc>
          <w:tcPr>
            <w:tcW w:w="940" w:type="dxa"/>
            <w:vAlign w:val="bottom"/>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375</w:t>
            </w:r>
          </w:p>
        </w:tc>
      </w:tr>
      <w:tr>
        <w:trPr>
          <w:trHeight w:val="20"/>
        </w:trPr>
        <w:tc>
          <w:tcPr>
            <w:tcW w:w="834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offices in Amsterdam, Atlanta, Berlin, London, Mannheim, Melbourne, Milan, Ra'anana, Reading (UK), San Francisco and Tokyo.</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online engagement solutions offering a cloud-based platform which enables businesses to proactively connect with consumers through chat, voice and content delivery, across multiple channels and screens, including websites, social media, tablets and mobile devices. The Company’s engagements are driven by insights derived from a broad set of consumer and business data, including historical, behavioral, operational, and third party data. Each engagement is based on proprietary analytics and a real-time understanding of consumer needs and business objectives. The Company’s products, coupled with its domain knowledge and industry expertise, have been proven to maximize the effectiveness of the online channel — by increasing sales, as well as consumer satisfaction and loyalty ratings for its customers, while also enabling its customers to reduce consumer service costs.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LivePerson monitors and analyzes valuable online consumer behavioral data on behalf of its customers. Spanning the breadth of an online visitor session, starting from an initial keyword search through actions on their customer’s website, and even into a shopping cart and an executed sale, this data enables the Company to develop unique insights into consumer behavior during specific transactions within a customer’s user base.</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March 31, 2015 and for the three months ended March 31, 2015 and 2014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2015, and the consolidated results of operations, comprehensive loss and cash flows for the interim periods ended March 31, 2015 and 2014.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2014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2014, included in the Company’s Annual Report on Form 10-K filed with the SEC on March 12,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On February 18, 2015, the Financial Accounting Standards Board (“FASB”) issued Accounting Standards Update (“ASU”) 2015-02, </w:t>
      </w:r>
      <w:r>
        <w:rPr>
          <w:rFonts w:ascii="Arial" w:cs="Arial" w:eastAsia="Arial" w:hAnsi="Arial"/>
          <w:sz w:val="16"/>
          <w:szCs w:val="16"/>
          <w:i w:val="1"/>
          <w:iCs w:val="1"/>
          <w:color w:val="auto"/>
        </w:rPr>
        <w:t>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Amendments to the Consolidation Analysis </w:t>
      </w:r>
      <w:r>
        <w:rPr>
          <w:rFonts w:ascii="Arial" w:cs="Arial" w:eastAsia="Arial" w:hAnsi="Arial"/>
          <w:sz w:val="18"/>
          <w:szCs w:val="18"/>
          <w:color w:val="auto"/>
        </w:rPr>
        <w:t>(“ASU 2015-02”), which affects reporting entities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302" w:lineRule="auto"/>
        <w:rPr>
          <w:sz w:val="20"/>
          <w:szCs w:val="20"/>
          <w:color w:val="auto"/>
        </w:rPr>
      </w:pPr>
      <w:r>
        <w:rPr>
          <w:rFonts w:ascii="Arial" w:cs="Arial" w:eastAsia="Arial" w:hAnsi="Arial"/>
          <w:sz w:val="16"/>
          <w:szCs w:val="16"/>
          <w:color w:val="auto"/>
        </w:rPr>
        <w:t>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The Company does not expect to early adopt ASU 2015-02, which will be effective for its fiscal year ending December 31, 2016. The Company does not believe the standard will have a material impact on its consolidated financial statements.</w:t>
      </w:r>
    </w:p>
    <w:p>
      <w:pPr>
        <w:spacing w:after="0" w:line="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will adopt this guidance at the beginning of its first quarter of fiscal year 2017. Adoption of this guidance is not expected to have a material impact on the Company's consolidated financial statements or disclosures.</w:t>
      </w:r>
    </w:p>
    <w:p>
      <w:pPr>
        <w:spacing w:after="0" w:line="27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ASU 2009-13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Diluted net loss per common share for the three months ended March 31, 2015 and 2014 does not include the effect of options to purchase 10,152,741 and 9,678,582 shares of common stock, respectively, as the effect of their inclusion is anti-dilutive.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580" w:type="dxa"/>
            <w:vAlign w:val="bottom"/>
          </w:tcPr>
          <w:p>
            <w:pPr>
              <w:spacing w:after="0"/>
              <w:rPr>
                <w:sz w:val="24"/>
                <w:szCs w:val="24"/>
                <w:color w:val="auto"/>
              </w:rPr>
            </w:pPr>
          </w:p>
        </w:tc>
        <w:tc>
          <w:tcPr>
            <w:tcW w:w="1880" w:type="dxa"/>
            <w:vAlign w:val="bottom"/>
            <w:tcBorders>
              <w:bottom w:val="single" w:sz="8" w:color="auto"/>
            </w:tcBorders>
            <w:gridSpan w:val="3"/>
          </w:tcPr>
          <w:p>
            <w:pPr>
              <w:jc w:val="center"/>
              <w:ind w:left="903"/>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FFCC"/>
            </w:tcBorders>
          </w:tcPr>
          <w:p>
            <w:pPr>
              <w:spacing w:after="0"/>
              <w:rPr>
                <w:sz w:val="22"/>
                <w:szCs w:val="22"/>
                <w:color w:val="auto"/>
              </w:rPr>
            </w:pPr>
          </w:p>
        </w:tc>
        <w:tc>
          <w:tcPr>
            <w:tcW w:w="13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36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56,291,383</w:t>
            </w:r>
          </w:p>
        </w:tc>
        <w:tc>
          <w:tcPr>
            <w:tcW w:w="12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54,666,535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188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FFC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36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56,291,383</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54,666,535</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and income tax expense because management does not use this information to measure performance of the operating segments. There are currently no inter-segment sales.</w:t>
      </w:r>
    </w:p>
    <w:p>
      <w:pPr>
        <w:spacing w:after="0" w:line="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50,613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50,613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3,696</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5,461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5,461</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56,074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59,770</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15,617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16,254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22,852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24,294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1,313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19,964</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19,964</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16,292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(19,964)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2014,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39,680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39,680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3,910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3,910</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4,238</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43,918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3,910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47,828</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11,735</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16,918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1,477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18,395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18,450</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18,450</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15,590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(942)</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r>
      <w:tr>
        <w:trPr>
          <w:trHeight w:val="250"/>
        </w:trPr>
        <w:tc>
          <w:tcPr>
            <w:tcW w:w="8580" w:type="dxa"/>
            <w:vAlign w:val="bottom"/>
            <w:tcBorders>
              <w:bottom w:val="single" w:sz="8" w:color="CCFFC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41,442</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31,098</w:t>
            </w:r>
          </w:p>
        </w:tc>
      </w:tr>
      <w:tr>
        <w:trPr>
          <w:trHeight w:val="270"/>
        </w:trPr>
        <w:tc>
          <w:tcPr>
            <w:tcW w:w="858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2,703</w:t>
            </w:r>
          </w:p>
        </w:tc>
        <w:tc>
          <w:tcPr>
            <w:tcW w:w="100" w:type="dxa"/>
            <w:vAlign w:val="bottom"/>
            <w:tcBorders>
              <w:bottom w:val="single" w:sz="8" w:color="CCFFC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2,150</w:t>
            </w:r>
          </w:p>
        </w:tc>
      </w:tr>
      <w:tr>
        <w:trPr>
          <w:trHeight w:val="230"/>
        </w:trPr>
        <w:tc>
          <w:tcPr>
            <w:tcW w:w="85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3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44,145</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33,248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EMEA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11,784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10,515</w:t>
            </w:r>
          </w:p>
        </w:tc>
      </w:tr>
      <w:tr>
        <w:trPr>
          <w:trHeight w:val="270"/>
        </w:trPr>
        <w:tc>
          <w:tcPr>
            <w:tcW w:w="858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3,841</w:t>
            </w:r>
          </w:p>
        </w:tc>
        <w:tc>
          <w:tcPr>
            <w:tcW w:w="100" w:type="dxa"/>
            <w:vAlign w:val="bottom"/>
            <w:shd w:val="clear" w:color="auto" w:fill="CCFFCC"/>
          </w:tcPr>
          <w:p>
            <w:pPr>
              <w:spacing w:after="0"/>
              <w:rPr>
                <w:sz w:val="23"/>
                <w:szCs w:val="23"/>
                <w:color w:val="auto"/>
              </w:rPr>
            </w:pPr>
          </w:p>
        </w:tc>
        <w:tc>
          <w:tcPr>
            <w:tcW w:w="40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4,065</w:t>
            </w:r>
          </w:p>
        </w:tc>
      </w:tr>
      <w:tr>
        <w:trPr>
          <w:trHeight w:val="244"/>
        </w:trPr>
        <w:tc>
          <w:tcPr>
            <w:tcW w:w="85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59,770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47,828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109,517</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109,006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18,173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18,982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8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8,132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8,500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7,709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7,686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FFCC"/>
          </w:tcPr>
          <w:p>
            <w:pPr>
              <w:spacing w:after="0"/>
              <w:rPr>
                <w:sz w:val="23"/>
                <w:szCs w:val="23"/>
                <w:color w:val="auto"/>
              </w:rPr>
            </w:pPr>
          </w:p>
        </w:tc>
        <w:tc>
          <w:tcPr>
            <w:tcW w:w="12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1,940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145,509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146,114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One customer accounted for approximately 16% and 22% of accounts receivable as of March 31, 2015 and December 31, 2014,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2015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9"/>
              </w:rPr>
              <w:t>Business</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Consumer</w:t>
            </w:r>
          </w:p>
        </w:tc>
        <w:tc>
          <w:tcPr>
            <w:tcW w:w="100" w:type="dxa"/>
            <w:vAlign w:val="bottom"/>
            <w:tcBorders>
              <w:bottom w:val="single" w:sz="8" w:color="CCFFC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2014</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FFCC"/>
            </w:tcBorders>
            <w:gridSpan w:val="5"/>
            <w:shd w:val="clear" w:color="auto" w:fill="CCFFCC"/>
          </w:tcPr>
          <w:p>
            <w:pPr>
              <w:jc w:val="right"/>
              <w:ind w:right="46"/>
              <w:spacing w:after="0"/>
              <w:rPr>
                <w:sz w:val="20"/>
                <w:szCs w:val="20"/>
                <w:color w:val="auto"/>
              </w:rPr>
            </w:pPr>
            <w:r>
              <w:rPr>
                <w:rFonts w:ascii="Arial" w:cs="Arial" w:eastAsia="Arial" w:hAnsi="Arial"/>
                <w:sz w:val="16"/>
                <w:szCs w:val="16"/>
                <w:color w:val="auto"/>
              </w:rPr>
              <w:t>72,824</w:t>
            </w:r>
          </w:p>
        </w:tc>
        <w:tc>
          <w:tcPr>
            <w:tcW w:w="820" w:type="dxa"/>
            <w:vAlign w:val="bottom"/>
            <w:tcBorders>
              <w:bottom w:val="single" w:sz="8" w:color="CCFFCC"/>
            </w:tcBorders>
            <w:gridSpan w:val="2"/>
            <w:shd w:val="clear" w:color="auto" w:fill="CCFFCC"/>
          </w:tcPr>
          <w:p>
            <w:pPr>
              <w:jc w:val="center"/>
              <w:ind w:right="384"/>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99"/>
              </w:rPr>
              <w:t>8,024</w:t>
            </w: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gridSpan w:val="2"/>
            <w:shd w:val="clear" w:color="auto" w:fill="CCFFCC"/>
          </w:tcPr>
          <w:p>
            <w:pPr>
              <w:jc w:val="right"/>
              <w:ind w:right="23"/>
              <w:spacing w:after="0"/>
              <w:rPr>
                <w:sz w:val="20"/>
                <w:szCs w:val="20"/>
                <w:color w:val="auto"/>
              </w:rPr>
            </w:pPr>
            <w:r>
              <w:rPr>
                <w:rFonts w:ascii="Arial" w:cs="Arial" w:eastAsia="Arial" w:hAnsi="Arial"/>
                <w:sz w:val="16"/>
                <w:szCs w:val="16"/>
                <w:color w:val="auto"/>
              </w:rPr>
              <w:t>80,848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gridSpan w:val="2"/>
            <w:shd w:val="clear" w:color="auto" w:fill="CCFFCC"/>
          </w:tcPr>
          <w:p>
            <w:pPr>
              <w:jc w:val="right"/>
              <w:ind w:right="6"/>
              <w:spacing w:after="0"/>
              <w:rPr>
                <w:sz w:val="20"/>
                <w:szCs w:val="20"/>
                <w:color w:val="auto"/>
              </w:rPr>
            </w:pPr>
            <w:r>
              <w:rPr>
                <w:rFonts w:ascii="Arial" w:cs="Arial" w:eastAsia="Arial" w:hAnsi="Arial"/>
                <w:sz w:val="16"/>
                <w:szCs w:val="16"/>
                <w:color w:val="auto"/>
                <w:w w:val="90"/>
              </w:rPr>
              <w:t>(538)</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March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5"/>
          </w:tcPr>
          <w:p>
            <w:pPr>
              <w:jc w:val="right"/>
              <w:ind w:right="46"/>
              <w:spacing w:after="0"/>
              <w:rPr>
                <w:sz w:val="20"/>
                <w:szCs w:val="20"/>
                <w:color w:val="auto"/>
              </w:rPr>
            </w:pPr>
            <w:r>
              <w:rPr>
                <w:rFonts w:ascii="Arial" w:cs="Arial" w:eastAsia="Arial" w:hAnsi="Arial"/>
                <w:sz w:val="16"/>
                <w:szCs w:val="16"/>
                <w:color w:val="auto"/>
              </w:rPr>
              <w:t>72,286</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center"/>
              <w:ind w:right="504"/>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8,024</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80,310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960" w:type="dxa"/>
            <w:vAlign w:val="bottom"/>
            <w:gridSpan w:val="14"/>
          </w:tcPr>
          <w:p>
            <w:pPr>
              <w:ind w:left="660"/>
              <w:spacing w:after="0"/>
              <w:rPr>
                <w:sz w:val="20"/>
                <w:szCs w:val="20"/>
                <w:color w:val="auto"/>
              </w:rPr>
            </w:pPr>
            <w:r>
              <w:rPr>
                <w:rFonts w:ascii="Arial" w:cs="Arial" w:eastAsia="Arial" w:hAnsi="Arial"/>
                <w:sz w:val="18"/>
                <w:szCs w:val="18"/>
                <w:color w:val="auto"/>
                <w:w w:val="92"/>
              </w:rPr>
              <w:t>The changes in the carrying amount of goodwill for the year ended December 31, 2014 are as follows (amounts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74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9"/>
              </w:rPr>
              <w:t>Business</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Consumer</w:t>
            </w:r>
          </w:p>
        </w:tc>
        <w:tc>
          <w:tcPr>
            <w:tcW w:w="100" w:type="dxa"/>
            <w:vAlign w:val="bottom"/>
            <w:tcBorders>
              <w:bottom w:val="single" w:sz="8" w:color="CCFFC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2013</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FFCC"/>
            </w:tcBorders>
            <w:gridSpan w:val="5"/>
            <w:shd w:val="clear" w:color="auto" w:fill="CCFFCC"/>
          </w:tcPr>
          <w:p>
            <w:pPr>
              <w:jc w:val="right"/>
              <w:ind w:right="46"/>
              <w:spacing w:after="0"/>
              <w:rPr>
                <w:sz w:val="20"/>
                <w:szCs w:val="20"/>
                <w:color w:val="auto"/>
              </w:rPr>
            </w:pPr>
            <w:r>
              <w:rPr>
                <w:rFonts w:ascii="Arial" w:cs="Arial" w:eastAsia="Arial" w:hAnsi="Arial"/>
                <w:sz w:val="16"/>
                <w:szCs w:val="16"/>
                <w:color w:val="auto"/>
              </w:rPr>
              <w:t>24,700</w:t>
            </w:r>
          </w:p>
        </w:tc>
        <w:tc>
          <w:tcPr>
            <w:tcW w:w="820" w:type="dxa"/>
            <w:vAlign w:val="bottom"/>
            <w:tcBorders>
              <w:bottom w:val="single" w:sz="8" w:color="CCFFCC"/>
            </w:tcBorders>
            <w:gridSpan w:val="2"/>
            <w:shd w:val="clear" w:color="auto" w:fill="CCFFCC"/>
          </w:tcPr>
          <w:p>
            <w:pPr>
              <w:jc w:val="center"/>
              <w:ind w:right="384"/>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99"/>
              </w:rPr>
              <w:t>8,024</w:t>
            </w: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gridSpan w:val="2"/>
            <w:shd w:val="clear" w:color="auto" w:fill="CCFFCC"/>
          </w:tcPr>
          <w:p>
            <w:pPr>
              <w:jc w:val="right"/>
              <w:ind w:right="23"/>
              <w:spacing w:after="0"/>
              <w:rPr>
                <w:sz w:val="20"/>
                <w:szCs w:val="20"/>
                <w:color w:val="auto"/>
              </w:rPr>
            </w:pPr>
            <w:r>
              <w:rPr>
                <w:rFonts w:ascii="Arial" w:cs="Arial" w:eastAsia="Arial" w:hAnsi="Arial"/>
                <w:sz w:val="16"/>
                <w:szCs w:val="16"/>
                <w:color w:val="auto"/>
              </w:rPr>
              <w:t>32,724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Acquisitions</w:t>
            </w:r>
          </w:p>
        </w:tc>
        <w:tc>
          <w:tcPr>
            <w:tcW w:w="14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gridSpan w:val="5"/>
            <w:shd w:val="clear" w:color="auto" w:fill="CCFFCC"/>
          </w:tcPr>
          <w:p>
            <w:pPr>
              <w:jc w:val="right"/>
              <w:ind w:right="46"/>
              <w:spacing w:after="0"/>
              <w:rPr>
                <w:sz w:val="20"/>
                <w:szCs w:val="20"/>
                <w:color w:val="auto"/>
              </w:rPr>
            </w:pPr>
            <w:r>
              <w:rPr>
                <w:rFonts w:ascii="Arial" w:cs="Arial" w:eastAsia="Arial" w:hAnsi="Arial"/>
                <w:sz w:val="16"/>
                <w:szCs w:val="16"/>
                <w:color w:val="auto"/>
              </w:rPr>
              <w:t>48,124</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gridSpan w:val="2"/>
            <w:shd w:val="clear" w:color="auto" w:fill="CCFFCC"/>
          </w:tcPr>
          <w:p>
            <w:pPr>
              <w:jc w:val="right"/>
              <w:ind w:right="23"/>
              <w:spacing w:after="0"/>
              <w:rPr>
                <w:sz w:val="20"/>
                <w:szCs w:val="20"/>
                <w:color w:val="auto"/>
              </w:rPr>
            </w:pPr>
            <w:r>
              <w:rPr>
                <w:rFonts w:ascii="Arial" w:cs="Arial" w:eastAsia="Arial" w:hAnsi="Arial"/>
                <w:sz w:val="16"/>
                <w:szCs w:val="16"/>
                <w:color w:val="auto"/>
              </w:rPr>
              <w:t>48,124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5"/>
          </w:tcPr>
          <w:p>
            <w:pPr>
              <w:jc w:val="right"/>
              <w:ind w:right="46"/>
              <w:spacing w:after="0"/>
              <w:rPr>
                <w:sz w:val="20"/>
                <w:szCs w:val="20"/>
                <w:color w:val="auto"/>
              </w:rPr>
            </w:pPr>
            <w:r>
              <w:rPr>
                <w:rFonts w:ascii="Arial" w:cs="Arial" w:eastAsia="Arial" w:hAnsi="Arial"/>
                <w:sz w:val="16"/>
                <w:szCs w:val="16"/>
                <w:color w:val="auto"/>
              </w:rPr>
              <w:t>72,824</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center"/>
              <w:ind w:right="504"/>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8,024</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80,848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660"/>
              <w:spacing w:after="0"/>
              <w:rPr>
                <w:sz w:val="20"/>
                <w:szCs w:val="20"/>
                <w:color w:val="auto"/>
              </w:rPr>
            </w:pPr>
            <w:r>
              <w:rPr>
                <w:rFonts w:ascii="Arial" w:cs="Arial" w:eastAsia="Arial" w:hAnsi="Arial"/>
                <w:sz w:val="18"/>
                <w:szCs w:val="18"/>
                <w:color w:val="auto"/>
                <w:w w:val="92"/>
              </w:rPr>
              <w:t>Intangible assets are summarized as follows (see Note 8) (amounts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As of March 31, 2015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0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7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5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28,005</w:t>
            </w:r>
          </w:p>
        </w:tc>
        <w:tc>
          <w:tcPr>
            <w:tcW w:w="20" w:type="dxa"/>
            <w:vAlign w:val="bottom"/>
          </w:tcPr>
          <w:p>
            <w:pPr>
              <w:spacing w:after="0"/>
              <w:rPr>
                <w:sz w:val="20"/>
                <w:szCs w:val="20"/>
                <w:color w:val="auto"/>
              </w:rPr>
            </w:pPr>
          </w:p>
        </w:tc>
        <w:tc>
          <w:tcPr>
            <w:tcW w:w="440" w:type="dxa"/>
            <w:vAlign w:val="bottom"/>
            <w:gridSpan w:val="2"/>
          </w:tcPr>
          <w:p>
            <w:pPr>
              <w:jc w:val="right"/>
              <w:ind w:right="126"/>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(12,379)</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15,626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5.3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16,008</w:t>
            </w: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(4,818)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gridSpan w:val="5"/>
            <w:shd w:val="clear" w:color="auto" w:fill="CCFFCC"/>
          </w:tcPr>
          <w:p>
            <w:pPr>
              <w:jc w:val="right"/>
              <w:ind w:right="100"/>
              <w:spacing w:after="0"/>
              <w:rPr>
                <w:sz w:val="20"/>
                <w:szCs w:val="20"/>
                <w:color w:val="auto"/>
              </w:rPr>
            </w:pPr>
            <w:r>
              <w:rPr>
                <w:rFonts w:ascii="Arial" w:cs="Arial" w:eastAsia="Arial" w:hAnsi="Arial"/>
                <w:sz w:val="16"/>
                <w:szCs w:val="16"/>
                <w:color w:val="auto"/>
              </w:rPr>
              <w:t>11,190</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7.9 years</w:t>
            </w: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341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2.8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1,446</w:t>
            </w: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gridSpan w:val="5"/>
            <w:shd w:val="clear" w:color="auto" w:fill="CCFFCC"/>
          </w:tcPr>
          <w:p>
            <w:pPr>
              <w:jc w:val="right"/>
              <w:ind w:right="100"/>
              <w:spacing w:after="0"/>
              <w:rPr>
                <w:sz w:val="20"/>
                <w:szCs w:val="20"/>
                <w:color w:val="auto"/>
              </w:rPr>
            </w:pPr>
            <w:r>
              <w:rPr>
                <w:rFonts w:ascii="Arial" w:cs="Arial" w:eastAsia="Arial" w:hAnsi="Arial"/>
                <w:sz w:val="16"/>
                <w:szCs w:val="16"/>
                <w:color w:val="auto"/>
              </w:rPr>
              <w:t>725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2.3 years</w:t>
            </w: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2,706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9.9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5"/>
            <w:shd w:val="clear" w:color="auto" w:fill="CCFFCC"/>
          </w:tcPr>
          <w:p>
            <w:pPr>
              <w:jc w:val="right"/>
              <w:ind w:right="100"/>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50,348</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(19,719)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gridSpan w:val="5"/>
          </w:tcPr>
          <w:p>
            <w:pPr>
              <w:jc w:val="right"/>
              <w:ind w:right="100"/>
              <w:spacing w:after="0"/>
              <w:rPr>
                <w:sz w:val="20"/>
                <w:szCs w:val="20"/>
                <w:color w:val="auto"/>
              </w:rPr>
            </w:pPr>
            <w:r>
              <w:rPr>
                <w:rFonts w:ascii="Arial" w:cs="Arial" w:eastAsia="Arial" w:hAnsi="Arial"/>
                <w:sz w:val="16"/>
                <w:szCs w:val="16"/>
                <w:color w:val="auto"/>
              </w:rPr>
              <w:t>30,629</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2"/>
              </w:rPr>
              <w:t>As of December 31, 2014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23"/>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2"/>
                <w:szCs w:val="12"/>
                <w:color w:val="auto"/>
              </w:rPr>
            </w:pPr>
          </w:p>
        </w:tc>
        <w:tc>
          <w:tcPr>
            <w:tcW w:w="11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0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7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5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27,844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20"/>
                <w:szCs w:val="20"/>
                <w:color w:val="auto"/>
              </w:rPr>
            </w:pPr>
          </w:p>
        </w:tc>
        <w:tc>
          <w:tcPr>
            <w:tcW w:w="820" w:type="dxa"/>
            <w:vAlign w:val="bottom"/>
            <w:gridSpan w:val="2"/>
          </w:tcPr>
          <w:p>
            <w:pPr>
              <w:jc w:val="right"/>
              <w:ind w:right="4"/>
              <w:spacing w:after="0"/>
              <w:rPr>
                <w:sz w:val="20"/>
                <w:szCs w:val="20"/>
                <w:color w:val="auto"/>
              </w:rPr>
            </w:pPr>
            <w:r>
              <w:rPr>
                <w:rFonts w:ascii="Arial" w:cs="Arial" w:eastAsia="Arial" w:hAnsi="Arial"/>
                <w:sz w:val="16"/>
                <w:szCs w:val="16"/>
                <w:color w:val="auto"/>
              </w:rPr>
              <w:t>(11,303)</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16,541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5.3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16,008</w:t>
            </w: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4"/>
              <w:spacing w:after="0"/>
              <w:rPr>
                <w:sz w:val="20"/>
                <w:szCs w:val="20"/>
                <w:color w:val="auto"/>
              </w:rPr>
            </w:pPr>
            <w:r>
              <w:rPr>
                <w:rFonts w:ascii="Arial" w:cs="Arial" w:eastAsia="Arial" w:hAnsi="Arial"/>
                <w:sz w:val="16"/>
                <w:szCs w:val="16"/>
                <w:color w:val="auto"/>
              </w:rPr>
              <w:t>(4,055)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6"/>
                <w:szCs w:val="16"/>
                <w:color w:val="auto"/>
              </w:rPr>
              <w:t>11,953</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7.9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4"/>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2.8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4"/>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821</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2.3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4"/>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9.9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4"/>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50,187</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(17,567)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32,620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$2.2 million and $1.1 million for the three months ended March 31, 2015 and 2014, respectively. For the three months ended March 31, 2015 and 2014, respectively, a portion of this amortization is included in cost of revenue. Estimated amortization expense for the next five years is as follows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2015</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5,828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6,755</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4,934</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2,815</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2,809</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7,488</w:t>
            </w: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30,629</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59,122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55,293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9,439</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68,700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64,732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(45,149)</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20,973</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19,583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accrued and other current liabilities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15,373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9,258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3,268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Contingent earnout (see Notes 8 and 9)</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2,869</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2,933</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31,531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37,772</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of the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price was approximately $10.6 million. The total acquisition costs incurred in the year ended December 31, 2012 were approximately $0.5 million and are included in general and administrative expenses in the Company’s condensed consolidated statements of operations for the same period. The acquisition enhances the Company’s ability to offer intelligent engagement solutions to businesses in the Asia Pacific region. Of the total purchase price, $0.8 million was allocated to the net book values of the acquired assets and assumed liabilities. The historical carrying amounts of such assets and liabilities approximated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March 31, 2015 condensed consolidated balance sheets, due to the variable number of shares that will be issued if and when the targets are achieved. The Company assessed this earn-out at March 31, 2015 with no change from the original estimate. There was a decrease in the liability during the quarter ended March 31, 2015 as a result of a payment made of $0.3 million. The Company will assess the earn-out calculation in future periods and any future adjustments will affect operating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NexGraph,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11, 2014, the Company acquired all the outstanding shares of NexGraph, LLC (“NexGraph”), a company focused on analytic solutions, in exchange for aggregate cash consideration of $0.5 million. Of the purchase price, $0.1 million was allocated to Intangibles, net, of which was fully amortized as of March 31, 2015; and $0.4 million of the purchase price was allocated to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condensed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will be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March 31, 2015 condensed consolidated balance sheet, due to the variable number of shares that will be issued if and when the targets are achieved. The Company has assessed the earn-out calculation at March 31, 2015, with no change from the original estimate, and will assess the earn-out calculation in future periods and any future adjustments will affect operating income.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intangible assets are as follows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Average Useful</w:t>
            </w:r>
          </w:p>
        </w:tc>
        <w:tc>
          <w:tcPr>
            <w:tcW w:w="480" w:type="dxa"/>
            <w:vAlign w:val="bottom"/>
          </w:tcPr>
          <w:p>
            <w:pPr>
              <w:spacing w:after="0"/>
              <w:rPr>
                <w:sz w:val="12"/>
                <w:szCs w:val="12"/>
                <w:color w:val="auto"/>
              </w:rPr>
            </w:pPr>
          </w:p>
        </w:tc>
        <w:tc>
          <w:tcPr>
            <w:tcW w:w="1780" w:type="dxa"/>
            <w:vAlign w:val="bottom"/>
            <w:vMerge w:val="restart"/>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rPr>
              <w:t>Life (Months)</w:t>
            </w:r>
          </w:p>
        </w:tc>
        <w:tc>
          <w:tcPr>
            <w:tcW w:w="4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Technology</w:t>
            </w:r>
          </w:p>
        </w:tc>
        <w:tc>
          <w:tcPr>
            <w:tcW w:w="230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120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480" w:type="dxa"/>
            <w:vAlign w:val="bottom"/>
            <w:tcBorders>
              <w:top w:val="single" w:sz="8" w:color="auto"/>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Trade-name</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Customer relationships</w:t>
            </w:r>
          </w:p>
        </w:tc>
        <w:tc>
          <w:tcPr>
            <w:tcW w:w="23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17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Non-compete agreements</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FFCC"/>
            </w:tcBorders>
            <w:shd w:val="clear" w:color="auto" w:fill="CCFFCC"/>
          </w:tcPr>
          <w:p>
            <w:pPr>
              <w:spacing w:after="0"/>
              <w:rPr>
                <w:sz w:val="21"/>
                <w:szCs w:val="21"/>
                <w:color w:val="auto"/>
              </w:rPr>
            </w:pPr>
          </w:p>
        </w:tc>
        <w:tc>
          <w:tcPr>
            <w:tcW w:w="2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23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 The Company is in the process of finalizing all fair value and purchase accounting adjustments.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7"/>
          <w:szCs w:val="17"/>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includes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has classified this amount as a liability and is included in accrued expenses in the December 31, 2014 consolidated balance sheet. The Company has assessed this earn-out at March 31, 2015, with no change from the original estimate, and will assess the earn-out calculation in future periods and any future adjustments will affect operating income.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Management’s preliminary allocation of the purchase price in connection with the CAO! acquisition is as follows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Cash</w:t>
            </w:r>
          </w:p>
        </w:tc>
        <w:tc>
          <w:tcPr>
            <w:tcW w:w="22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currents assets</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22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45,064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Liabilities assumed</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64"/>
        </w:trPr>
        <w:tc>
          <w:tcPr>
            <w:tcW w:w="6740" w:type="dxa"/>
            <w:vAlign w:val="bottom"/>
          </w:tcPr>
          <w:p>
            <w:pPr>
              <w:ind w:left="360"/>
              <w:spacing w:after="0"/>
              <w:rPr>
                <w:sz w:val="20"/>
                <w:szCs w:val="20"/>
                <w:color w:val="auto"/>
              </w:rPr>
            </w:pPr>
            <w:r>
              <w:rPr>
                <w:rFonts w:ascii="Arial" w:cs="Arial" w:eastAsia="Arial" w:hAnsi="Arial"/>
                <w:sz w:val="18"/>
                <w:szCs w:val="18"/>
                <w:color w:val="auto"/>
              </w:rPr>
              <w:t>Total purchase price consideration</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66,998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w w:val="95"/>
              </w:rPr>
              <w:t>The components of the intangible assets are as follows (amounts in thousands):</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Average Useful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restart"/>
          </w:tcPr>
          <w:p>
            <w:pPr>
              <w:jc w:val="right"/>
              <w:ind w:right="79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rPr>
              <w:t>Life (Months)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Technology</w:t>
            </w:r>
          </w:p>
        </w:tc>
        <w:tc>
          <w:tcPr>
            <w:tcW w:w="22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96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580" w:type="dxa"/>
            <w:vAlign w:val="bottom"/>
            <w:tcBorders>
              <w:top w:val="single" w:sz="8" w:color="auto"/>
              <w:bottom w:val="single" w:sz="8" w:color="CCFFCC"/>
            </w:tcBorders>
            <w:shd w:val="clear" w:color="auto" w:fill="CCFFCC"/>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480" w:type="dxa"/>
            <w:vAlign w:val="bottom"/>
            <w:tcBorders>
              <w:top w:val="single" w:sz="8" w:color="auto"/>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Trade-name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FFCC"/>
            </w:tcBorders>
            <w:shd w:val="clear" w:color="auto" w:fill="CCFFCC"/>
          </w:tcPr>
          <w:p>
            <w:pPr>
              <w:spacing w:after="0"/>
              <w:rPr>
                <w:sz w:val="22"/>
                <w:szCs w:val="22"/>
                <w:color w:val="auto"/>
              </w:rPr>
            </w:pPr>
          </w:p>
        </w:tc>
        <w:tc>
          <w:tcPr>
            <w:tcW w:w="22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assets and liabilities that are measured at fair value on a recurring basis, by level, within the fair value hierarchy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and December 31, 2014, are summarized as follows (amounts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20"/>
              <w:spacing w:after="0"/>
              <w:rPr>
                <w:sz w:val="20"/>
                <w:szCs w:val="20"/>
                <w:color w:val="auto"/>
              </w:rPr>
            </w:pPr>
            <w:r>
              <w:rPr>
                <w:rFonts w:ascii="Arial" w:cs="Arial" w:eastAsia="Arial" w:hAnsi="Arial"/>
                <w:sz w:val="16"/>
                <w:szCs w:val="16"/>
                <w:b w:val="1"/>
                <w:bCs w:val="1"/>
                <w:color w:val="auto"/>
              </w:rPr>
              <w:t>March 31, 2015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3,088</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3,088</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84"/>
        </w:trPr>
        <w:tc>
          <w:tcPr>
            <w:tcW w:w="412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3,088</w:t>
            </w:r>
          </w:p>
        </w:tc>
        <w:tc>
          <w:tcPr>
            <w:tcW w:w="12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3,088</w:t>
            </w:r>
          </w:p>
        </w:tc>
        <w:tc>
          <w:tcPr>
            <w:tcW w:w="22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3,987</w:t>
            </w:r>
          </w:p>
        </w:tc>
      </w:tr>
      <w:tr>
        <w:trPr>
          <w:trHeight w:val="311"/>
        </w:trPr>
        <w:tc>
          <w:tcPr>
            <w:tcW w:w="4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Contingent earn-out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6,590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6,590</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6,590</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7,013</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only asset that is measured at fair value on a recurring basis is money market funds, based on quoted market prices in active markets and therefore classified as level 1 within the fair value hierarchy. The Company's contingent earn-out liability and foreign currency derivative contract liability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a combination of discounted cash flows and other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contingent earn-out in connection with the acquisition of Engage is $0.7 million and $0.9 million as of March 31, 2015 and December 31, 2014, respectively, and is recorded in accrued expenses in the condensed consolidated balance sheets. This earn-out is based on the potential earn-out consideration if certain revenue targets are achieved. The contingent earn-out balance was increased by $1.8 million in June 2014 in connection with the acquisition of Synchronite and $4.2 million in November 2014 in connection with the acquisition of CAO!. The contingent earn-out amounts are recorded in accrued expense on the condensed consolidated balance sheets as they are payable in 2015. The contingent earn-out relating to Synchronite is based on the fulfillment of a complete product integration and a minimum number of “Co-Browse” interactions per month. The contingent earn-out relating to CAO! is based on achieving certain target financial, strategic and integration objectives and milestones.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Contingent Earn-Out</w:t>
            </w:r>
          </w:p>
        </w:tc>
        <w:tc>
          <w:tcPr>
            <w:tcW w:w="60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2015</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 2014</w:t>
            </w:r>
          </w:p>
        </w:tc>
      </w:tr>
      <w:tr>
        <w:trPr>
          <w:trHeight w:val="236"/>
        </w:trPr>
        <w:tc>
          <w:tcPr>
            <w:tcW w:w="7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6,940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jc w:val="right"/>
              <w:ind w:right="58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1,660</w:t>
            </w:r>
          </w:p>
        </w:tc>
      </w:tr>
      <w:tr>
        <w:trPr>
          <w:trHeight w:val="237"/>
        </w:trPr>
        <w:tc>
          <w:tcPr>
            <w:tcW w:w="7740" w:type="dxa"/>
            <w:vAlign w:val="bottom"/>
          </w:tcPr>
          <w:p>
            <w:pPr>
              <w:ind w:left="160"/>
              <w:spacing w:after="0"/>
              <w:rPr>
                <w:sz w:val="20"/>
                <w:szCs w:val="20"/>
                <w:color w:val="auto"/>
              </w:rPr>
            </w:pPr>
            <w:r>
              <w:rPr>
                <w:rFonts w:ascii="Arial" w:cs="Arial" w:eastAsia="Arial" w:hAnsi="Arial"/>
                <w:sz w:val="16"/>
                <w:szCs w:val="16"/>
                <w:color w:val="auto"/>
              </w:rPr>
              <w:t>Synchronite addition (see Note 8)</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1,810</w:t>
            </w:r>
          </w:p>
        </w:tc>
      </w:tr>
      <w:tr>
        <w:trPr>
          <w:trHeight w:val="33"/>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CAO! addition (see Note 8)</w:t>
            </w:r>
          </w:p>
        </w:tc>
        <w:tc>
          <w:tcPr>
            <w:tcW w:w="16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4,220</w:t>
            </w:r>
          </w:p>
        </w:tc>
      </w:tr>
      <w:tr>
        <w:trPr>
          <w:trHeight w:val="237"/>
        </w:trPr>
        <w:tc>
          <w:tcPr>
            <w:tcW w:w="7740" w:type="dxa"/>
            <w:vAlign w:val="bottom"/>
          </w:tcPr>
          <w:p>
            <w:pPr>
              <w:ind w:left="160"/>
              <w:spacing w:after="0"/>
              <w:rPr>
                <w:sz w:val="20"/>
                <w:szCs w:val="20"/>
                <w:color w:val="auto"/>
              </w:rPr>
            </w:pPr>
            <w:r>
              <w:rPr>
                <w:rFonts w:ascii="Arial" w:cs="Arial" w:eastAsia="Arial" w:hAnsi="Arial"/>
                <w:sz w:val="16"/>
                <w:szCs w:val="16"/>
                <w:color w:val="auto"/>
              </w:rPr>
              <w:t>Cash payment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33"/>
        </w:trPr>
        <w:tc>
          <w:tcPr>
            <w:tcW w:w="77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6,590</w:t>
            </w:r>
          </w:p>
        </w:tc>
        <w:tc>
          <w:tcPr>
            <w:tcW w:w="1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5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exposed to foreign exchange risks that in part are managed by using derivative financial instruments. Beginning January 2015, the Company entered into foreign currency forward contracts related to risks associated with foreign operations. The Company does not use derivatives for trading purposes and at March 31, 2015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5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2015</w:t>
            </w:r>
          </w:p>
        </w:tc>
        <w:tc>
          <w:tcPr>
            <w:tcW w:w="26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6"/>
                <w:szCs w:val="16"/>
                <w:b w:val="1"/>
                <w:bCs w:val="1"/>
                <w:color w:val="auto"/>
              </w:rPr>
              <w:t>March 31, 2014</w:t>
            </w:r>
          </w:p>
        </w:tc>
      </w:tr>
      <w:tr>
        <w:trPr>
          <w:trHeight w:val="33"/>
        </w:trPr>
        <w:tc>
          <w:tcPr>
            <w:tcW w:w="74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38,236</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FFCC"/>
            </w:tcBorders>
            <w:shd w:val="clear" w:color="auto" w:fill="CCFFCC"/>
          </w:tcPr>
          <w:p>
            <w:pPr>
              <w:ind w:left="1380"/>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ind w:left="1380"/>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are summarized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80" w:type="dxa"/>
            <w:vAlign w:val="bottom"/>
            <w:gridSpan w:val="4"/>
          </w:tcPr>
          <w:p>
            <w:pPr>
              <w:ind w:left="360"/>
              <w:spacing w:after="0"/>
              <w:rPr>
                <w:sz w:val="20"/>
                <w:szCs w:val="20"/>
                <w:color w:val="auto"/>
              </w:rPr>
            </w:pPr>
            <w:r>
              <w:rPr>
                <w:rFonts w:ascii="Arial" w:cs="Arial" w:eastAsia="Arial" w:hAnsi="Arial"/>
                <w:sz w:val="16"/>
                <w:szCs w:val="16"/>
                <w:b w:val="1"/>
                <w:bCs w:val="1"/>
                <w:color w:val="auto"/>
              </w:rPr>
              <w:t>Fair Value of Derivative Instruments</w:t>
            </w:r>
          </w:p>
        </w:tc>
      </w:tr>
      <w:tr>
        <w:trPr>
          <w:trHeight w:val="33"/>
        </w:trPr>
        <w:tc>
          <w:tcPr>
            <w:tcW w:w="424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4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2015</w:t>
            </w:r>
          </w:p>
        </w:tc>
        <w:tc>
          <w:tcPr>
            <w:tcW w:w="220" w:type="dxa"/>
            <w:vAlign w:val="bottom"/>
          </w:tcPr>
          <w:p>
            <w:pPr>
              <w:spacing w:after="0"/>
              <w:rPr>
                <w:sz w:val="20"/>
                <w:szCs w:val="20"/>
                <w:color w:val="auto"/>
              </w:rPr>
            </w:pPr>
          </w:p>
        </w:tc>
        <w:tc>
          <w:tcPr>
            <w:tcW w:w="1580" w:type="dxa"/>
            <w:vAlign w:val="bottom"/>
          </w:tcPr>
          <w:p>
            <w:pPr>
              <w:ind w:left="140"/>
              <w:spacing w:after="0"/>
              <w:rPr>
                <w:sz w:val="20"/>
                <w:szCs w:val="20"/>
                <w:color w:val="auto"/>
              </w:rPr>
            </w:pPr>
            <w:r>
              <w:rPr>
                <w:rFonts w:ascii="Arial" w:cs="Arial" w:eastAsia="Arial" w:hAnsi="Arial"/>
                <w:sz w:val="16"/>
                <w:szCs w:val="16"/>
                <w:b w:val="1"/>
                <w:bCs w:val="1"/>
                <w:color w:val="auto"/>
              </w:rPr>
              <w:t>March 31, 2014</w:t>
            </w:r>
          </w:p>
        </w:tc>
      </w:tr>
      <w:tr>
        <w:trPr>
          <w:trHeight w:val="33"/>
        </w:trPr>
        <w:tc>
          <w:tcPr>
            <w:tcW w:w="4240" w:type="dxa"/>
            <w:vAlign w:val="bottom"/>
            <w:tcBorders>
              <w:bottom w:val="single" w:sz="8" w:color="CCFFCC"/>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3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580" w:type="dxa"/>
            <w:vAlign w:val="bottom"/>
            <w:tcBorders>
              <w:bottom w:val="single" w:sz="8" w:color="CCFFCC"/>
            </w:tcBorders>
            <w:shd w:val="clear" w:color="auto" w:fill="CCFFCC"/>
          </w:tcPr>
          <w:p>
            <w:pPr>
              <w:spacing w:after="0"/>
              <w:rPr>
                <w:sz w:val="21"/>
                <w:szCs w:val="2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Derivatives not designated as hedging instruments:</w:t>
            </w: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34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FFCC"/>
          </w:tcPr>
          <w:p>
            <w:pPr>
              <w:ind w:left="130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6840" w:type="dxa"/>
            <w:vAlign w:val="bottom"/>
            <w:gridSpan w:val="7"/>
          </w:tcPr>
          <w:p>
            <w:pPr>
              <w:ind w:left="900"/>
              <w:spacing w:after="0"/>
              <w:rPr>
                <w:sz w:val="20"/>
                <w:szCs w:val="20"/>
                <w:color w:val="auto"/>
              </w:rPr>
            </w:pPr>
            <w:r>
              <w:rPr>
                <w:rFonts w:ascii="Arial" w:cs="Arial" w:eastAsia="Arial" w:hAnsi="Arial"/>
                <w:sz w:val="16"/>
                <w:szCs w:val="16"/>
                <w:b w:val="1"/>
                <w:bCs w:val="1"/>
                <w:color w:val="auto"/>
              </w:rPr>
              <w:t>Gain (losses) on Derivative Instruments Recognized in Income Statement</w:t>
            </w:r>
          </w:p>
        </w:tc>
      </w:tr>
      <w:tr>
        <w:trPr>
          <w:trHeight w:val="33"/>
        </w:trPr>
        <w:tc>
          <w:tcPr>
            <w:tcW w:w="4580" w:type="dxa"/>
            <w:vAlign w:val="bottom"/>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3000" w:type="dxa"/>
            <w:vAlign w:val="bottom"/>
            <w:gridSpan w:val="2"/>
          </w:tcPr>
          <w:p>
            <w:pPr>
              <w:ind w:left="1140"/>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2015</w:t>
            </w:r>
          </w:p>
        </w:tc>
        <w:tc>
          <w:tcPr>
            <w:tcW w:w="260" w:type="dxa"/>
            <w:vAlign w:val="bottom"/>
          </w:tcPr>
          <w:p>
            <w:pPr>
              <w:spacing w:after="0"/>
              <w:rPr>
                <w:sz w:val="20"/>
                <w:szCs w:val="20"/>
                <w:color w:val="auto"/>
              </w:rPr>
            </w:pPr>
          </w:p>
        </w:tc>
        <w:tc>
          <w:tcPr>
            <w:tcW w:w="1660" w:type="dxa"/>
            <w:vAlign w:val="bottom"/>
          </w:tcPr>
          <w:p>
            <w:pPr>
              <w:ind w:left="160"/>
              <w:spacing w:after="0"/>
              <w:rPr>
                <w:sz w:val="20"/>
                <w:szCs w:val="20"/>
                <w:color w:val="auto"/>
              </w:rPr>
            </w:pPr>
            <w:r>
              <w:rPr>
                <w:rFonts w:ascii="Arial" w:cs="Arial" w:eastAsia="Arial" w:hAnsi="Arial"/>
                <w:sz w:val="16"/>
                <w:szCs w:val="16"/>
                <w:b w:val="1"/>
                <w:bCs w:val="1"/>
                <w:color w:val="auto"/>
              </w:rPr>
              <w:t>March 31, 2014</w:t>
            </w:r>
          </w:p>
        </w:tc>
      </w:tr>
      <w:tr>
        <w:trPr>
          <w:trHeight w:val="33"/>
        </w:trPr>
        <w:tc>
          <w:tcPr>
            <w:tcW w:w="4580" w:type="dxa"/>
            <w:vAlign w:val="bottom"/>
            <w:tcBorders>
              <w:bottom w:val="single" w:sz="8" w:color="CCFFCC"/>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3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FFCC"/>
          </w:tcPr>
          <w:p>
            <w:pPr>
              <w:ind w:left="1380"/>
              <w:spacing w:after="0"/>
              <w:rPr>
                <w:sz w:val="20"/>
                <w:szCs w:val="20"/>
                <w:color w:val="auto"/>
              </w:rPr>
            </w:pPr>
            <w:r>
              <w:rPr>
                <w:rFonts w:ascii="Arial" w:cs="Arial" w:eastAsia="Arial" w:hAnsi="Arial"/>
                <w:sz w:val="16"/>
                <w:szCs w:val="16"/>
                <w:color w:val="auto"/>
              </w:rPr>
              <w:t>—</w:t>
            </w:r>
          </w:p>
        </w:tc>
      </w:tr>
      <w:tr>
        <w:trPr>
          <w:trHeight w:val="20"/>
        </w:trPr>
        <w:tc>
          <w:tcPr>
            <w:tcW w:w="4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months ended March 31, 2015 and 2014 was approximately $2.5 million and $2.2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and $0.3 million of employer matching contributions for the three months ended March 31, 2015 and 2014,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2015, there were 100,000,000 shares of common stock authorized, and 57,039,125 shares issued and outstanding. As of December 31, 2014, there were 100,000,000 shares of common stock authorized, and 56,701,331 shares issued and outstanding. The par value for common shares is $0.001.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2015 and December 31, 2014, there were 5,000,000 shares of preferred stock authorized, and zero shares issued and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preferred shares is $0.001.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There were 176,172 shares repurchased under this program during 2015, of which 33,360 shares were recorded in treasury stock at par on the condensed consolidated balance sheets as of March 31, 2015. As of March 31, 2015, approximately $8.2 million remained available for purchase under the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employee stock options under ASC 718-10 included in Company’s statements of operations for the periods presented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FFCC"/>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 of revenue</w:t>
            </w:r>
          </w:p>
        </w:tc>
        <w:tc>
          <w:tcPr>
            <w:tcW w:w="900" w:type="dxa"/>
            <w:vAlign w:val="bottom"/>
            <w:tcBorders>
              <w:bottom w:val="single" w:sz="8" w:color="CCFFCC"/>
            </w:tcBorders>
            <w:shd w:val="clear" w:color="auto" w:fill="CCFFCC"/>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Sales and marketing expense</w:t>
            </w:r>
          </w:p>
        </w:tc>
        <w:tc>
          <w:tcPr>
            <w:tcW w:w="900" w:type="dxa"/>
            <w:vAlign w:val="bottom"/>
          </w:tcPr>
          <w:p>
            <w:pPr>
              <w:spacing w:after="0"/>
              <w:rPr>
                <w:sz w:val="20"/>
                <w:szCs w:val="20"/>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814</w:t>
            </w: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Product development expense</w:t>
            </w:r>
          </w:p>
        </w:tc>
        <w:tc>
          <w:tcPr>
            <w:tcW w:w="9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680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900" w:type="dxa"/>
            <w:vAlign w:val="bottom"/>
          </w:tcPr>
          <w:p>
            <w:pPr>
              <w:spacing w:after="0"/>
              <w:rPr>
                <w:sz w:val="20"/>
                <w:szCs w:val="20"/>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843</w:t>
            </w:r>
          </w:p>
        </w:tc>
      </w:tr>
      <w:tr>
        <w:trPr>
          <w:trHeight w:val="33"/>
        </w:trPr>
        <w:tc>
          <w:tcPr>
            <w:tcW w:w="834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Total stock based compensation included in costs and expenses</w:t>
            </w:r>
          </w:p>
        </w:tc>
        <w:tc>
          <w:tcPr>
            <w:tcW w:w="900" w:type="dxa"/>
            <w:vAlign w:val="bottom"/>
            <w:tcBorders>
              <w:bottom w:val="single" w:sz="8" w:color="auto"/>
            </w:tcBorders>
            <w:shd w:val="clear" w:color="auto" w:fill="CCFFCC"/>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2,794</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2,697</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three months ended March 31, 2015 and 2014 was $4.64 and $6.25, respectively. The fair value of each option grant is estimated on the date of grant using the Black-Scholes option-pricing model with the following weighted average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38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2380" w:type="dxa"/>
            <w:vAlign w:val="bottom"/>
            <w:tcBorders>
              <w:bottom w:val="single" w:sz="8" w:color="auto"/>
            </w:tcBorders>
            <w:gridSpan w:val="3"/>
          </w:tcPr>
          <w:p>
            <w:pPr>
              <w:jc w:val="center"/>
              <w:ind w:left="963"/>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0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461"/>
              <w:spacing w:after="0"/>
              <w:rPr>
                <w:sz w:val="20"/>
                <w:szCs w:val="20"/>
                <w:color w:val="auto"/>
              </w:rPr>
            </w:pPr>
            <w:r>
              <w:rPr>
                <w:rFonts w:ascii="Arial" w:cs="Arial" w:eastAsia="Arial" w:hAnsi="Arial"/>
                <w:sz w:val="16"/>
                <w:szCs w:val="16"/>
                <w:color w:val="auto"/>
                <w:w w:val="93"/>
              </w:rPr>
              <w:t>0.0%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3"/>
              </w:rPr>
              <w:t>1.5%</w:t>
            </w:r>
          </w:p>
        </w:tc>
      </w:tr>
      <w:tr>
        <w:trPr>
          <w:trHeight w:val="33"/>
        </w:trPr>
        <w:tc>
          <w:tcPr>
            <w:tcW w:w="8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49.7%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2"/>
              </w:rPr>
              <w:t>53.7%</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March 31, 2015, approximately 13,100,000 shares of common stock were reserved for issuance under the 2009 Plan (taking into account all option exercises through March 31,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As of March 31, 2015, approximately 519,000 shares of common stock were reserved for issuance under the Employee Stock Purchase Plan (taking into account all share purchases through March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460"/>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2014</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10,769,149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434,550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(430,533)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(620,425)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March 31, 2015</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10,152,741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 at March 31, 2015</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8,600,976</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March 31, 2015</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4,354,151</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three months ended March 31, 2015 was approximately $1.1 million. As of March 31, 2015, there was approximately $25.6 million of total unrecognized compensation cost related to nonvested share-based compensation arrangements. That cost is expected to be recognized over a weighted average period of approximately 2.6 years.</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summary of the status of the Company’s nonvested shares as of December 31, 2014, and changes during the three months ended March 31, 2015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302"/>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6"/>
              </w:rPr>
              <w:t>Average Grant-</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FFCC"/>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Shares at December 31, 2014</w:t>
            </w:r>
          </w:p>
        </w:tc>
        <w:tc>
          <w:tcPr>
            <w:tcW w:w="13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6,032,315</w:t>
            </w:r>
          </w:p>
        </w:tc>
        <w:tc>
          <w:tcPr>
            <w:tcW w:w="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434,550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(47,850)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360" w:type="dxa"/>
            <w:vAlign w:val="bottom"/>
          </w:tcPr>
          <w:p>
            <w:pPr>
              <w:jc w:val="right"/>
              <w:spacing w:after="0"/>
              <w:rPr>
                <w:sz w:val="20"/>
                <w:szCs w:val="20"/>
                <w:color w:val="auto"/>
              </w:rPr>
            </w:pPr>
            <w:r>
              <w:rPr>
                <w:rFonts w:ascii="Arial" w:cs="Arial" w:eastAsia="Arial" w:hAnsi="Arial"/>
                <w:sz w:val="16"/>
                <w:szCs w:val="16"/>
                <w:color w:val="auto"/>
              </w:rPr>
              <w:t>(620,425)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FFC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2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Shares at March 31, 2015</w:t>
            </w:r>
          </w:p>
        </w:tc>
        <w:tc>
          <w:tcPr>
            <w:tcW w:w="136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5,798,590</w:t>
            </w:r>
          </w:p>
        </w:tc>
        <w:tc>
          <w:tcPr>
            <w:tcW w:w="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nonvested options at March 31, 2015 was approximately $1.1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disclosures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out of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our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0" w:name="page21"/>
    <w:bookmarkEnd w:id="20"/>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initially in November 1998. We provide online engagement solutions offering a cloud-based platform which enables businesses to proactively connect with consumers through chat, voice and content delivery, across multiple channels and screens, including websites, social media, tablets and mobile devices. 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independent service providers (“Experts”) and individual consumers (“Users”) seeking information and knowledge for a fee via real-time chat.</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sustain growth in these segments, our strategy is to expand our position as the leading provider of online engagement solutions that facilitate real-time assistance and expert advice. To accomplish this, we are focused on the following current initiatives:</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Expanding Business with Existing Customers and Adding New Customers. </w:t>
      </w:r>
      <w:r>
        <w:rPr>
          <w:rFonts w:ascii="Arial" w:cs="Arial" w:eastAsia="Arial" w:hAnsi="Arial"/>
          <w:sz w:val="18"/>
          <w:szCs w:val="18"/>
          <w:color w:val="auto"/>
        </w:rPr>
        <w:t>We are expanding our sales capacity by adding enterprise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midmarket sales agents. We have also expanded our efforts to retain existing self-service customers through increased interaction with them during the early stages of their usage of our services.</w:t>
      </w:r>
    </w:p>
    <w:p>
      <w:pPr>
        <w:spacing w:after="0" w:line="73" w:lineRule="exact"/>
        <w:rPr>
          <w:rFonts w:ascii="Arial" w:cs="Arial" w:eastAsia="Arial" w:hAnsi="Arial"/>
          <w:sz w:val="18"/>
          <w:szCs w:val="18"/>
          <w:color w:val="auto"/>
        </w:rPr>
      </w:pPr>
    </w:p>
    <w:p>
      <w:pPr>
        <w:jc w:val="both"/>
        <w:ind w:left="1140" w:hanging="322"/>
        <w:spacing w:after="0" w:line="27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Introducing New Products and Capabilities. </w:t>
      </w:r>
      <w:r>
        <w:rPr>
          <w:rFonts w:ascii="Arial" w:cs="Arial" w:eastAsia="Arial" w:hAnsi="Arial"/>
          <w:sz w:val="17"/>
          <w:szCs w:val="17"/>
          <w:color w:val="auto"/>
        </w:rPr>
        <w:t>We are investing in product marketing, research and development and executive personnel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expanding efforts to build and launch new products and capabilities to support existing customer deployments, and to further penetrate our total addressable market. These investments are initially focused in the areas of online marketing and mobile consumer engagement enhanced data and reporting and chat transcript text analysis. Over time, we expect to develop and launch additional capabilities that leverage our existing market position as a leader in proactive, intelligence-driven online engagement.</w:t>
      </w:r>
    </w:p>
    <w:p>
      <w:pPr>
        <w:spacing w:after="0" w:line="64" w:lineRule="exact"/>
        <w:rPr>
          <w:rFonts w:ascii="Arial" w:cs="Arial" w:eastAsia="Arial" w:hAnsi="Arial"/>
          <w:sz w:val="17"/>
          <w:szCs w:val="17"/>
          <w:color w:val="auto"/>
        </w:rPr>
      </w:pPr>
    </w:p>
    <w:p>
      <w:pPr>
        <w:jc w:val="both"/>
        <w:ind w:left="1140" w:hanging="322"/>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International Presence. </w:t>
      </w:r>
      <w:r>
        <w:rPr>
          <w:rFonts w:ascii="Arial" w:cs="Arial" w:eastAsia="Arial" w:hAnsi="Arial"/>
          <w:sz w:val="18"/>
          <w:szCs w:val="18"/>
          <w:color w:val="auto"/>
        </w:rPr>
        <w:t>We continue to increase our investment in sales and support personnel in the United Kingdom, Asia-Pacific, Latin America and Western Europe, particularly France and Germany. We are also working with sales and support partners as we expand our investment in the Asia-Pacific region. We continue to improve the multi-language and translation capabilities within our hosted solutions to further support international expansion.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March 31, 2015 compared to the three months ended March 31, 2014:</w:t>
      </w:r>
    </w:p>
    <w:p>
      <w:pPr>
        <w:spacing w:after="0" w:line="117"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revenue increased 25% to $59.8 million from $47.8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from our Business segment increased 28% to $56.1 million from $43.9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margin decreased to 72.8% from 75.5%.</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and expenses increased 27% to $61.8 million from $48.8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increased to $2.1 million from net loss of $0.8 million.</w:t>
      </w:r>
    </w:p>
    <w:p>
      <w:pPr>
        <w:spacing w:after="0" w:line="117" w:lineRule="exact"/>
        <w:rPr>
          <w:rFonts w:ascii="Arial" w:cs="Arial" w:eastAsia="Arial" w:hAnsi="Arial"/>
          <w:sz w:val="18"/>
          <w:szCs w:val="18"/>
          <w:color w:val="auto"/>
        </w:rPr>
      </w:pPr>
    </w:p>
    <w:p>
      <w:pPr>
        <w:jc w:val="both"/>
        <w:ind w:left="1140" w:right="20" w:hanging="322"/>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per enterprise and mid-market customer averaged $174,000 over the trailing twelve months ended March 31, 2015, a 3% sequential increase as compared to the $168,000 calculated for the period ended December 31, 2014. These figures are pro forma to exclude contributions from one large customer contract that ended.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ind w:left="114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89% over the trailing twelve months ended March 31, 2015, as compared to 91% over the trailing twelve months ended December 31,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46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r>
      <w:tr>
        <w:trPr>
          <w:trHeight w:val="276"/>
        </w:trPr>
        <w:tc>
          <w:tcPr>
            <w:tcW w:w="84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24"/>
                <w:szCs w:val="24"/>
                <w:color w:val="auto"/>
              </w:rPr>
            </w:pPr>
          </w:p>
        </w:tc>
      </w:tr>
      <w:tr>
        <w:trPr>
          <w:trHeight w:val="264"/>
        </w:trPr>
        <w:tc>
          <w:tcPr>
            <w:tcW w:w="8460" w:type="dxa"/>
            <w:vAlign w:val="bottom"/>
            <w:tcBorders>
              <w:bottom w:val="single" w:sz="8" w:color="CCFFC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r>
      <w:tr>
        <w:trPr>
          <w:trHeight w:val="250"/>
        </w:trPr>
        <w:tc>
          <w:tcPr>
            <w:tcW w:w="8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Reconciliation of Adjusted EBITDA</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GAAP net loss</w:t>
            </w:r>
          </w:p>
        </w:tc>
        <w:tc>
          <w:tcPr>
            <w:tcW w:w="9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(2,058)</w:t>
            </w:r>
          </w:p>
        </w:tc>
        <w:tc>
          <w:tcPr>
            <w:tcW w:w="100" w:type="dxa"/>
            <w:vAlign w:val="bottom"/>
          </w:tcPr>
          <w:p>
            <w:pPr>
              <w:spacing w:after="0"/>
              <w:rPr>
                <w:sz w:val="20"/>
                <w:szCs w:val="20"/>
                <w:color w:val="auto"/>
              </w:rPr>
            </w:pP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33"/>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4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Amortization of purchased intangibles</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2,152</w:t>
            </w:r>
          </w:p>
        </w:tc>
        <w:tc>
          <w:tcPr>
            <w:tcW w:w="1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4"/>
              </w:rPr>
              <w:t>1,058</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2,697</w:t>
            </w:r>
          </w:p>
        </w:tc>
      </w:tr>
      <w:tr>
        <w:trPr>
          <w:trHeight w:val="33"/>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4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Depreciation</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2,578</w:t>
            </w:r>
          </w:p>
        </w:tc>
        <w:tc>
          <w:tcPr>
            <w:tcW w:w="1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4"/>
              </w:rPr>
              <w:t>1,981</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Benefit from income taxes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4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expense, net</w:t>
            </w:r>
          </w:p>
        </w:tc>
        <w:tc>
          <w:tcPr>
            <w:tcW w:w="9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83</w:t>
            </w:r>
          </w:p>
        </w:tc>
      </w:tr>
      <w:tr>
        <w:trPr>
          <w:trHeight w:val="244"/>
        </w:trPr>
        <w:tc>
          <w:tcPr>
            <w:tcW w:w="84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92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4,794</w:t>
            </w:r>
          </w:p>
        </w:tc>
      </w:tr>
      <w:tr>
        <w:trPr>
          <w:trHeight w:val="20"/>
        </w:trPr>
        <w:tc>
          <w:tcPr>
            <w:tcW w:w="8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30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income does not reflect cash capital expenditure requirements for such replacements or for new capital expenditure requirements;</w:t>
      </w:r>
    </w:p>
    <w:p>
      <w:pPr>
        <w:spacing w:after="0" w:line="38" w:lineRule="exact"/>
        <w:rPr>
          <w:rFonts w:ascii="Arial" w:cs="Arial" w:eastAsia="Arial" w:hAnsi="Arial"/>
          <w:sz w:val="17"/>
          <w:szCs w:val="17"/>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FFCC"/>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Reconciliation of Adjusted Net Income</w:t>
            </w:r>
          </w:p>
        </w:tc>
        <w:tc>
          <w:tcPr>
            <w:tcW w:w="9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GAAP net loss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Amortization of purchased intangibles</w:t>
            </w:r>
          </w:p>
        </w:tc>
        <w:tc>
          <w:tcPr>
            <w:tcW w:w="9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2,152</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1,058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20"/>
                <w:szCs w:val="20"/>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2,794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2,697</w:t>
            </w: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 xml:space="preserve">Income tax effect of non-GAAP items </w:t>
            </w:r>
            <w:r>
              <w:rPr>
                <w:rFonts w:ascii="Arial" w:cs="Arial" w:eastAsia="Arial" w:hAnsi="Arial"/>
                <w:sz w:val="21"/>
                <w:szCs w:val="21"/>
                <w:color w:val="auto"/>
                <w:vertAlign w:val="superscript"/>
              </w:rPr>
              <w:t>(1)</w:t>
            </w:r>
          </w:p>
        </w:tc>
        <w:tc>
          <w:tcPr>
            <w:tcW w:w="90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(422)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Adjusted net income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2,362</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2,539</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Company's income tax effect does not include discrete items.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significant accounting policies which we believe are the most critical to aid in fully understanding and evaluating the reported consolidated financial results include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sell certain of the LivePerson services directly via Internet download. These services are marketed as LiveEngage for small to medium-sized businesses,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recognize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and customer acceptance. ASU 2009-13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Company obligations remain, collection of the resulting receivable is probable and the amount of fees to be paid is fixed or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2015, there was approximately $25.6 million of total unrecognized compensation cost related to nonvested share-based compensation arrangements. That cost is expected to be recognized over a weighted average period of approximately 2.6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months ended March 31, 2015 and 2014. One customer accounted for approximately 16% and 22% of accounts receivable as of March 31, 2015 and December 31, 2014, respectively. We increased our allowance for doubtful accounts by $0.1 million in the three months ended March 31, 2015, principally due to an increase in sales.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2014,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The Company does not have any long-lived assets, including intangible assets, which it considered to be impaired.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12, Legal Matters, of the Notes to the Consolidated Financial Statements additional information on our legal proceedings and litigation.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February 18, 2015, the Financial Accounting Standards Board (“FASB”) issued Accounting Standards Update (“ASU”) 2015-02,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Amendments to the Consolidation Analysis </w:t>
      </w:r>
      <w:r>
        <w:rPr>
          <w:rFonts w:ascii="Arial" w:cs="Arial" w:eastAsia="Arial" w:hAnsi="Arial"/>
          <w:sz w:val="18"/>
          <w:szCs w:val="18"/>
          <w:color w:val="auto"/>
        </w:rPr>
        <w:t>(“ASU 2015-02”), which affects reporting entities that are required to evaluate whether they should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do not expect to early adopt ASU 2015-02, which will be effective for our fiscal year ending December 31, 2016. We do not believe the standard will have a material impact on our condensed consolidated financial statements.</w:t>
      </w:r>
    </w:p>
    <w:p>
      <w:pPr>
        <w:spacing w:after="0" w:line="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We will adopt this guidance at the beginning of its first quarter of fiscal year 2017. Adoption of this guidance is not expected to have a material impact on the Company’s consolidated financial statements or disclosures.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our Business segment accounted for 94% and 92% of total revenue for the three months ended March 31, 2015 and 2014, respectively. Revenue attributable to our monthly hosted Business services accounted for 90% of total Business revenue for the three months ended March 31, 2015 and 2014,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time between contract signing and recognizing revenue in certain situations.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6% and 8% of total revenue for the three months ended March 31, 2015 and 2014, respectively.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three months ended March 31, 2015, we increased our allowance for doubtful accounts by approximately $0.1 million to approximately $1.4 million. During 2014, we increased our allowance for doubtful accounts by $0.1 million to approximately $1.3 million, principally due to an increase in the proportion of receivables due as a result of an increase in sales.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8340" w:val="left"/>
          <w:tab w:leader="none" w:pos="934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 related to ASC 718-10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2,794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2,697</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2015 and 2014</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460" w:val="left"/>
          <w:tab w:leader="none" w:pos="105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0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by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80" w:type="dxa"/>
            <w:vAlign w:val="bottom"/>
          </w:tcPr>
          <w:p>
            <w:pPr>
              <w:ind w:left="280"/>
              <w:spacing w:after="0"/>
              <w:rPr>
                <w:sz w:val="20"/>
                <w:szCs w:val="20"/>
                <w:color w:val="auto"/>
              </w:rPr>
            </w:pPr>
            <w:r>
              <w:rPr>
                <w:rFonts w:ascii="Arial" w:cs="Arial" w:eastAsia="Arial" w:hAnsi="Arial"/>
                <w:sz w:val="16"/>
                <w:szCs w:val="16"/>
                <w:color w:val="auto"/>
              </w:rPr>
              <w:t>Business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56,074</w:t>
            </w:r>
          </w:p>
        </w:tc>
        <w:tc>
          <w:tcPr>
            <w:tcW w:w="10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43,918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33"/>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Consumer</w:t>
            </w:r>
          </w:p>
        </w:tc>
        <w:tc>
          <w:tcPr>
            <w:tcW w:w="4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3,910</w:t>
            </w:r>
          </w:p>
        </w:tc>
        <w:tc>
          <w:tcPr>
            <w:tcW w:w="1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w:t>
            </w:r>
          </w:p>
        </w:tc>
      </w:tr>
      <w:tr>
        <w:trPr>
          <w:trHeight w:val="244"/>
        </w:trPr>
        <w:tc>
          <w:tcPr>
            <w:tcW w:w="7480" w:type="dxa"/>
            <w:vAlign w:val="bottom"/>
          </w:tcPr>
          <w:p>
            <w:pPr>
              <w:ind w:left="380"/>
              <w:spacing w:after="0"/>
              <w:rPr>
                <w:sz w:val="20"/>
                <w:szCs w:val="20"/>
                <w:color w:val="auto"/>
              </w:rPr>
            </w:pPr>
            <w:r>
              <w:rPr>
                <w:rFonts w:ascii="Arial" w:cs="Arial" w:eastAsia="Arial" w:hAnsi="Arial"/>
                <w:sz w:val="16"/>
                <w:szCs w:val="16"/>
                <w:color w:val="auto"/>
              </w:rPr>
              <w:t>Total</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59,770</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47,828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0"/>
        </w:trPr>
        <w:tc>
          <w:tcPr>
            <w:tcW w:w="7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revenue growth has traditionally been driven by a mix of revenue from new customers as well as expansion from existing customers. The mix of revenue between new and existing customers is consistent with prior quarters. Business revenue increased by 28% to $56.1 million in the three months ended March 31, 2015, from $43.9 million in the comparable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ind w:right="20"/>
        <w:spacing w:after="0" w:line="308" w:lineRule="auto"/>
        <w:rPr>
          <w:sz w:val="20"/>
          <w:szCs w:val="20"/>
          <w:color w:val="auto"/>
        </w:rPr>
      </w:pPr>
      <w:r>
        <w:rPr>
          <w:rFonts w:ascii="Arial" w:cs="Arial" w:eastAsia="Arial" w:hAnsi="Arial"/>
          <w:sz w:val="17"/>
          <w:szCs w:val="17"/>
          <w:color w:val="auto"/>
        </w:rPr>
        <w:t>period in 2014. The increase in revenue from new customers was approximately $8.6 million; revenue from existing customers who increased their use of our services was approximately $2.4 million, net of cancellations; and professional services revenue increased by approximately $1.2 million.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Consumer revenue decreased by 5% to $3.7 million in the three months ended March 31, 2015, from $3.9 million in the comparable period in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driven by the price charged per minute partially offset by an increase in the fees we charge experts.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96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Cost of revenue - business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FFCC"/>
            </w:tcBorders>
            <w:shd w:val="clear" w:color="auto" w:fill="CCFFCC"/>
          </w:tcPr>
          <w:p>
            <w:pPr>
              <w:jc w:val="right"/>
              <w:ind w:right="83"/>
              <w:spacing w:after="0"/>
              <w:rPr>
                <w:sz w:val="20"/>
                <w:szCs w:val="20"/>
                <w:color w:val="auto"/>
              </w:rPr>
            </w:pPr>
            <w:r>
              <w:rPr>
                <w:rFonts w:ascii="Arial" w:cs="Arial" w:eastAsia="Arial" w:hAnsi="Arial"/>
                <w:sz w:val="16"/>
                <w:szCs w:val="16"/>
                <w:color w:val="auto"/>
              </w:rPr>
              <w:t>15,617</w:t>
            </w:r>
          </w:p>
        </w:tc>
        <w:tc>
          <w:tcPr>
            <w:tcW w:w="7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FFCC"/>
            </w:tcBorders>
            <w:shd w:val="clear" w:color="auto" w:fill="CCFFCC"/>
          </w:tcPr>
          <w:p>
            <w:pPr>
              <w:jc w:val="right"/>
              <w:ind w:right="81"/>
              <w:spacing w:after="0"/>
              <w:rPr>
                <w:sz w:val="20"/>
                <w:szCs w:val="20"/>
                <w:color w:val="auto"/>
              </w:rPr>
            </w:pPr>
            <w:r>
              <w:rPr>
                <w:rFonts w:ascii="Arial" w:cs="Arial" w:eastAsia="Arial" w:hAnsi="Arial"/>
                <w:sz w:val="16"/>
                <w:szCs w:val="16"/>
                <w:color w:val="auto"/>
              </w:rPr>
              <w:t>11,220</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71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7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160" w:type="dxa"/>
            <w:vAlign w:val="bottom"/>
            <w:vMerge w:val="restart"/>
            <w:shd w:val="clear" w:color="auto" w:fill="CCFFCC"/>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shd w:val="clear" w:color="auto" w:fill="CCFFCC"/>
          </w:tcPr>
          <w:p>
            <w:pPr>
              <w:spacing w:after="0"/>
              <w:rPr>
                <w:sz w:val="14"/>
                <w:szCs w:val="14"/>
                <w:color w:val="auto"/>
              </w:rPr>
            </w:pPr>
          </w:p>
        </w:tc>
        <w:tc>
          <w:tcPr>
            <w:tcW w:w="1080" w:type="dxa"/>
            <w:vAlign w:val="bottom"/>
            <w:vMerge w:val="restart"/>
            <w:shd w:val="clear" w:color="auto" w:fill="CCFFCC"/>
          </w:tcPr>
          <w:p>
            <w:pPr>
              <w:jc w:val="right"/>
              <w:ind w:right="83"/>
              <w:spacing w:after="0"/>
              <w:rPr>
                <w:sz w:val="20"/>
                <w:szCs w:val="20"/>
                <w:color w:val="auto"/>
              </w:rPr>
            </w:pPr>
            <w:r>
              <w:rPr>
                <w:rFonts w:ascii="Arial" w:cs="Arial" w:eastAsia="Arial" w:hAnsi="Arial"/>
                <w:sz w:val="16"/>
                <w:szCs w:val="16"/>
                <w:color w:val="auto"/>
              </w:rPr>
              <w:t>291</w:t>
            </w:r>
          </w:p>
        </w:tc>
        <w:tc>
          <w:tcPr>
            <w:tcW w:w="780" w:type="dxa"/>
            <w:vAlign w:val="bottom"/>
            <w:shd w:val="clear" w:color="auto" w:fill="CCFFCC"/>
          </w:tcPr>
          <w:p>
            <w:pPr>
              <w:jc w:val="right"/>
              <w:ind w:right="550"/>
              <w:spacing w:after="0"/>
              <w:rPr>
                <w:sz w:val="20"/>
                <w:szCs w:val="20"/>
                <w:color w:val="auto"/>
              </w:rPr>
            </w:pPr>
            <w:r>
              <w:rPr>
                <w:rFonts w:ascii="Arial" w:cs="Arial" w:eastAsia="Arial" w:hAnsi="Arial"/>
                <w:sz w:val="11"/>
                <w:szCs w:val="11"/>
                <w:color w:val="auto"/>
              </w:rPr>
              <w:t>(1)</w:t>
            </w:r>
          </w:p>
        </w:tc>
        <w:tc>
          <w:tcPr>
            <w:tcW w:w="960" w:type="dxa"/>
            <w:vAlign w:val="bottom"/>
            <w:vMerge w:val="restart"/>
            <w:shd w:val="clear" w:color="auto" w:fill="CCFFCC"/>
          </w:tcPr>
          <w:p>
            <w:pPr>
              <w:jc w:val="right"/>
              <w:ind w:right="81"/>
              <w:spacing w:after="0"/>
              <w:rPr>
                <w:sz w:val="20"/>
                <w:szCs w:val="20"/>
                <w:color w:val="auto"/>
              </w:rPr>
            </w:pPr>
            <w:r>
              <w:rPr>
                <w:rFonts w:ascii="Arial" w:cs="Arial" w:eastAsia="Arial" w:hAnsi="Arial"/>
                <w:sz w:val="16"/>
                <w:szCs w:val="16"/>
                <w:color w:val="auto"/>
              </w:rPr>
              <w:t>218</w:t>
            </w: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70"/>
        </w:trPr>
        <w:tc>
          <w:tcPr>
            <w:tcW w:w="7160" w:type="dxa"/>
            <w:vAlign w:val="bottom"/>
            <w:vMerge w:val="continue"/>
            <w:shd w:val="clear" w:color="auto" w:fill="CCFFCC"/>
          </w:tcPr>
          <w:p>
            <w:pPr>
              <w:spacing w:after="0"/>
              <w:rPr>
                <w:sz w:val="6"/>
                <w:szCs w:val="6"/>
                <w:color w:val="auto"/>
              </w:rPr>
            </w:pPr>
          </w:p>
        </w:tc>
        <w:tc>
          <w:tcPr>
            <w:tcW w:w="320" w:type="dxa"/>
            <w:vAlign w:val="bottom"/>
            <w:shd w:val="clear" w:color="auto" w:fill="CCFFCC"/>
          </w:tcPr>
          <w:p>
            <w:pPr>
              <w:spacing w:after="0"/>
              <w:rPr>
                <w:sz w:val="6"/>
                <w:szCs w:val="6"/>
                <w:color w:val="auto"/>
              </w:rPr>
            </w:pPr>
          </w:p>
        </w:tc>
        <w:tc>
          <w:tcPr>
            <w:tcW w:w="1080" w:type="dxa"/>
            <w:vAlign w:val="bottom"/>
            <w:vMerge w:val="continue"/>
            <w:shd w:val="clear" w:color="auto" w:fill="CCFFCC"/>
          </w:tcPr>
          <w:p>
            <w:pPr>
              <w:spacing w:after="0"/>
              <w:rPr>
                <w:sz w:val="6"/>
                <w:szCs w:val="6"/>
                <w:color w:val="auto"/>
              </w:rPr>
            </w:pPr>
          </w:p>
        </w:tc>
        <w:tc>
          <w:tcPr>
            <w:tcW w:w="780" w:type="dxa"/>
            <w:vAlign w:val="bottom"/>
            <w:shd w:val="clear" w:color="auto" w:fill="CCFFCC"/>
          </w:tcPr>
          <w:p>
            <w:pPr>
              <w:spacing w:after="0"/>
              <w:rPr>
                <w:sz w:val="6"/>
                <w:szCs w:val="6"/>
                <w:color w:val="auto"/>
              </w:rPr>
            </w:pPr>
          </w:p>
        </w:tc>
        <w:tc>
          <w:tcPr>
            <w:tcW w:w="960" w:type="dxa"/>
            <w:vAlign w:val="bottom"/>
            <w:vMerge w:val="continue"/>
            <w:shd w:val="clear" w:color="auto" w:fill="CCFFCC"/>
          </w:tcPr>
          <w:p>
            <w:pPr>
              <w:spacing w:after="0"/>
              <w:rPr>
                <w:sz w:val="6"/>
                <w:szCs w:val="6"/>
                <w:color w:val="auto"/>
              </w:rPr>
            </w:pPr>
          </w:p>
        </w:tc>
        <w:tc>
          <w:tcPr>
            <w:tcW w:w="1060" w:type="dxa"/>
            <w:vAlign w:val="bottom"/>
            <w:gridSpan w:val="2"/>
            <w:vMerge w:val="continue"/>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716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4"/>
          <w:szCs w:val="14"/>
          <w:color w:val="auto"/>
        </w:rPr>
        <w:t>Includes 67 employees as a result of the acquisition of CAO!</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revenue increased by 39% to $15.6 million in the three months ended March 31, 2015, from $11.2 million in the comparable period in 2014. This increase in expense was primarily attributable to total compensation and related costs for additional and existing customer service, network operations personnel and external consultants in the amount of approximately $2.2 million, an increase in outside labor provider fees of approximately $1.1 million, and an increase in primary and backup server facilities and allocated overhead related to costs of supporting our server and network infrastructure of approximately $1.0 million as a result of increased revenue. The increase in the cost of revenue was due to the investment in enhancing our business continuity capabilities at our hosting facilities. Additionally, data collection and storage costs have increased in support of expanded scope and quality of the analytical reporting to our customers.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ind w:left="400"/>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22"/>
                <w:szCs w:val="22"/>
                <w:color w:val="auto"/>
              </w:rPr>
            </w:pPr>
          </w:p>
        </w:tc>
      </w:tr>
      <w:tr>
        <w:trPr>
          <w:trHeight w:val="250"/>
        </w:trPr>
        <w:tc>
          <w:tcPr>
            <w:tcW w:w="812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 of revenue - consumer</w:t>
            </w:r>
          </w:p>
        </w:tc>
        <w:tc>
          <w:tcPr>
            <w:tcW w:w="240" w:type="dxa"/>
            <w:vAlign w:val="bottom"/>
            <w:tcBorders>
              <w:top w:val="single" w:sz="8" w:color="auto"/>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637</w:t>
            </w:r>
          </w:p>
        </w:tc>
        <w:tc>
          <w:tcPr>
            <w:tcW w:w="3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FFCC"/>
            </w:tcBorders>
            <w:shd w:val="clear" w:color="auto" w:fill="CCFFCC"/>
          </w:tcPr>
          <w:p>
            <w:pPr>
              <w:jc w:val="right"/>
              <w:ind w:right="83"/>
              <w:spacing w:after="0"/>
              <w:rPr>
                <w:sz w:val="20"/>
                <w:szCs w:val="20"/>
                <w:color w:val="auto"/>
              </w:rPr>
            </w:pPr>
            <w:r>
              <w:rPr>
                <w:rFonts w:ascii="Arial" w:cs="Arial" w:eastAsia="Arial" w:hAnsi="Arial"/>
                <w:sz w:val="16"/>
                <w:szCs w:val="16"/>
                <w:color w:val="auto"/>
              </w:rPr>
              <w:t>515</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Percentage of total revenue</w:t>
            </w:r>
          </w:p>
        </w:tc>
        <w:tc>
          <w:tcPr>
            <w:tcW w:w="240" w:type="dxa"/>
            <w:vAlign w:val="bottom"/>
          </w:tcPr>
          <w:p>
            <w:pPr>
              <w:spacing w:after="0"/>
              <w:rPr>
                <w:sz w:val="20"/>
                <w:szCs w:val="20"/>
                <w:color w:val="auto"/>
              </w:rPr>
            </w:pPr>
          </w:p>
        </w:tc>
        <w:tc>
          <w:tcPr>
            <w:tcW w:w="1060" w:type="dxa"/>
            <w:vAlign w:val="bottom"/>
            <w:gridSpan w:val="2"/>
          </w:tcPr>
          <w:p>
            <w:pPr>
              <w:jc w:val="right"/>
              <w:ind w:right="183"/>
              <w:spacing w:after="0"/>
              <w:rPr>
                <w:sz w:val="20"/>
                <w:szCs w:val="20"/>
                <w:color w:val="auto"/>
              </w:rPr>
            </w:pPr>
            <w:r>
              <w:rPr>
                <w:rFonts w:ascii="Arial" w:cs="Arial" w:eastAsia="Arial" w:hAnsi="Arial"/>
                <w:sz w:val="16"/>
                <w:szCs w:val="16"/>
                <w:color w:val="auto"/>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120" w:type="dxa"/>
            <w:vAlign w:val="bottom"/>
            <w:shd w:val="clear" w:color="auto" w:fill="CCFFCC"/>
          </w:tcPr>
          <w:p>
            <w:pPr>
              <w:ind w:left="40"/>
              <w:spacing w:after="0"/>
              <w:rPr>
                <w:sz w:val="20"/>
                <w:szCs w:val="20"/>
                <w:color w:val="auto"/>
              </w:rPr>
            </w:pPr>
            <w:r>
              <w:rPr>
                <w:rFonts w:ascii="Arial" w:cs="Arial" w:eastAsia="Arial" w:hAnsi="Arial"/>
                <w:sz w:val="16"/>
                <w:szCs w:val="16"/>
                <w:color w:val="auto"/>
              </w:rPr>
              <w:t>Headcount (at period end)</w:t>
            </w:r>
          </w:p>
        </w:tc>
        <w:tc>
          <w:tcPr>
            <w:tcW w:w="24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34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83"/>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1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revenue increased by 24% to $0.6 million in the three months ended March 31, 2015, from $0.5 million in the comparable period in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expense is due to an increase in compensation costs relating to our network support staff of approximately $42,000.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14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94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Sales and marketing - business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FFCC"/>
            </w:tcBorders>
            <w:shd w:val="clear" w:color="auto" w:fill="CCFFCC"/>
          </w:tcPr>
          <w:p>
            <w:pPr>
              <w:jc w:val="right"/>
              <w:ind w:right="103"/>
              <w:spacing w:after="0"/>
              <w:rPr>
                <w:sz w:val="20"/>
                <w:szCs w:val="20"/>
                <w:color w:val="auto"/>
              </w:rPr>
            </w:pPr>
            <w:r>
              <w:rPr>
                <w:rFonts w:ascii="Arial" w:cs="Arial" w:eastAsia="Arial" w:hAnsi="Arial"/>
                <w:sz w:val="16"/>
                <w:szCs w:val="16"/>
                <w:color w:val="auto"/>
              </w:rPr>
              <w:t>22,852</w:t>
            </w:r>
          </w:p>
        </w:tc>
        <w:tc>
          <w:tcPr>
            <w:tcW w:w="7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FFCC"/>
            </w:tcBorders>
            <w:shd w:val="clear" w:color="auto" w:fill="CCFFCC"/>
          </w:tcPr>
          <w:p>
            <w:pPr>
              <w:jc w:val="right"/>
              <w:ind w:right="81"/>
              <w:spacing w:after="0"/>
              <w:rPr>
                <w:sz w:val="20"/>
                <w:szCs w:val="20"/>
                <w:color w:val="auto"/>
              </w:rPr>
            </w:pPr>
            <w:r>
              <w:rPr>
                <w:rFonts w:ascii="Arial" w:cs="Arial" w:eastAsia="Arial" w:hAnsi="Arial"/>
                <w:sz w:val="16"/>
                <w:szCs w:val="16"/>
                <w:color w:val="auto"/>
              </w:rPr>
              <w:t>16,918</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140" w:type="dxa"/>
            <w:vAlign w:val="bottom"/>
            <w:vMerge w:val="restart"/>
            <w:shd w:val="clear" w:color="auto" w:fill="CCFFCC"/>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shd w:val="clear" w:color="auto" w:fill="CCFFCC"/>
          </w:tcPr>
          <w:p>
            <w:pPr>
              <w:spacing w:after="0"/>
              <w:rPr>
                <w:sz w:val="14"/>
                <w:szCs w:val="14"/>
                <w:color w:val="auto"/>
              </w:rPr>
            </w:pPr>
          </w:p>
        </w:tc>
        <w:tc>
          <w:tcPr>
            <w:tcW w:w="1080" w:type="dxa"/>
            <w:vAlign w:val="bottom"/>
            <w:vMerge w:val="restart"/>
            <w:shd w:val="clear" w:color="auto" w:fill="CCFFCC"/>
          </w:tcPr>
          <w:p>
            <w:pPr>
              <w:jc w:val="right"/>
              <w:ind w:right="103"/>
              <w:spacing w:after="0"/>
              <w:rPr>
                <w:sz w:val="20"/>
                <w:szCs w:val="20"/>
                <w:color w:val="auto"/>
              </w:rPr>
            </w:pPr>
            <w:r>
              <w:rPr>
                <w:rFonts w:ascii="Arial" w:cs="Arial" w:eastAsia="Arial" w:hAnsi="Arial"/>
                <w:sz w:val="16"/>
                <w:szCs w:val="16"/>
                <w:color w:val="auto"/>
              </w:rPr>
              <w:t>372</w:t>
            </w:r>
          </w:p>
        </w:tc>
        <w:tc>
          <w:tcPr>
            <w:tcW w:w="780" w:type="dxa"/>
            <w:vAlign w:val="bottom"/>
            <w:shd w:val="clear" w:color="auto" w:fill="CCFFCC"/>
          </w:tcPr>
          <w:p>
            <w:pPr>
              <w:jc w:val="right"/>
              <w:ind w:right="570"/>
              <w:spacing w:after="0"/>
              <w:rPr>
                <w:sz w:val="20"/>
                <w:szCs w:val="20"/>
                <w:color w:val="auto"/>
              </w:rPr>
            </w:pPr>
            <w:r>
              <w:rPr>
                <w:rFonts w:ascii="Arial" w:cs="Arial" w:eastAsia="Arial" w:hAnsi="Arial"/>
                <w:sz w:val="11"/>
                <w:szCs w:val="11"/>
                <w:color w:val="auto"/>
                <w:w w:val="88"/>
              </w:rPr>
              <w:t>(1)</w:t>
            </w:r>
          </w:p>
        </w:tc>
        <w:tc>
          <w:tcPr>
            <w:tcW w:w="940" w:type="dxa"/>
            <w:vAlign w:val="bottom"/>
            <w:vMerge w:val="restart"/>
            <w:shd w:val="clear" w:color="auto" w:fill="CCFFCC"/>
          </w:tcPr>
          <w:p>
            <w:pPr>
              <w:jc w:val="right"/>
              <w:ind w:right="81"/>
              <w:spacing w:after="0"/>
              <w:rPr>
                <w:sz w:val="20"/>
                <w:szCs w:val="20"/>
                <w:color w:val="auto"/>
              </w:rPr>
            </w:pPr>
            <w:r>
              <w:rPr>
                <w:rFonts w:ascii="Arial" w:cs="Arial" w:eastAsia="Arial" w:hAnsi="Arial"/>
                <w:sz w:val="16"/>
                <w:szCs w:val="16"/>
                <w:color w:val="auto"/>
              </w:rPr>
              <w:t>275</w:t>
            </w: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70"/>
        </w:trPr>
        <w:tc>
          <w:tcPr>
            <w:tcW w:w="7140" w:type="dxa"/>
            <w:vAlign w:val="bottom"/>
            <w:vMerge w:val="continue"/>
            <w:shd w:val="clear" w:color="auto" w:fill="CCFFCC"/>
          </w:tcPr>
          <w:p>
            <w:pPr>
              <w:spacing w:after="0"/>
              <w:rPr>
                <w:sz w:val="6"/>
                <w:szCs w:val="6"/>
                <w:color w:val="auto"/>
              </w:rPr>
            </w:pPr>
          </w:p>
        </w:tc>
        <w:tc>
          <w:tcPr>
            <w:tcW w:w="320" w:type="dxa"/>
            <w:vAlign w:val="bottom"/>
            <w:shd w:val="clear" w:color="auto" w:fill="CCFFCC"/>
          </w:tcPr>
          <w:p>
            <w:pPr>
              <w:spacing w:after="0"/>
              <w:rPr>
                <w:sz w:val="6"/>
                <w:szCs w:val="6"/>
                <w:color w:val="auto"/>
              </w:rPr>
            </w:pPr>
          </w:p>
        </w:tc>
        <w:tc>
          <w:tcPr>
            <w:tcW w:w="1080" w:type="dxa"/>
            <w:vAlign w:val="bottom"/>
            <w:vMerge w:val="continue"/>
            <w:shd w:val="clear" w:color="auto" w:fill="CCFFCC"/>
          </w:tcPr>
          <w:p>
            <w:pPr>
              <w:spacing w:after="0"/>
              <w:rPr>
                <w:sz w:val="6"/>
                <w:szCs w:val="6"/>
                <w:color w:val="auto"/>
              </w:rPr>
            </w:pPr>
          </w:p>
        </w:tc>
        <w:tc>
          <w:tcPr>
            <w:tcW w:w="780" w:type="dxa"/>
            <w:vAlign w:val="bottom"/>
            <w:shd w:val="clear" w:color="auto" w:fill="CCFFCC"/>
          </w:tcPr>
          <w:p>
            <w:pPr>
              <w:spacing w:after="0"/>
              <w:rPr>
                <w:sz w:val="6"/>
                <w:szCs w:val="6"/>
                <w:color w:val="auto"/>
              </w:rPr>
            </w:pPr>
          </w:p>
        </w:tc>
        <w:tc>
          <w:tcPr>
            <w:tcW w:w="940" w:type="dxa"/>
            <w:vAlign w:val="bottom"/>
            <w:vMerge w:val="continue"/>
            <w:shd w:val="clear" w:color="auto" w:fill="CCFFCC"/>
          </w:tcPr>
          <w:p>
            <w:pPr>
              <w:spacing w:after="0"/>
              <w:rPr>
                <w:sz w:val="6"/>
                <w:szCs w:val="6"/>
                <w:color w:val="auto"/>
              </w:rPr>
            </w:pPr>
          </w:p>
        </w:tc>
        <w:tc>
          <w:tcPr>
            <w:tcW w:w="1060" w:type="dxa"/>
            <w:vAlign w:val="bottom"/>
            <w:gridSpan w:val="2"/>
            <w:vMerge w:val="continue"/>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714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Includes 67 employees as a result of the acquisition of CAO!</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increased by 35% to $22.9 million in the three months ended March 31, 2015, from $16.9 million in the comparable period in 2014. The increase was primarily due to compensation and related costs for additional and existing sales and marketing personnel of approximately $4.6 million directly related to expanded headcount, and advertising, public relations and trade show exhibit expenses of approximately $0.3 million. Additionally, we continue to invest in our marketing and sales capabilities, as well as invest in our global sales team, global expansion and LiveEngage 2.0 product launch.</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74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74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400" w:type="dxa"/>
            <w:vAlign w:val="bottom"/>
            <w:tcBorders>
              <w:bottom w:val="single" w:sz="8" w:color="CCFFCC"/>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4"/>
                <w:szCs w:val="14"/>
                <w:b w:val="1"/>
                <w:bCs w:val="1"/>
                <w:color w:val="auto"/>
                <w:w w:val="99"/>
              </w:rPr>
              <w:t>($ in thousands)</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50"/>
        </w:trPr>
        <w:tc>
          <w:tcPr>
            <w:tcW w:w="7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 - consumer</w:t>
            </w:r>
          </w:p>
        </w:tc>
        <w:tc>
          <w:tcPr>
            <w:tcW w:w="860" w:type="dxa"/>
            <w:vAlign w:val="bottom"/>
            <w:tcBorders>
              <w:bottom w:val="single" w:sz="8" w:color="CCFFCC"/>
            </w:tcBorders>
            <w:shd w:val="clear" w:color="auto" w:fill="CCFFCC"/>
          </w:tcPr>
          <w:p>
            <w:pPr>
              <w:jc w:val="right"/>
              <w:ind w:right="66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w w:val="89"/>
              </w:rPr>
              <w:t>1,442</w:t>
            </w:r>
          </w:p>
        </w:tc>
        <w:tc>
          <w:tcPr>
            <w:tcW w:w="980" w:type="dxa"/>
            <w:vAlign w:val="bottom"/>
            <w:tcBorders>
              <w:bottom w:val="single" w:sz="8" w:color="CCFFCC"/>
            </w:tcBorders>
            <w:shd w:val="clear" w:color="auto" w:fill="CCFFCC"/>
          </w:tcPr>
          <w:p>
            <w:pPr>
              <w:jc w:val="right"/>
              <w:ind w:right="66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1,477</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Percentage of total revenue</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400" w:type="dxa"/>
            <w:vAlign w:val="bottom"/>
            <w:shd w:val="clear" w:color="auto" w:fill="CCFFCC"/>
          </w:tcPr>
          <w:p>
            <w:pPr>
              <w:ind w:left="40"/>
              <w:spacing w:after="0"/>
              <w:rPr>
                <w:sz w:val="20"/>
                <w:szCs w:val="20"/>
                <w:color w:val="auto"/>
              </w:rPr>
            </w:pPr>
            <w:r>
              <w:rPr>
                <w:rFonts w:ascii="Arial" w:cs="Arial" w:eastAsia="Arial" w:hAnsi="Arial"/>
                <w:sz w:val="16"/>
                <w:szCs w:val="16"/>
                <w:color w:val="auto"/>
              </w:rPr>
              <w:t>Headcount (at period end):</w:t>
            </w:r>
          </w:p>
        </w:tc>
        <w:tc>
          <w:tcPr>
            <w:tcW w:w="860" w:type="dxa"/>
            <w:vAlign w:val="bottom"/>
            <w:shd w:val="clear" w:color="auto" w:fill="CCFFCC"/>
          </w:tcPr>
          <w:p>
            <w:pPr>
              <w:spacing w:after="0"/>
              <w:rPr>
                <w:sz w:val="20"/>
                <w:szCs w:val="20"/>
                <w:color w:val="auto"/>
              </w:rPr>
            </w:pPr>
          </w:p>
        </w:tc>
        <w:tc>
          <w:tcPr>
            <w:tcW w:w="520" w:type="dxa"/>
            <w:vAlign w:val="bottom"/>
            <w:shd w:val="clear" w:color="auto" w:fill="CCFFCC"/>
          </w:tcPr>
          <w:p>
            <w:pPr>
              <w:jc w:val="right"/>
              <w:ind w:right="61"/>
              <w:spacing w:after="0"/>
              <w:rPr>
                <w:sz w:val="20"/>
                <w:szCs w:val="20"/>
                <w:color w:val="auto"/>
              </w:rPr>
            </w:pPr>
            <w:r>
              <w:rPr>
                <w:rFonts w:ascii="Arial" w:cs="Arial" w:eastAsia="Arial" w:hAnsi="Arial"/>
                <w:sz w:val="16"/>
                <w:szCs w:val="16"/>
                <w:color w:val="auto"/>
              </w:rPr>
              <w:t>9</w:t>
            </w:r>
          </w:p>
        </w:tc>
        <w:tc>
          <w:tcPr>
            <w:tcW w:w="980" w:type="dxa"/>
            <w:vAlign w:val="bottom"/>
            <w:shd w:val="clear" w:color="auto" w:fill="CCFFCC"/>
          </w:tcPr>
          <w:p>
            <w:pPr>
              <w:spacing w:after="0"/>
              <w:rPr>
                <w:sz w:val="20"/>
                <w:szCs w:val="20"/>
                <w:color w:val="auto"/>
              </w:rPr>
            </w:pPr>
          </w:p>
        </w:tc>
        <w:tc>
          <w:tcPr>
            <w:tcW w:w="54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5</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80 %</w:t>
            </w:r>
          </w:p>
        </w:tc>
      </w:tr>
      <w:tr>
        <w:trPr>
          <w:trHeight w:val="33"/>
        </w:trPr>
        <w:tc>
          <w:tcPr>
            <w:tcW w:w="740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Sales and marketing expenses decreased by 2% to $1.4 million in the three months ended March 31, 2015, from $1.5 million in the comparable period in 2014. The decrease is due to a more efficient allocation of advertising and promotional spending that resulted in a decrease in expenses.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FFC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FFCC"/>
            </w:tcBorders>
          </w:tcPr>
          <w:p>
            <w:pPr>
              <w:spacing w:after="0"/>
              <w:rPr>
                <w:sz w:val="21"/>
                <w:szCs w:val="21"/>
                <w:color w:val="auto"/>
              </w:rPr>
            </w:pPr>
          </w:p>
        </w:tc>
        <w:tc>
          <w:tcPr>
            <w:tcW w:w="96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FFCC"/>
            </w:tcBorders>
            <w:shd w:val="clear" w:color="auto" w:fill="CCFFCC"/>
          </w:tcPr>
          <w:p>
            <w:pPr>
              <w:jc w:val="right"/>
              <w:ind w:right="83"/>
              <w:spacing w:after="0"/>
              <w:rPr>
                <w:sz w:val="20"/>
                <w:szCs w:val="20"/>
                <w:color w:val="auto"/>
              </w:rPr>
            </w:pPr>
            <w:r>
              <w:rPr>
                <w:rFonts w:ascii="Arial" w:cs="Arial" w:eastAsia="Arial" w:hAnsi="Arial"/>
                <w:sz w:val="16"/>
                <w:szCs w:val="16"/>
                <w:color w:val="auto"/>
              </w:rPr>
              <w:t>10,164</w:t>
            </w:r>
          </w:p>
        </w:tc>
        <w:tc>
          <w:tcPr>
            <w:tcW w:w="760" w:type="dxa"/>
            <w:vAlign w:val="bottom"/>
            <w:tcBorders>
              <w:bottom w:val="single" w:sz="8" w:color="CCFFCC"/>
            </w:tcBorders>
            <w:shd w:val="clear" w:color="auto" w:fill="CCFFCC"/>
          </w:tcPr>
          <w:p>
            <w:pPr>
              <w:jc w:val="right"/>
              <w:ind w:right="25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81"/>
              <w:spacing w:after="0"/>
              <w:rPr>
                <w:sz w:val="20"/>
                <w:szCs w:val="20"/>
                <w:color w:val="auto"/>
              </w:rPr>
            </w:pPr>
            <w:r>
              <w:rPr>
                <w:rFonts w:ascii="Arial" w:cs="Arial" w:eastAsia="Arial" w:hAnsi="Arial"/>
                <w:sz w:val="16"/>
                <w:szCs w:val="16"/>
                <w:color w:val="auto"/>
              </w:rPr>
              <w:t>9,449</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Percentage of total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7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420" w:type="dxa"/>
            <w:vAlign w:val="bottom"/>
            <w:vMerge w:val="restart"/>
            <w:shd w:val="clear" w:color="auto" w:fill="CCFFCC"/>
          </w:tcPr>
          <w:p>
            <w:pPr>
              <w:ind w:left="40"/>
              <w:spacing w:after="0"/>
              <w:rPr>
                <w:sz w:val="20"/>
                <w:szCs w:val="20"/>
                <w:color w:val="auto"/>
              </w:rPr>
            </w:pPr>
            <w:r>
              <w:rPr>
                <w:rFonts w:ascii="Arial" w:cs="Arial" w:eastAsia="Arial" w:hAnsi="Arial"/>
                <w:sz w:val="16"/>
                <w:szCs w:val="16"/>
                <w:color w:val="auto"/>
              </w:rPr>
              <w:t>Headcount (at period end):</w:t>
            </w:r>
          </w:p>
        </w:tc>
        <w:tc>
          <w:tcPr>
            <w:tcW w:w="300" w:type="dxa"/>
            <w:vAlign w:val="bottom"/>
            <w:shd w:val="clear" w:color="auto" w:fill="CCFFCC"/>
          </w:tcPr>
          <w:p>
            <w:pPr>
              <w:spacing w:after="0"/>
              <w:rPr>
                <w:sz w:val="14"/>
                <w:szCs w:val="14"/>
                <w:color w:val="auto"/>
              </w:rPr>
            </w:pPr>
          </w:p>
        </w:tc>
        <w:tc>
          <w:tcPr>
            <w:tcW w:w="1000" w:type="dxa"/>
            <w:vAlign w:val="bottom"/>
            <w:vMerge w:val="restart"/>
            <w:shd w:val="clear" w:color="auto" w:fill="CCFFCC"/>
          </w:tcPr>
          <w:p>
            <w:pPr>
              <w:jc w:val="right"/>
              <w:ind w:right="83"/>
              <w:spacing w:after="0"/>
              <w:rPr>
                <w:sz w:val="20"/>
                <w:szCs w:val="20"/>
                <w:color w:val="auto"/>
              </w:rPr>
            </w:pPr>
            <w:r>
              <w:rPr>
                <w:rFonts w:ascii="Arial" w:cs="Arial" w:eastAsia="Arial" w:hAnsi="Arial"/>
                <w:sz w:val="16"/>
                <w:szCs w:val="16"/>
                <w:color w:val="auto"/>
              </w:rPr>
              <w:t>127</w:t>
            </w:r>
          </w:p>
        </w:tc>
        <w:tc>
          <w:tcPr>
            <w:tcW w:w="760" w:type="dxa"/>
            <w:vAlign w:val="bottom"/>
            <w:shd w:val="clear" w:color="auto" w:fill="CCFFCC"/>
          </w:tcPr>
          <w:p>
            <w:pPr>
              <w:jc w:val="right"/>
              <w:ind w:right="530"/>
              <w:spacing w:after="0"/>
              <w:rPr>
                <w:sz w:val="20"/>
                <w:szCs w:val="20"/>
                <w:color w:val="auto"/>
              </w:rPr>
            </w:pPr>
            <w:r>
              <w:rPr>
                <w:rFonts w:ascii="Arial" w:cs="Arial" w:eastAsia="Arial" w:hAnsi="Arial"/>
                <w:sz w:val="11"/>
                <w:szCs w:val="11"/>
                <w:color w:val="auto"/>
              </w:rPr>
              <w:t>(1)</w:t>
            </w:r>
          </w:p>
        </w:tc>
        <w:tc>
          <w:tcPr>
            <w:tcW w:w="880" w:type="dxa"/>
            <w:vAlign w:val="bottom"/>
            <w:vMerge w:val="restart"/>
            <w:shd w:val="clear" w:color="auto" w:fill="CCFFCC"/>
          </w:tcPr>
          <w:p>
            <w:pPr>
              <w:jc w:val="right"/>
              <w:ind w:right="81"/>
              <w:spacing w:after="0"/>
              <w:rPr>
                <w:sz w:val="20"/>
                <w:szCs w:val="20"/>
                <w:color w:val="auto"/>
              </w:rPr>
            </w:pPr>
            <w:r>
              <w:rPr>
                <w:rFonts w:ascii="Arial" w:cs="Arial" w:eastAsia="Arial" w:hAnsi="Arial"/>
                <w:sz w:val="16"/>
                <w:szCs w:val="16"/>
                <w:color w:val="auto"/>
              </w:rPr>
              <w:t>93</w:t>
            </w: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70"/>
        </w:trPr>
        <w:tc>
          <w:tcPr>
            <w:tcW w:w="7420" w:type="dxa"/>
            <w:vAlign w:val="bottom"/>
            <w:vMerge w:val="continue"/>
            <w:shd w:val="clear" w:color="auto" w:fill="CCFFCC"/>
          </w:tcPr>
          <w:p>
            <w:pPr>
              <w:spacing w:after="0"/>
              <w:rPr>
                <w:sz w:val="6"/>
                <w:szCs w:val="6"/>
                <w:color w:val="auto"/>
              </w:rPr>
            </w:pPr>
          </w:p>
        </w:tc>
        <w:tc>
          <w:tcPr>
            <w:tcW w:w="300" w:type="dxa"/>
            <w:vAlign w:val="bottom"/>
            <w:shd w:val="clear" w:color="auto" w:fill="CCFFCC"/>
          </w:tcPr>
          <w:p>
            <w:pPr>
              <w:spacing w:after="0"/>
              <w:rPr>
                <w:sz w:val="6"/>
                <w:szCs w:val="6"/>
                <w:color w:val="auto"/>
              </w:rPr>
            </w:pPr>
          </w:p>
        </w:tc>
        <w:tc>
          <w:tcPr>
            <w:tcW w:w="1000" w:type="dxa"/>
            <w:vAlign w:val="bottom"/>
            <w:vMerge w:val="continue"/>
            <w:shd w:val="clear" w:color="auto" w:fill="CCFFCC"/>
          </w:tcPr>
          <w:p>
            <w:pPr>
              <w:spacing w:after="0"/>
              <w:rPr>
                <w:sz w:val="6"/>
                <w:szCs w:val="6"/>
                <w:color w:val="auto"/>
              </w:rPr>
            </w:pPr>
          </w:p>
        </w:tc>
        <w:tc>
          <w:tcPr>
            <w:tcW w:w="760" w:type="dxa"/>
            <w:vAlign w:val="bottom"/>
            <w:shd w:val="clear" w:color="auto" w:fill="CCFFCC"/>
          </w:tcPr>
          <w:p>
            <w:pPr>
              <w:spacing w:after="0"/>
              <w:rPr>
                <w:sz w:val="6"/>
                <w:szCs w:val="6"/>
                <w:color w:val="auto"/>
              </w:rPr>
            </w:pPr>
          </w:p>
        </w:tc>
        <w:tc>
          <w:tcPr>
            <w:tcW w:w="880" w:type="dxa"/>
            <w:vAlign w:val="bottom"/>
            <w:vMerge w:val="continue"/>
            <w:shd w:val="clear" w:color="auto" w:fill="CCFFCC"/>
          </w:tcPr>
          <w:p>
            <w:pPr>
              <w:spacing w:after="0"/>
              <w:rPr>
                <w:sz w:val="6"/>
                <w:szCs w:val="6"/>
                <w:color w:val="auto"/>
              </w:rPr>
            </w:pPr>
          </w:p>
        </w:tc>
        <w:tc>
          <w:tcPr>
            <w:tcW w:w="1060" w:type="dxa"/>
            <w:vAlign w:val="bottom"/>
            <w:gridSpan w:val="2"/>
            <w:vMerge w:val="continue"/>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74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Includes 11 employees as a result of the acquisition of CAO!</w:t>
      </w:r>
    </w:p>
    <w:p>
      <w:pPr>
        <w:spacing w:after="0" w:line="104"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General and administrative expenses increased by 8% to $10.2 million in the three months ended March 31, 2015, from $9.4 million in the comparable period in 2014. The increase was primarily due to compensation and related expenses of approximately $0.6 million.</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left="15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FFCC"/>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 in thousands)</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96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Product development</w:t>
            </w:r>
          </w:p>
        </w:tc>
        <w:tc>
          <w:tcPr>
            <w:tcW w:w="860" w:type="dxa"/>
            <w:vAlign w:val="bottom"/>
            <w:tcBorders>
              <w:bottom w:val="single" w:sz="8" w:color="CCFFCC"/>
            </w:tcBorders>
            <w:shd w:val="clear" w:color="auto" w:fill="CCFFCC"/>
          </w:tcPr>
          <w:p>
            <w:pPr>
              <w:jc w:val="right"/>
              <w:ind w:right="66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101"/>
              <w:spacing w:after="0"/>
              <w:rPr>
                <w:sz w:val="20"/>
                <w:szCs w:val="20"/>
                <w:color w:val="auto"/>
              </w:rPr>
            </w:pPr>
            <w:r>
              <w:rPr>
                <w:rFonts w:ascii="Arial" w:cs="Arial" w:eastAsia="Arial" w:hAnsi="Arial"/>
                <w:sz w:val="16"/>
                <w:szCs w:val="16"/>
                <w:color w:val="auto"/>
                <w:w w:val="89"/>
              </w:rPr>
              <w:t>9,800</w:t>
            </w:r>
          </w:p>
        </w:tc>
        <w:tc>
          <w:tcPr>
            <w:tcW w:w="1200" w:type="dxa"/>
            <w:vAlign w:val="bottom"/>
            <w:tcBorders>
              <w:bottom w:val="single" w:sz="8" w:color="CCFFCC"/>
            </w:tcBorders>
            <w:shd w:val="clear" w:color="auto" w:fill="CCFFCC"/>
          </w:tcPr>
          <w:p>
            <w:pPr>
              <w:jc w:val="right"/>
              <w:ind w:right="69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8,951</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Percentage of total revenue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200" w:type="dxa"/>
            <w:vAlign w:val="bottom"/>
            <w:vMerge w:val="restart"/>
            <w:shd w:val="clear" w:color="auto" w:fill="CCFFCC"/>
          </w:tcPr>
          <w:p>
            <w:pPr>
              <w:ind w:left="40"/>
              <w:spacing w:after="0"/>
              <w:rPr>
                <w:sz w:val="20"/>
                <w:szCs w:val="20"/>
                <w:color w:val="auto"/>
              </w:rPr>
            </w:pPr>
            <w:r>
              <w:rPr>
                <w:rFonts w:ascii="Arial" w:cs="Arial" w:eastAsia="Arial" w:hAnsi="Arial"/>
                <w:sz w:val="16"/>
                <w:szCs w:val="16"/>
                <w:color w:val="auto"/>
              </w:rPr>
              <w:t>Headcount (at period end):</w:t>
            </w:r>
          </w:p>
        </w:tc>
        <w:tc>
          <w:tcPr>
            <w:tcW w:w="860" w:type="dxa"/>
            <w:vAlign w:val="bottom"/>
            <w:shd w:val="clear" w:color="auto" w:fill="CCFFCC"/>
          </w:tcPr>
          <w:p>
            <w:pPr>
              <w:spacing w:after="0"/>
              <w:rPr>
                <w:sz w:val="14"/>
                <w:szCs w:val="14"/>
                <w:color w:val="auto"/>
              </w:rPr>
            </w:pPr>
          </w:p>
        </w:tc>
        <w:tc>
          <w:tcPr>
            <w:tcW w:w="560" w:type="dxa"/>
            <w:vAlign w:val="bottom"/>
            <w:vMerge w:val="restart"/>
            <w:shd w:val="clear" w:color="auto" w:fill="CCFFCC"/>
          </w:tcPr>
          <w:p>
            <w:pPr>
              <w:jc w:val="right"/>
              <w:ind w:right="101"/>
              <w:spacing w:after="0"/>
              <w:rPr>
                <w:sz w:val="20"/>
                <w:szCs w:val="20"/>
                <w:color w:val="auto"/>
              </w:rPr>
            </w:pPr>
            <w:r>
              <w:rPr>
                <w:rFonts w:ascii="Arial" w:cs="Arial" w:eastAsia="Arial" w:hAnsi="Arial"/>
                <w:sz w:val="16"/>
                <w:szCs w:val="16"/>
                <w:color w:val="auto"/>
              </w:rPr>
              <w:t>263</w:t>
            </w:r>
          </w:p>
        </w:tc>
        <w:tc>
          <w:tcPr>
            <w:tcW w:w="1200" w:type="dxa"/>
            <w:vAlign w:val="bottom"/>
            <w:shd w:val="clear" w:color="auto" w:fill="CCFFCC"/>
          </w:tcPr>
          <w:p>
            <w:pPr>
              <w:jc w:val="right"/>
              <w:ind w:right="990"/>
              <w:spacing w:after="0"/>
              <w:rPr>
                <w:sz w:val="20"/>
                <w:szCs w:val="20"/>
                <w:color w:val="auto"/>
              </w:rPr>
            </w:pPr>
            <w:r>
              <w:rPr>
                <w:rFonts w:ascii="Arial" w:cs="Arial" w:eastAsia="Arial" w:hAnsi="Arial"/>
                <w:sz w:val="11"/>
                <w:szCs w:val="11"/>
                <w:color w:val="auto"/>
                <w:w w:val="88"/>
              </w:rPr>
              <w:t>(1)</w:t>
            </w:r>
          </w:p>
        </w:tc>
        <w:tc>
          <w:tcPr>
            <w:tcW w:w="540" w:type="dxa"/>
            <w:vAlign w:val="bottom"/>
            <w:vMerge w:val="restart"/>
            <w:shd w:val="clear" w:color="auto" w:fill="CCFFCC"/>
          </w:tcPr>
          <w:p>
            <w:pPr>
              <w:jc w:val="right"/>
              <w:ind w:right="79"/>
              <w:spacing w:after="0"/>
              <w:rPr>
                <w:sz w:val="20"/>
                <w:szCs w:val="20"/>
                <w:color w:val="auto"/>
              </w:rPr>
            </w:pPr>
            <w:r>
              <w:rPr>
                <w:rFonts w:ascii="Arial" w:cs="Arial" w:eastAsia="Arial" w:hAnsi="Arial"/>
                <w:sz w:val="16"/>
                <w:szCs w:val="16"/>
                <w:color w:val="auto"/>
              </w:rPr>
              <w:t>201</w:t>
            </w: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70"/>
        </w:trPr>
        <w:tc>
          <w:tcPr>
            <w:tcW w:w="7200" w:type="dxa"/>
            <w:vAlign w:val="bottom"/>
            <w:vMerge w:val="continue"/>
            <w:shd w:val="clear" w:color="auto" w:fill="CCFFCC"/>
          </w:tcPr>
          <w:p>
            <w:pPr>
              <w:spacing w:after="0"/>
              <w:rPr>
                <w:sz w:val="6"/>
                <w:szCs w:val="6"/>
                <w:color w:val="auto"/>
              </w:rPr>
            </w:pPr>
          </w:p>
        </w:tc>
        <w:tc>
          <w:tcPr>
            <w:tcW w:w="860" w:type="dxa"/>
            <w:vAlign w:val="bottom"/>
            <w:shd w:val="clear" w:color="auto" w:fill="CCFFCC"/>
          </w:tcPr>
          <w:p>
            <w:pPr>
              <w:spacing w:after="0"/>
              <w:rPr>
                <w:sz w:val="6"/>
                <w:szCs w:val="6"/>
                <w:color w:val="auto"/>
              </w:rPr>
            </w:pPr>
          </w:p>
        </w:tc>
        <w:tc>
          <w:tcPr>
            <w:tcW w:w="560" w:type="dxa"/>
            <w:vAlign w:val="bottom"/>
            <w:vMerge w:val="continue"/>
            <w:shd w:val="clear" w:color="auto" w:fill="CCFFCC"/>
          </w:tcPr>
          <w:p>
            <w:pPr>
              <w:spacing w:after="0"/>
              <w:rPr>
                <w:sz w:val="6"/>
                <w:szCs w:val="6"/>
                <w:color w:val="auto"/>
              </w:rPr>
            </w:pPr>
          </w:p>
        </w:tc>
        <w:tc>
          <w:tcPr>
            <w:tcW w:w="1200" w:type="dxa"/>
            <w:vAlign w:val="bottom"/>
            <w:shd w:val="clear" w:color="auto" w:fill="CCFFCC"/>
          </w:tcPr>
          <w:p>
            <w:pPr>
              <w:spacing w:after="0"/>
              <w:rPr>
                <w:sz w:val="6"/>
                <w:szCs w:val="6"/>
                <w:color w:val="auto"/>
              </w:rPr>
            </w:pPr>
          </w:p>
        </w:tc>
        <w:tc>
          <w:tcPr>
            <w:tcW w:w="540" w:type="dxa"/>
            <w:vAlign w:val="bottom"/>
            <w:vMerge w:val="continue"/>
            <w:shd w:val="clear" w:color="auto" w:fill="CCFFCC"/>
          </w:tcPr>
          <w:p>
            <w:pPr>
              <w:spacing w:after="0"/>
              <w:rPr>
                <w:sz w:val="6"/>
                <w:szCs w:val="6"/>
                <w:color w:val="auto"/>
              </w:rPr>
            </w:pPr>
          </w:p>
        </w:tc>
        <w:tc>
          <w:tcPr>
            <w:tcW w:w="1060" w:type="dxa"/>
            <w:vAlign w:val="bottom"/>
            <w:gridSpan w:val="2"/>
            <w:vMerge w:val="continue"/>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720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120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Includes 17 employees as a result of the acquisition of CAO!</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development costs increased by 9% to $9.8 million in the three months ended March 31, 2015, from $9.0 million in the comparable period in 2014. This increase relates to an increase in compensation and associated costs for additional and existing product development personnel of approximately $0.7 million to expand our product offerings. We continue to increase our investment investment in new product development efforts to expand future product offerings. We are also investing in partner programs that enable third-parties to develop value-added software applications for our existing and future customers.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24"/>
                <w:szCs w:val="24"/>
                <w:color w:val="auto"/>
              </w:rPr>
            </w:pPr>
          </w:p>
        </w:tc>
      </w:tr>
      <w:tr>
        <w:trPr>
          <w:trHeight w:val="250"/>
        </w:trPr>
        <w:tc>
          <w:tcPr>
            <w:tcW w:w="8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spacing w:after="0"/>
              <w:rPr>
                <w:sz w:val="22"/>
                <w:szCs w:val="22"/>
                <w:color w:val="auto"/>
              </w:rPr>
            </w:pPr>
          </w:p>
        </w:tc>
      </w:tr>
      <w:tr>
        <w:trPr>
          <w:trHeight w:val="250"/>
        </w:trPr>
        <w:tc>
          <w:tcPr>
            <w:tcW w:w="83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top w:val="single" w:sz="8" w:color="auto"/>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1,313</w:t>
            </w:r>
          </w:p>
        </w:tc>
        <w:tc>
          <w:tcPr>
            <w:tcW w:w="3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FFCC"/>
            </w:tcBorders>
            <w:shd w:val="clear" w:color="auto" w:fill="CCFFCC"/>
          </w:tcPr>
          <w:p>
            <w:pPr>
              <w:jc w:val="right"/>
              <w:ind w:right="83"/>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8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591%</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980" w:type="dxa"/>
            <w:vAlign w:val="bottom"/>
            <w:gridSpan w:val="2"/>
          </w:tcPr>
          <w:p>
            <w:pPr>
              <w:jc w:val="right"/>
              <w:ind w:right="203"/>
              <w:spacing w:after="0"/>
              <w:rPr>
                <w:sz w:val="20"/>
                <w:szCs w:val="20"/>
                <w:color w:val="auto"/>
              </w:rPr>
            </w:pPr>
            <w:r>
              <w:rPr>
                <w:rFonts w:ascii="Arial" w:cs="Arial" w:eastAsia="Arial" w:hAnsi="Arial"/>
                <w:sz w:val="16"/>
                <w:szCs w:val="16"/>
                <w:color w:val="auto"/>
              </w:rPr>
              <w:t>2%</w:t>
            </w:r>
          </w:p>
        </w:tc>
        <w:tc>
          <w:tcPr>
            <w:tcW w:w="102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for purchased intangibles increased by 591% to $1.3 million in the three months ended March 31, 2015, from $0.2 million in the comparable period in 2014. The increase is primarily attributable to our 2014 acquisitions of CAO!, Synchronite, NexGraph, and our investments in technology licenses. Additional amortization expense in the amount of $0.8 million and $0.9 million is included in cost of revenue for the three months ended March 31, 2015 and 2014,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consists of interest income on cash and cash equivalents, investment income and financial (expense) income which is a result of currency rate fluctuations associated with exchange rate movement of the U.S. dollar against the New Israeli Shekel, Pound Sterling,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6"/>
                <w:szCs w:val="16"/>
                <w:color w:val="auto"/>
              </w:rPr>
            </w:pPr>
          </w:p>
        </w:tc>
      </w:tr>
      <w:tr>
        <w:trPr>
          <w:trHeight w:val="276"/>
        </w:trPr>
        <w:tc>
          <w:tcPr>
            <w:tcW w:w="8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1"/>
              </w:rPr>
              <w:t>% Change</w:t>
            </w:r>
          </w:p>
        </w:tc>
      </w:tr>
      <w:tr>
        <w:trPr>
          <w:trHeight w:val="264"/>
        </w:trPr>
        <w:tc>
          <w:tcPr>
            <w:tcW w:w="8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22"/>
                <w:szCs w:val="22"/>
                <w:color w:val="auto"/>
              </w:rPr>
            </w:pPr>
          </w:p>
        </w:tc>
      </w:tr>
      <w:tr>
        <w:trPr>
          <w:trHeight w:val="237"/>
        </w:trPr>
        <w:tc>
          <w:tcPr>
            <w:tcW w:w="846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 net</w:t>
            </w:r>
          </w:p>
        </w:tc>
        <w:tc>
          <w:tcPr>
            <w:tcW w:w="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FFCC"/>
          </w:tcPr>
          <w:p>
            <w:pPr>
              <w:ind w:left="280"/>
              <w:spacing w:after="0"/>
              <w:rPr>
                <w:sz w:val="20"/>
                <w:szCs w:val="20"/>
                <w:color w:val="auto"/>
              </w:rPr>
            </w:pPr>
            <w:r>
              <w:rPr>
                <w:rFonts w:ascii="Arial" w:cs="Arial" w:eastAsia="Arial" w:hAnsi="Arial"/>
                <w:sz w:val="16"/>
                <w:szCs w:val="16"/>
                <w:color w:val="auto"/>
                <w:w w:val="90"/>
              </w:rPr>
              <w:t>(231)</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FFCC"/>
            </w:tcBorders>
            <w:shd w:val="clear" w:color="auto" w:fill="CCFFCC"/>
          </w:tcPr>
          <w:p>
            <w:pPr>
              <w:spacing w:after="0"/>
              <w:rPr>
                <w:sz w:val="20"/>
                <w:szCs w:val="20"/>
                <w:color w:val="auto"/>
              </w:rPr>
            </w:pPr>
          </w:p>
        </w:tc>
        <w:tc>
          <w:tcPr>
            <w:tcW w:w="160" w:type="dxa"/>
            <w:vAlign w:val="bottom"/>
            <w:tcBorders>
              <w:top w:val="single" w:sz="8" w:color="CCFFCC"/>
            </w:tcBorders>
            <w:shd w:val="clear" w:color="auto" w:fill="CCFFCC"/>
          </w:tcPr>
          <w:p>
            <w:pPr>
              <w:spacing w:after="0"/>
              <w:rPr>
                <w:sz w:val="20"/>
                <w:szCs w:val="20"/>
                <w:color w:val="auto"/>
              </w:rPr>
            </w:pPr>
          </w:p>
        </w:tc>
        <w:tc>
          <w:tcPr>
            <w:tcW w:w="8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846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other expense in the three months ended March 31, 2015 from the comparable period 2014 is attributable to an increase in financial expense of approximately $0.2 million. Interest income remained flat in the three months ended March 31, 2015 from the comparable period in 2014.</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840" w:type="dxa"/>
            <w:vAlign w:val="bottom"/>
          </w:tcPr>
          <w:p>
            <w:pPr>
              <w:spacing w:after="0"/>
              <w:rPr>
                <w:sz w:val="16"/>
                <w:szCs w:val="16"/>
                <w:color w:val="auto"/>
              </w:rPr>
            </w:pPr>
          </w:p>
        </w:tc>
      </w:tr>
      <w:tr>
        <w:trPr>
          <w:trHeight w:val="276"/>
        </w:trPr>
        <w:tc>
          <w:tcPr>
            <w:tcW w:w="8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24"/>
                <w:szCs w:val="24"/>
                <w:color w:val="auto"/>
              </w:rPr>
            </w:pP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8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spacing w:after="0"/>
              <w:rPr>
                <w:sz w:val="21"/>
                <w:szCs w:val="21"/>
                <w:color w:val="auto"/>
              </w:rPr>
            </w:pPr>
          </w:p>
        </w:tc>
      </w:tr>
      <w:tr>
        <w:trPr>
          <w:trHeight w:val="237"/>
        </w:trPr>
        <w:tc>
          <w:tcPr>
            <w:tcW w:w="84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Benefit from income taxes</w:t>
            </w:r>
          </w:p>
        </w:tc>
        <w:tc>
          <w:tcPr>
            <w:tcW w:w="220" w:type="dxa"/>
            <w:vAlign w:val="bottom"/>
            <w:tcBorders>
              <w:top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FFCC"/>
          </w:tcPr>
          <w:p>
            <w:pPr>
              <w:ind w:left="280"/>
              <w:spacing w:after="0"/>
              <w:rPr>
                <w:sz w:val="20"/>
                <w:szCs w:val="20"/>
                <w:color w:val="auto"/>
              </w:rPr>
            </w:pPr>
            <w:r>
              <w:rPr>
                <w:rFonts w:ascii="Arial" w:cs="Arial" w:eastAsia="Arial" w:hAnsi="Arial"/>
                <w:sz w:val="16"/>
                <w:szCs w:val="16"/>
                <w:color w:val="auto"/>
                <w:w w:val="90"/>
              </w:rPr>
              <w:t>(228)</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top w:val="single" w:sz="8" w:color="CCFFCC"/>
            </w:tcBorders>
            <w:shd w:val="clear" w:color="auto" w:fill="CCFFCC"/>
          </w:tcPr>
          <w:p>
            <w:pPr>
              <w:spacing w:after="0"/>
              <w:rPr>
                <w:sz w:val="20"/>
                <w:szCs w:val="20"/>
                <w:color w:val="auto"/>
              </w:rPr>
            </w:pPr>
          </w:p>
        </w:tc>
        <w:tc>
          <w:tcPr>
            <w:tcW w:w="180" w:type="dxa"/>
            <w:vAlign w:val="bottom"/>
            <w:tcBorders>
              <w:top w:val="single" w:sz="8" w:color="CCFFCC"/>
            </w:tcBorders>
            <w:shd w:val="clear" w:color="auto" w:fill="CCFFCC"/>
          </w:tcPr>
          <w:p>
            <w:pPr>
              <w:spacing w:after="0"/>
              <w:rPr>
                <w:sz w:val="20"/>
                <w:szCs w:val="20"/>
                <w:color w:val="auto"/>
              </w:rPr>
            </w:pPr>
          </w:p>
        </w:tc>
        <w:tc>
          <w:tcPr>
            <w:tcW w:w="8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a tax benefit for income taxes of $0.2 million for the three months ended March 31, 2015 and 2014, respectively. Our consolidated effective tax rate is impacted by the statutory income tax rates applicable to each of the jurisdictions in which we operate.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6"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$2.1 million and $0.8 million for the three months ended March 31, 2015 and 2014, respectively. Revenue increased by approximately $11.9 million, while costs and expenses increased by approximately $13.1 million, contributing to an increase in net loss of approximately $1.3 million for the three months ended March 31, 2015.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42"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476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CCFFCC"/>
            </w:tcBorders>
            <w:shd w:val="clear" w:color="auto" w:fill="CCFFCC"/>
          </w:tcPr>
          <w:p>
            <w:pPr>
              <w:spacing w:after="0"/>
              <w:rPr>
                <w:sz w:val="21"/>
                <w:szCs w:val="21"/>
                <w:color w:val="auto"/>
              </w:rPr>
            </w:pPr>
          </w:p>
        </w:tc>
        <w:tc>
          <w:tcPr>
            <w:tcW w:w="31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6"/>
                <w:szCs w:val="16"/>
                <w:b w:val="1"/>
                <w:bCs w:val="1"/>
                <w:color w:val="auto"/>
                <w:w w:val="89"/>
              </w:rPr>
              <w:t>Consolidated Statements of Cash Flows Data:</w:t>
            </w:r>
          </w:p>
        </w:tc>
        <w:tc>
          <w:tcPr>
            <w:tcW w:w="476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r>
      <w:tr>
        <w:trPr>
          <w:trHeight w:val="237"/>
        </w:trPr>
        <w:tc>
          <w:tcPr>
            <w:tcW w:w="7940" w:type="dxa"/>
            <w:vAlign w:val="bottom"/>
            <w:gridSpan w:val="3"/>
          </w:tcPr>
          <w:p>
            <w:pPr>
              <w:ind w:left="20"/>
              <w:spacing w:after="0"/>
              <w:rPr>
                <w:sz w:val="20"/>
                <w:szCs w:val="20"/>
                <w:color w:val="auto"/>
              </w:rPr>
            </w:pPr>
            <w:r>
              <w:rPr>
                <w:rFonts w:ascii="Arial" w:cs="Arial" w:eastAsia="Arial" w:hAnsi="Arial"/>
                <w:sz w:val="16"/>
                <w:szCs w:val="16"/>
                <w:color w:val="auto"/>
              </w:rPr>
              <w:t>Cash flows used in operating activities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4"/>
              <w:spacing w:after="0"/>
              <w:rPr>
                <w:sz w:val="20"/>
                <w:szCs w:val="20"/>
                <w:color w:val="auto"/>
              </w:rPr>
            </w:pPr>
            <w:r>
              <w:rPr>
                <w:rFonts w:ascii="Arial" w:cs="Arial" w:eastAsia="Arial" w:hAnsi="Arial"/>
                <w:sz w:val="16"/>
                <w:szCs w:val="16"/>
                <w:color w:val="auto"/>
              </w:rPr>
              <w:t>(7,580)</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(2,999)</w:t>
            </w:r>
          </w:p>
        </w:tc>
      </w:tr>
      <w:tr>
        <w:trPr>
          <w:trHeight w:val="33"/>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4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(1,783)</w:t>
            </w:r>
          </w:p>
        </w:tc>
        <w:tc>
          <w:tcPr>
            <w:tcW w:w="5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(4,755)</w:t>
            </w:r>
          </w:p>
        </w:tc>
      </w:tr>
      <w:tr>
        <w:trPr>
          <w:trHeight w:val="237"/>
        </w:trPr>
        <w:tc>
          <w:tcPr>
            <w:tcW w:w="7940" w:type="dxa"/>
            <w:vAlign w:val="bottom"/>
            <w:gridSpan w:val="3"/>
          </w:tcPr>
          <w:p>
            <w:pPr>
              <w:ind w:left="20"/>
              <w:spacing w:after="0"/>
              <w:rPr>
                <w:sz w:val="20"/>
                <w:szCs w:val="20"/>
                <w:color w:val="auto"/>
              </w:rPr>
            </w:pPr>
            <w:r>
              <w:rPr>
                <w:rFonts w:ascii="Arial" w:cs="Arial" w:eastAsia="Arial" w:hAnsi="Arial"/>
                <w:sz w:val="16"/>
                <w:szCs w:val="16"/>
                <w:color w:val="auto"/>
              </w:rPr>
              <w:t>Cash flows provided by (used in) financing activities</w:t>
            </w:r>
          </w:p>
        </w:tc>
        <w:tc>
          <w:tcPr>
            <w:tcW w:w="280" w:type="dxa"/>
            <w:vAlign w:val="bottom"/>
          </w:tcPr>
          <w:p>
            <w:pPr>
              <w:spacing w:after="0"/>
              <w:rPr>
                <w:sz w:val="20"/>
                <w:szCs w:val="20"/>
                <w:color w:val="auto"/>
              </w:rPr>
            </w:pPr>
          </w:p>
        </w:tc>
        <w:tc>
          <w:tcPr>
            <w:tcW w:w="1060" w:type="dxa"/>
            <w:vAlign w:val="bottom"/>
          </w:tcPr>
          <w:p>
            <w:pPr>
              <w:jc w:val="right"/>
              <w:ind w:right="184"/>
              <w:spacing w:after="0"/>
              <w:rPr>
                <w:sz w:val="20"/>
                <w:szCs w:val="20"/>
                <w:color w:val="auto"/>
              </w:rPr>
            </w:pPr>
            <w:r>
              <w:rPr>
                <w:rFonts w:ascii="Arial" w:cs="Arial" w:eastAsia="Arial" w:hAnsi="Arial"/>
                <w:sz w:val="16"/>
                <w:szCs w:val="16"/>
                <w:color w:val="auto"/>
              </w:rPr>
              <w:t>977</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(4,863)</w:t>
            </w:r>
          </w:p>
        </w:tc>
      </w:tr>
    </w:tbl>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2015, we had approximately $40.8 million in cash and cash equivalents, a decrease of approximately $8.5 million from December 31, 2014. The decrease is primarily attributable to net cash used in operations, net cash used in investing activities relating to purchases of fixed assets related to the build-out of our co-location facility and cash used to repurchase our common stock. This is partially offset by proceeds from the issuance of common stock in connection with the exercise of stock options by employees. We invest our cash in short-term money market funds.</w:t>
      </w:r>
    </w:p>
    <w:p>
      <w:pPr>
        <w:spacing w:after="0" w:line="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operating activities was $7.6 million for the three months ended March 31, 2015 and consisted primarily of net loss, non-cash expenses related to ASC 718-10, amortization of purchased intangibles and depreciation, increases in accounts receivable and prepaid expenses, and decreases in accrued expenses and deferred revenue. Net cash used in operating activities was $3.0 million for the three months ended March 31, 2014 and consisted primarily of a net loss, a decrease in accounts payable, and increases in accounts receivable, prepaid expenses and accrued expenses partially offset by non-cash expenses related to ASC 718-10, amortization of intangibles and depreciation and an increase in prepaid expenses and decreases in accrued expenses and deferred revenue, partially offset by an increase in accounts payable.</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$1.8 million in the three months ended March 31, 2015 and was due primarily to the purchase of fixed assets for our co-location facilities. Net cash used in investing activities was $4.8 million in the three months ended March 31, 2014 and was due primarily to the purchase of fixed assets for our co-location facilities and our investments in technology assets, and our acquisitions of NexGraph.</w:t>
      </w:r>
    </w:p>
    <w:p>
      <w:pPr>
        <w:spacing w:after="0" w:line="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financing activities was $1.0 million in the three months ended March 31, 2015 and consisted primarily of the issuance of common stock and excess tax benefit in connection with the exercise of stock options by employees offset by the repurchase of our common stock. Net cash used in financing activities was $4.9 million in the three months ended March 31, 2014 and consisted primarily of the repurchase of our common stock offset by the proceeds from the issuance of common stock in connection with the exercise of stock options by employees.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periods ended March 31, 2013, March 31, 2014, and June 30, 2014. We incurred a net loss in the quarterly periods ended June 30, 2013, September 30, 2013, December 31, 2013, as well as in the quarterly periods ended September 30, 2014 and December 31, 2014. As of March 31, 2015, we had an accumulated deficit of approximately $94.7 million.</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months ended March 31, 2015 and 2014, was approximately $2.5 million and $2.2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both"/>
        <w:ind w:firstLine="648"/>
        <w:spacing w:after="0" w:line="264" w:lineRule="auto"/>
        <w:rPr>
          <w:sz w:val="20"/>
          <w:szCs w:val="20"/>
          <w:color w:val="auto"/>
        </w:rPr>
      </w:pPr>
      <w:r>
        <w:rPr>
          <w:rFonts w:ascii="Arial" w:cs="Arial" w:eastAsia="Arial" w:hAnsi="Arial"/>
          <w:sz w:val="18"/>
          <w:szCs w:val="18"/>
          <w:color w:val="auto"/>
        </w:rPr>
        <w:t>As of March 31, 2015, our principal commitments were approximately $22.7 million under various operating leases, of which approximately $7.9 million is due in 2015. We currently expect that our principal commitments for the year ending December 31, 2015 will not exceed $9.0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March 31, 2015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22,693</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9,566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9,981</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3,146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ind w:left="98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22,693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9,566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9,981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the expanded scope of our Israeli operations, our currency rate fluctuation risk associated with the exchange rate movement of the U.S. dollar against the New Israeli Shekel (“NIS”) has increased. During the three months ended March 31, 2015, the U.S. dollar appreciated by approximately 13%, as compared to the NIS. During the three months ended March 31, 2015, expenses generated by our Israeli operations totaled approximately $13.5 million. During 2015, we hedged this foreign currency risk exposure.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continue to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and Italy is the Euro; the functional currency of our operations in Australia is the Australian Dollar; and the functional currency of our operations in Japan is the Japanese Yen.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2015, we increased our allowance for doubtful accounts by $0.1 million. During 2014, we increased our allowance for doubtful accounts from $1.2 million to approximately $1.3 million, principally due to an increase in sales.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2015. Based on that evaluation, the Chief Executive Officer and Chief Financial Officer concluded that our disclosure controls and procedures were effective as of March 31, 2015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2015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disclosures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Risks that could have a material and adverse impact on our business, results of operations and financial condition include the following: potential fluctuations in our quarterly revenue and operating results; competition in the markets for online sales, marketing and customer service solutions, and online consumer services; our ability to retain existing clients and attract new clients; risks related to new regulatory or other legal requirements that could materially impact our business; volatility of the value of certain currencies in relation to the U.S. dollar, particularly the currency of regions where we have operations; additional regulatory requirements, tax liabilities, currency exchange rate fluctuations and other risks as we expand internationally and/or as we expand into direct-to-consumer services; impairments to goodwill that result in significant charges to earnings; responding to rapid technological change and changing client preferences; the adverse effect that the global economic downturn may have on our business and results of operations; our ability to retain key personnel, attract new personnel and to manage staff attrition; our ability to expand our operations internationally; risks related to the ability to successfully integrate past or potential future acquisitions; failures or security breaches in our services, those of our third party providers, or in the websites of our customers; risks related to the regulation or possible misappropriation of personal information belonging to our customers’ Internet users; dependence upon technology systems and third-party content that are beyond our control; privacy concerns relating to the Internet that could result in new legislation or negative public perception; legal liability and/or negative publicity for the services provided to consumers via our technology platforms; risks related to protecting our intellectual property rights or potential infringement of the intellectual property rights of third parties; risks related to technological or other defects distributing our services; increased allowances for doubtful accounts as a result of an increasing amount of receivables due from customers with greater credit risk; delays in our implementation cycles; risks associated with the recent volatility in the capital markets; our ability to secure additional financing to execute our business strategy; risks associated with our current or any future stock repurchase programs, including whether such programs will enhance long-term stockholder value, and whether such stock repurchases could increase the volatility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8"/>
          <w:szCs w:val="18"/>
          <w:color w:val="auto"/>
        </w:rPr>
        <w:t>of the price of our common stock and diminish our cash reserves; our ability to license necessary third party software for use in our products and services, and our ability to successfully integrate third party software; changes in accounting principles generally accepted in the United States; our ability to maintain our reputation; risks related to our complex products; our recognition of revenue from subscriptions; our lengthy sales cycles; risks related to our operations in Israel, and the civil and political unrest in that region; natural catastrophic events and interruption to our business by man-made problems; the high volatility of our stock price; and risks related to our common stock being traded on more than one securities exchange. This list is intended to identify only certain of the principal factors that could have a material and adverse impact on our business, results of operations and financial condition. A more detailed description of each of these and other important risk factors can be found under the caption “Risk Factors” in our most recent Annual Report on Form 10-K filed on March 12, 2015 (the “Form 10-K”).</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material changes to the risk factors described in the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March 31,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10,304,721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1/1/2015 – 1/31/2015</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33,360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33,360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9,846,361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2/1/2015 – 2/28/2015</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142,812</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142,812</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8,246,866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3/1/2015 – 3/31/2015</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8,246,866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176,172</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176,172</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8,246,866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right="20" w:hanging="644"/>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share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As of March 31, 2015, approximately $8.2 million remained available for purchases under the program.</w:t>
      </w:r>
    </w:p>
    <w:p>
      <w:pPr>
        <w:spacing w:after="0" w:line="8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between LivePerson and Dustin Dean, dated February 25, 2015.</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Amendment to the employment agreement between LivePerson and Dustin Dean, dated March 27, 2015.</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17" w:lineRule="exact"/>
        <w:rPr>
          <w:sz w:val="20"/>
          <w:szCs w:val="20"/>
          <w:color w:val="auto"/>
        </w:rPr>
      </w:pPr>
    </w:p>
    <w:p>
      <w:pPr>
        <w:ind w:right="300" w:firstLine="8"/>
        <w:spacing w:after="0" w:line="342" w:lineRule="auto"/>
        <w:tabs>
          <w:tab w:leader="none" w:pos="3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580" w:right="339" w:bottom="1440" w:gutter="0" w:footer="0" w:header="0"/>
          <w:type w:val="continuous"/>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May 11, 2015</w:t>
            </w:r>
          </w:p>
        </w:tc>
        <w:tc>
          <w:tcPr>
            <w:tcW w:w="2180" w:type="dxa"/>
            <w:vAlign w:val="bottom"/>
          </w:tcPr>
          <w:p>
            <w:pPr>
              <w:ind w:left="168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May 11, 2015</w:t>
            </w:r>
          </w:p>
        </w:tc>
        <w:tc>
          <w:tcPr>
            <w:tcW w:w="2180" w:type="dxa"/>
            <w:vAlign w:val="bottom"/>
          </w:tcPr>
          <w:p>
            <w:pPr>
              <w:ind w:left="168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36</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9780" w:type="dxa"/>
            <w:vAlign w:val="bottom"/>
          </w:tcPr>
          <w:p>
            <w:pPr>
              <w:ind w:left="3560"/>
              <w:spacing w:after="0"/>
              <w:rPr>
                <w:sz w:val="20"/>
                <w:szCs w:val="20"/>
                <w:color w:val="auto"/>
              </w:rPr>
            </w:pPr>
            <w:r>
              <w:rPr>
                <w:rFonts w:ascii="Arial" w:cs="Arial" w:eastAsia="Arial" w:hAnsi="Arial"/>
                <w:sz w:val="18"/>
                <w:szCs w:val="18"/>
                <w:color w:val="auto"/>
              </w:rPr>
              <w:t>EXHIBIT INDEX</w:t>
            </w:r>
          </w:p>
        </w:tc>
      </w:tr>
      <w:tr>
        <w:trPr>
          <w:trHeight w:val="486"/>
        </w:trPr>
        <w:tc>
          <w:tcPr>
            <w:tcW w:w="1500" w:type="dxa"/>
            <w:vAlign w:val="bottom"/>
          </w:tcPr>
          <w:p>
            <w:pPr>
              <w:ind w:left="40"/>
              <w:spacing w:after="0"/>
              <w:rPr>
                <w:sz w:val="20"/>
                <w:szCs w:val="20"/>
                <w:color w:val="auto"/>
              </w:rPr>
            </w:pPr>
            <w:r>
              <w:rPr>
                <w:rFonts w:ascii="Arial" w:cs="Arial" w:eastAsia="Arial" w:hAnsi="Arial"/>
                <w:sz w:val="18"/>
                <w:szCs w:val="18"/>
                <w:color w:val="auto"/>
              </w:rPr>
              <w:t>EXHIBIT</w:t>
            </w:r>
          </w:p>
        </w:tc>
        <w:tc>
          <w:tcPr>
            <w:tcW w:w="9780" w:type="dxa"/>
            <w:vAlign w:val="bottom"/>
          </w:tcPr>
          <w:p>
            <w:pPr>
              <w:spacing w:after="0"/>
              <w:rPr>
                <w:sz w:val="24"/>
                <w:szCs w:val="24"/>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9780" w:type="dxa"/>
            <w:vAlign w:val="bottom"/>
          </w:tcPr>
          <w:p>
            <w:pPr>
              <w:spacing w:after="0"/>
              <w:rPr>
                <w:sz w:val="2"/>
                <w:szCs w:val="2"/>
                <w:color w:val="auto"/>
              </w:rPr>
            </w:pPr>
          </w:p>
        </w:tc>
      </w:tr>
      <w:tr>
        <w:trPr>
          <w:trHeight w:val="561"/>
        </w:trPr>
        <w:tc>
          <w:tcPr>
            <w:tcW w:w="1500" w:type="dxa"/>
            <w:vAlign w:val="bottom"/>
          </w:tcPr>
          <w:p>
            <w:pPr>
              <w:ind w:left="40"/>
              <w:spacing w:after="0"/>
              <w:rPr>
                <w:sz w:val="20"/>
                <w:szCs w:val="20"/>
                <w:color w:val="auto"/>
              </w:rPr>
            </w:pPr>
            <w:r>
              <w:rPr>
                <w:rFonts w:ascii="Arial" w:cs="Arial" w:eastAsia="Arial" w:hAnsi="Arial"/>
                <w:sz w:val="18"/>
                <w:szCs w:val="18"/>
                <w:color w:val="auto"/>
              </w:rPr>
              <w:t>10.1*</w:t>
            </w:r>
          </w:p>
        </w:tc>
        <w:tc>
          <w:tcPr>
            <w:tcW w:w="9780" w:type="dxa"/>
            <w:vAlign w:val="bottom"/>
          </w:tcPr>
          <w:p>
            <w:pPr>
              <w:ind w:left="20"/>
              <w:spacing w:after="0"/>
              <w:rPr>
                <w:sz w:val="20"/>
                <w:szCs w:val="20"/>
                <w:color w:val="auto"/>
              </w:rPr>
            </w:pPr>
            <w:r>
              <w:rPr>
                <w:rFonts w:ascii="Arial" w:cs="Arial" w:eastAsia="Arial" w:hAnsi="Arial"/>
                <w:sz w:val="18"/>
                <w:szCs w:val="18"/>
                <w:color w:val="auto"/>
              </w:rPr>
              <w:t>Employment agreement between LivePerson and Dustin Dean, dated February 25, 2015.</w:t>
            </w:r>
          </w:p>
        </w:tc>
      </w:tr>
      <w:tr>
        <w:trPr>
          <w:trHeight w:val="594"/>
        </w:trPr>
        <w:tc>
          <w:tcPr>
            <w:tcW w:w="1500" w:type="dxa"/>
            <w:vAlign w:val="bottom"/>
          </w:tcPr>
          <w:p>
            <w:pPr>
              <w:ind w:left="40"/>
              <w:spacing w:after="0"/>
              <w:rPr>
                <w:sz w:val="20"/>
                <w:szCs w:val="20"/>
                <w:color w:val="auto"/>
              </w:rPr>
            </w:pPr>
            <w:r>
              <w:rPr>
                <w:rFonts w:ascii="Arial" w:cs="Arial" w:eastAsia="Arial" w:hAnsi="Arial"/>
                <w:sz w:val="18"/>
                <w:szCs w:val="18"/>
                <w:color w:val="auto"/>
              </w:rPr>
              <w:t>10.2*</w:t>
            </w:r>
          </w:p>
        </w:tc>
        <w:tc>
          <w:tcPr>
            <w:tcW w:w="9780" w:type="dxa"/>
            <w:vAlign w:val="bottom"/>
          </w:tcPr>
          <w:p>
            <w:pPr>
              <w:ind w:left="20"/>
              <w:spacing w:after="0"/>
              <w:rPr>
                <w:sz w:val="20"/>
                <w:szCs w:val="20"/>
                <w:color w:val="auto"/>
              </w:rPr>
            </w:pPr>
            <w:r>
              <w:rPr>
                <w:rFonts w:ascii="Arial" w:cs="Arial" w:eastAsia="Arial" w:hAnsi="Arial"/>
                <w:sz w:val="18"/>
                <w:szCs w:val="18"/>
                <w:color w:val="auto"/>
              </w:rPr>
              <w:t>Amendment to the employment agreement between LivePerson and Dustin Dean, dated March 27, 2015.</w:t>
            </w:r>
          </w:p>
        </w:tc>
      </w:tr>
      <w:tr>
        <w:trPr>
          <w:trHeight w:val="580"/>
        </w:trPr>
        <w:tc>
          <w:tcPr>
            <w:tcW w:w="1500" w:type="dxa"/>
            <w:vAlign w:val="bottom"/>
          </w:tcPr>
          <w:p>
            <w:pPr>
              <w:ind w:left="40"/>
              <w:spacing w:after="0"/>
              <w:rPr>
                <w:sz w:val="20"/>
                <w:szCs w:val="20"/>
                <w:color w:val="auto"/>
              </w:rPr>
            </w:pPr>
            <w:r>
              <w:rPr>
                <w:rFonts w:ascii="Arial" w:cs="Arial" w:eastAsia="Arial" w:hAnsi="Arial"/>
                <w:sz w:val="18"/>
                <w:szCs w:val="18"/>
                <w:color w:val="auto"/>
              </w:rPr>
              <w:t>31.1</w:t>
            </w:r>
          </w:p>
        </w:tc>
        <w:tc>
          <w:tcPr>
            <w:tcW w:w="9780" w:type="dxa"/>
            <w:vAlign w:val="bottom"/>
          </w:tcPr>
          <w:p>
            <w:pPr>
              <w:ind w:left="20"/>
              <w:spacing w:after="0"/>
              <w:rPr>
                <w:sz w:val="20"/>
                <w:szCs w:val="20"/>
                <w:color w:val="auto"/>
              </w:rPr>
            </w:pPr>
            <w:r>
              <w:rPr>
                <w:rFonts w:ascii="Arial" w:cs="Arial" w:eastAsia="Arial" w:hAnsi="Arial"/>
                <w:sz w:val="18"/>
                <w:szCs w:val="18"/>
                <w:color w:val="auto"/>
                <w:w w:val="90"/>
              </w:rPr>
              <w:t>Certification by Chief Executive Officer pursuant to Exchange Act Rule 13a-14(a), as adopted pursuant to Section 302 of the Sarbanes-</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31.2</w:t>
            </w:r>
          </w:p>
        </w:tc>
        <w:tc>
          <w:tcPr>
            <w:tcW w:w="9780" w:type="dxa"/>
            <w:vAlign w:val="bottom"/>
          </w:tcPr>
          <w:p>
            <w:pPr>
              <w:ind w:left="20"/>
              <w:spacing w:after="0"/>
              <w:rPr>
                <w:sz w:val="20"/>
                <w:szCs w:val="20"/>
                <w:color w:val="auto"/>
              </w:rPr>
            </w:pPr>
            <w:r>
              <w:rPr>
                <w:rFonts w:ascii="Arial" w:cs="Arial" w:eastAsia="Arial" w:hAnsi="Arial"/>
                <w:sz w:val="18"/>
                <w:szCs w:val="18"/>
                <w:color w:val="auto"/>
                <w:w w:val="91"/>
              </w:rPr>
              <w:t>Certification by Chief Financial Officer pursuant to Exchange Act Rule 13a-14(a), as adopted pursuant to Section 302 of the Sarbanes-</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32.1**</w:t>
            </w:r>
          </w:p>
        </w:tc>
        <w:tc>
          <w:tcPr>
            <w:tcW w:w="9780" w:type="dxa"/>
            <w:vAlign w:val="bottom"/>
          </w:tcPr>
          <w:p>
            <w:pPr>
              <w:ind w:left="20"/>
              <w:spacing w:after="0"/>
              <w:rPr>
                <w:sz w:val="20"/>
                <w:szCs w:val="20"/>
                <w:color w:val="auto"/>
              </w:rPr>
            </w:pPr>
            <w:r>
              <w:rPr>
                <w:rFonts w:ascii="Arial" w:cs="Arial" w:eastAsia="Arial" w:hAnsi="Arial"/>
                <w:sz w:val="18"/>
                <w:szCs w:val="18"/>
                <w:color w:val="auto"/>
                <w:w w:val="90"/>
              </w:rPr>
              <w:t>Certification by Chief Executive Officer pursuant to 18 U.S.C. Section 1350, as adopted pursuant to Section 906 of the Sarbanes-Oxley</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32.2**</w:t>
            </w:r>
          </w:p>
        </w:tc>
        <w:tc>
          <w:tcPr>
            <w:tcW w:w="9780" w:type="dxa"/>
            <w:vAlign w:val="bottom"/>
          </w:tcPr>
          <w:p>
            <w:pPr>
              <w:ind w:left="20"/>
              <w:spacing w:after="0"/>
              <w:rPr>
                <w:sz w:val="20"/>
                <w:szCs w:val="20"/>
                <w:color w:val="auto"/>
              </w:rPr>
            </w:pPr>
            <w:r>
              <w:rPr>
                <w:rFonts w:ascii="Arial" w:cs="Arial" w:eastAsia="Arial" w:hAnsi="Arial"/>
                <w:sz w:val="18"/>
                <w:szCs w:val="18"/>
                <w:color w:val="auto"/>
                <w:w w:val="91"/>
              </w:rPr>
              <w:t>Certification by Chief Financial Officer pursuant to 18 U.S.C. Section 1350, as adopted pursuant to Section 906 of the Sarbanes-Oxley</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17" w:lineRule="exact"/>
        <w:rPr>
          <w:sz w:val="20"/>
          <w:szCs w:val="20"/>
          <w:color w:val="auto"/>
        </w:rPr>
      </w:pPr>
    </w:p>
    <w:p>
      <w:pPr>
        <w:ind w:right="300" w:firstLine="8"/>
        <w:spacing w:after="0" w:line="342" w:lineRule="auto"/>
        <w:tabs>
          <w:tab w:leader="none" w:pos="3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584"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5229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52295" cy="351790"/>
                    </a:xfrm>
                    <a:prstGeom prst="rect">
                      <a:avLst/>
                    </a:prstGeom>
                    <a:noFill/>
                  </pic:spPr>
                </pic:pic>
              </a:graphicData>
            </a:graphic>
          </wp:anchor>
        </w:drawing>
        <w:t>February 25, 2015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Dustin Dean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Dear Dustin:</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Congratulations on the completion of your assignment in Australia! As per your Assignment Letter, as extended and dated August 13, 2013, we are repatriating you back to the US effective March 1, 2015.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Repatriation Provisions</w:t>
      </w:r>
    </w:p>
    <w:p>
      <w:pPr>
        <w:spacing w:after="0" w:line="23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Attached to this letter is a Summary of Repatriation Provisions, which details the assistance to be provided by the company for the duration of your repatriation. You are required to review this entire document, initial each page, sign this page as indicated below, and return fully executed copies as instructed herein.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235"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The terms and conditions of this letter and the provisions of the company’s policy are subject to change at any time at the company’s sole discretion.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Please acknowledge your understanding and acceptance of this offer letter by signing below and returning to Lynn Gibson.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60" w:type="dxa"/>
            <w:vAlign w:val="bottom"/>
            <w:gridSpan w:val="2"/>
          </w:tcPr>
          <w:p>
            <w:pPr>
              <w:spacing w:after="0"/>
              <w:rPr>
                <w:sz w:val="20"/>
                <w:szCs w:val="20"/>
                <w:color w:val="auto"/>
              </w:rPr>
            </w:pPr>
            <w:r>
              <w:rPr>
                <w:rFonts w:ascii="Arial" w:cs="Arial" w:eastAsia="Arial" w:hAnsi="Arial"/>
                <w:sz w:val="20"/>
                <w:szCs w:val="20"/>
                <w:color w:val="auto"/>
              </w:rPr>
              <w:t>Sincerely,</w:t>
            </w:r>
          </w:p>
        </w:tc>
        <w:tc>
          <w:tcPr>
            <w:tcW w:w="2960" w:type="dxa"/>
            <w:vAlign w:val="bottom"/>
          </w:tcPr>
          <w:p>
            <w:pPr>
              <w:spacing w:after="0"/>
              <w:rPr>
                <w:sz w:val="21"/>
                <w:szCs w:val="21"/>
                <w:color w:val="auto"/>
              </w:rPr>
            </w:pPr>
          </w:p>
        </w:tc>
      </w:tr>
      <w:tr>
        <w:trPr>
          <w:trHeight w:val="621"/>
        </w:trPr>
        <w:tc>
          <w:tcPr>
            <w:tcW w:w="8460" w:type="dxa"/>
            <w:vAlign w:val="bottom"/>
            <w:gridSpan w:val="2"/>
          </w:tcPr>
          <w:p>
            <w:pPr>
              <w:ind w:left="40"/>
              <w:spacing w:after="0"/>
              <w:rPr>
                <w:sz w:val="20"/>
                <w:szCs w:val="20"/>
                <w:color w:val="auto"/>
              </w:rPr>
            </w:pPr>
            <w:r>
              <w:rPr>
                <w:rFonts w:ascii="Arial" w:cs="Arial" w:eastAsia="Arial" w:hAnsi="Arial"/>
                <w:sz w:val="20"/>
                <w:szCs w:val="20"/>
                <w:color w:val="auto"/>
              </w:rPr>
              <w:t>/s/ Daryl J. Carlough</w:t>
            </w:r>
          </w:p>
        </w:tc>
        <w:tc>
          <w:tcPr>
            <w:tcW w:w="2960" w:type="dxa"/>
            <w:vAlign w:val="bottom"/>
          </w:tcPr>
          <w:p>
            <w:pPr>
              <w:jc w:val="right"/>
              <w:ind w:right="1070"/>
              <w:spacing w:after="0"/>
              <w:rPr>
                <w:sz w:val="20"/>
                <w:szCs w:val="20"/>
                <w:color w:val="auto"/>
              </w:rPr>
            </w:pPr>
            <w:r>
              <w:rPr>
                <w:rFonts w:ascii="Arial" w:cs="Arial" w:eastAsia="Arial" w:hAnsi="Arial"/>
                <w:sz w:val="18"/>
                <w:szCs w:val="18"/>
                <w:color w:val="auto"/>
              </w:rPr>
              <w:t>3/3/2015</w:t>
            </w:r>
          </w:p>
        </w:tc>
      </w:tr>
      <w:tr>
        <w:trPr>
          <w:trHeight w:val="23"/>
        </w:trPr>
        <w:tc>
          <w:tcPr>
            <w:tcW w:w="75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54"/>
        </w:trPr>
        <w:tc>
          <w:tcPr>
            <w:tcW w:w="8460" w:type="dxa"/>
            <w:vAlign w:val="bottom"/>
            <w:gridSpan w:val="2"/>
          </w:tcPr>
          <w:p>
            <w:pPr>
              <w:ind w:left="40"/>
              <w:spacing w:after="0"/>
              <w:rPr>
                <w:sz w:val="20"/>
                <w:szCs w:val="20"/>
                <w:color w:val="auto"/>
              </w:rPr>
            </w:pPr>
            <w:r>
              <w:rPr>
                <w:rFonts w:ascii="Arial" w:cs="Arial" w:eastAsia="Arial" w:hAnsi="Arial"/>
                <w:sz w:val="20"/>
                <w:szCs w:val="20"/>
                <w:color w:val="auto"/>
              </w:rPr>
              <w:t>Approving Signatory Name – Company Rep.</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84"/>
        </w:trPr>
        <w:tc>
          <w:tcPr>
            <w:tcW w:w="8460" w:type="dxa"/>
            <w:vAlign w:val="bottom"/>
            <w:gridSpan w:val="2"/>
          </w:tcPr>
          <w:p>
            <w:pPr>
              <w:ind w:left="40"/>
              <w:spacing w:after="0"/>
              <w:rPr>
                <w:sz w:val="20"/>
                <w:szCs w:val="20"/>
                <w:color w:val="auto"/>
              </w:rPr>
            </w:pPr>
            <w:r>
              <w:rPr>
                <w:rFonts w:ascii="Arial" w:cs="Arial" w:eastAsia="Arial" w:hAnsi="Arial"/>
                <w:sz w:val="20"/>
                <w:szCs w:val="20"/>
                <w:i w:val="1"/>
                <w:iCs w:val="1"/>
                <w:color w:val="auto"/>
              </w:rPr>
              <w:t>Signature</w:t>
            </w:r>
          </w:p>
        </w:tc>
        <w:tc>
          <w:tcPr>
            <w:tcW w:w="2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00" w:type="dxa"/>
            <w:vAlign w:val="bottom"/>
            <w:gridSpan w:val="3"/>
          </w:tcPr>
          <w:p>
            <w:pPr>
              <w:ind w:left="40"/>
              <w:spacing w:after="0"/>
              <w:rPr>
                <w:sz w:val="20"/>
                <w:szCs w:val="20"/>
                <w:color w:val="auto"/>
              </w:rPr>
            </w:pPr>
            <w:r>
              <w:rPr>
                <w:rFonts w:ascii="Arial" w:cs="Arial" w:eastAsia="Arial" w:hAnsi="Arial"/>
                <w:sz w:val="20"/>
                <w:szCs w:val="20"/>
                <w:color w:val="auto"/>
              </w:rPr>
              <w:t>/s/ Dustin Dean</w:t>
            </w:r>
          </w:p>
        </w:tc>
        <w:tc>
          <w:tcPr>
            <w:tcW w:w="2220" w:type="dxa"/>
            <w:vAlign w:val="bottom"/>
          </w:tcPr>
          <w:p>
            <w:pPr>
              <w:jc w:val="right"/>
              <w:ind w:right="1070"/>
              <w:spacing w:after="0"/>
              <w:rPr>
                <w:sz w:val="20"/>
                <w:szCs w:val="20"/>
                <w:color w:val="auto"/>
              </w:rPr>
            </w:pPr>
            <w:r>
              <w:rPr>
                <w:rFonts w:ascii="Arial" w:cs="Arial" w:eastAsia="Arial" w:hAnsi="Arial"/>
                <w:sz w:val="18"/>
                <w:szCs w:val="18"/>
                <w:color w:val="auto"/>
              </w:rPr>
              <w:t>3/3/2015</w:t>
            </w:r>
          </w:p>
        </w:tc>
      </w:tr>
      <w:tr>
        <w:trPr>
          <w:trHeight w:val="23"/>
        </w:trPr>
        <w:tc>
          <w:tcPr>
            <w:tcW w:w="75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4"/>
        </w:trPr>
        <w:tc>
          <w:tcPr>
            <w:tcW w:w="9200" w:type="dxa"/>
            <w:vAlign w:val="bottom"/>
            <w:gridSpan w:val="3"/>
          </w:tcPr>
          <w:p>
            <w:pPr>
              <w:ind w:left="40"/>
              <w:spacing w:after="0"/>
              <w:rPr>
                <w:sz w:val="20"/>
                <w:szCs w:val="20"/>
                <w:color w:val="auto"/>
              </w:rPr>
            </w:pPr>
            <w:r>
              <w:rPr>
                <w:rFonts w:ascii="Arial" w:cs="Arial" w:eastAsia="Arial" w:hAnsi="Arial"/>
                <w:sz w:val="20"/>
                <w:szCs w:val="20"/>
                <w:color w:val="auto"/>
              </w:rPr>
              <w:t>Approving Signatory Name – Dustin Dean</w:t>
            </w:r>
          </w:p>
        </w:tc>
        <w:tc>
          <w:tcPr>
            <w:tcW w:w="2220" w:type="dxa"/>
            <w:vAlign w:val="bottom"/>
          </w:tcPr>
          <w:p>
            <w:pPr>
              <w:jc w:val="center"/>
              <w:ind w:right="630"/>
              <w:spacing w:after="0"/>
              <w:rPr>
                <w:sz w:val="20"/>
                <w:szCs w:val="20"/>
                <w:color w:val="auto"/>
              </w:rPr>
            </w:pPr>
            <w:r>
              <w:rPr>
                <w:rFonts w:ascii="Arial" w:cs="Arial" w:eastAsia="Arial" w:hAnsi="Arial"/>
                <w:sz w:val="18"/>
                <w:szCs w:val="18"/>
                <w:color w:val="auto"/>
                <w:w w:val="89"/>
              </w:rPr>
              <w:t>Date</w:t>
            </w:r>
          </w:p>
        </w:tc>
      </w:tr>
      <w:tr>
        <w:trPr>
          <w:trHeight w:val="284"/>
        </w:trPr>
        <w:tc>
          <w:tcPr>
            <w:tcW w:w="9200" w:type="dxa"/>
            <w:vAlign w:val="bottom"/>
            <w:gridSpan w:val="3"/>
          </w:tcPr>
          <w:p>
            <w:pPr>
              <w:ind w:left="40"/>
              <w:spacing w:after="0"/>
              <w:rPr>
                <w:sz w:val="20"/>
                <w:szCs w:val="20"/>
                <w:color w:val="auto"/>
              </w:rPr>
            </w:pPr>
            <w:r>
              <w:rPr>
                <w:rFonts w:ascii="Arial" w:cs="Arial" w:eastAsia="Arial" w:hAnsi="Arial"/>
                <w:sz w:val="20"/>
                <w:szCs w:val="20"/>
                <w:i w:val="1"/>
                <w:iCs w:val="1"/>
                <w:color w:val="auto"/>
              </w:rPr>
              <w:t>Signature</w:t>
            </w:r>
          </w:p>
        </w:tc>
        <w:tc>
          <w:tcPr>
            <w:tcW w:w="2220" w:type="dxa"/>
            <w:vAlign w:val="bottom"/>
          </w:tcPr>
          <w:p>
            <w:pPr>
              <w:spacing w:after="0"/>
              <w:rPr>
                <w:sz w:val="24"/>
                <w:szCs w:val="24"/>
                <w:color w:val="auto"/>
              </w:rPr>
            </w:pPr>
          </w:p>
        </w:tc>
      </w:tr>
      <w:tr>
        <w:trPr>
          <w:trHeight w:val="810"/>
        </w:trPr>
        <w:tc>
          <w:tcPr>
            <w:tcW w:w="9200" w:type="dxa"/>
            <w:vAlign w:val="bottom"/>
            <w:gridSpan w:val="3"/>
          </w:tcPr>
          <w:p>
            <w:pPr>
              <w:spacing w:after="0"/>
              <w:rPr>
                <w:sz w:val="20"/>
                <w:szCs w:val="20"/>
                <w:color w:val="auto"/>
              </w:rPr>
            </w:pPr>
            <w:r>
              <w:rPr>
                <w:rFonts w:ascii="Arial" w:cs="Arial" w:eastAsia="Arial" w:hAnsi="Arial"/>
                <w:sz w:val="20"/>
                <w:szCs w:val="20"/>
                <w:i w:val="1"/>
                <w:iCs w:val="1"/>
                <w:color w:val="auto"/>
                <w:w w:val="93"/>
              </w:rPr>
              <w:t>By signing this agreement, you acknowledge that you read, understand, and agree to the terms and conditions.</w:t>
            </w:r>
          </w:p>
        </w:tc>
        <w:tc>
          <w:tcPr>
            <w:tcW w:w="2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475 10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Avenue,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New York, NY 10018 </w:t>
      </w:r>
      <w:r>
        <w:rPr>
          <w:rFonts w:ascii="Arial" w:cs="Arial" w:eastAsia="Arial" w:hAnsi="Arial"/>
          <w:sz w:val="16"/>
          <w:szCs w:val="16"/>
          <w:u w:val="single" w:color="auto"/>
          <w:color w:val="006EBF"/>
        </w:rPr>
        <w:t>www.liveperson.com</w:t>
      </w:r>
      <w:r>
        <w:rPr>
          <w:rFonts w:ascii="Arial" w:cs="Arial" w:eastAsia="Arial" w:hAnsi="Arial"/>
          <w:sz w:val="16"/>
          <w:szCs w:val="16"/>
          <w:color w:val="auto"/>
        </w:rPr>
        <w:t xml:space="preserve"> t 212.609.4200 f 212.609.4201</w:t>
      </w:r>
    </w:p>
    <w:p>
      <w:pPr>
        <w:sectPr>
          <w:pgSz w:w="11900" w:h="16838" w:orient="portrait"/>
          <w:cols w:equalWidth="0" w:num="1">
            <w:col w:w="11420"/>
          </w:cols>
          <w:pgMar w:left="240" w:top="1136"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5229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52295" cy="3517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780" w:type="dxa"/>
            <w:vAlign w:val="bottom"/>
          </w:tcPr>
          <w:p>
            <w:pPr>
              <w:spacing w:after="0"/>
              <w:rPr>
                <w:sz w:val="22"/>
                <w:szCs w:val="22"/>
                <w:color w:val="auto"/>
              </w:rPr>
            </w:pPr>
          </w:p>
        </w:tc>
        <w:tc>
          <w:tcPr>
            <w:tcW w:w="8660" w:type="dxa"/>
            <w:vAlign w:val="bottom"/>
            <w:gridSpan w:val="2"/>
          </w:tcPr>
          <w:p>
            <w:pPr>
              <w:jc w:val="center"/>
              <w:ind w:right="2701"/>
              <w:spacing w:after="0"/>
              <w:rPr>
                <w:sz w:val="20"/>
                <w:szCs w:val="20"/>
                <w:color w:val="auto"/>
              </w:rPr>
            </w:pPr>
            <w:r>
              <w:rPr>
                <w:rFonts w:ascii="Arial" w:cs="Arial" w:eastAsia="Arial" w:hAnsi="Arial"/>
                <w:sz w:val="20"/>
                <w:szCs w:val="20"/>
                <w:b w:val="1"/>
                <w:bCs w:val="1"/>
                <w:color w:val="auto"/>
                <w:w w:val="99"/>
              </w:rPr>
              <w:t>REPATRIATION PROVISIONS</w:t>
            </w:r>
          </w:p>
        </w:tc>
      </w:tr>
      <w:tr>
        <w:trPr>
          <w:trHeight w:val="415"/>
        </w:trPr>
        <w:tc>
          <w:tcPr>
            <w:tcW w:w="2780" w:type="dxa"/>
            <w:vAlign w:val="bottom"/>
            <w:tcBorders>
              <w:bottom w:val="single" w:sz="8" w:color="00000A"/>
            </w:tcBorders>
          </w:tcPr>
          <w:p>
            <w:pPr>
              <w:spacing w:after="0"/>
              <w:rPr>
                <w:sz w:val="24"/>
                <w:szCs w:val="24"/>
                <w:color w:val="auto"/>
              </w:rPr>
            </w:pPr>
          </w:p>
        </w:tc>
        <w:tc>
          <w:tcPr>
            <w:tcW w:w="1940" w:type="dxa"/>
            <w:vAlign w:val="bottom"/>
            <w:tcBorders>
              <w:bottom w:val="single" w:sz="8" w:color="00000A"/>
            </w:tcBorders>
          </w:tcPr>
          <w:p>
            <w:pPr>
              <w:spacing w:after="0"/>
              <w:rPr>
                <w:sz w:val="24"/>
                <w:szCs w:val="24"/>
                <w:color w:val="auto"/>
              </w:rPr>
            </w:pPr>
          </w:p>
        </w:tc>
        <w:tc>
          <w:tcPr>
            <w:tcW w:w="6720" w:type="dxa"/>
            <w:vAlign w:val="bottom"/>
            <w:tcBorders>
              <w:bottom w:val="single" w:sz="8" w:color="00000A"/>
            </w:tcBorders>
          </w:tcPr>
          <w:p>
            <w:pPr>
              <w:spacing w:after="0"/>
              <w:rPr>
                <w:sz w:val="24"/>
                <w:szCs w:val="24"/>
                <w:color w:val="auto"/>
              </w:rPr>
            </w:pPr>
          </w:p>
        </w:tc>
      </w:tr>
      <w:tr>
        <w:trPr>
          <w:trHeight w:val="254"/>
        </w:trPr>
        <w:tc>
          <w:tcPr>
            <w:tcW w:w="2780" w:type="dxa"/>
            <w:vAlign w:val="bottom"/>
            <w:tcBorders>
              <w:left w:val="single" w:sz="8" w:color="00000A"/>
            </w:tcBorders>
          </w:tcPr>
          <w:p>
            <w:pPr>
              <w:spacing w:after="0"/>
              <w:rPr>
                <w:sz w:val="22"/>
                <w:szCs w:val="22"/>
                <w:color w:val="auto"/>
              </w:rPr>
            </w:pPr>
          </w:p>
        </w:tc>
        <w:tc>
          <w:tcPr>
            <w:tcW w:w="1940" w:type="dxa"/>
            <w:vAlign w:val="bottom"/>
          </w:tcPr>
          <w:p>
            <w:pPr>
              <w:spacing w:after="0"/>
              <w:rPr>
                <w:sz w:val="22"/>
                <w:szCs w:val="22"/>
                <w:color w:val="auto"/>
              </w:rPr>
            </w:pPr>
          </w:p>
        </w:tc>
        <w:tc>
          <w:tcPr>
            <w:tcW w:w="6720" w:type="dxa"/>
            <w:vAlign w:val="bottom"/>
            <w:tcBorders>
              <w:right w:val="single" w:sz="8" w:color="00000A"/>
            </w:tcBorders>
          </w:tcPr>
          <w:p>
            <w:pPr>
              <w:jc w:val="center"/>
              <w:ind w:right="4621"/>
              <w:spacing w:after="0"/>
              <w:rPr>
                <w:sz w:val="20"/>
                <w:szCs w:val="20"/>
                <w:color w:val="auto"/>
              </w:rPr>
            </w:pPr>
            <w:r>
              <w:rPr>
                <w:rFonts w:ascii="Arial" w:cs="Arial" w:eastAsia="Arial" w:hAnsi="Arial"/>
                <w:sz w:val="20"/>
                <w:szCs w:val="20"/>
                <w:b w:val="1"/>
                <w:bCs w:val="1"/>
                <w:i w:val="1"/>
                <w:iCs w:val="1"/>
                <w:color w:val="auto"/>
                <w:w w:val="95"/>
              </w:rPr>
              <w:t>COMPENSATION</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Base Salary</w:t>
            </w:r>
          </w:p>
        </w:tc>
        <w:tc>
          <w:tcPr>
            <w:tcW w:w="1940" w:type="dxa"/>
            <w:vAlign w:val="bottom"/>
            <w:tcBorders>
              <w:right w:val="single" w:sz="8" w:color="00000A"/>
            </w:tcBorders>
          </w:tcPr>
          <w:p>
            <w:pPr>
              <w:spacing w:after="0"/>
              <w:rPr>
                <w:sz w:val="20"/>
                <w:szCs w:val="20"/>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You remain on US payroll and will be subject to all applicable U.S tax</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withholdings required by law. As a reflection of your promotion to EVP, Field</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Organization you will be paid salary at rate of $13,541.66 per pay period according</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to our payroll practices (we currently pay salary on a semimonthly basis: the 15th</w:t>
            </w:r>
          </w:p>
        </w:tc>
      </w:tr>
      <w:tr>
        <w:trPr>
          <w:trHeight w:val="250"/>
        </w:trPr>
        <w:tc>
          <w:tcPr>
            <w:tcW w:w="2780" w:type="dxa"/>
            <w:vAlign w:val="bottom"/>
            <w:tcBorders>
              <w:left w:val="single" w:sz="8" w:color="00000A"/>
            </w:tcBorders>
          </w:tcPr>
          <w:p>
            <w:pPr>
              <w:spacing w:after="0"/>
              <w:rPr>
                <w:sz w:val="21"/>
                <w:szCs w:val="21"/>
                <w:color w:val="auto"/>
              </w:rPr>
            </w:pPr>
          </w:p>
        </w:tc>
        <w:tc>
          <w:tcPr>
            <w:tcW w:w="194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and last day of each month), which annualizes to $325,000 USD.</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Incentive Target</w:t>
            </w:r>
          </w:p>
        </w:tc>
        <w:tc>
          <w:tcPr>
            <w:tcW w:w="1940" w:type="dxa"/>
            <w:vAlign w:val="bottom"/>
            <w:tcBorders>
              <w:right w:val="single" w:sz="8" w:color="00000A"/>
            </w:tcBorders>
          </w:tcPr>
          <w:p>
            <w:pPr>
              <w:spacing w:after="0"/>
              <w:rPr>
                <w:sz w:val="20"/>
                <w:szCs w:val="20"/>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The annual Incentive Compensation (part of On Target Earnings) for your Sales</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Compensation Plan (“Plan”) is $325,000 USD. You will be compensated by the</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Company in accordance with the terms of the Plan, as it is amended from time to</w:t>
            </w:r>
          </w:p>
        </w:tc>
      </w:tr>
      <w:tr>
        <w:trPr>
          <w:trHeight w:val="250"/>
        </w:trPr>
        <w:tc>
          <w:tcPr>
            <w:tcW w:w="2780" w:type="dxa"/>
            <w:vAlign w:val="bottom"/>
            <w:tcBorders>
              <w:left w:val="single" w:sz="8" w:color="00000A"/>
            </w:tcBorders>
          </w:tcPr>
          <w:p>
            <w:pPr>
              <w:spacing w:after="0"/>
              <w:rPr>
                <w:sz w:val="21"/>
                <w:szCs w:val="21"/>
                <w:color w:val="auto"/>
              </w:rPr>
            </w:pPr>
          </w:p>
        </w:tc>
        <w:tc>
          <w:tcPr>
            <w:tcW w:w="194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time. LivePerson reserves the right to amend the plan at any time.</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54"/>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Hypothetical Tax</w:t>
            </w:r>
          </w:p>
        </w:tc>
        <w:tc>
          <w:tcPr>
            <w:tcW w:w="1940" w:type="dxa"/>
            <w:vAlign w:val="bottom"/>
            <w:tcBorders>
              <w:right w:val="single" w:sz="8" w:color="00000A"/>
            </w:tcBorders>
          </w:tcPr>
          <w:p>
            <w:pPr>
              <w:spacing w:after="0"/>
              <w:rPr>
                <w:sz w:val="22"/>
                <w:szCs w:val="22"/>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Deduction will terminate as of March 1, 2015</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54"/>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Expatriate Allowance</w:t>
            </w:r>
          </w:p>
        </w:tc>
        <w:tc>
          <w:tcPr>
            <w:tcW w:w="1940" w:type="dxa"/>
            <w:vAlign w:val="bottom"/>
            <w:tcBorders>
              <w:right w:val="single" w:sz="8" w:color="00000A"/>
            </w:tcBorders>
          </w:tcPr>
          <w:p>
            <w:pPr>
              <w:spacing w:after="0"/>
              <w:rPr>
                <w:sz w:val="22"/>
                <w:szCs w:val="22"/>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Payment of allowances will terminate as of March 1, 2015.</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54"/>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Education Allowance</w:t>
            </w:r>
          </w:p>
        </w:tc>
        <w:tc>
          <w:tcPr>
            <w:tcW w:w="1940" w:type="dxa"/>
            <w:vAlign w:val="bottom"/>
            <w:tcBorders>
              <w:right w:val="single" w:sz="8" w:color="00000A"/>
            </w:tcBorders>
          </w:tcPr>
          <w:p>
            <w:pPr>
              <w:spacing w:after="0"/>
              <w:rPr>
                <w:sz w:val="22"/>
                <w:szCs w:val="22"/>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Payment of allowances will terminate as of March 1, 2015.</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Health Insurance</w:t>
            </w:r>
          </w:p>
        </w:tc>
        <w:tc>
          <w:tcPr>
            <w:tcW w:w="1940" w:type="dxa"/>
            <w:vAlign w:val="bottom"/>
            <w:tcBorders>
              <w:right w:val="single" w:sz="8" w:color="00000A"/>
            </w:tcBorders>
          </w:tcPr>
          <w:p>
            <w:pPr>
              <w:spacing w:after="0"/>
              <w:rPr>
                <w:sz w:val="20"/>
                <w:szCs w:val="20"/>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You will be eligible to enroll in the LivePerson U.S. health and disability insurance</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programs as of March 1, 2015 subject to the terms and conditions of the applicable</w:t>
            </w:r>
          </w:p>
        </w:tc>
      </w:tr>
      <w:tr>
        <w:trPr>
          <w:trHeight w:val="250"/>
        </w:trPr>
        <w:tc>
          <w:tcPr>
            <w:tcW w:w="2780" w:type="dxa"/>
            <w:vAlign w:val="bottom"/>
            <w:tcBorders>
              <w:left w:val="single" w:sz="8" w:color="00000A"/>
            </w:tcBorders>
          </w:tcPr>
          <w:p>
            <w:pPr>
              <w:spacing w:after="0"/>
              <w:rPr>
                <w:sz w:val="21"/>
                <w:szCs w:val="21"/>
                <w:color w:val="auto"/>
              </w:rPr>
            </w:pPr>
          </w:p>
        </w:tc>
        <w:tc>
          <w:tcPr>
            <w:tcW w:w="194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plans and policies. You will remain on the NIB Health Fund until June 30, 2015.</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Vacation</w:t>
            </w:r>
          </w:p>
        </w:tc>
        <w:tc>
          <w:tcPr>
            <w:tcW w:w="1940" w:type="dxa"/>
            <w:vAlign w:val="bottom"/>
            <w:tcBorders>
              <w:right w:val="single" w:sz="8" w:color="00000A"/>
            </w:tcBorders>
          </w:tcPr>
          <w:p>
            <w:pPr>
              <w:spacing w:after="0"/>
              <w:rPr>
                <w:sz w:val="20"/>
                <w:szCs w:val="20"/>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You will be eligible for vacation in accordance with LivePerson’s vacation policy</w:t>
            </w:r>
          </w:p>
        </w:tc>
      </w:tr>
      <w:tr>
        <w:trPr>
          <w:trHeight w:val="230"/>
        </w:trPr>
        <w:tc>
          <w:tcPr>
            <w:tcW w:w="2780" w:type="dxa"/>
            <w:vAlign w:val="bottom"/>
            <w:tcBorders>
              <w:left w:val="single" w:sz="8" w:color="00000A"/>
            </w:tcBorders>
          </w:tcPr>
          <w:p>
            <w:pPr>
              <w:spacing w:after="0"/>
              <w:rPr>
                <w:sz w:val="19"/>
                <w:szCs w:val="19"/>
                <w:color w:val="auto"/>
              </w:rPr>
            </w:pPr>
          </w:p>
        </w:tc>
        <w:tc>
          <w:tcPr>
            <w:tcW w:w="194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as it exists from time to time. You will accrue vacation at the rate of 1.66 days</w:t>
            </w:r>
          </w:p>
        </w:tc>
      </w:tr>
      <w:tr>
        <w:trPr>
          <w:trHeight w:val="250"/>
        </w:trPr>
        <w:tc>
          <w:tcPr>
            <w:tcW w:w="2780" w:type="dxa"/>
            <w:vAlign w:val="bottom"/>
            <w:tcBorders>
              <w:left w:val="single" w:sz="8" w:color="00000A"/>
            </w:tcBorders>
          </w:tcPr>
          <w:p>
            <w:pPr>
              <w:spacing w:after="0"/>
              <w:rPr>
                <w:sz w:val="21"/>
                <w:szCs w:val="21"/>
                <w:color w:val="auto"/>
              </w:rPr>
            </w:pPr>
          </w:p>
        </w:tc>
        <w:tc>
          <w:tcPr>
            <w:tcW w:w="194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vacation per month (4 weeks per year).</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54"/>
        </w:trPr>
        <w:tc>
          <w:tcPr>
            <w:tcW w:w="2780" w:type="dxa"/>
            <w:vAlign w:val="bottom"/>
            <w:tcBorders>
              <w:left w:val="single" w:sz="8" w:color="00000A"/>
            </w:tcBorders>
          </w:tcPr>
          <w:p>
            <w:pPr>
              <w:spacing w:after="0"/>
              <w:rPr>
                <w:sz w:val="22"/>
                <w:szCs w:val="22"/>
                <w:color w:val="auto"/>
              </w:rPr>
            </w:pPr>
          </w:p>
        </w:tc>
        <w:tc>
          <w:tcPr>
            <w:tcW w:w="1940" w:type="dxa"/>
            <w:vAlign w:val="bottom"/>
          </w:tcPr>
          <w:p>
            <w:pPr>
              <w:spacing w:after="0"/>
              <w:rPr>
                <w:sz w:val="22"/>
                <w:szCs w:val="22"/>
                <w:color w:val="auto"/>
              </w:rPr>
            </w:pPr>
          </w:p>
        </w:tc>
        <w:tc>
          <w:tcPr>
            <w:tcW w:w="6720" w:type="dxa"/>
            <w:vAlign w:val="bottom"/>
            <w:tcBorders>
              <w:right w:val="single" w:sz="8" w:color="00000A"/>
            </w:tcBorders>
          </w:tcPr>
          <w:p>
            <w:pPr>
              <w:jc w:val="center"/>
              <w:ind w:right="4621"/>
              <w:spacing w:after="0"/>
              <w:rPr>
                <w:sz w:val="20"/>
                <w:szCs w:val="20"/>
                <w:color w:val="auto"/>
              </w:rPr>
            </w:pPr>
            <w:r>
              <w:rPr>
                <w:rFonts w:ascii="Arial" w:cs="Arial" w:eastAsia="Arial" w:hAnsi="Arial"/>
                <w:sz w:val="20"/>
                <w:szCs w:val="20"/>
                <w:b w:val="1"/>
                <w:bCs w:val="1"/>
                <w:i w:val="1"/>
                <w:iCs w:val="1"/>
                <w:color w:val="auto"/>
              </w:rPr>
              <w:t>IMMIGRATION</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278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Immigration Services</w:t>
            </w:r>
          </w:p>
        </w:tc>
        <w:tc>
          <w:tcPr>
            <w:tcW w:w="1940" w:type="dxa"/>
            <w:vAlign w:val="bottom"/>
            <w:tcBorders>
              <w:right w:val="single" w:sz="8" w:color="00000A"/>
            </w:tcBorders>
          </w:tcPr>
          <w:p>
            <w:pPr>
              <w:spacing w:after="0"/>
              <w:rPr>
                <w:sz w:val="20"/>
                <w:szCs w:val="20"/>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The company will pay any associated costs to deregister the employee and</w:t>
            </w:r>
          </w:p>
        </w:tc>
      </w:tr>
      <w:tr>
        <w:trPr>
          <w:trHeight w:val="250"/>
        </w:trPr>
        <w:tc>
          <w:tcPr>
            <w:tcW w:w="2780" w:type="dxa"/>
            <w:vAlign w:val="bottom"/>
            <w:tcBorders>
              <w:left w:val="single" w:sz="8" w:color="00000A"/>
            </w:tcBorders>
          </w:tcPr>
          <w:p>
            <w:pPr>
              <w:spacing w:after="0"/>
              <w:rPr>
                <w:sz w:val="21"/>
                <w:szCs w:val="21"/>
                <w:color w:val="auto"/>
              </w:rPr>
            </w:pPr>
          </w:p>
        </w:tc>
        <w:tc>
          <w:tcPr>
            <w:tcW w:w="194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accompanying family member as the end of the international assignment.</w:t>
            </w:r>
          </w:p>
        </w:tc>
      </w:tr>
      <w:tr>
        <w:trPr>
          <w:trHeight w:val="604"/>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54"/>
        </w:trPr>
        <w:tc>
          <w:tcPr>
            <w:tcW w:w="2780" w:type="dxa"/>
            <w:vAlign w:val="bottom"/>
            <w:tcBorders>
              <w:left w:val="single" w:sz="8" w:color="00000A"/>
            </w:tcBorders>
          </w:tcPr>
          <w:p>
            <w:pPr>
              <w:spacing w:after="0"/>
              <w:rPr>
                <w:sz w:val="22"/>
                <w:szCs w:val="22"/>
                <w:color w:val="auto"/>
              </w:rPr>
            </w:pPr>
          </w:p>
        </w:tc>
        <w:tc>
          <w:tcPr>
            <w:tcW w:w="8660" w:type="dxa"/>
            <w:vAlign w:val="bottom"/>
            <w:tcBorders>
              <w:right w:val="single" w:sz="8" w:color="00000A"/>
            </w:tcBorders>
            <w:gridSpan w:val="2"/>
          </w:tcPr>
          <w:p>
            <w:pPr>
              <w:jc w:val="center"/>
              <w:ind w:right="2681"/>
              <w:spacing w:after="0"/>
              <w:rPr>
                <w:sz w:val="20"/>
                <w:szCs w:val="20"/>
                <w:color w:val="auto"/>
              </w:rPr>
            </w:pPr>
            <w:r>
              <w:rPr>
                <w:rFonts w:ascii="Arial" w:cs="Arial" w:eastAsia="Arial" w:hAnsi="Arial"/>
                <w:sz w:val="20"/>
                <w:szCs w:val="20"/>
                <w:b w:val="1"/>
                <w:bCs w:val="1"/>
                <w:i w:val="1"/>
                <w:iCs w:val="1"/>
                <w:color w:val="auto"/>
                <w:w w:val="95"/>
              </w:rPr>
              <w:t>REPATRIATION RELOCATION LOGISTICS</w:t>
            </w:r>
          </w:p>
        </w:tc>
      </w:tr>
      <w:tr>
        <w:trPr>
          <w:trHeight w:val="347"/>
        </w:trPr>
        <w:tc>
          <w:tcPr>
            <w:tcW w:w="2780" w:type="dxa"/>
            <w:vAlign w:val="bottom"/>
            <w:tcBorders>
              <w:left w:val="single" w:sz="8" w:color="00000A"/>
              <w:bottom w:val="single" w:sz="8" w:color="00000A"/>
            </w:tcBorders>
          </w:tcPr>
          <w:p>
            <w:pPr>
              <w:spacing w:after="0"/>
              <w:rPr>
                <w:sz w:val="24"/>
                <w:szCs w:val="24"/>
                <w:color w:val="auto"/>
              </w:rPr>
            </w:pPr>
          </w:p>
        </w:tc>
        <w:tc>
          <w:tcPr>
            <w:tcW w:w="1940" w:type="dxa"/>
            <w:vAlign w:val="bottom"/>
            <w:tcBorders>
              <w:bottom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503"/>
        </w:trPr>
        <w:tc>
          <w:tcPr>
            <w:tcW w:w="2780" w:type="dxa"/>
            <w:vAlign w:val="bottom"/>
          </w:tcPr>
          <w:p>
            <w:pPr>
              <w:spacing w:after="0"/>
              <w:rPr>
                <w:sz w:val="24"/>
                <w:szCs w:val="24"/>
                <w:color w:val="auto"/>
              </w:rPr>
            </w:pPr>
          </w:p>
        </w:tc>
        <w:tc>
          <w:tcPr>
            <w:tcW w:w="8660" w:type="dxa"/>
            <w:vAlign w:val="bottom"/>
            <w:gridSpan w:val="2"/>
          </w:tcPr>
          <w:p>
            <w:pPr>
              <w:jc w:val="center"/>
              <w:ind w:right="2701"/>
              <w:spacing w:after="0"/>
              <w:rPr>
                <w:sz w:val="20"/>
                <w:szCs w:val="20"/>
                <w:color w:val="auto"/>
              </w:rPr>
            </w:pPr>
            <w:r>
              <w:rPr>
                <w:rFonts w:ascii="Arial" w:cs="Arial" w:eastAsia="Arial" w:hAnsi="Arial"/>
                <w:sz w:val="22"/>
                <w:szCs w:val="22"/>
                <w:color w:val="auto"/>
                <w:w w:val="81"/>
              </w:rPr>
              <w:t>2</w:t>
            </w:r>
          </w:p>
        </w:tc>
      </w:tr>
    </w:tbl>
    <w:p>
      <w:pPr>
        <w:sectPr>
          <w:pgSz w:w="11900" w:h="16838" w:orient="portrait"/>
          <w:cols w:equalWidth="0" w:num="1">
            <w:col w:w="11440"/>
          </w:cols>
          <w:pgMar w:left="240" w:top="1440" w:right="21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5229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52295" cy="3517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3"/>
        </w:trPr>
        <w:tc>
          <w:tcPr>
            <w:tcW w:w="47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End of Assignment Bonus</w:t>
            </w:r>
          </w:p>
        </w:tc>
        <w:tc>
          <w:tcPr>
            <w:tcW w:w="6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0"/>
              </w:rPr>
              <w:t>Special one-time only bonus of $40,625 USD (equivalent to one and a half month’s</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salary) paid through the home country payroll within 30 days of your March 1,</w:t>
            </w:r>
          </w:p>
        </w:tc>
      </w:tr>
      <w:tr>
        <w:trPr>
          <w:trHeight w:val="250"/>
        </w:trPr>
        <w:tc>
          <w:tcPr>
            <w:tcW w:w="4720" w:type="dxa"/>
            <w:vAlign w:val="bottom"/>
            <w:tcBorders>
              <w:left w:val="single" w:sz="8" w:color="00000A"/>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2015 assignment end date subject to U.S. tax withholding.</w:t>
            </w:r>
          </w:p>
        </w:tc>
      </w:tr>
      <w:tr>
        <w:trPr>
          <w:trHeight w:val="347"/>
        </w:trPr>
        <w:tc>
          <w:tcPr>
            <w:tcW w:w="4720" w:type="dxa"/>
            <w:vAlign w:val="bottom"/>
            <w:tcBorders>
              <w:left w:val="single" w:sz="8" w:color="00000A"/>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47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Repatriation Allowance</w:t>
            </w: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 net repatriation allowance of up to $50,000 USD for reasonable costs of</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relocating you and your family and household effects which will include (but not be</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limited to) the following expenses; paid through home country payroll subject to</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U.S. tax withholding on those amounts reimbursed by the company after March 1,</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2015 and not considered deductible under current IRS regulations. All expenses</w:t>
            </w:r>
          </w:p>
        </w:tc>
      </w:tr>
      <w:tr>
        <w:trPr>
          <w:trHeight w:val="250"/>
        </w:trPr>
        <w:tc>
          <w:tcPr>
            <w:tcW w:w="4720" w:type="dxa"/>
            <w:vAlign w:val="bottom"/>
            <w:tcBorders>
              <w:left w:val="single" w:sz="8" w:color="00000A"/>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must be pre-approved by LivePerson.</w:t>
            </w:r>
          </w:p>
        </w:tc>
      </w:tr>
      <w:tr>
        <w:trPr>
          <w:trHeight w:val="384"/>
        </w:trPr>
        <w:tc>
          <w:tcPr>
            <w:tcW w:w="4720" w:type="dxa"/>
            <w:vAlign w:val="bottom"/>
            <w:tcBorders>
              <w:left w:val="single" w:sz="8" w:color="00000A"/>
              <w:right w:val="single" w:sz="8" w:color="00000A"/>
            </w:tcBorders>
          </w:tcPr>
          <w:p>
            <w:pPr>
              <w:spacing w:after="0"/>
              <w:rPr>
                <w:sz w:val="24"/>
                <w:szCs w:val="24"/>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If you voluntarily terminate your employment within eighteen (18) months of the</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March 1, 2015 return date to the U.S. company, you will be responsible for</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repaying LivePerson for the total amount paid towards the Repatriation Allowance.</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You agree that the amount owing to the Company is a legal debt and obligation and</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that the amount owed may be partially offset against and deducted from any final</w:t>
            </w:r>
          </w:p>
        </w:tc>
      </w:tr>
      <w:tr>
        <w:trPr>
          <w:trHeight w:val="250"/>
        </w:trPr>
        <w:tc>
          <w:tcPr>
            <w:tcW w:w="4720" w:type="dxa"/>
            <w:vAlign w:val="bottom"/>
            <w:tcBorders>
              <w:left w:val="single" w:sz="8" w:color="00000A"/>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payroll check.</w:t>
            </w:r>
          </w:p>
        </w:tc>
      </w:tr>
      <w:tr>
        <w:trPr>
          <w:trHeight w:val="253"/>
        </w:trPr>
        <w:tc>
          <w:tcPr>
            <w:tcW w:w="4720" w:type="dxa"/>
            <w:vAlign w:val="bottom"/>
            <w:tcBorders>
              <w:left w:val="single" w:sz="8" w:color="00000A"/>
              <w:bottom w:val="single" w:sz="8" w:color="00000A"/>
              <w:right w:val="single" w:sz="8" w:color="00000A"/>
            </w:tcBorders>
          </w:tcPr>
          <w:p>
            <w:pPr>
              <w:spacing w:after="0"/>
              <w:rPr>
                <w:sz w:val="21"/>
                <w:szCs w:val="21"/>
                <w:color w:val="auto"/>
              </w:rPr>
            </w:pPr>
          </w:p>
        </w:tc>
        <w:tc>
          <w:tcPr>
            <w:tcW w:w="6720" w:type="dxa"/>
            <w:vAlign w:val="bottom"/>
            <w:tcBorders>
              <w:bottom w:val="single" w:sz="8" w:color="00000A"/>
              <w:right w:val="single" w:sz="8" w:color="00000A"/>
            </w:tcBorders>
          </w:tcPr>
          <w:p>
            <w:pPr>
              <w:spacing w:after="0"/>
              <w:rPr>
                <w:sz w:val="21"/>
                <w:szCs w:val="21"/>
                <w:color w:val="auto"/>
              </w:rPr>
            </w:pPr>
          </w:p>
        </w:tc>
      </w:tr>
      <w:tr>
        <w:trPr>
          <w:trHeight w:val="233"/>
        </w:trPr>
        <w:tc>
          <w:tcPr>
            <w:tcW w:w="4720" w:type="dxa"/>
            <w:vAlign w:val="bottom"/>
            <w:tcBorders>
              <w:left w:val="single" w:sz="8" w:color="00000A"/>
              <w:right w:val="single" w:sz="8" w:color="00000A"/>
            </w:tcBorders>
          </w:tcPr>
          <w:p>
            <w:pPr>
              <w:ind w:left="380"/>
              <w:spacing w:after="0" w:line="233" w:lineRule="exact"/>
              <w:rPr>
                <w:sz w:val="20"/>
                <w:szCs w:val="20"/>
                <w:color w:val="auto"/>
              </w:rPr>
            </w:pPr>
            <w:r>
              <w:rPr>
                <w:rFonts w:ascii="Arial" w:cs="Arial" w:eastAsia="Arial" w:hAnsi="Arial"/>
                <w:sz w:val="22"/>
                <w:szCs w:val="22"/>
                <w:color w:val="auto"/>
              </w:rPr>
              <w:t xml:space="preserve">1)  </w:t>
            </w:r>
            <w:r>
              <w:rPr>
                <w:rFonts w:ascii="Arial" w:cs="Arial" w:eastAsia="Arial" w:hAnsi="Arial"/>
                <w:sz w:val="19"/>
                <w:szCs w:val="19"/>
                <w:color w:val="auto"/>
              </w:rPr>
              <w:t>End of Assignment Travel</w:t>
            </w: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w w:val="99"/>
              </w:rPr>
              <w:t>One way travel to home location for employee and accompanying family</w:t>
            </w:r>
          </w:p>
        </w:tc>
      </w:tr>
      <w:tr>
        <w:trPr>
          <w:trHeight w:val="230"/>
        </w:trPr>
        <w:tc>
          <w:tcPr>
            <w:tcW w:w="4720" w:type="dxa"/>
            <w:vAlign w:val="bottom"/>
            <w:tcBorders>
              <w:left w:val="single" w:sz="8" w:color="00000A"/>
              <w:right w:val="single" w:sz="8" w:color="00000A"/>
            </w:tcBorders>
          </w:tcPr>
          <w:p>
            <w:pPr>
              <w:spacing w:after="0"/>
              <w:rPr>
                <w:sz w:val="19"/>
                <w:szCs w:val="19"/>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w w:val="98"/>
              </w:rPr>
              <w:t>members. Covered costs include air travel, ground transportation to/from</w:t>
            </w:r>
          </w:p>
        </w:tc>
      </w:tr>
      <w:tr>
        <w:trPr>
          <w:trHeight w:val="250"/>
        </w:trPr>
        <w:tc>
          <w:tcPr>
            <w:tcW w:w="4720" w:type="dxa"/>
            <w:vAlign w:val="bottom"/>
            <w:tcBorders>
              <w:left w:val="single" w:sz="8" w:color="00000A"/>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rPr>
              <w:t>airports, and means.</w:t>
            </w:r>
          </w:p>
        </w:tc>
      </w:tr>
      <w:tr>
        <w:trPr>
          <w:trHeight w:val="347"/>
        </w:trPr>
        <w:tc>
          <w:tcPr>
            <w:tcW w:w="4720" w:type="dxa"/>
            <w:vAlign w:val="bottom"/>
            <w:tcBorders>
              <w:left w:val="single" w:sz="8" w:color="00000A"/>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503"/>
        </w:trPr>
        <w:tc>
          <w:tcPr>
            <w:tcW w:w="4720" w:type="dxa"/>
            <w:vAlign w:val="bottom"/>
          </w:tcPr>
          <w:p>
            <w:pPr>
              <w:spacing w:after="0"/>
              <w:rPr>
                <w:sz w:val="24"/>
                <w:szCs w:val="24"/>
                <w:color w:val="auto"/>
              </w:rPr>
            </w:pPr>
          </w:p>
        </w:tc>
        <w:tc>
          <w:tcPr>
            <w:tcW w:w="6720" w:type="dxa"/>
            <w:vAlign w:val="bottom"/>
          </w:tcPr>
          <w:p>
            <w:pPr>
              <w:ind w:left="94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40"/>
          </w:cols>
          <w:pgMar w:left="240" w:top="1267" w:right="21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5229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3517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94"/>
        </w:trPr>
        <w:tc>
          <w:tcPr>
            <w:tcW w:w="640" w:type="dxa"/>
            <w:vAlign w:val="bottom"/>
            <w:tcBorders>
              <w:top w:val="single" w:sz="8" w:color="00000A"/>
              <w:left w:val="single" w:sz="8" w:color="00000A"/>
            </w:tcBorders>
          </w:tcPr>
          <w:p>
            <w:pPr>
              <w:jc w:val="right"/>
              <w:spacing w:after="0"/>
              <w:rPr>
                <w:sz w:val="20"/>
                <w:szCs w:val="20"/>
                <w:color w:val="auto"/>
              </w:rPr>
            </w:pPr>
            <w:r>
              <w:rPr>
                <w:rFonts w:ascii="Arial" w:cs="Arial" w:eastAsia="Arial" w:hAnsi="Arial"/>
                <w:sz w:val="22"/>
                <w:szCs w:val="22"/>
                <w:color w:val="auto"/>
              </w:rPr>
              <w:t>2)</w:t>
            </w:r>
          </w:p>
        </w:tc>
        <w:tc>
          <w:tcPr>
            <w:tcW w:w="408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20"/>
                <w:szCs w:val="20"/>
                <w:color w:val="auto"/>
              </w:rPr>
              <w:t>Household Goods</w:t>
            </w:r>
          </w:p>
        </w:tc>
        <w:tc>
          <w:tcPr>
            <w:tcW w:w="6720" w:type="dxa"/>
            <w:vAlign w:val="bottom"/>
            <w:tcBorders>
              <w:top w:val="single" w:sz="8" w:color="00000A"/>
              <w:right w:val="single" w:sz="8" w:color="00000A"/>
            </w:tcBorders>
          </w:tcPr>
          <w:p>
            <w:pPr>
              <w:ind w:left="340"/>
              <w:spacing w:after="0"/>
              <w:rPr>
                <w:sz w:val="20"/>
                <w:szCs w:val="20"/>
                <w:color w:val="auto"/>
              </w:rPr>
            </w:pPr>
            <w:r>
              <w:rPr>
                <w:rFonts w:ascii="Arial" w:cs="Arial" w:eastAsia="Arial" w:hAnsi="Arial"/>
                <w:sz w:val="20"/>
                <w:szCs w:val="20"/>
                <w:color w:val="auto"/>
              </w:rPr>
              <w:t>Allowable expenses may include:</w:t>
            </w:r>
          </w:p>
        </w:tc>
      </w:tr>
      <w:tr>
        <w:trPr>
          <w:trHeight w:val="374"/>
        </w:trPr>
        <w:tc>
          <w:tcPr>
            <w:tcW w:w="640" w:type="dxa"/>
            <w:vAlign w:val="bottom"/>
            <w:tcBorders>
              <w:left w:val="single" w:sz="8" w:color="00000A"/>
            </w:tcBorders>
          </w:tcPr>
          <w:p>
            <w:pPr>
              <w:spacing w:after="0"/>
              <w:rPr>
                <w:sz w:val="24"/>
                <w:szCs w:val="24"/>
                <w:color w:val="auto"/>
              </w:rPr>
            </w:pPr>
          </w:p>
        </w:tc>
        <w:tc>
          <w:tcPr>
            <w:tcW w:w="4080" w:type="dxa"/>
            <w:vAlign w:val="bottom"/>
            <w:tcBorders>
              <w:right w:val="single" w:sz="8" w:color="00000A"/>
            </w:tcBorders>
          </w:tcPr>
          <w:p>
            <w:pPr>
              <w:spacing w:after="0"/>
              <w:rPr>
                <w:sz w:val="24"/>
                <w:szCs w:val="24"/>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Air and surface shipments.</w:t>
            </w:r>
          </w:p>
        </w:tc>
      </w:tr>
      <w:tr>
        <w:trPr>
          <w:trHeight w:val="243"/>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Storage in transit as required up to 60 days.</w:t>
            </w:r>
          </w:p>
        </w:tc>
      </w:tr>
      <w:tr>
        <w:trPr>
          <w:trHeight w:val="248"/>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line="248"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Insurance protection on your household goods up to USD $350,000. You</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7"/>
              </w:rPr>
              <w:t>will be required to complete a declared valuation of all your household</w:t>
            </w:r>
          </w:p>
        </w:tc>
      </w:tr>
      <w:tr>
        <w:trPr>
          <w:trHeight w:val="225"/>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goods, whether shipped or stored, for insurance purposes.</w:t>
            </w:r>
          </w:p>
        </w:tc>
      </w:tr>
      <w:tr>
        <w:trPr>
          <w:trHeight w:val="248"/>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line="248" w:lineRule="exact"/>
              <w:rPr>
                <w:sz w:val="20"/>
                <w:szCs w:val="20"/>
                <w:color w:val="auto"/>
              </w:rPr>
            </w:pPr>
            <w:r>
              <w:rPr>
                <w:rFonts w:ascii="Arial" w:cs="Arial" w:eastAsia="Arial" w:hAnsi="Arial"/>
                <w:sz w:val="22"/>
                <w:szCs w:val="22"/>
                <w:color w:val="auto"/>
                <w:w w:val="99"/>
              </w:rPr>
              <w:t xml:space="preserve">•  </w:t>
            </w:r>
            <w:r>
              <w:rPr>
                <w:rFonts w:ascii="Arial" w:cs="Arial" w:eastAsia="Arial" w:hAnsi="Arial"/>
                <w:sz w:val="19"/>
                <w:szCs w:val="19"/>
                <w:color w:val="auto"/>
                <w:w w:val="99"/>
              </w:rPr>
              <w:t>Delivery of goods stored at home (not shipped to assignment location) for</w:t>
            </w:r>
          </w:p>
        </w:tc>
      </w:tr>
      <w:tr>
        <w:trPr>
          <w:trHeight w:val="225"/>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up to 90 days following the end of assignment.</w:t>
            </w:r>
          </w:p>
        </w:tc>
      </w:tr>
      <w:tr>
        <w:trPr>
          <w:trHeight w:val="248"/>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line="248"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19"/>
                <w:szCs w:val="19"/>
                <w:color w:val="auto"/>
                <w:w w:val="98"/>
              </w:rPr>
              <w:t>Purchase of furniture (which may be subject to tax withholding on amounts</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3"/>
              </w:rPr>
              <w:t>reimbursed by the company and not considered deductible under current</w:t>
            </w:r>
          </w:p>
        </w:tc>
      </w:tr>
      <w:tr>
        <w:trPr>
          <w:trHeight w:val="225"/>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IRS regulations).</w:t>
            </w:r>
          </w:p>
        </w:tc>
      </w:tr>
      <w:tr>
        <w:trPr>
          <w:trHeight w:val="285"/>
        </w:trPr>
        <w:tc>
          <w:tcPr>
            <w:tcW w:w="640" w:type="dxa"/>
            <w:vAlign w:val="bottom"/>
            <w:tcBorders>
              <w:left w:val="single" w:sz="8" w:color="00000A"/>
              <w:bottom w:val="single" w:sz="8" w:color="00000A"/>
            </w:tcBorders>
          </w:tcPr>
          <w:p>
            <w:pPr>
              <w:spacing w:after="0"/>
              <w:rPr>
                <w:sz w:val="24"/>
                <w:szCs w:val="24"/>
                <w:color w:val="auto"/>
              </w:rPr>
            </w:pPr>
          </w:p>
        </w:tc>
        <w:tc>
          <w:tcPr>
            <w:tcW w:w="408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Others reasonable expenses as agreed in advance.</w:t>
            </w:r>
          </w:p>
        </w:tc>
      </w:tr>
      <w:tr>
        <w:trPr>
          <w:trHeight w:val="240"/>
        </w:trPr>
        <w:tc>
          <w:tcPr>
            <w:tcW w:w="640" w:type="dxa"/>
            <w:vAlign w:val="bottom"/>
            <w:tcBorders>
              <w:left w:val="single" w:sz="8" w:color="00000A"/>
            </w:tcBorders>
          </w:tcPr>
          <w:p>
            <w:pPr>
              <w:jc w:val="right"/>
              <w:spacing w:after="0" w:line="240" w:lineRule="exact"/>
              <w:rPr>
                <w:sz w:val="20"/>
                <w:szCs w:val="20"/>
                <w:color w:val="auto"/>
              </w:rPr>
            </w:pPr>
            <w:r>
              <w:rPr>
                <w:rFonts w:ascii="Arial" w:cs="Arial" w:eastAsia="Arial" w:hAnsi="Arial"/>
                <w:sz w:val="22"/>
                <w:szCs w:val="22"/>
                <w:color w:val="auto"/>
              </w:rPr>
              <w:t>3)</w:t>
            </w:r>
          </w:p>
        </w:tc>
        <w:tc>
          <w:tcPr>
            <w:tcW w:w="408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Temporary Accommodations</w:t>
            </w: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w w:val="95"/>
              </w:rPr>
              <w:t>Temporary housing at home or host location may be provided (as required)</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rPr>
              <w:t>based on disposition of host country housing, packing and shipment of</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w w:val="91"/>
              </w:rPr>
              <w:t>household goods and availability of home country housing. Rental car for up to</w:t>
            </w:r>
          </w:p>
        </w:tc>
      </w:tr>
      <w:tr>
        <w:trPr>
          <w:trHeight w:val="250"/>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rPr>
              <w:t>one month.</w:t>
            </w:r>
          </w:p>
        </w:tc>
      </w:tr>
      <w:tr>
        <w:trPr>
          <w:trHeight w:val="347"/>
        </w:trPr>
        <w:tc>
          <w:tcPr>
            <w:tcW w:w="640" w:type="dxa"/>
            <w:vAlign w:val="bottom"/>
            <w:tcBorders>
              <w:left w:val="single" w:sz="8" w:color="00000A"/>
              <w:bottom w:val="single" w:sz="8" w:color="00000A"/>
            </w:tcBorders>
          </w:tcPr>
          <w:p>
            <w:pPr>
              <w:spacing w:after="0"/>
              <w:rPr>
                <w:sz w:val="24"/>
                <w:szCs w:val="24"/>
                <w:color w:val="auto"/>
              </w:rPr>
            </w:pPr>
          </w:p>
        </w:tc>
        <w:tc>
          <w:tcPr>
            <w:tcW w:w="408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640" w:type="dxa"/>
            <w:vAlign w:val="bottom"/>
            <w:tcBorders>
              <w:left w:val="single" w:sz="8" w:color="00000A"/>
            </w:tcBorders>
          </w:tcPr>
          <w:p>
            <w:pPr>
              <w:jc w:val="right"/>
              <w:spacing w:after="0" w:line="233" w:lineRule="exact"/>
              <w:rPr>
                <w:sz w:val="20"/>
                <w:szCs w:val="20"/>
                <w:color w:val="auto"/>
              </w:rPr>
            </w:pPr>
            <w:r>
              <w:rPr>
                <w:rFonts w:ascii="Arial" w:cs="Arial" w:eastAsia="Arial" w:hAnsi="Arial"/>
                <w:sz w:val="22"/>
                <w:szCs w:val="22"/>
                <w:color w:val="auto"/>
              </w:rPr>
              <w:t>4)</w:t>
            </w:r>
          </w:p>
        </w:tc>
        <w:tc>
          <w:tcPr>
            <w:tcW w:w="408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Home Finding Trip</w:t>
            </w: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w w:val="93"/>
              </w:rPr>
              <w:t>One home finding trip for employee and spouse/partner; air (economy class),</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w w:val="93"/>
              </w:rPr>
              <w:t>meals, lodging, and ground transportation. Actual expenses for airfare, hotel,</w:t>
            </w:r>
          </w:p>
        </w:tc>
      </w:tr>
      <w:tr>
        <w:trPr>
          <w:trHeight w:val="250"/>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340"/>
              <w:spacing w:after="0"/>
              <w:rPr>
                <w:sz w:val="20"/>
                <w:szCs w:val="20"/>
                <w:color w:val="auto"/>
              </w:rPr>
            </w:pPr>
            <w:r>
              <w:rPr>
                <w:rFonts w:ascii="Arial" w:cs="Arial" w:eastAsia="Arial" w:hAnsi="Arial"/>
                <w:sz w:val="20"/>
                <w:szCs w:val="20"/>
                <w:color w:val="auto"/>
              </w:rPr>
              <w:t>transportation, and meals will be reimbursed.</w:t>
            </w:r>
          </w:p>
        </w:tc>
      </w:tr>
      <w:tr>
        <w:trPr>
          <w:trHeight w:val="604"/>
        </w:trPr>
        <w:tc>
          <w:tcPr>
            <w:tcW w:w="4720" w:type="dxa"/>
            <w:vAlign w:val="bottom"/>
            <w:tcBorders>
              <w:left w:val="single" w:sz="8" w:color="00000A"/>
              <w:bottom w:val="single" w:sz="8" w:color="00000A"/>
              <w:right w:val="single" w:sz="8" w:color="00000A"/>
            </w:tcBorders>
            <w:gridSpan w:val="2"/>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r>
        <w:trPr>
          <w:trHeight w:val="233"/>
        </w:trPr>
        <w:tc>
          <w:tcPr>
            <w:tcW w:w="472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Family Travel Allowance</w:t>
            </w: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LivePerson will reimburse your “out of pocket” costs to purchase reasonable class</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airfares, in compliance with the LivePerson Travel and Entertainment Expense</w:t>
            </w:r>
          </w:p>
        </w:tc>
      </w:tr>
      <w:tr>
        <w:trPr>
          <w:trHeight w:val="230"/>
        </w:trPr>
        <w:tc>
          <w:tcPr>
            <w:tcW w:w="640" w:type="dxa"/>
            <w:vAlign w:val="bottom"/>
            <w:tcBorders>
              <w:left w:val="single" w:sz="8" w:color="00000A"/>
            </w:tcBorders>
          </w:tcPr>
          <w:p>
            <w:pPr>
              <w:spacing w:after="0"/>
              <w:rPr>
                <w:sz w:val="19"/>
                <w:szCs w:val="19"/>
                <w:color w:val="auto"/>
              </w:rPr>
            </w:pPr>
          </w:p>
        </w:tc>
        <w:tc>
          <w:tcPr>
            <w:tcW w:w="4080" w:type="dxa"/>
            <w:vAlign w:val="bottom"/>
            <w:tcBorders>
              <w:right w:val="single" w:sz="8" w:color="00000A"/>
            </w:tcBorders>
          </w:tcPr>
          <w:p>
            <w:pPr>
              <w:spacing w:after="0"/>
              <w:rPr>
                <w:sz w:val="19"/>
                <w:szCs w:val="19"/>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Reimbursement Policy, for up to $5,000 USD for a 12-month period commencing</w:t>
            </w:r>
          </w:p>
        </w:tc>
      </w:tr>
      <w:tr>
        <w:trPr>
          <w:trHeight w:val="250"/>
        </w:trPr>
        <w:tc>
          <w:tcPr>
            <w:tcW w:w="640" w:type="dxa"/>
            <w:vAlign w:val="bottom"/>
            <w:tcBorders>
              <w:left w:val="single" w:sz="8" w:color="00000A"/>
            </w:tcBorders>
          </w:tcPr>
          <w:p>
            <w:pPr>
              <w:spacing w:after="0"/>
              <w:rPr>
                <w:sz w:val="21"/>
                <w:szCs w:val="21"/>
                <w:color w:val="auto"/>
              </w:rPr>
            </w:pPr>
          </w:p>
        </w:tc>
        <w:tc>
          <w:tcPr>
            <w:tcW w:w="4080" w:type="dxa"/>
            <w:vAlign w:val="bottom"/>
            <w:tcBorders>
              <w:right w:val="single" w:sz="8" w:color="00000A"/>
            </w:tcBorders>
          </w:tcPr>
          <w:p>
            <w:pPr>
              <w:spacing w:after="0"/>
              <w:rPr>
                <w:sz w:val="21"/>
                <w:szCs w:val="21"/>
                <w:color w:val="auto"/>
              </w:rPr>
            </w:pPr>
          </w:p>
        </w:tc>
        <w:tc>
          <w:tcPr>
            <w:tcW w:w="67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from June 1, 2015.</w:t>
            </w:r>
          </w:p>
        </w:tc>
      </w:tr>
      <w:tr>
        <w:trPr>
          <w:trHeight w:val="428"/>
        </w:trPr>
        <w:tc>
          <w:tcPr>
            <w:tcW w:w="640" w:type="dxa"/>
            <w:vAlign w:val="bottom"/>
            <w:tcBorders>
              <w:left w:val="single" w:sz="8" w:color="00000A"/>
              <w:bottom w:val="single" w:sz="8" w:color="00000A"/>
            </w:tcBorders>
          </w:tcPr>
          <w:p>
            <w:pPr>
              <w:spacing w:after="0"/>
              <w:rPr>
                <w:sz w:val="24"/>
                <w:szCs w:val="24"/>
                <w:color w:val="auto"/>
              </w:rPr>
            </w:pPr>
          </w:p>
        </w:tc>
        <w:tc>
          <w:tcPr>
            <w:tcW w:w="4080" w:type="dxa"/>
            <w:vAlign w:val="bottom"/>
            <w:tcBorders>
              <w:bottom w:val="single" w:sz="8" w:color="00000A"/>
              <w:right w:val="single" w:sz="8" w:color="00000A"/>
            </w:tcBorders>
          </w:tcPr>
          <w:p>
            <w:pPr>
              <w:spacing w:after="0"/>
              <w:rPr>
                <w:sz w:val="24"/>
                <w:szCs w:val="24"/>
                <w:color w:val="auto"/>
              </w:rPr>
            </w:pPr>
          </w:p>
        </w:tc>
        <w:tc>
          <w:tcPr>
            <w:tcW w:w="672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Equalization</w:t>
      </w:r>
    </w:p>
    <w:p>
      <w:pPr>
        <w:spacing w:after="0" w:line="316"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As a result of your repatriation, you will be subject to the Company tax equalization policy (“Tax Policy”). The Company will equalize your tax liability for compensation received as part of your Expatriate Assignment through March 1, 2015.</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40"/>
          </w:cols>
          <w:pgMar w:left="240" w:top="1268" w:right="219" w:bottom="1440" w:gutter="0" w:footer="0" w:header="0"/>
        </w:sectPr>
      </w:pPr>
    </w:p>
    <w:bookmarkStart w:id="41" w:name="page42"/>
    <w:bookmarkEnd w:id="41"/>
    <w:p>
      <w:pPr>
        <w:spacing w:after="0" w:line="29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52295"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52295" cy="351790"/>
                    </a:xfrm>
                    <a:prstGeom prst="rect">
                      <a:avLst/>
                    </a:prstGeom>
                    <a:noFill/>
                  </pic:spPr>
                </pic:pic>
              </a:graphicData>
            </a:graphic>
          </wp:anchor>
        </w:drawing>
        <w:t>You will be responsible for your U.S. income, state income, and U.S. Social Security taxes on your base salary, incentive awards, stock options, and your personal income and any gains derived from your investments. You will be responsible for remitting payment of tax on your income as required by U.S. tax law.</w:t>
      </w:r>
    </w:p>
    <w:p>
      <w:pPr>
        <w:spacing w:after="0" w:line="241"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color w:val="auto"/>
        </w:rPr>
        <w:t>For eligible compensation paid to you through March 1, 2015, the Company will be responsible for the payment/remittance of actual Host Country income and social taxes on your base, bonus, other incentive compensation, and international assignment allowances. This will also include taxes that may be due on the vesting of stock options during the period July 1, 2013 through March 1, 2015 up to a maximum of $10,000 USD. The payment of all Host Country taxes will also apply to any and all future residual tax liabilities related to your prior employment in the Host Country.</w:t>
      </w:r>
    </w:p>
    <w:p>
      <w:pPr>
        <w:spacing w:after="0" w:line="246" w:lineRule="exact"/>
        <w:rPr>
          <w:sz w:val="20"/>
          <w:szCs w:val="20"/>
          <w:color w:val="auto"/>
        </w:rPr>
      </w:pPr>
    </w:p>
    <w:p>
      <w:pPr>
        <w:ind w:right="240"/>
        <w:spacing w:after="0" w:line="363" w:lineRule="auto"/>
        <w:rPr>
          <w:sz w:val="20"/>
          <w:szCs w:val="20"/>
          <w:color w:val="auto"/>
        </w:rPr>
      </w:pPr>
      <w:r>
        <w:rPr>
          <w:rFonts w:ascii="Arial" w:cs="Arial" w:eastAsia="Arial" w:hAnsi="Arial"/>
          <w:sz w:val="18"/>
          <w:szCs w:val="18"/>
          <w:color w:val="auto"/>
        </w:rPr>
        <w:t>You will receive a Tax Equalization calculation for each calendar year of your assignment and for the years following repatriation where it is necessary to reconcile the Company’s versus your obligation due to the presence of “trailing” allowances, payments, and credits.</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9"/>
          <w:szCs w:val="19"/>
          <w:color w:val="auto"/>
        </w:rPr>
        <w:t>As a result of your continued global travel and work we expect that you will have the ability to release some of the excess US foreign tax credits without creating additional tax liabilities in the foreign countries. This is a large benefit to the company and as such the company is willing to continue to support your global tax return preparation needs while this benefit remains. This will relieve you of the need to calculate the foreign tax credit liabilities as this will be performed by McGladrey at the same time they prepare your US tax return. McGladrey will also calculate how much of the refund is related to the foreign tax credit and advise you and the company of the amount due to the company as related to the credits. The company requests that you keep a thorough travel log for your work days outside the U.S. this is not limited to the country of your foreign assignment, any work days outside the U.S. can release these credits. This benefit will be assessed annually to determine when this assistance will no longer be needed.</w:t>
      </w:r>
    </w:p>
    <w:p>
      <w:pPr>
        <w:spacing w:after="0" w:line="239" w:lineRule="exact"/>
        <w:rPr>
          <w:sz w:val="20"/>
          <w:szCs w:val="20"/>
          <w:color w:val="auto"/>
        </w:rPr>
      </w:pPr>
    </w:p>
    <w:p>
      <w:pPr>
        <w:ind w:right="80"/>
        <w:spacing w:after="0" w:line="303" w:lineRule="auto"/>
        <w:rPr>
          <w:sz w:val="20"/>
          <w:szCs w:val="20"/>
          <w:color w:val="auto"/>
        </w:rPr>
      </w:pPr>
      <w:r>
        <w:rPr>
          <w:rFonts w:ascii="Arial" w:cs="Arial" w:eastAsia="Arial" w:hAnsi="Arial"/>
          <w:sz w:val="20"/>
          <w:szCs w:val="20"/>
          <w:color w:val="auto"/>
        </w:rPr>
        <w:t>A tax settlement amount may be due to/from the Company as a result. In is expected that any tax settlement amount be made within 60 days of receipt of the settlement calculation whether due to, or from, the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1433" w:right="25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5229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52295" cy="351790"/>
                    </a:xfrm>
                    <a:prstGeom prst="rect">
                      <a:avLst/>
                    </a:prstGeom>
                    <a:noFill/>
                  </pic:spPr>
                </pic:pic>
              </a:graphicData>
            </a:graphic>
          </wp:anchor>
        </w:drawing>
        <w:t>March 27, 2015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Dustin Dean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Dear Dustin: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regards to the Repatriation Letter dated February 25, 2015 and signed March 3, 2015 we are documenting the following amendments.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End of Assignment Bonus</w:t>
      </w:r>
    </w:p>
    <w:p>
      <w:pPr>
        <w:spacing w:after="0" w:line="23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The special one-time only bonus is corrected to be a bonus of $4,000 USD (the “Correction”) paid through the home country payroll subject to U.S. tax withholdings. This is equivalent to the difference between one and a half month’s base salary and allowances under your Expat Assignment Letter (as extended August 13, 2104) and the base salary outlined your Repatriation Letter.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Salary Adjustment</w:t>
      </w:r>
    </w:p>
    <w:p>
      <w:pPr>
        <w:spacing w:after="0" w:line="235"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As you received a total payment of $40,625 USD on March 13, 2015 (the “Payment”), you agree that the difference between the Payment and the Correction is an amount owing to the Company is a legal debt and obligation and that the amount owed may be partially offset against and deducted from your future wages.</w:t>
      </w:r>
    </w:p>
    <w:p>
      <w:pPr>
        <w:spacing w:after="0" w:line="200"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As a result, will begin a salary sacrifice program effective April 1, 2015 and continuing for 12 consecutive months to offset your annualized compensation in repayment of the debt. The deduction will be equal to $1,526 per pay period for the duration of the 12 month period, unless otherwise agreed upon in writing by you and LivePerson.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Please acknowledge your understanding and acceptance of this offer letter by signing below and returning to Lynn Gibson.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140" w:type="dxa"/>
            <w:vAlign w:val="bottom"/>
            <w:gridSpan w:val="2"/>
          </w:tcPr>
          <w:p>
            <w:pPr>
              <w:spacing w:after="0"/>
              <w:rPr>
                <w:sz w:val="20"/>
                <w:szCs w:val="20"/>
                <w:color w:val="auto"/>
              </w:rPr>
            </w:pPr>
            <w:r>
              <w:rPr>
                <w:rFonts w:ascii="Arial" w:cs="Arial" w:eastAsia="Arial" w:hAnsi="Arial"/>
                <w:sz w:val="20"/>
                <w:szCs w:val="20"/>
                <w:color w:val="auto"/>
              </w:rPr>
              <w:t>Sincerely,</w:t>
            </w:r>
          </w:p>
        </w:tc>
        <w:tc>
          <w:tcPr>
            <w:tcW w:w="2280" w:type="dxa"/>
            <w:vAlign w:val="bottom"/>
          </w:tcPr>
          <w:p>
            <w:pPr>
              <w:spacing w:after="0"/>
              <w:rPr>
                <w:sz w:val="21"/>
                <w:szCs w:val="21"/>
                <w:color w:val="auto"/>
              </w:rPr>
            </w:pPr>
          </w:p>
        </w:tc>
      </w:tr>
      <w:tr>
        <w:trPr>
          <w:trHeight w:val="392"/>
        </w:trPr>
        <w:tc>
          <w:tcPr>
            <w:tcW w:w="9140" w:type="dxa"/>
            <w:vAlign w:val="bottom"/>
            <w:gridSpan w:val="2"/>
          </w:tcPr>
          <w:p>
            <w:pPr>
              <w:ind w:left="40"/>
              <w:spacing w:after="0"/>
              <w:rPr>
                <w:sz w:val="20"/>
                <w:szCs w:val="20"/>
                <w:color w:val="auto"/>
              </w:rPr>
            </w:pPr>
            <w:r>
              <w:rPr>
                <w:rFonts w:ascii="Arial" w:cs="Arial" w:eastAsia="Arial" w:hAnsi="Arial"/>
                <w:sz w:val="20"/>
                <w:szCs w:val="20"/>
                <w:color w:val="auto"/>
              </w:rPr>
              <w:t>/s/ Daryl J. Carlough</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3/30/2015</w:t>
            </w:r>
          </w:p>
        </w:tc>
      </w:tr>
      <w:tr>
        <w:trPr>
          <w:trHeight w:val="23"/>
        </w:trPr>
        <w:tc>
          <w:tcPr>
            <w:tcW w:w="76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4"/>
        </w:trPr>
        <w:tc>
          <w:tcPr>
            <w:tcW w:w="9140" w:type="dxa"/>
            <w:vAlign w:val="bottom"/>
            <w:gridSpan w:val="2"/>
          </w:tcPr>
          <w:p>
            <w:pPr>
              <w:ind w:left="40"/>
              <w:spacing w:after="0"/>
              <w:rPr>
                <w:sz w:val="20"/>
                <w:szCs w:val="20"/>
                <w:color w:val="auto"/>
              </w:rPr>
            </w:pPr>
            <w:r>
              <w:rPr>
                <w:rFonts w:ascii="Arial" w:cs="Arial" w:eastAsia="Arial" w:hAnsi="Arial"/>
                <w:sz w:val="20"/>
                <w:szCs w:val="20"/>
                <w:color w:val="auto"/>
              </w:rPr>
              <w:t>Approving Signatory Name – Company Rep.</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84"/>
        </w:trPr>
        <w:tc>
          <w:tcPr>
            <w:tcW w:w="9140" w:type="dxa"/>
            <w:vAlign w:val="bottom"/>
            <w:gridSpan w:val="2"/>
          </w:tcPr>
          <w:p>
            <w:pPr>
              <w:ind w:left="40"/>
              <w:spacing w:after="0"/>
              <w:rPr>
                <w:sz w:val="20"/>
                <w:szCs w:val="20"/>
                <w:color w:val="auto"/>
              </w:rPr>
            </w:pPr>
            <w:r>
              <w:rPr>
                <w:rFonts w:ascii="Arial" w:cs="Arial" w:eastAsia="Arial" w:hAnsi="Arial"/>
                <w:sz w:val="20"/>
                <w:szCs w:val="20"/>
                <w:i w:val="1"/>
                <w:iCs w:val="1"/>
                <w:color w:val="auto"/>
              </w:rPr>
              <w:t>Signature</w:t>
            </w:r>
          </w:p>
        </w:tc>
        <w:tc>
          <w:tcPr>
            <w:tcW w:w="2280" w:type="dxa"/>
            <w:vAlign w:val="bottom"/>
          </w:tcPr>
          <w:p>
            <w:pPr>
              <w:spacing w:after="0"/>
              <w:rPr>
                <w:sz w:val="24"/>
                <w:szCs w:val="24"/>
                <w:color w:val="auto"/>
              </w:rPr>
            </w:pPr>
          </w:p>
        </w:tc>
      </w:tr>
      <w:tr>
        <w:trPr>
          <w:trHeight w:val="608"/>
        </w:trPr>
        <w:tc>
          <w:tcPr>
            <w:tcW w:w="9140" w:type="dxa"/>
            <w:vAlign w:val="bottom"/>
            <w:gridSpan w:val="2"/>
          </w:tcPr>
          <w:p>
            <w:pPr>
              <w:ind w:left="40"/>
              <w:spacing w:after="0"/>
              <w:rPr>
                <w:sz w:val="20"/>
                <w:szCs w:val="20"/>
                <w:color w:val="auto"/>
              </w:rPr>
            </w:pPr>
            <w:r>
              <w:rPr>
                <w:rFonts w:ascii="Arial" w:cs="Arial" w:eastAsia="Arial" w:hAnsi="Arial"/>
                <w:sz w:val="20"/>
                <w:szCs w:val="20"/>
                <w:color w:val="auto"/>
              </w:rPr>
              <w:t>/s/ Dustin Dean</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3/31/2015</w:t>
            </w:r>
          </w:p>
        </w:tc>
      </w:tr>
      <w:tr>
        <w:trPr>
          <w:trHeight w:val="23"/>
        </w:trPr>
        <w:tc>
          <w:tcPr>
            <w:tcW w:w="76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4"/>
        </w:trPr>
        <w:tc>
          <w:tcPr>
            <w:tcW w:w="9140" w:type="dxa"/>
            <w:vAlign w:val="bottom"/>
            <w:gridSpan w:val="2"/>
          </w:tcPr>
          <w:p>
            <w:pPr>
              <w:ind w:left="40"/>
              <w:spacing w:after="0"/>
              <w:rPr>
                <w:sz w:val="20"/>
                <w:szCs w:val="20"/>
                <w:color w:val="auto"/>
              </w:rPr>
            </w:pPr>
            <w:r>
              <w:rPr>
                <w:rFonts w:ascii="Arial" w:cs="Arial" w:eastAsia="Arial" w:hAnsi="Arial"/>
                <w:sz w:val="20"/>
                <w:szCs w:val="20"/>
                <w:color w:val="auto"/>
              </w:rPr>
              <w:t>Approving Signatory Name – Dustin Dean</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84"/>
        </w:trPr>
        <w:tc>
          <w:tcPr>
            <w:tcW w:w="9140" w:type="dxa"/>
            <w:vAlign w:val="bottom"/>
            <w:gridSpan w:val="2"/>
          </w:tcPr>
          <w:p>
            <w:pPr>
              <w:ind w:left="40"/>
              <w:spacing w:after="0"/>
              <w:rPr>
                <w:sz w:val="20"/>
                <w:szCs w:val="20"/>
                <w:color w:val="auto"/>
              </w:rPr>
            </w:pPr>
            <w:r>
              <w:rPr>
                <w:rFonts w:ascii="Arial" w:cs="Arial" w:eastAsia="Arial" w:hAnsi="Arial"/>
                <w:sz w:val="20"/>
                <w:szCs w:val="20"/>
                <w:i w:val="1"/>
                <w:iCs w:val="1"/>
                <w:color w:val="auto"/>
              </w:rPr>
              <w:t>Signature</w:t>
            </w:r>
          </w:p>
        </w:tc>
        <w:tc>
          <w:tcPr>
            <w:tcW w:w="2280" w:type="dxa"/>
            <w:vAlign w:val="bottom"/>
          </w:tcPr>
          <w:p>
            <w:pPr>
              <w:spacing w:after="0"/>
              <w:rPr>
                <w:sz w:val="24"/>
                <w:szCs w:val="24"/>
                <w:color w:val="auto"/>
              </w:rPr>
            </w:pPr>
          </w:p>
        </w:tc>
      </w:tr>
      <w:tr>
        <w:trPr>
          <w:trHeight w:val="419"/>
        </w:trPr>
        <w:tc>
          <w:tcPr>
            <w:tcW w:w="9140" w:type="dxa"/>
            <w:vAlign w:val="bottom"/>
            <w:gridSpan w:val="2"/>
          </w:tcPr>
          <w:p>
            <w:pPr>
              <w:spacing w:after="0"/>
              <w:rPr>
                <w:sz w:val="20"/>
                <w:szCs w:val="20"/>
                <w:color w:val="auto"/>
              </w:rPr>
            </w:pPr>
            <w:r>
              <w:rPr>
                <w:rFonts w:ascii="Arial" w:cs="Arial" w:eastAsia="Arial" w:hAnsi="Arial"/>
                <w:sz w:val="20"/>
                <w:szCs w:val="20"/>
                <w:i w:val="1"/>
                <w:iCs w:val="1"/>
                <w:color w:val="auto"/>
                <w:w w:val="92"/>
              </w:rPr>
              <w:t>By signing this agreement, you acknowledge that you read, understand, and agree to the terms and conditions.</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475 10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Avenue,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New York, NY 10018 </w:t>
      </w:r>
      <w:r>
        <w:rPr>
          <w:rFonts w:ascii="Arial" w:cs="Arial" w:eastAsia="Arial" w:hAnsi="Arial"/>
          <w:sz w:val="16"/>
          <w:szCs w:val="16"/>
          <w:u w:val="single" w:color="auto"/>
          <w:color w:val="006EBF"/>
        </w:rPr>
        <w:t>www.liveperson.com</w:t>
      </w:r>
      <w:r>
        <w:rPr>
          <w:rFonts w:ascii="Arial" w:cs="Arial" w:eastAsia="Arial" w:hAnsi="Arial"/>
          <w:sz w:val="16"/>
          <w:szCs w:val="16"/>
          <w:color w:val="auto"/>
        </w:rPr>
        <w:t xml:space="preserve"> t 212.609.4200 f 212.609.4201</w:t>
      </w:r>
    </w:p>
    <w:p>
      <w:pPr>
        <w:sectPr>
          <w:pgSz w:w="11900" w:h="16838" w:orient="portrait"/>
          <w:cols w:equalWidth="0" w:num="1">
            <w:col w:w="11420"/>
          </w:cols>
          <w:pgMar w:left="240" w:top="11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60"/>
              <w:spacing w:after="0"/>
              <w:rPr>
                <w:sz w:val="20"/>
                <w:szCs w:val="20"/>
                <w:color w:val="auto"/>
              </w:rPr>
            </w:pPr>
            <w:r>
              <w:rPr>
                <w:rFonts w:ascii="Arial" w:cs="Arial" w:eastAsia="Arial" w:hAnsi="Arial"/>
                <w:sz w:val="18"/>
                <w:szCs w:val="18"/>
                <w:color w:val="auto"/>
              </w:rPr>
              <w:t>May 11, 2015</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260"/>
              <w:spacing w:after="0"/>
              <w:rPr>
                <w:sz w:val="20"/>
                <w:szCs w:val="20"/>
                <w:color w:val="auto"/>
              </w:rPr>
            </w:pPr>
            <w:r>
              <w:rPr>
                <w:rFonts w:ascii="Arial" w:cs="Arial" w:eastAsia="Arial" w:hAnsi="Arial"/>
                <w:sz w:val="18"/>
                <w:szCs w:val="18"/>
                <w:color w:val="auto"/>
              </w:rPr>
              <w:t>May 11, 2015</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30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2015,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00"/>
              <w:spacing w:after="0"/>
              <w:rPr>
                <w:sz w:val="20"/>
                <w:szCs w:val="20"/>
                <w:color w:val="auto"/>
              </w:rPr>
            </w:pPr>
            <w:r>
              <w:rPr>
                <w:rFonts w:ascii="Arial" w:cs="Arial" w:eastAsia="Arial" w:hAnsi="Arial"/>
                <w:sz w:val="18"/>
                <w:szCs w:val="18"/>
                <w:color w:val="auto"/>
              </w:rPr>
              <w:t>May 11, 2015</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40" w:type="dxa"/>
            <w:vAlign w:val="bottom"/>
          </w:tcPr>
          <w:p>
            <w:pPr>
              <w:ind w:left="180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30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2015,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300"/>
              <w:spacing w:after="0"/>
              <w:rPr>
                <w:sz w:val="20"/>
                <w:szCs w:val="20"/>
                <w:color w:val="auto"/>
              </w:rPr>
            </w:pPr>
            <w:r>
              <w:rPr>
                <w:rFonts w:ascii="Arial" w:cs="Arial" w:eastAsia="Arial" w:hAnsi="Arial"/>
                <w:sz w:val="18"/>
                <w:szCs w:val="18"/>
                <w:color w:val="auto"/>
              </w:rPr>
              <w:t>May 11, 2015</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60" w:type="dxa"/>
            <w:vAlign w:val="bottom"/>
          </w:tcPr>
          <w:p>
            <w:pPr>
              <w:ind w:left="180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2019-12-29T18:05:19Z</dcterms:created>
  <dcterms:modified xsi:type="dcterms:W3CDTF">2019-12-29T18:05:19Z</dcterms:modified>
</cp:coreProperties>
</file>