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8"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(Mark One)</w:t>
      </w:r>
    </w:p>
    <w:p>
      <w:pPr>
        <w:spacing w:after="0" w:line="8" w:lineRule="exact"/>
        <w:rPr>
          <w:sz w:val="24"/>
          <w:szCs w:val="24"/>
          <w:color w:val="auto"/>
        </w:rPr>
      </w:pPr>
    </w:p>
    <w:p>
      <w:pPr>
        <w:ind w:left="1460" w:hanging="349"/>
        <w:spacing w:after="0"/>
        <w:tabs>
          <w:tab w:leader="none" w:pos="1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66"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4" w:lineRule="exact"/>
        <w:rPr>
          <w:sz w:val="24"/>
          <w:szCs w:val="24"/>
          <w:color w:val="auto"/>
        </w:rPr>
      </w:pPr>
    </w:p>
    <w:p>
      <w:pPr>
        <w:ind w:left="1440" w:hanging="331"/>
        <w:spacing w:after="0"/>
        <w:tabs>
          <w:tab w:leader="none" w:pos="14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18" w:lineRule="exact"/>
        <w:rPr>
          <w:rFonts w:ascii="MS PGothic" w:cs="MS PGothic" w:eastAsia="MS PGothic" w:hAnsi="MS PGothic"/>
          <w:sz w:val="17"/>
          <w:szCs w:val="17"/>
          <w:color w:val="auto"/>
        </w:rPr>
      </w:pPr>
    </w:p>
    <w:p>
      <w:pPr>
        <w:ind w:left="362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171" w:lineRule="exact"/>
        <w:rPr>
          <w:rFonts w:ascii="MS PGothic" w:cs="MS PGothic" w:eastAsia="MS PGothic" w:hAnsi="MS PGothic"/>
          <w:sz w:val="17"/>
          <w:szCs w:val="17"/>
          <w:color w:val="auto"/>
        </w:rPr>
      </w:pPr>
    </w:p>
    <w:p>
      <w:pPr>
        <w:ind w:left="442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Commission File Number: 000-30141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97155</wp:posOffset>
            </wp:positionV>
            <wp:extent cx="15944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3" w:lineRule="exact"/>
        <w:rPr>
          <w:sz w:val="24"/>
          <w:szCs w:val="24"/>
          <w:color w:val="auto"/>
        </w:rPr>
      </w:pPr>
    </w:p>
    <w:tbl>
      <w:tblPr>
        <w:tblLayout w:type="fixed"/>
        <w:tblInd w:w="720" w:type="dxa"/>
        <w:tblCellMar>
          <w:top w:w="0" w:type="dxa"/>
          <w:left w:w="0" w:type="dxa"/>
          <w:bottom w:w="0" w:type="dxa"/>
          <w:right w:w="0" w:type="dxa"/>
        </w:tblCellMar>
      </w:tblPr>
      <w:tr>
        <w:trPr>
          <w:trHeight w:val="335"/>
        </w:trPr>
        <w:tc>
          <w:tcPr>
            <w:tcW w:w="3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60" w:type="dxa"/>
            <w:vAlign w:val="bottom"/>
            <w:gridSpan w:val="5"/>
          </w:tcPr>
          <w:p>
            <w:pPr>
              <w:jc w:val="center"/>
              <w:ind w:right="3219"/>
              <w:spacing w:after="0"/>
              <w:rPr>
                <w:sz w:val="20"/>
                <w:szCs w:val="20"/>
                <w:color w:val="auto"/>
              </w:rPr>
            </w:pPr>
            <w:r>
              <w:rPr>
                <w:rFonts w:ascii="Times New Roman" w:cs="Times New Roman" w:eastAsia="Times New Roman" w:hAnsi="Times New Roman"/>
                <w:sz w:val="29"/>
                <w:szCs w:val="29"/>
                <w:b w:val="1"/>
                <w:bCs w:val="1"/>
                <w:color w:val="auto"/>
                <w:w w:val="98"/>
              </w:rPr>
              <w:t>LIVEPERSON, INC.</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6360" w:type="dxa"/>
            <w:vAlign w:val="bottom"/>
            <w:gridSpan w:val="7"/>
          </w:tcPr>
          <w:p>
            <w:pPr>
              <w:jc w:val="center"/>
              <w:ind w:right="29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0" w:type="dxa"/>
            <w:vAlign w:val="bottom"/>
          </w:tcPr>
          <w:p>
            <w:pPr>
              <w:spacing w:after="0"/>
              <w:rPr>
                <w:sz w:val="1"/>
                <w:szCs w:val="1"/>
                <w:color w:val="auto"/>
              </w:rPr>
            </w:pPr>
          </w:p>
        </w:tc>
      </w:tr>
      <w:tr>
        <w:trPr>
          <w:trHeight w:val="100"/>
        </w:trPr>
        <w:tc>
          <w:tcPr>
            <w:tcW w:w="3440" w:type="dxa"/>
            <w:vAlign w:val="bottom"/>
            <w:vMerge w:val="restart"/>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20" w:type="dxa"/>
            <w:vAlign w:val="bottom"/>
            <w:vMerge w:val="restart"/>
          </w:tcPr>
          <w:p>
            <w:pPr>
              <w:jc w:val="right"/>
              <w:ind w:right="1239"/>
              <w:spacing w:after="0"/>
              <w:rPr>
                <w:sz w:val="20"/>
                <w:szCs w:val="20"/>
                <w:color w:val="auto"/>
              </w:rPr>
            </w:pPr>
            <w:r>
              <w:rPr>
                <w:rFonts w:ascii="Times New Roman" w:cs="Times New Roman" w:eastAsia="Times New Roman" w:hAnsi="Times New Roman"/>
                <w:sz w:val="16"/>
                <w:szCs w:val="16"/>
                <w:b w:val="1"/>
                <w:bCs w:val="1"/>
                <w:color w:val="auto"/>
              </w:rPr>
              <w:t>13-3861628</w:t>
            </w:r>
          </w:p>
        </w:tc>
        <w:tc>
          <w:tcPr>
            <w:tcW w:w="0" w:type="dxa"/>
            <w:vAlign w:val="bottom"/>
          </w:tcPr>
          <w:p>
            <w:pPr>
              <w:spacing w:after="0"/>
              <w:rPr>
                <w:sz w:val="1"/>
                <w:szCs w:val="1"/>
                <w:color w:val="auto"/>
              </w:rPr>
            </w:pPr>
          </w:p>
        </w:tc>
      </w:tr>
      <w:tr>
        <w:trPr>
          <w:trHeight w:val="352"/>
        </w:trPr>
        <w:tc>
          <w:tcPr>
            <w:tcW w:w="34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440" w:type="dxa"/>
            <w:vAlign w:val="bottom"/>
          </w:tcPr>
          <w:p>
            <w:pPr>
              <w:jc w:val="center"/>
              <w:ind w:left="75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210"/>
        </w:trPr>
        <w:tc>
          <w:tcPr>
            <w:tcW w:w="344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4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530 7th Ave, Floor M1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20" w:type="dxa"/>
            <w:vAlign w:val="bottom"/>
          </w:tcPr>
          <w:p>
            <w:pPr>
              <w:jc w:val="right"/>
              <w:ind w:right="1419"/>
              <w:spacing w:after="0"/>
              <w:rPr>
                <w:sz w:val="20"/>
                <w:szCs w:val="20"/>
                <w:color w:val="auto"/>
              </w:rPr>
            </w:pPr>
            <w:r>
              <w:rPr>
                <w:rFonts w:ascii="Times New Roman" w:cs="Times New Roman" w:eastAsia="Times New Roman" w:hAnsi="Times New Roman"/>
                <w:sz w:val="16"/>
                <w:szCs w:val="16"/>
                <w:b w:val="1"/>
                <w:bCs w:val="1"/>
                <w:color w:val="auto"/>
              </w:rPr>
              <w:t>10018</w:t>
            </w:r>
          </w:p>
        </w:tc>
        <w:tc>
          <w:tcPr>
            <w:tcW w:w="0" w:type="dxa"/>
            <w:vAlign w:val="bottom"/>
          </w:tcPr>
          <w:p>
            <w:pPr>
              <w:spacing w:after="0"/>
              <w:rPr>
                <w:sz w:val="1"/>
                <w:szCs w:val="1"/>
                <w:color w:val="auto"/>
              </w:rPr>
            </w:pPr>
          </w:p>
        </w:tc>
      </w:tr>
      <w:tr>
        <w:trPr>
          <w:trHeight w:val="216"/>
        </w:trPr>
        <w:tc>
          <w:tcPr>
            <w:tcW w:w="344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r>
        <w:trPr>
          <w:trHeight w:val="303"/>
        </w:trPr>
        <w:tc>
          <w:tcPr>
            <w:tcW w:w="3440" w:type="dxa"/>
            <w:vAlign w:val="bottom"/>
          </w:tcPr>
          <w:p>
            <w:pPr>
              <w:spacing w:after="0"/>
              <w:rPr>
                <w:sz w:val="24"/>
                <w:szCs w:val="24"/>
                <w:color w:val="auto"/>
              </w:rPr>
            </w:pPr>
          </w:p>
        </w:tc>
        <w:tc>
          <w:tcPr>
            <w:tcW w:w="2280" w:type="dxa"/>
            <w:vAlign w:val="bottom"/>
            <w:gridSpan w:val="4"/>
          </w:tcPr>
          <w:p>
            <w:pPr>
              <w:jc w:val="center"/>
              <w:ind w:left="995"/>
              <w:spacing w:after="0"/>
              <w:rPr>
                <w:sz w:val="20"/>
                <w:szCs w:val="20"/>
                <w:color w:val="auto"/>
              </w:rPr>
            </w:pPr>
            <w:r>
              <w:rPr>
                <w:rFonts w:ascii="Times New Roman" w:cs="Times New Roman" w:eastAsia="Times New Roman" w:hAnsi="Times New Roman"/>
                <w:sz w:val="18"/>
                <w:szCs w:val="18"/>
                <w:b w:val="1"/>
                <w:bCs w:val="1"/>
                <w:color w:val="auto"/>
                <w:w w:val="99"/>
              </w:rPr>
              <w:t>(212) 609-4200</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800" w:type="dxa"/>
            <w:vAlign w:val="bottom"/>
            <w:gridSpan w:val="8"/>
          </w:tcPr>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0" w:type="dxa"/>
            <w:vAlign w:val="bottom"/>
          </w:tcPr>
          <w:p>
            <w:pPr>
              <w:spacing w:after="0"/>
              <w:rPr>
                <w:sz w:val="1"/>
                <w:szCs w:val="1"/>
                <w:color w:val="auto"/>
              </w:rPr>
            </w:pPr>
          </w:p>
        </w:tc>
      </w:tr>
      <w:tr>
        <w:trPr>
          <w:trHeight w:val="391"/>
        </w:trPr>
        <w:tc>
          <w:tcPr>
            <w:tcW w:w="9800" w:type="dxa"/>
            <w:vAlign w:val="bottom"/>
            <w:gridSpan w:val="8"/>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219"/>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47"/>
        </w:trPr>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color w:val="auto"/>
              </w:rPr>
              <w:t>LPSN</w:t>
            </w:r>
          </w:p>
        </w:tc>
        <w:tc>
          <w:tcPr>
            <w:tcW w:w="342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22"/>
        </w:trPr>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Rights to Purchase Series A Junior</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color w:val="auto"/>
              </w:rPr>
              <w:t>None</w:t>
            </w:r>
          </w:p>
        </w:tc>
        <w:tc>
          <w:tcPr>
            <w:tcW w:w="342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0"/>
        </w:trPr>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Participating Preferred Stock</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1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2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6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94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May 1, 2026, 12,176,027 shares of the registrant’s common stock were outstanding.</w:t>
      </w:r>
    </w:p>
    <w:p>
      <w:pPr>
        <w:sectPr>
          <w:pgSz w:w="11900" w:h="16838" w:orient="portrait"/>
          <w:cols w:equalWidth="0" w:num="1">
            <w:col w:w="11240"/>
          </w:cols>
          <w:pgMar w:left="320" w:top="1029" w:right="339" w:bottom="1440" w:gutter="0" w:footer="0" w:header="0"/>
        </w:sectPr>
      </w:pPr>
    </w:p>
    <w:p>
      <w:pPr>
        <w:spacing w:after="0" w:line="200" w:lineRule="exact"/>
        <w:rPr>
          <w:sz w:val="24"/>
          <w:szCs w:val="24"/>
          <w:color w:val="auto"/>
        </w:rPr>
      </w:pPr>
    </w:p>
    <w:p>
      <w:pPr>
        <w:spacing w:after="0" w:line="214"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3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00" w:lineRule="exact"/>
        <w:rPr>
          <w:sz w:val="20"/>
          <w:szCs w:val="20"/>
          <w:color w:val="auto"/>
        </w:rPr>
      </w:pPr>
    </w:p>
    <w:p>
      <w:pPr>
        <w:spacing w:after="0" w:line="27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8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3140" w:type="dxa"/>
            <w:vAlign w:val="bottom"/>
            <w:gridSpan w:val="6"/>
            <w:vMerge w:val="restart"/>
          </w:tcPr>
          <w:p>
            <w:pPr>
              <w:spacing w:after="0"/>
              <w:rPr>
                <w:sz w:val="20"/>
                <w:szCs w:val="20"/>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80" w:type="dxa"/>
            <w:vAlign w:val="bottom"/>
            <w:tcBorders>
              <w:bottom w:val="single" w:sz="8" w:color="0000FF"/>
            </w:tcBorders>
            <w:gridSpan w:val="6"/>
            <w:vMerge w:val="continue"/>
          </w:tcPr>
          <w:p>
            <w:pPr>
              <w:spacing w:after="0"/>
              <w:rPr>
                <w:sz w:val="14"/>
                <w:szCs w:val="14"/>
                <w:color w:val="auto"/>
              </w:rPr>
            </w:pPr>
          </w:p>
        </w:tc>
        <w:tc>
          <w:tcPr>
            <w:tcW w:w="3140" w:type="dxa"/>
            <w:vAlign w:val="bottom"/>
            <w:gridSpan w:val="6"/>
            <w:vMerge w:val="continue"/>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2026 and 2025</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3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for the Three Months Ended March 31, 2026 and 2025</w:t>
            </w:r>
          </w:p>
        </w:tc>
        <w:tc>
          <w:tcPr>
            <w:tcW w:w="760" w:type="dxa"/>
            <w:vAlign w:val="bottom"/>
            <w:gridSpan w:val="2"/>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for the Three Months Ended March 31, 2026 and 2025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7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40" w:type="dxa"/>
            <w:vAlign w:val="bottom"/>
            <w:gridSpan w:val="3"/>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20" w:type="dxa"/>
            <w:vAlign w:val="bottom"/>
            <w:tcBorders>
              <w:top w:val="single" w:sz="8" w:color="0000FF"/>
            </w:tcBorders>
            <w:gridSpan w:val="3"/>
          </w:tcPr>
          <w:p>
            <w:pPr>
              <w:spacing w:after="0"/>
              <w:rPr>
                <w:sz w:val="18"/>
                <w:szCs w:val="18"/>
                <w:color w:val="auto"/>
              </w:rPr>
            </w:pPr>
          </w:p>
        </w:tc>
        <w:tc>
          <w:tcPr>
            <w:tcW w:w="2860" w:type="dxa"/>
            <w:vAlign w:val="bottom"/>
            <w:gridSpan w:val="5"/>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11"/>
          </w:tcPr>
          <w:p>
            <w:pPr>
              <w:jc w:val="center"/>
              <w:ind w:right="3300"/>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32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760" w:type="dxa"/>
            <w:vAlign w:val="bottom"/>
            <w:tcBorders>
              <w:top w:val="single" w:sz="8" w:color="0000FF"/>
            </w:tcBorders>
            <w:gridSpan w:val="4"/>
          </w:tcPr>
          <w:p>
            <w:pPr>
              <w:spacing w:after="0"/>
              <w:rPr>
                <w:sz w:val="18"/>
                <w:szCs w:val="18"/>
                <w:color w:val="auto"/>
              </w:rPr>
            </w:pPr>
          </w:p>
        </w:tc>
        <w:tc>
          <w:tcPr>
            <w:tcW w:w="3300" w:type="dxa"/>
            <w:vAlign w:val="bottom"/>
            <w:gridSpan w:val="7"/>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18"/>
                <w:szCs w:val="18"/>
                <w:color w:val="auto"/>
              </w:rPr>
            </w:pPr>
          </w:p>
        </w:tc>
        <w:tc>
          <w:tcPr>
            <w:tcW w:w="8020" w:type="dxa"/>
            <w:vAlign w:val="bottom"/>
            <w:gridSpan w:val="16"/>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00" w:type="dxa"/>
            <w:vAlign w:val="bottom"/>
            <w:gridSpan w:val="9"/>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020" w:type="dxa"/>
            <w:vAlign w:val="bottom"/>
            <w:gridSpan w:val="14"/>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580" w:type="dxa"/>
            <w:vAlign w:val="bottom"/>
            <w:gridSpan w:val="15"/>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3"/>
          </w:tcPr>
          <w:p>
            <w:pPr>
              <w:spacing w:after="0"/>
              <w:rPr>
                <w:sz w:val="18"/>
                <w:szCs w:val="18"/>
                <w:color w:val="auto"/>
              </w:rPr>
            </w:pPr>
          </w:p>
        </w:tc>
        <w:tc>
          <w:tcPr>
            <w:tcW w:w="8040" w:type="dxa"/>
            <w:vAlign w:val="bottom"/>
            <w:gridSpan w:val="17"/>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580" w:type="dxa"/>
            <w:vAlign w:val="bottom"/>
            <w:gridSpan w:val="19"/>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5"/>
        </w:trPr>
        <w:tc>
          <w:tcPr>
            <w:tcW w:w="1040" w:type="dxa"/>
            <w:vAlign w:val="bottom"/>
          </w:tcPr>
          <w:p>
            <w:pPr>
              <w:spacing w:after="0"/>
              <w:rPr>
                <w:sz w:val="24"/>
                <w:szCs w:val="24"/>
                <w:color w:val="auto"/>
              </w:rPr>
            </w:pPr>
          </w:p>
        </w:tc>
        <w:tc>
          <w:tcPr>
            <w:tcW w:w="6040" w:type="dxa"/>
            <w:vAlign w:val="bottom"/>
            <w:gridSpan w:val="15"/>
          </w:tcPr>
          <w:p>
            <w:pPr>
              <w:ind w:left="47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in this Quarterly Report on Form 10-Q about LivePerson, Inc. (“LivePerson,” the “Company,” “we,” “our” or “us”) that are not historical facts, including statements about the proposed acquisition of LivePerson by SoundHound AI, Inc. (“SoundHound”), the expected benefits of the proposed acquisition, including with respect to the business outlook or future economic performance, the structure of the proposed acquisition, the closing date of the proposed acquisition, and plans following the closing of the proposed acquisition,are forward-looking statements. These forward-looking statements are based on our current expectations, assumptions, estimates and projections about LivePerson and our industry. Our expectations, assumptions, estimates and projections are expressed in good faith, and we believe there is a reasonable basis for them, but we cannot assure you that our expectations, assumptions, estimates and projections will be realized. Examples of forward-looking statements include, but are not limited to, statements regarding future business, future results of operations or financial condition (including statements regarding expectations for retention rates, customer attrition and revenue and other statements based on examinations of historical operating trends) and management strategies. Many of these statements are found in the “Business” and “Management’s Discussion and Analysis of Financial Condition and Results of Operations” sections of this Quarterly Report on Form 10-Q. When used in this Quarterly Report on Form 10-Q, the words “anticipates,” “believes,” “estimates,” “expects,” “intends,” “plans,” “projects” and variations of such words or similar expressions are intended to identify forward-looking statements. However, not all forward-looking statements contain these words. Forward-looking statements are subject to risks and uncertainties that could cause actual future events or results to differ materially from those expressed or implied in the forward-looking statements. Important factors that could cause our actual results to differ materially from the forward-looking statements we make in this Quarterly Report on Form 10-Q include those set forth in our Annual Report on Form 10-K filed with the Securities and Exchange Commission (the “SEC”) on March 16, 2026 in the section entitled Part I, Item 1A., “Risk Factors” and in this Quarterly Report on Form 10-Q in the section entitled Part II, Item 1A., “Risk Factors.”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We do not undertake any obligation to revise forward-looking statements to reflect future events or circumstances. All forward-looking statements are made pursuant to the safe harbor provisions of the Private Securities Litigation Reform Act of 1995.</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1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8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7"/>
                <w:szCs w:val="17"/>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36"/>
        </w:trPr>
        <w:tc>
          <w:tcPr>
            <w:tcW w:w="8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16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95,004</w:t>
            </w:r>
          </w:p>
        </w:tc>
        <w:tc>
          <w:tcPr>
            <w:tcW w:w="0" w:type="dxa"/>
            <w:vAlign w:val="bottom"/>
          </w:tcPr>
          <w:p>
            <w:pPr>
              <w:spacing w:after="0"/>
              <w:rPr>
                <w:sz w:val="1"/>
                <w:szCs w:val="1"/>
                <w:color w:val="auto"/>
              </w:rPr>
            </w:pPr>
          </w:p>
        </w:tc>
      </w:tr>
      <w:tr>
        <w:trPr>
          <w:trHeight w:val="176"/>
        </w:trPr>
        <w:tc>
          <w:tcPr>
            <w:tcW w:w="81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allowances of $4,785 and $4,451 as of March 31, 2026 and December 31, 2025,</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27,014</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 (Note 1)</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0" w:type="dxa"/>
            <w:vAlign w:val="bottom"/>
          </w:tcPr>
          <w:p>
            <w:pPr>
              <w:spacing w:after="0"/>
              <w:rPr>
                <w:sz w:val="1"/>
                <w:szCs w:val="1"/>
                <w:color w:val="auto"/>
              </w:rPr>
            </w:pPr>
          </w:p>
        </w:tc>
      </w:tr>
      <w:tr>
        <w:trPr>
          <w:trHeight w:val="223"/>
        </w:trPr>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137,118</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 (Note 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90,389</w:t>
            </w:r>
          </w:p>
        </w:tc>
        <w:tc>
          <w:tcPr>
            <w:tcW w:w="0" w:type="dxa"/>
            <w:vAlign w:val="bottom"/>
          </w:tcPr>
          <w:p>
            <w:pPr>
              <w:spacing w:after="0"/>
              <w:rPr>
                <w:sz w:val="1"/>
                <w:szCs w:val="1"/>
                <w:color w:val="auto"/>
              </w:rPr>
            </w:pPr>
          </w:p>
        </w:tc>
      </w:tr>
      <w:tr>
        <w:trPr>
          <w:trHeight w:val="229"/>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Contract acquisition costs, net (Note 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23,951</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 (Note 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Goodwill, net (Note 5)</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184,902</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 (Note 14)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457,582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454,667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10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other current liabilities (Note 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38,700</w:t>
            </w:r>
          </w:p>
        </w:tc>
        <w:tc>
          <w:tcPr>
            <w:tcW w:w="0" w:type="dxa"/>
            <w:vAlign w:val="bottom"/>
          </w:tcPr>
          <w:p>
            <w:pPr>
              <w:spacing w:after="0"/>
              <w:rPr>
                <w:sz w:val="1"/>
                <w:szCs w:val="1"/>
                <w:color w:val="auto"/>
              </w:rPr>
            </w:pPr>
          </w:p>
        </w:tc>
      </w:tr>
      <w:tr>
        <w:trPr>
          <w:trHeight w:val="229"/>
        </w:trPr>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 (Note 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54,295</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 (Note 8)</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20,052</w:t>
            </w:r>
          </w:p>
        </w:tc>
        <w:tc>
          <w:tcPr>
            <w:tcW w:w="0" w:type="dxa"/>
            <w:vAlign w:val="bottom"/>
          </w:tcPr>
          <w:p>
            <w:pPr>
              <w:spacing w:after="0"/>
              <w:rPr>
                <w:sz w:val="1"/>
                <w:szCs w:val="1"/>
                <w:color w:val="auto"/>
              </w:rPr>
            </w:pPr>
          </w:p>
        </w:tc>
      </w:tr>
      <w:tr>
        <w:trPr>
          <w:trHeight w:val="223"/>
        </w:trPr>
        <w:tc>
          <w:tcPr>
            <w:tcW w:w="8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122,569</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 of current portion (Note 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371,732</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 (Note 14)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509,078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499,162</w:t>
            </w:r>
          </w:p>
        </w:tc>
        <w:tc>
          <w:tcPr>
            <w:tcW w:w="0" w:type="dxa"/>
            <w:vAlign w:val="bottom"/>
          </w:tcPr>
          <w:p>
            <w:pPr>
              <w:spacing w:after="0"/>
              <w:rPr>
                <w:sz w:val="1"/>
                <w:szCs w:val="1"/>
                <w:color w:val="auto"/>
              </w:rPr>
            </w:pPr>
          </w:p>
        </w:tc>
      </w:tr>
      <w:tr>
        <w:trPr>
          <w:trHeight w:val="209"/>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(Notes 10 and 13)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8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1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$0.001 par value - 20,000,000 shares authorized; 12,285,554 and 12,223,729 shares issued,</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12,101,150 and 12,039,325 shares outstanding as of March 31, 2026 and December 31, 2025, respectively.</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stock, at cost - 184,404 shares as of March 31, 2026 and December 31, 2025</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1,021,076</w:t>
            </w:r>
          </w:p>
        </w:tc>
        <w:tc>
          <w:tcPr>
            <w:tcW w:w="0" w:type="dxa"/>
            <w:vAlign w:val="bottom"/>
          </w:tcPr>
          <w:p>
            <w:pPr>
              <w:spacing w:after="0"/>
              <w:rPr>
                <w:sz w:val="1"/>
                <w:szCs w:val="1"/>
                <w:color w:val="auto"/>
              </w:rPr>
            </w:pPr>
          </w:p>
        </w:tc>
      </w:tr>
      <w:tr>
        <w:trPr>
          <w:trHeight w:val="229"/>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(1,067,321)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(1,058,494)</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(44,495)</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457,582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454,667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46" w:right="3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gridSpan w:val="4"/>
          </w:tcPr>
          <w:p>
            <w:pPr>
              <w:jc w:val="right"/>
              <w:ind w:right="510"/>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38"/>
        </w:trPr>
        <w:tc>
          <w:tcPr>
            <w:tcW w:w="8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20" w:type="dxa"/>
            <w:vAlign w:val="bottom"/>
            <w:tcBorders>
              <w:bottom w:val="single" w:sz="8" w:color="auto"/>
            </w:tcBorders>
          </w:tcPr>
          <w:p>
            <w:pPr>
              <w:spacing w:after="0"/>
              <w:rPr>
                <w:sz w:val="20"/>
                <w:szCs w:val="20"/>
                <w:color w:val="auto"/>
              </w:rPr>
            </w:pPr>
          </w:p>
        </w:tc>
      </w:tr>
      <w:tr>
        <w:trPr>
          <w:trHeight w:val="228"/>
        </w:trPr>
        <w:tc>
          <w:tcPr>
            <w:tcW w:w="8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36"/>
        </w:trPr>
        <w:tc>
          <w:tcPr>
            <w:tcW w:w="8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64,700</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expenses and other:</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 expense shown separately below)</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18,218</w:t>
            </w: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23,485</w:t>
            </w: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16,784</w:t>
            </w: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16,034</w:t>
            </w: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23"/>
        </w:trPr>
        <w:tc>
          <w:tcPr>
            <w:tcW w:w="84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expenses and other</w:t>
            </w: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81,644</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(7,478)</w:t>
            </w:r>
          </w:p>
        </w:tc>
      </w:tr>
      <w:tr>
        <w:trPr>
          <w:trHeight w:val="23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29"/>
        </w:trPr>
        <w:tc>
          <w:tcPr>
            <w:tcW w:w="8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8,487</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(benefit from)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(14,478)</w:t>
            </w:r>
          </w:p>
        </w:tc>
      </w:tr>
      <w:tr>
        <w:trPr>
          <w:trHeight w:val="230"/>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(14,133)</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8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5"/>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48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(3.61)</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used to compute net loss per share: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12,060,769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6,104,729</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12,060,769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6,353,663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r>
      <w:tr>
        <w:trPr>
          <w:trHeight w:val="223"/>
        </w:trPr>
        <w:tc>
          <w:tcPr>
            <w:tcW w:w="8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34"/>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gridSpan w:val="9"/>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40" w:type="dxa"/>
            <w:vAlign w:val="bottom"/>
            <w:gridSpan w:val="7"/>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40" w:type="dxa"/>
            <w:vAlign w:val="bottom"/>
            <w:gridSpan w:val="9"/>
            <w:vMerge w:val="continue"/>
          </w:tcPr>
          <w:p>
            <w:pPr>
              <w:spacing w:after="0"/>
              <w:rPr>
                <w:sz w:val="9"/>
                <w:szCs w:val="9"/>
                <w:color w:val="auto"/>
              </w:rPr>
            </w:pPr>
          </w:p>
        </w:tc>
        <w:tc>
          <w:tcPr>
            <w:tcW w:w="2040" w:type="dxa"/>
            <w:vAlign w:val="bottom"/>
            <w:gridSpan w:val="7"/>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jc w:val="center"/>
              <w:ind w:right="42"/>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restart"/>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Total Deficit</w:t>
            </w:r>
          </w:p>
        </w:tc>
        <w:tc>
          <w:tcPr>
            <w:tcW w:w="0" w:type="dxa"/>
            <w:vAlign w:val="bottom"/>
          </w:tcPr>
          <w:p>
            <w:pPr>
              <w:spacing w:after="0"/>
              <w:rPr>
                <w:sz w:val="1"/>
                <w:szCs w:val="1"/>
                <w:color w:val="auto"/>
              </w:rPr>
            </w:pPr>
          </w:p>
        </w:tc>
      </w:tr>
      <w:tr>
        <w:trPr>
          <w:trHeight w:val="191"/>
        </w:trPr>
        <w:tc>
          <w:tcPr>
            <w:tcW w:w="2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12,223,729</w:t>
            </w:r>
          </w:p>
        </w:tc>
        <w:tc>
          <w:tcPr>
            <w:tcW w:w="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(184,404)</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1,021,076</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(1,058,494)</w:t>
            </w:r>
          </w:p>
        </w:tc>
        <w:tc>
          <w:tcPr>
            <w:tcW w:w="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(7,247)</w:t>
            </w:r>
          </w:p>
        </w:tc>
        <w:tc>
          <w:tcPr>
            <w:tcW w:w="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(44,495)</w:t>
            </w:r>
          </w:p>
        </w:tc>
        <w:tc>
          <w:tcPr>
            <w:tcW w:w="0" w:type="dxa"/>
            <w:vAlign w:val="bottom"/>
          </w:tcPr>
          <w:p>
            <w:pPr>
              <w:spacing w:after="0"/>
              <w:rPr>
                <w:sz w:val="1"/>
                <w:szCs w:val="1"/>
                <w:color w:val="auto"/>
              </w:rPr>
            </w:pPr>
          </w:p>
        </w:tc>
      </w:tr>
      <w:tr>
        <w:trPr>
          <w:trHeight w:val="162"/>
        </w:trPr>
        <w:tc>
          <w:tcPr>
            <w:tcW w:w="258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6"/>
                <w:szCs w:val="16"/>
                <w:color w:val="auto"/>
              </w:rPr>
              <w:t>Common stock issued upon vesting</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61,825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of restricted stock units (“RSUs”)</w:t>
            </w:r>
          </w:p>
        </w:tc>
        <w:tc>
          <w:tcPr>
            <w:tcW w:w="9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0" w:type="dxa"/>
            <w:vAlign w:val="bottom"/>
          </w:tcPr>
          <w:p>
            <w:pPr>
              <w:spacing w:after="0"/>
              <w:rPr>
                <w:sz w:val="1"/>
                <w:szCs w:val="1"/>
                <w:color w:val="auto"/>
              </w:rPr>
            </w:pPr>
          </w:p>
        </w:tc>
      </w:tr>
      <w:tr>
        <w:trPr>
          <w:trHeight w:val="213"/>
        </w:trPr>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(8,827)</w:t>
            </w: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07"/>
        </w:trPr>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12,285,554</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(184,404)</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1,023,338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(1,067,321)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(7,683)</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(51,496)</w:t>
            </w: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90"/>
        </w:trPr>
        <w:tc>
          <w:tcPr>
            <w:tcW w:w="2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gridSpan w:val="9"/>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40" w:type="dxa"/>
            <w:vAlign w:val="bottom"/>
            <w:gridSpan w:val="7"/>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40" w:type="dxa"/>
            <w:vAlign w:val="bottom"/>
            <w:gridSpan w:val="9"/>
            <w:vMerge w:val="continue"/>
          </w:tcPr>
          <w:p>
            <w:pPr>
              <w:spacing w:after="0"/>
              <w:rPr>
                <w:sz w:val="9"/>
                <w:szCs w:val="9"/>
                <w:color w:val="auto"/>
              </w:rPr>
            </w:pPr>
          </w:p>
        </w:tc>
        <w:tc>
          <w:tcPr>
            <w:tcW w:w="2040" w:type="dxa"/>
            <w:vAlign w:val="bottom"/>
            <w:gridSpan w:val="7"/>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jc w:val="center"/>
              <w:ind w:right="62"/>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restart"/>
          </w:tcPr>
          <w:p>
            <w:pPr>
              <w:jc w:val="center"/>
              <w:ind w:right="1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Total Deficit</w:t>
            </w:r>
          </w:p>
        </w:tc>
        <w:tc>
          <w:tcPr>
            <w:tcW w:w="0" w:type="dxa"/>
            <w:vAlign w:val="bottom"/>
          </w:tcPr>
          <w:p>
            <w:pPr>
              <w:spacing w:after="0"/>
              <w:rPr>
                <w:sz w:val="1"/>
                <w:szCs w:val="1"/>
                <w:color w:val="auto"/>
              </w:rPr>
            </w:pPr>
          </w:p>
        </w:tc>
      </w:tr>
      <w:tr>
        <w:trPr>
          <w:trHeight w:val="191"/>
        </w:trPr>
        <w:tc>
          <w:tcPr>
            <w:tcW w:w="2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6,263,782</w:t>
            </w:r>
          </w:p>
        </w:tc>
        <w:tc>
          <w:tcPr>
            <w:tcW w:w="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(184,404)</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936,047</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(991,261)</w:t>
            </w:r>
          </w:p>
        </w:tc>
        <w:tc>
          <w:tcPr>
            <w:tcW w:w="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(12,193)</w:t>
            </w:r>
          </w:p>
        </w:tc>
        <w:tc>
          <w:tcPr>
            <w:tcW w:w="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(67,316)</w:t>
            </w:r>
          </w:p>
        </w:tc>
        <w:tc>
          <w:tcPr>
            <w:tcW w:w="0" w:type="dxa"/>
            <w:vAlign w:val="bottom"/>
          </w:tcPr>
          <w:p>
            <w:pPr>
              <w:spacing w:after="0"/>
              <w:rPr>
                <w:sz w:val="1"/>
                <w:szCs w:val="1"/>
                <w:color w:val="auto"/>
              </w:rPr>
            </w:pPr>
          </w:p>
        </w:tc>
      </w:tr>
      <w:tr>
        <w:trPr>
          <w:trHeight w:val="162"/>
        </w:trPr>
        <w:tc>
          <w:tcPr>
            <w:tcW w:w="258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6"/>
                <w:szCs w:val="16"/>
                <w:color w:val="auto"/>
              </w:rPr>
              <w:t>Common stock issued upon vesting</w:t>
            </w: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148,077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of restricted stock units</w:t>
            </w:r>
          </w:p>
        </w:tc>
        <w:tc>
          <w:tcPr>
            <w:tcW w:w="9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4,754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4,754</w:t>
            </w:r>
          </w:p>
        </w:tc>
        <w:tc>
          <w:tcPr>
            <w:tcW w:w="0" w:type="dxa"/>
            <w:vAlign w:val="bottom"/>
          </w:tcPr>
          <w:p>
            <w:pPr>
              <w:spacing w:after="0"/>
              <w:rPr>
                <w:sz w:val="1"/>
                <w:szCs w:val="1"/>
                <w:color w:val="auto"/>
              </w:rPr>
            </w:pPr>
          </w:p>
        </w:tc>
      </w:tr>
      <w:tr>
        <w:trPr>
          <w:trHeight w:val="213"/>
        </w:trPr>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(14,133)</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0" w:type="dxa"/>
            <w:vAlign w:val="bottom"/>
          </w:tcPr>
          <w:p>
            <w:pPr>
              <w:spacing w:after="0"/>
              <w:rPr>
                <w:sz w:val="1"/>
                <w:szCs w:val="1"/>
                <w:color w:val="auto"/>
              </w:rPr>
            </w:pPr>
          </w:p>
        </w:tc>
      </w:tr>
      <w:tr>
        <w:trPr>
          <w:trHeight w:val="210"/>
        </w:trPr>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6,411,859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940,799</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(1,005,394)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(74,944)</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200" w:type="dxa"/>
            <w:vAlign w:val="bottom"/>
          </w:tcPr>
          <w:p>
            <w:pPr>
              <w:spacing w:after="0"/>
              <w:rPr>
                <w:sz w:val="18"/>
                <w:szCs w:val="18"/>
                <w:color w:val="auto"/>
              </w:rPr>
            </w:pPr>
          </w:p>
        </w:tc>
        <w:tc>
          <w:tcPr>
            <w:tcW w:w="2980" w:type="dxa"/>
            <w:vAlign w:val="bottom"/>
            <w:tcBorders>
              <w:bottom w:val="single" w:sz="8" w:color="auto"/>
            </w:tcBorders>
            <w:gridSpan w:val="5"/>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9"/>
        </w:trPr>
        <w:tc>
          <w:tcPr>
            <w:tcW w:w="8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0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7"/>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(8,827)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(14,133)</w:t>
            </w:r>
          </w:p>
        </w:tc>
      </w:tr>
      <w:tr>
        <w:trPr>
          <w:trHeight w:val="213"/>
        </w:trPr>
        <w:tc>
          <w:tcPr>
            <w:tcW w:w="8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4,709</w:t>
            </w:r>
          </w:p>
        </w:tc>
      </w:tr>
      <w:tr>
        <w:trPr>
          <w:trHeight w:val="226"/>
        </w:trPr>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5,587</w:t>
            </w:r>
          </w:p>
        </w:tc>
      </w:tr>
      <w:tr>
        <w:trPr>
          <w:trHeight w:val="233"/>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Reduction of operating lease right-of-use assets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6"/>
        </w:trPr>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Amortization of purchased intangible assets and finance leases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r>
      <w:tr>
        <w:trPr>
          <w:trHeight w:val="233"/>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Amortization of debt issuance costs and accretion of debt discount</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1,788</w:t>
            </w:r>
          </w:p>
        </w:tc>
      </w:tr>
      <w:tr>
        <w:trPr>
          <w:trHeight w:val="226"/>
        </w:trPr>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Change in fair value of Warrants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(1,116)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(8,824)</w:t>
            </w:r>
          </w:p>
        </w:tc>
      </w:tr>
      <w:tr>
        <w:trPr>
          <w:trHeight w:val="233"/>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Non-cash interest expense</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5,690</w:t>
            </w:r>
          </w:p>
        </w:tc>
      </w:tr>
      <w:tr>
        <w:trPr>
          <w:trHeight w:val="226"/>
        </w:trPr>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r>
      <w:tr>
        <w:trPr>
          <w:trHeight w:val="233"/>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Deferred income taxes</w:t>
            </w:r>
          </w:p>
        </w:tc>
        <w:tc>
          <w:tcPr>
            <w:tcW w:w="9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26"/>
        </w:trPr>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3"/>
        </w:trPr>
        <w:tc>
          <w:tcPr>
            <w:tcW w:w="8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Accounts receivable</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(2,536)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w:t>
            </w:r>
          </w:p>
        </w:tc>
      </w:tr>
      <w:tr>
        <w:trPr>
          <w:trHeight w:val="226"/>
        </w:trPr>
        <w:tc>
          <w:tcPr>
            <w:tcW w:w="82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3,624</w:t>
            </w:r>
          </w:p>
        </w:tc>
      </w:tr>
      <w:tr>
        <w:trPr>
          <w:trHeight w:val="233"/>
        </w:trPr>
        <w:tc>
          <w:tcPr>
            <w:tcW w:w="8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Contract acquisition costs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w:t>
            </w:r>
          </w:p>
        </w:tc>
      </w:tr>
      <w:tr>
        <w:trPr>
          <w:trHeight w:val="226"/>
        </w:trPr>
        <w:tc>
          <w:tcPr>
            <w:tcW w:w="82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Accounts payable, accrued expenses and other current liabilities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(5,944)</w:t>
            </w:r>
          </w:p>
        </w:tc>
      </w:tr>
      <w:tr>
        <w:trPr>
          <w:trHeight w:val="233"/>
        </w:trPr>
        <w:tc>
          <w:tcPr>
            <w:tcW w:w="8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Deferred revenue</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3,170</w:t>
            </w:r>
          </w:p>
        </w:tc>
      </w:tr>
      <w:tr>
        <w:trPr>
          <w:trHeight w:val="226"/>
        </w:trPr>
        <w:tc>
          <w:tcPr>
            <w:tcW w:w="8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Other liabilities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7"/>
        </w:trPr>
        <w:tc>
          <w:tcPr>
            <w:tcW w:w="8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b w:val="1"/>
                <w:bCs w:val="1"/>
                <w:color w:val="auto"/>
              </w:rPr>
              <w:t>Net cash provided by (used in) operating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(3,096)</w:t>
            </w:r>
          </w:p>
        </w:tc>
      </w:tr>
      <w:tr>
        <w:trPr>
          <w:trHeight w:val="206"/>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3"/>
        </w:trPr>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Purchases of property and equipment, including capitalized internal-use software development costs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(2,644)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(3,759)</w:t>
            </w:r>
          </w:p>
        </w:tc>
      </w:tr>
      <w:tr>
        <w:trPr>
          <w:trHeight w:val="226"/>
        </w:trPr>
        <w:tc>
          <w:tcPr>
            <w:tcW w:w="8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Purchases of intangible assets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w:t>
            </w:r>
          </w:p>
        </w:tc>
      </w:tr>
      <w:tr>
        <w:trPr>
          <w:trHeight w:val="227"/>
        </w:trPr>
        <w:tc>
          <w:tcPr>
            <w:tcW w:w="82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(2,916)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(4,145)</w:t>
            </w:r>
          </w:p>
        </w:tc>
      </w:tr>
      <w:tr>
        <w:trPr>
          <w:trHeight w:val="206"/>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3"/>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Principal payments for finance leases</w:t>
            </w:r>
          </w:p>
        </w:tc>
        <w:tc>
          <w:tcPr>
            <w:tcW w:w="9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9"/>
        </w:trPr>
        <w:tc>
          <w:tcPr>
            <w:tcW w:w="820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9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7"/>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r>
    </w:tbl>
    <w:p>
      <w:pPr>
        <w:spacing w:after="0" w:line="1" w:lineRule="exact"/>
        <w:rPr>
          <w:sz w:val="20"/>
          <w:szCs w:val="20"/>
          <w:color w:val="auto"/>
        </w:rPr>
      </w:pPr>
    </w:p>
    <w:p>
      <w:pPr>
        <w:sectPr>
          <w:pgSz w:w="11900" w:h="16838" w:orient="portrait"/>
          <w:cols w:equalWidth="0" w:num="1">
            <w:col w:w="11240"/>
          </w:cols>
          <w:pgMar w:left="320" w:top="1089" w:right="339" w:bottom="1440" w:gutter="0" w:footer="0" w:header="0"/>
        </w:sectPr>
      </w:pPr>
    </w:p>
    <w:p>
      <w:pPr>
        <w:ind w:left="6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Cash and cash equivalents -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-118110</wp:posOffset>
            </wp:positionV>
            <wp:extent cx="709803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Cash and cash equivalents -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(6,983)</w:t>
            </w:r>
          </w:p>
        </w:tc>
      </w:tr>
      <w:tr>
        <w:trPr>
          <w:trHeight w:val="231"/>
        </w:trPr>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95,004</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183,237</w:t>
            </w:r>
          </w:p>
        </w:tc>
      </w:tr>
      <w:tr>
        <w:trPr>
          <w:trHeight w:val="226"/>
        </w:trPr>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101,499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176,254</w:t>
            </w:r>
          </w:p>
        </w:tc>
      </w:tr>
      <w:tr>
        <w:trPr>
          <w:trHeight w:val="24"/>
        </w:trPr>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520" w:space="720"/>
            <w:col w:w="3000"/>
          </w:cols>
          <w:pgMar w:left="320" w:top="1089" w:right="339" w:bottom="1440" w:gutter="0" w:footer="0" w:header="0"/>
          <w:type w:val="continuous"/>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other cash flow information:</w:t>
            </w:r>
          </w:p>
        </w:tc>
        <w:tc>
          <w:tcPr>
            <w:tcW w:w="1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6"/>
        </w:trPr>
        <w:tc>
          <w:tcPr>
            <w:tcW w:w="72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Cash paid for income taxes, net</w:t>
            </w:r>
          </w:p>
        </w:tc>
        <w:tc>
          <w:tcPr>
            <w:tcW w:w="162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7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r>
      <w:tr>
        <w:trPr>
          <w:trHeight w:val="23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16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2"/>
        </w:trPr>
        <w:tc>
          <w:tcPr>
            <w:tcW w:w="72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Purchase of property and equipment and intangible assets recorded in accounts payable</w:t>
            </w:r>
          </w:p>
        </w:tc>
        <w:tc>
          <w:tcPr>
            <w:tcW w:w="162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7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w:t>
            </w:r>
          </w:p>
        </w:tc>
      </w:tr>
    </w:tbl>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8" w:name="page9"/>
    <w:bookmarkEnd w:id="8"/>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LivePerson, Inc. (the “Company”) is a leader in digital customer conversation. Since 1998, LivePerson has enabled meaningful connections between consumers and its customers through digital and artificial intelligence (“AI”)-powered conversations. Our customers’ existing investments in Generative AI and Large Language Models (“LLMs”) are fully compatible with LivePerson’s enterprise-class digital customer conversation platform (the “Conversational Cloud”).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Conversational Cloud powers conversations across each of a brand’s primary digital channels, including mobile apps, mobile and desktop web browsers, short messaging service, social media and third-party consumer messaging platforms. Brands can also use the Conversational Cloud to connect conversations across voice and digital channels to give customers additional options and ensure their interactions with brands are integrated no matter where they choose to reach out.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Conversational Cloud enables what the Company calls “the tango” of humans, LivePerson bots, third-party bots and LLMs, in which humans oversee and are assisted by AI and can seamlessly step into conversations as needed. Agents utilize the AI engine (including generative AI capabilities) to surface relevant content, define next-best actions and automate repetitive transactional work so that the agent can focus on relationship building. By integrating customer engagement channels, LivePerson’s proprietary AI, and third-party bots and AI, the Conversational Cloud offers brands a comprehensive approach to scaling automations across customer conversations.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2026, the Company commercially launched Syntrix, a proprietary simulation and evaluation platform designed to provide predictability and safety in conversational AI. Utilizing the Company’s conversational data sets, Syntrix allows enterprise brands to test, evaluate, and validate AI behavior in a controlled environment prior to deployment. A core capability of the platform is the Conversation Simulator, which identifies AI performance issues and validates human agent readiness at scale. Syntrix is designed with architectural flexibility to be sold as an integrated component of the Conversational Cloud or as a standalone evaluation and simulation solution for brands utilizing third-party AI ecosystems.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October 2025, the Company effected a 1-for-15 reverse stock split (the “Reverse Stock Split”) of its issued common stock. As a result, every 15 shares of its issued common stock were combined into one share of common stock. No fractional shares of the Company’s common stock were issued as a result of the Reverse Stock Split. Each stockholder who would otherwise have been entitled to receive a fractional share as a result of the Reverse Stock Split received a cash payment equal to the product obtained by multiplying the number of shares of common stock held by such stockholder before the Reverse Stock Split that would otherwise have been exchanged for such fractional share interest by the closing price per share of the common stock as reported on The Nasdaq Global Select Market on October 10, 2025. As a result of the Reverse Stock Split, proportionate adjustments were made to the per share exercise price and the number of shares issuable upon the exercise of, or notional shares underlying, all outstanding warrants to purchase shares of the Company’s common stock. In addition, the number of authorized shares of common stock was proportionately reduced. Proportionate adjustments were also made to (i) the number of shares of common stock available for issuance under the Company’s equity plans, (ii) the number of shares underlying, and the exercise prices of, outstanding equity awards, as applicable, that have been previously granted under such equity plans or other arrangements, (iii) the number of shares or notional shares underlying, and the exercise prices of, the Company’s outstanding warrants, (iv) the number of shares or notional shares underlying, and the conversion prices of, the Company’s outstanding convertible notes and (v) the number of rights outstanding pursuant to the Company’s Tax Benefits Preservation Plan, in each case in accordance with their respective terms. The Reverse Stock Split did not affect the par value of the common stock or the number of shares of preferred stock that the Company is authorized to issue under its certificate of incorporation. These notes to the condensed consolidated financial statements and the accompanying condensed consolidated financial statements give retroactive effect to the Reverse Stock Split for all periods presented.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and the financial data and other information disclosed in the notes to the condensed consolidated financial statements as of March 31, 2026 and for the three months ended March 31, 2026 are unaudited. In the opinion of management, the unaudited condensed consolidated financial statements reflect all adjustments, which include only normal recurring adjustments necessary for a fair presentation of the Company’s condensed consolidated financial position, results of operations, comprehensive loss, and cash flows for the interim periods presented. The results of operations for any interim period are not necessarily indicative of the results of operations for any other future interim period or for a full fiscal year. The condensed consolidated balance sheet as of December 31, 2025 has been derived from audited consolidated financial statements at that date.</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9" w:name="page10"/>
    <w:bookmarkEnd w:id="9"/>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information and note disclosures included in the Company’s audited financial statements prepared in accordance with accounting principles generally accepted in the United States (“GAAP”) have been condensed or omitted as they are not required for interim financial statements pursuant to GAAP and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2025 included in the Company’s Annual Report on Form 10-K filed with the SEC on March 16,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reflect the operations of LivePerson and its wholly-owned subsidiaries. All intercompany balances and transactions have been eliminated in consolidation.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These estimates are based on information available as of the date of the condensed consolidated financial statements. On a regular basis, management evaluates these estimates and assumptions.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Items subject to such estimates and assumptions include, but are not limited to:</w:t>
      </w:r>
    </w:p>
    <w:p>
      <w:pPr>
        <w:spacing w:after="0" w:line="117" w:lineRule="exact"/>
        <w:rPr>
          <w:sz w:val="20"/>
          <w:szCs w:val="20"/>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benefit for deferred contract acquisition costs;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goodwill;</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useful lives of long-lived assets;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the cash-settled and share-settled warrants (together, “Warrants”);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features embedded in the 2029 Notes (as defined below);</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and</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measurement, and disclosure of contingent liabilities.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date of issuance of the financial statements, the Company is not aware of any material specific events or circumstances that would require it to update its estimates, judgments, or to revise the carrying values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the Company’s Annual Report on Form 10-K for the year ended December 31, 2025. There have been no significant changes to these policies that have had a material impact on the Company’s condensed consolidated financial statements and related notes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 w:name="page11"/>
    <w:bookmarkEnd w:id="10"/>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97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 of prepaid expenses and other current assets as of the dates presented: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50"/>
        </w:trPr>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8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0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software maintenance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VAT receivable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prepaid expenses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248"/>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non-cancelable operating leases for its corporate offices and other service agreements. As of March 31, 2026, the Company’s lease assets and liabilities were not material, with a remaining lease term of less than one year, with an option to extend. The Company uses the non-cancelable lease term when recognizing the right-of-use (“ROU”) assets and lease liabilities, unless it is reasonably certain that a renewal or termination option will be exercised. The Company’s operating lease costs were $1.9 million and $2.4 million for the three months ended March 31, 2026 and 2025, respectively. The weighted average discount rate for leases was 7% for the three months ended March 31, 2026 and 2025. Future minimum lease payments under non-cancelable leases are not material for the next twelve months.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3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July 2025, the Financial Accounting Standards Board (“FASB”) issued Accounting Standards Update (“ASU”) 2025-05, </w:t>
      </w:r>
      <w:r>
        <w:rPr>
          <w:rFonts w:ascii="Times New Roman" w:cs="Times New Roman" w:eastAsia="Times New Roman" w:hAnsi="Times New Roman"/>
          <w:sz w:val="18"/>
          <w:szCs w:val="18"/>
          <w:i w:val="1"/>
          <w:iCs w:val="1"/>
          <w:color w:val="auto"/>
        </w:rPr>
        <w:t>Financial Instruments</w:t>
      </w:r>
    </w:p>
    <w:p>
      <w:pPr>
        <w:spacing w:after="0" w:line="29" w:lineRule="exact"/>
        <w:rPr>
          <w:sz w:val="20"/>
          <w:szCs w:val="20"/>
          <w:color w:val="auto"/>
        </w:rPr>
      </w:pPr>
    </w:p>
    <w:p>
      <w:pPr>
        <w:jc w:val="both"/>
        <w:ind w:firstLine="8"/>
        <w:spacing w:after="0" w:line="252" w:lineRule="auto"/>
        <w:tabs>
          <w:tab w:leader="none" w:pos="131"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Credit Losses (Topic 326): Measurement of Credit Losses for Accounts Receivable and Contract Assets</w:t>
      </w:r>
      <w:r>
        <w:rPr>
          <w:rFonts w:ascii="Times New Roman" w:cs="Times New Roman" w:eastAsia="Times New Roman" w:hAnsi="Times New Roman"/>
          <w:sz w:val="18"/>
          <w:szCs w:val="18"/>
          <w:color w:val="auto"/>
        </w:rPr>
        <w:t>, which provides all entities with a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expedient when estimating expected credit losses for current accounts receivable and current contract assets arising from certain transactions. In developing reasonable and supportable forecasts as part of estimating expected credit losses, all entities may elect a practical expedient that assumes that current conditions as of the balance sheet date do not change for the remaining life of the asset. The guidance was effective for annual periods beginning after December 15, 2025. The Company elected to adopt the practical expedient, which did not have a material impact on the Company’s condensed consolidated financial statements or related disclosures.</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Debt Instruments</w:t>
      </w:r>
      <w:r>
        <w:rPr>
          <w:rFonts w:ascii="Times New Roman" w:cs="Times New Roman" w:eastAsia="Times New Roman" w:hAnsi="Times New Roman"/>
          <w:sz w:val="18"/>
          <w:szCs w:val="18"/>
          <w:color w:val="auto"/>
        </w:rPr>
        <w:t>, which seeks to clarify the requirements for determining whether certain settlements of convertible debt instruments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accounted for as an induced conversion. The amendments in this update were effective for annual periods beginning after December 15, 2025. Adoption of the guidance, which the Company elected to apply prospectively, did not have a material impact on the Company’s condensed consolidated financial statements or related disclosures.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which seeks to make incremental improvements to GAAP on a broad range of topics arising from technical corrections, unintended application of guidance, clarifications and other minor improvements. The guidance is effective for interim reporting periods within annual reporting periods beginning after December 15, 2026, with early adoption permitted, and can be applied on an issue-by-issue basis, prospectively or retrospectively. The Company is currently evaluating the potential impact of adopting this new guidance on its consolidated financial statements and related disclosures.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 Narrow-Scope Improvements</w:t>
      </w:r>
      <w:r>
        <w:rPr>
          <w:rFonts w:ascii="Times New Roman" w:cs="Times New Roman" w:eastAsia="Times New Roman" w:hAnsi="Times New Roman"/>
          <w:sz w:val="18"/>
          <w:szCs w:val="18"/>
          <w:color w:val="auto"/>
        </w:rPr>
        <w:t xml:space="preserve"> which improves the navigability of the required interim disclosures and clarifies when that guidance is applicable. The guidance is effective for interim reporting periods within annual reporting periods beginning after December 15, 2027, with early adoption permitted, and can be applied prospectively or retrospectively. The Company is currently evaluating the potential impact of adopting this new guidance on its consolidated financial statements and related disclosures.</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1" w:name="page12"/>
    <w:bookmarkEnd w:id="11"/>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which removes all references to project stages related to internal-use software development.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The guidance is effective for annual periods beginning after December 15, 2027, with early adoption permitted. The Company is currently evaluating the potential impact of adopting this new guidance on its consolidated financial statements and related disclosures.</w:t>
      </w:r>
    </w:p>
    <w:p>
      <w:pPr>
        <w:spacing w:after="0" w:line="20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which seeks to expand disclosures about a public entity’s expenses, including more detailed information about the types of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purchases of inventory, employee compensation, depreciation, amortization, and depletion) in commonly presented expense captions (such as cost of sales, sales and marketing, general and administrative, and research and development). The amendments in this update are effective for annual periods beginning after December 15, 2026, and interim periods beginning after December 15, 2027. Early adoption is permitted for both interim and annual financial statements that have not yet been issued or made available for issuance. ASU 2024-03 should be applied retrospectively. The Company is currently evaluating the potential impact of adopting this new guidance on its consolidated financial statements and related disclosures.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revenue is generated from hosted service revenues, including platform access, usage and related professional services. Revenues are recognized when control of these services is transferred to the Company’s customers, in an amount that reflects the consideration the Company expects to be entitled to in exchange for those services. No single customer accounted for 10% or more of total revenue for the three months ended March 31, 2026 and 2025.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117" w:lineRule="exact"/>
        <w:rPr>
          <w:sz w:val="20"/>
          <w:szCs w:val="20"/>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ectPr>
          <w:pgSz w:w="11900" w:h="16838" w:orient="portrait"/>
          <w:cols w:equalWidth="0" w:num="1">
            <w:col w:w="11240"/>
          </w:cols>
          <w:pgMar w:left="320" w:top="171" w:right="339" w:bottom="1440" w:gutter="0" w:footer="0" w:header="0"/>
        </w:sectPr>
      </w:pP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presents the Company’s revenues disaggregated by revenue 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Hosted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revenue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9"/>
        </w:trPr>
        <w:tc>
          <w:tcPr>
            <w:tcW w:w="340" w:type="dxa"/>
            <w:vAlign w:val="bottom"/>
          </w:tcPr>
          <w:p>
            <w:pPr>
              <w:spacing w:after="0"/>
              <w:rPr>
                <w:sz w:val="22"/>
                <w:szCs w:val="22"/>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000" w:type="dxa"/>
            <w:vAlign w:val="bottom"/>
          </w:tcPr>
          <w:p>
            <w:pPr>
              <w:spacing w:after="0"/>
              <w:rPr>
                <w:sz w:val="22"/>
                <w:szCs w:val="22"/>
                <w:color w:val="auto"/>
              </w:rPr>
            </w:pPr>
          </w:p>
        </w:tc>
      </w:tr>
      <w:tr>
        <w:trPr>
          <w:trHeight w:val="229"/>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49,361</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55,134</w:t>
            </w:r>
          </w:p>
        </w:tc>
      </w:tr>
      <w:tr>
        <w:trPr>
          <w:trHeight w:val="234"/>
        </w:trPr>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9,566</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56,956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32" w:lineRule="exact"/>
        <w:rPr>
          <w:sz w:val="20"/>
          <w:szCs w:val="20"/>
          <w:color w:val="auto"/>
        </w:rPr>
      </w:pPr>
    </w:p>
    <w:p>
      <w:pPr>
        <w:sectPr>
          <w:pgSz w:w="11900" w:h="16838" w:orient="portrait"/>
          <w:cols w:equalWidth="0" w:num="2">
            <w:col w:w="7360" w:space="720"/>
            <w:col w:w="3160"/>
          </w:cols>
          <w:pgMar w:left="320" w:top="171" w:right="339" w:bottom="1440" w:gutter="0" w:footer="0" w:header="0"/>
          <w:type w:val="continuous"/>
        </w:sectPr>
      </w:pP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the aggregate amount of the transaction price allocated to remaining performance obligations was $161.7 million. Approximately 97% of the Company’s remaining performance obligations are expected to be recognized during the next 24 months, with the balance recognized thereafter. The disclosed amount represents contracted revenue that has not yet been recognized and does not include contract amounts that are cancelable by the customer, amounts associated with optional renewal periods, and amounts related to performance obligations that are billed and recognized as performed.</w:t>
      </w:r>
    </w:p>
    <w:p>
      <w:pPr>
        <w:sectPr>
          <w:pgSz w:w="11900" w:h="16838" w:orient="portrait"/>
          <w:cols w:equalWidth="0" w:num="1">
            <w:col w:w="11240"/>
          </w:cols>
          <w:pgMar w:left="320" w:top="171" w:right="3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2" w:name="page13"/>
    <w:bookmarkEnd w:id="12"/>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 Judgment is required to determine the SSP for each distinct performance obligation. The Company determines SSP based on observable prices at which the performance obligations are sold separately. When not directly observable, SSP is estimated using an adjusted market assessment approach, which considers market conditions and other entity-specific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Geographic Location</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domiciled in the United States and has international operations around the globe. The following table presents the Company’s revenues attributable to operations by region for the periods presented: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8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331"/>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8"/>
        </w:trPr>
        <w:tc>
          <w:tcPr>
            <w:tcW w:w="79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57"/>
        </w:trPr>
        <w:tc>
          <w:tcPr>
            <w:tcW w:w="7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22"/>
                <w:szCs w:val="22"/>
                <w:color w:val="auto"/>
              </w:rPr>
            </w:pPr>
          </w:p>
        </w:tc>
      </w:tr>
      <w:tr>
        <w:trPr>
          <w:trHeight w:val="237"/>
        </w:trPr>
        <w:tc>
          <w:tcPr>
            <w:tcW w:w="798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29,970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41,552</w:t>
            </w:r>
          </w:p>
        </w:tc>
      </w:tr>
      <w:tr>
        <w:trPr>
          <w:trHeight w:val="230"/>
        </w:trPr>
        <w:tc>
          <w:tcPr>
            <w:tcW w:w="7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EMEA </w:t>
            </w:r>
            <w:r>
              <w:rPr>
                <w:rFonts w:ascii="Times New Roman" w:cs="Times New Roman" w:eastAsia="Times New Roman" w:hAnsi="Times New Roman"/>
                <w:sz w:val="23"/>
                <w:szCs w:val="23"/>
                <w:color w:val="auto"/>
                <w:vertAlign w:val="superscript"/>
              </w:rPr>
              <w:t>(2)</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17,493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14,186</w:t>
            </w:r>
          </w:p>
        </w:tc>
      </w:tr>
      <w:tr>
        <w:trPr>
          <w:trHeight w:val="230"/>
        </w:trPr>
        <w:tc>
          <w:tcPr>
            <w:tcW w:w="7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APAC </w:t>
            </w:r>
            <w:r>
              <w:rPr>
                <w:rFonts w:ascii="Times New Roman" w:cs="Times New Roman" w:eastAsia="Times New Roman" w:hAnsi="Times New Roman"/>
                <w:sz w:val="23"/>
                <w:szCs w:val="23"/>
                <w:color w:val="auto"/>
                <w:vertAlign w:val="superscript"/>
              </w:rPr>
              <w:t>(3)</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r>
      <w:tr>
        <w:trPr>
          <w:trHeight w:val="223"/>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56,956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64,700</w:t>
            </w:r>
          </w:p>
        </w:tc>
      </w:tr>
      <w:tr>
        <w:trPr>
          <w:trHeight w:val="20"/>
        </w:trPr>
        <w:tc>
          <w:tcPr>
            <w:tcW w:w="7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States, Canada, Latin America and South America (“Americas”)</w:t>
      </w:r>
    </w:p>
    <w:p>
      <w:pPr>
        <w:spacing w:after="0" w:line="52"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Europe, the Middle East and Africa (“EMEA”)</w:t>
      </w:r>
    </w:p>
    <w:p>
      <w:pPr>
        <w:spacing w:after="0" w:line="68" w:lineRule="exact"/>
        <w:rPr>
          <w:rFonts w:ascii="Times New Roman" w:cs="Times New Roman" w:eastAsia="Times New Roman" w:hAnsi="Times New Roman"/>
          <w:sz w:val="13"/>
          <w:szCs w:val="13"/>
          <w:color w:val="auto"/>
        </w:rPr>
      </w:pPr>
    </w:p>
    <w:p>
      <w:pPr>
        <w:ind w:left="340" w:hanging="332"/>
        <w:spacing w:after="0"/>
        <w:tabs>
          <w:tab w:leader="none" w:pos="3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Asia-Pacific (“APAC”)</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about Contract Balances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defers all incremental commission costs incurred to obtain the contract. These contract acquisition costs, which are comprised of sales commissions, have balances at March 31, 2026 and December 31, 2025 of $20.9 million and $24.0 million, respectively. The Company amortizes these costs over the related period of benefit using the customer expected life that the Company determined to be four years, which is consistent with the transfer to the customer of the services to which the asset relates. Commissions earned for renewal contracts are amortized over the contractual term of the renewals. The Company classifies contract acquisition costs as long-term.</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deferred revenue balance consists of services, which have been invoiced upfront, and are recognized as revenue only when the revenue recognition criteria are met.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some arrangements, the Company allows customers to pay for access to the Conversational Cloud over the term of the software subscription. Amounts recognized as revenue in excess of amounts billed are recorded as unbilled receivables. Unbilled receivables, anticipated to be invoiced in the next twelve months, are included in Accounts receivable, net of allowances for credit losses on the condensed consolidated balance sheets.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revenue of $28.7 million and $27.9 million for the three months ended March 31, 2026 and 2025, respectively, which was included in the corresponding deferred revenue balance at the beginning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3" w:name="page14"/>
    <w:bookmarkEnd w:id="13"/>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Company’s long-term deferred revenues are included in Other liabilities on the condensed consolidated balance sheets. The opening and closing balances of the Company’s contract acquisition costs, net, and deferred revenues are as follows:</w:t>
      </w: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16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Contract Acquisition</w:t>
            </w:r>
          </w:p>
        </w:tc>
        <w:tc>
          <w:tcPr>
            <w:tcW w:w="120" w:type="dxa"/>
            <w:vAlign w:val="bottom"/>
          </w:tcPr>
          <w:p>
            <w:pPr>
              <w:spacing w:after="0"/>
              <w:rPr>
                <w:sz w:val="16"/>
                <w:szCs w:val="16"/>
                <w:color w:val="auto"/>
              </w:rPr>
            </w:pPr>
          </w:p>
        </w:tc>
        <w:tc>
          <w:tcPr>
            <w:tcW w:w="15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Deferred Revenue</w:t>
            </w:r>
          </w:p>
        </w:tc>
        <w:tc>
          <w:tcPr>
            <w:tcW w:w="120" w:type="dxa"/>
            <w:vAlign w:val="bottom"/>
          </w:tcPr>
          <w:p>
            <w:pPr>
              <w:spacing w:after="0"/>
              <w:rPr>
                <w:sz w:val="16"/>
                <w:szCs w:val="16"/>
                <w:color w:val="auto"/>
              </w:rPr>
            </w:pPr>
          </w:p>
        </w:tc>
        <w:tc>
          <w:tcPr>
            <w:tcW w:w="1460" w:type="dxa"/>
            <w:vAlign w:val="bottom"/>
            <w:vMerge w:val="restart"/>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w w:val="99"/>
              </w:rPr>
              <w:t>Deferred Revenue</w:t>
            </w:r>
          </w:p>
        </w:tc>
        <w:tc>
          <w:tcPr>
            <w:tcW w:w="0" w:type="dxa"/>
            <w:vAlign w:val="bottom"/>
          </w:tcPr>
          <w:p>
            <w:pPr>
              <w:spacing w:after="0"/>
              <w:rPr>
                <w:sz w:val="1"/>
                <w:szCs w:val="1"/>
                <w:color w:val="auto"/>
              </w:rPr>
            </w:pPr>
          </w:p>
        </w:tc>
      </w:tr>
      <w:tr>
        <w:trPr>
          <w:trHeight w:val="162"/>
        </w:trPr>
        <w:tc>
          <w:tcPr>
            <w:tcW w:w="6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Costs, Net</w:t>
            </w:r>
          </w:p>
        </w:tc>
        <w:tc>
          <w:tcPr>
            <w:tcW w:w="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(Non-current)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8"/>
              </w:rPr>
              <w:t>(Current)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(Non-current)</w:t>
            </w:r>
          </w:p>
        </w:tc>
        <w:tc>
          <w:tcPr>
            <w:tcW w:w="0" w:type="dxa"/>
            <w:vAlign w:val="bottom"/>
          </w:tcPr>
          <w:p>
            <w:pPr>
              <w:spacing w:after="0"/>
              <w:rPr>
                <w:sz w:val="1"/>
                <w:szCs w:val="1"/>
                <w:color w:val="auto"/>
              </w:rPr>
            </w:pPr>
          </w:p>
        </w:tc>
      </w:tr>
      <w:tr>
        <w:trPr>
          <w:trHeight w:val="258"/>
        </w:trPr>
        <w:tc>
          <w:tcPr>
            <w:tcW w:w="6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00" w:type="dxa"/>
            <w:vAlign w:val="bottom"/>
            <w:shd w:val="clear" w:color="auto" w:fill="CFEDFD"/>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EDFD"/>
          </w:tcPr>
          <w:p>
            <w:pPr>
              <w:ind w:left="800"/>
              <w:spacing w:after="0"/>
              <w:rPr>
                <w:sz w:val="20"/>
                <w:szCs w:val="20"/>
                <w:color w:val="auto"/>
              </w:rPr>
            </w:pPr>
            <w:r>
              <w:rPr>
                <w:rFonts w:ascii="Times New Roman" w:cs="Times New Roman" w:eastAsia="Times New Roman" w:hAnsi="Times New Roman"/>
                <w:sz w:val="18"/>
                <w:szCs w:val="18"/>
                <w:color w:val="auto"/>
              </w:rPr>
              <w:t>33,559</w:t>
            </w:r>
          </w:p>
        </w:tc>
        <w:tc>
          <w:tcPr>
            <w:tcW w:w="120" w:type="dxa"/>
            <w:vAlign w:val="bottom"/>
            <w:shd w:val="clear" w:color="auto" w:fill="CFEDFD"/>
          </w:tcPr>
          <w:p>
            <w:pPr>
              <w:spacing w:after="0"/>
              <w:rPr>
                <w:sz w:val="20"/>
                <w:szCs w:val="20"/>
                <w:color w:val="auto"/>
              </w:rPr>
            </w:pPr>
          </w:p>
        </w:tc>
        <w:tc>
          <w:tcPr>
            <w:tcW w:w="120" w:type="dxa"/>
            <w:vAlign w:val="bottom"/>
            <w:shd w:val="clear" w:color="auto" w:fill="CFEDF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EDFD"/>
          </w:tcPr>
          <w:p>
            <w:pPr>
              <w:jc w:val="right"/>
              <w:spacing w:after="0"/>
              <w:rPr>
                <w:sz w:val="20"/>
                <w:szCs w:val="20"/>
                <w:color w:val="auto"/>
              </w:rPr>
            </w:pPr>
            <w:r>
              <w:rPr>
                <w:rFonts w:ascii="Times New Roman" w:cs="Times New Roman" w:eastAsia="Times New Roman" w:hAnsi="Times New Roman"/>
                <w:sz w:val="18"/>
                <w:szCs w:val="18"/>
                <w:color w:val="auto"/>
              </w:rPr>
              <w:t>57,980</w:t>
            </w:r>
          </w:p>
        </w:tc>
        <w:tc>
          <w:tcPr>
            <w:tcW w:w="100" w:type="dxa"/>
            <w:vAlign w:val="bottom"/>
            <w:shd w:val="clear" w:color="auto" w:fill="CFEDFD"/>
          </w:tcPr>
          <w:p>
            <w:pPr>
              <w:spacing w:after="0"/>
              <w:rPr>
                <w:sz w:val="20"/>
                <w:szCs w:val="20"/>
                <w:color w:val="auto"/>
              </w:rPr>
            </w:pPr>
          </w:p>
        </w:tc>
        <w:tc>
          <w:tcPr>
            <w:tcW w:w="120" w:type="dxa"/>
            <w:vAlign w:val="bottom"/>
            <w:shd w:val="clear" w:color="auto" w:fill="CFEDF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EDFD"/>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9"/>
        </w:trPr>
        <w:tc>
          <w:tcPr>
            <w:tcW w:w="6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Decrease net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(9,608)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23,951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6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(Decrease) increase, net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8"/>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20,856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changes in deferred revenue during both periods presented were primarily driven by changes in customer renewal patterns and contract structures, including the timing of renewals and shifts in service commitments. Amortization expense in connection with contract acquisition cost was $4.1 million and $4.3 million for the three months ended March 31, 2026 and 2025, respectively, and was included in sales and marketing expense in the condensed consolidated statements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do not bear interest. The allowance for credit losses is the Company’s best estimate of the amount of expected credit losses in the Company’s existing accounts receivable, based on both specific and general reserves. The Company maintains general reserves on a collective basis by considering factors such as historical experience, creditworthiness, the age of the trade receivable balances, and current economic conditions. Account balances are charged off against the allowance after all means of collection have been exhausted and the potential for recovery is considered remote. The Company does not have any off-balance sheet credit exposure related to its customers. The activity in the allowance for credit losses as of the dates presented is as follows: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6"/>
        </w:trPr>
        <w:tc>
          <w:tcPr>
            <w:tcW w:w="7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60" w:type="dxa"/>
            <w:vAlign w:val="bottom"/>
            <w:gridSpan w:val="4"/>
          </w:tcPr>
          <w:p>
            <w:pPr>
              <w:jc w:val="right"/>
              <w:ind w:right="99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20" w:type="dxa"/>
            <w:vAlign w:val="bottom"/>
            <w:shd w:val="clear" w:color="auto" w:fill="CCEEFF"/>
          </w:tcPr>
          <w:p>
            <w:pPr>
              <w:spacing w:after="0"/>
              <w:rPr>
                <w:sz w:val="19"/>
                <w:szCs w:val="19"/>
                <w:color w:val="auto"/>
              </w:rPr>
            </w:pPr>
          </w:p>
        </w:tc>
        <w:tc>
          <w:tcPr>
            <w:tcW w:w="160" w:type="dxa"/>
            <w:vAlign w:val="bottom"/>
            <w:shd w:val="clear" w:color="auto" w:fill="CFEDF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EDFD"/>
          </w:tcPr>
          <w:p>
            <w:pPr>
              <w:jc w:val="right"/>
              <w:spacing w:after="0"/>
              <w:rPr>
                <w:sz w:val="20"/>
                <w:szCs w:val="20"/>
                <w:color w:val="auto"/>
              </w:rPr>
            </w:pPr>
            <w:r>
              <w:rPr>
                <w:rFonts w:ascii="Times New Roman" w:cs="Times New Roman" w:eastAsia="Times New Roman" w:hAnsi="Times New Roman"/>
                <w:sz w:val="18"/>
                <w:szCs w:val="18"/>
                <w:color w:val="auto"/>
              </w:rPr>
              <w:t>8,627</w:t>
            </w:r>
          </w:p>
        </w:tc>
      </w:tr>
      <w:tr>
        <w:trPr>
          <w:trHeight w:val="230"/>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29"/>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Deductions/write-offs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242424"/>
            </w:tcBorders>
            <w:shd w:val="clear" w:color="auto" w:fill="CFEDFD"/>
          </w:tcPr>
          <w:p>
            <w:pPr>
              <w:spacing w:after="0"/>
              <w:rPr>
                <w:sz w:val="19"/>
                <w:szCs w:val="19"/>
                <w:color w:val="auto"/>
              </w:rPr>
            </w:pPr>
          </w:p>
        </w:tc>
        <w:tc>
          <w:tcPr>
            <w:tcW w:w="1380" w:type="dxa"/>
            <w:vAlign w:val="bottom"/>
            <w:tcBorders>
              <w:bottom w:val="single" w:sz="8" w:color="242424"/>
            </w:tcBorders>
            <w:shd w:val="clear" w:color="auto" w:fill="CFEDFD"/>
          </w:tcPr>
          <w:p>
            <w:pPr>
              <w:jc w:val="right"/>
              <w:spacing w:after="0"/>
              <w:rPr>
                <w:sz w:val="20"/>
                <w:szCs w:val="20"/>
                <w:color w:val="auto"/>
              </w:rPr>
            </w:pPr>
            <w:r>
              <w:rPr>
                <w:rFonts w:ascii="Times New Roman" w:cs="Times New Roman" w:eastAsia="Times New Roman" w:hAnsi="Times New Roman"/>
                <w:sz w:val="18"/>
                <w:szCs w:val="18"/>
                <w:color w:val="auto"/>
              </w:rPr>
              <w:t>(5,042)</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20" w:type="dxa"/>
            <w:vAlign w:val="bottom"/>
          </w:tcPr>
          <w:p>
            <w:pPr>
              <w:spacing w:after="0"/>
              <w:rPr>
                <w:sz w:val="19"/>
                <w:szCs w:val="19"/>
                <w:color w:val="auto"/>
              </w:rPr>
            </w:pPr>
          </w:p>
        </w:tc>
        <w:tc>
          <w:tcPr>
            <w:tcW w:w="160" w:type="dxa"/>
            <w:vAlign w:val="bottom"/>
            <w:tcBorders>
              <w:bottom w:val="single" w:sz="8" w:color="242424"/>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242424"/>
            </w:tcBorders>
          </w:tcPr>
          <w:p>
            <w:pPr>
              <w:jc w:val="right"/>
              <w:spacing w:after="0"/>
              <w:rPr>
                <w:sz w:val="20"/>
                <w:szCs w:val="20"/>
                <w:color w:val="auto"/>
              </w:rPr>
            </w:pPr>
            <w:r>
              <w:rPr>
                <w:rFonts w:ascii="Times New Roman" w:cs="Times New Roman" w:eastAsia="Times New Roman" w:hAnsi="Times New Roman"/>
                <w:sz w:val="18"/>
                <w:szCs w:val="18"/>
                <w:color w:val="auto"/>
              </w:rPr>
              <w:t>4,451</w:t>
            </w:r>
          </w:p>
        </w:tc>
      </w:tr>
      <w:tr>
        <w:trPr>
          <w:trHeight w:val="21"/>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242424"/>
            </w:tcBorders>
          </w:tcPr>
          <w:p>
            <w:pPr>
              <w:spacing w:after="0" w:line="20" w:lineRule="exact"/>
              <w:rPr>
                <w:sz w:val="1"/>
                <w:szCs w:val="1"/>
                <w:color w:val="auto"/>
              </w:rPr>
            </w:pPr>
          </w:p>
        </w:tc>
        <w:tc>
          <w:tcPr>
            <w:tcW w:w="1380" w:type="dxa"/>
            <w:vAlign w:val="bottom"/>
            <w:tcBorders>
              <w:bottom w:val="single" w:sz="8" w:color="242424"/>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4" w:name="page15"/>
    <w:bookmarkEnd w:id="14"/>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Net Loss Per Share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shares of common stock outstanding during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34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Diluted net loss per share is computed by giving effect to all potentially dilutive common stock equivalents outstanding for the period. For the periods in the table below where the impact was dilutive, the numerator is decreased to reverse the gain on change in fair value of share-settled warrants, and the denominator is increased to include the number of shares issuable upon the potential exercise of warrants. For purposes of the calculations below, stock options, restricted stock units, and the 0% Convertible Senior Notes due 2026 (the “2026 Notes”) are considered to be common stock equivalents but are excluded from the calculation of diluted net loss per share when including them has an anti-dilutive effect.</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share-settled warrants and cash-settled warrants are not participating securities. The share-settled warrants are excluded from the calculation of diluted EPS for the three months ended March 31, 2026, as their effect would have been anti-dilutive because the exercise prices were greater than the average market price of the common shares for that period. The cash-settled warrants are not included in the calculation of diluted EPS due to the cash-settlement requirement.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uses the treasury stock method for stock options, restricted stock units, and share-settled warrants, and uses the if-converted method for convertible debt. See Note 8 – </w:t>
      </w:r>
      <w:r>
        <w:rPr>
          <w:rFonts w:ascii="Times New Roman" w:cs="Times New Roman" w:eastAsia="Times New Roman" w:hAnsi="Times New Roman"/>
          <w:sz w:val="18"/>
          <w:szCs w:val="18"/>
          <w:i w:val="1"/>
          <w:iCs w:val="1"/>
          <w:color w:val="auto"/>
        </w:rPr>
        <w:t>Senior Notes, Capped Call Transactions and Warrants</w:t>
      </w:r>
      <w:r>
        <w:rPr>
          <w:rFonts w:ascii="Times New Roman" w:cs="Times New Roman" w:eastAsia="Times New Roman" w:hAnsi="Times New Roman"/>
          <w:sz w:val="18"/>
          <w:szCs w:val="18"/>
          <w:color w:val="auto"/>
        </w:rPr>
        <w:t xml:space="preserve"> for additional information about the 2026 Notes, First Lien Convertible Senior Notes due 2029 (“2029 Notes”), and Second Lien Senior Subordinated Secured Notes due 2029 (the “Second Lien Notes,” and together with the 2026 Notes and the 2029 Notes, the “Notes”).</w:t>
      </w:r>
    </w:p>
    <w:p>
      <w:pPr>
        <w:spacing w:after="0" w:line="3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shares used in calculating basic and diluted net loss per share for the three months ended March 31, 2026 and 2025,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8"/>
        </w:trPr>
        <w:tc>
          <w:tcPr>
            <w:tcW w:w="8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57"/>
        </w:trPr>
        <w:tc>
          <w:tcPr>
            <w:tcW w:w="8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40" w:type="dxa"/>
            <w:vAlign w:val="bottom"/>
            <w:gridSpan w:val="4"/>
          </w:tcPr>
          <w:p>
            <w:pPr>
              <w:jc w:val="right"/>
              <w:ind w:right="31"/>
              <w:spacing w:after="0"/>
              <w:rPr>
                <w:sz w:val="20"/>
                <w:szCs w:val="20"/>
                <w:color w:val="auto"/>
              </w:rPr>
            </w:pPr>
            <w:r>
              <w:rPr>
                <w:rFonts w:ascii="Times New Roman" w:cs="Times New Roman" w:eastAsia="Times New Roman" w:hAnsi="Times New Roman"/>
                <w:sz w:val="17"/>
                <w:szCs w:val="17"/>
                <w:color w:val="auto"/>
              </w:rPr>
              <w:t>(In thousands, except per share amounts)</w:t>
            </w: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available to shareholders for basic net loss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change in fair value of share-settled warrants</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available to shareholders for diluted net loss per share</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(22,957)</w:t>
            </w:r>
          </w:p>
        </w:tc>
      </w:tr>
      <w:tr>
        <w:trPr>
          <w:trHeight w:val="270"/>
        </w:trPr>
        <w:tc>
          <w:tcPr>
            <w:tcW w:w="8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used to compute basic net loss per share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12,060,769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6,104,729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potential exercise of warrants</w:t>
            </w: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248,934</w:t>
            </w: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used to compute diluted net loss per share</w:t>
            </w: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12,060,769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6,353,663</w:t>
            </w:r>
          </w:p>
        </w:tc>
      </w:tr>
      <w:tr>
        <w:trPr>
          <w:trHeight w:val="270"/>
        </w:trPr>
        <w:tc>
          <w:tcPr>
            <w:tcW w:w="8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5" w:name="page16"/>
    <w:bookmarkEnd w:id="15"/>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securities listed below were excluded from the computation of diluted net loss per share for all periods presented, as their effect would have been anti-dilutive:</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240" w:type="dxa"/>
            <w:vAlign w:val="bottom"/>
          </w:tcPr>
          <w:p>
            <w:pPr>
              <w:spacing w:after="0"/>
              <w:rPr>
                <w:sz w:val="20"/>
                <w:szCs w:val="20"/>
                <w:color w:val="auto"/>
              </w:rPr>
            </w:pPr>
          </w:p>
        </w:tc>
        <w:tc>
          <w:tcPr>
            <w:tcW w:w="20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7"/>
                <w:szCs w:val="17"/>
                <w:b w:val="1"/>
                <w:bCs w:val="1"/>
                <w:color w:val="auto"/>
                <w:w w:val="99"/>
              </w:rPr>
              <w:t>As of March 31,</w:t>
            </w:r>
          </w:p>
        </w:tc>
        <w:tc>
          <w:tcPr>
            <w:tcW w:w="880" w:type="dxa"/>
            <w:vAlign w:val="bottom"/>
            <w:tcBorders>
              <w:bottom w:val="single" w:sz="8" w:color="auto"/>
            </w:tcBorders>
          </w:tcPr>
          <w:p>
            <w:pPr>
              <w:spacing w:after="0"/>
              <w:rPr>
                <w:sz w:val="20"/>
                <w:szCs w:val="20"/>
                <w:color w:val="auto"/>
              </w:rPr>
            </w:pPr>
          </w:p>
        </w:tc>
      </w:tr>
      <w:tr>
        <w:trPr>
          <w:trHeight w:val="228"/>
        </w:trPr>
        <w:tc>
          <w:tcPr>
            <w:tcW w:w="82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7"/>
                <w:szCs w:val="17"/>
                <w:b w:val="1"/>
                <w:bCs w:val="1"/>
                <w:color w:val="auto"/>
                <w:w w:val="93"/>
              </w:rPr>
              <w:t>2025</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common stock options and employee stock purchase plan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209,762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174,484</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784,151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720,180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Share-settled warrants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1,020,390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320,106</w:t>
            </w:r>
          </w:p>
        </w:tc>
      </w:tr>
      <w:tr>
        <w:trPr>
          <w:trHeight w:val="248"/>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2,032,138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1,214,770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Segment Information</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its segment information in accordance with the provisions of Accounting Standards Codification (“ASC”) 280-10,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ASC 280-10 establishes annual and interim reporting standards for operating segments of a company. ASC 280-10 requires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selected segment-related financial information about products, major customers, and geographic areas based on the Company’s internal accounting methods. The chief operating decision maker (“CODM”), who is the Company’s Chief Executive Officer, evaluates performance, makes operating decisions, and allocates resources based on the financial information presented on a consolidated basis using net loss. Expenses are reviewed by the nature of the cost (Cost of revenue, Sales and marketing, General and administrative and Product development), consistent with the Company’s presentation on its condensed consolidated statements of operations. There are no segment managers who are held accountable by the CODM, or anyone else, for operations, operating results and planning for levels or components below the consolidated unit level. Accordingly, management has determined that the Company operates as one operating and reportable segment. The Company identifies net loss as its required measure of segment operating profit or loss. Significant expenses within loss from operations, as well as within net loss are separately presented on the Company’s condensed consolidated statements of operations. Other segment items within net loss include Interest expense, Interest income, Other income, net, and Provision for (benefit from) income taxes.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long-lived assets by geographic region as of the dates set forth below:</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19"/>
                <w:szCs w:val="19"/>
                <w:color w:val="auto"/>
              </w:rPr>
            </w:pP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8"/>
        </w:trPr>
        <w:tc>
          <w:tcPr>
            <w:tcW w:w="8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7"/>
                <w:szCs w:val="17"/>
                <w:b w:val="1"/>
                <w:bCs w:val="1"/>
                <w:color w:val="auto"/>
              </w:rPr>
              <w:t>2026</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62"/>
        </w:trPr>
        <w:tc>
          <w:tcPr>
            <w:tcW w:w="8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40" w:type="dxa"/>
            <w:vAlign w:val="bottom"/>
            <w:gridSpan w:val="4"/>
          </w:tcPr>
          <w:p>
            <w:pPr>
              <w:jc w:val="right"/>
              <w:ind w:right="1011"/>
              <w:spacing w:after="0"/>
              <w:rPr>
                <w:sz w:val="20"/>
                <w:szCs w:val="20"/>
                <w:color w:val="auto"/>
              </w:rPr>
            </w:pPr>
            <w:r>
              <w:rPr>
                <w:rFonts w:ascii="Times New Roman" w:cs="Times New Roman" w:eastAsia="Times New Roman" w:hAnsi="Times New Roman"/>
                <w:sz w:val="17"/>
                <w:szCs w:val="17"/>
                <w:color w:val="auto"/>
              </w:rPr>
              <w:t>(In thousands)</w:t>
            </w:r>
          </w:p>
        </w:tc>
      </w:tr>
      <w:tr>
        <w:trPr>
          <w:trHeight w:val="23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262,390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266,695</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26,147</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r>
      <w:tr>
        <w:trPr>
          <w:trHeight w:val="230"/>
        </w:trPr>
        <w:tc>
          <w:tcPr>
            <w:tcW w:w="8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w:t>
            </w:r>
          </w:p>
        </w:tc>
      </w:tr>
      <w:tr>
        <w:trPr>
          <w:trHeight w:val="223"/>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long-lived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311,637</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317,549</w:t>
            </w:r>
          </w:p>
        </w:tc>
      </w:tr>
      <w:tr>
        <w:trPr>
          <w:trHeight w:val="20"/>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Israel, United Kingdom, Japan, France, Italy, Spain, Canada, and Singapore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6" w:name="page17"/>
    <w:bookmarkEnd w:id="16"/>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 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aggregate purchase price over the fair value of net identifiable assets acquired in a business combination. The Company evaluates goodwill for impairment on an annual basis, and more frequently whenever events or substantive changes in circumstances indicate that it is more likely than not that the carrying value of a reporting unit exceeds its fair value. Assumptions used in an impairment test require significant judgment, therefore, they are subject to change based on facts and circumstances present at each date goodwill is evaluated for impairment. There were no impairments of goodwill during the three months ended March 31, 2026 and 2025.</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in future periods, the financial performance of the reporting unit does not meet expectations, or a prolonged decline occurs in the market place of our common stock, it may cause a material change in the results of the impairment assessment and result in future impairment to goodwill.</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three months ended March 31, 2026 are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7"/>
                <w:szCs w:val="17"/>
                <w:b w:val="1"/>
                <w:bCs w:val="1"/>
                <w:color w:val="auto"/>
              </w:rPr>
              <w:t>Goodwill, net</w:t>
            </w:r>
          </w:p>
        </w:tc>
      </w:tr>
      <w:tr>
        <w:trPr>
          <w:trHeight w:val="303"/>
        </w:trPr>
        <w:tc>
          <w:tcPr>
            <w:tcW w:w="9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jc w:val="right"/>
              <w:ind w:right="352"/>
              <w:spacing w:after="0"/>
              <w:rPr>
                <w:sz w:val="20"/>
                <w:szCs w:val="20"/>
                <w:color w:val="auto"/>
              </w:rPr>
            </w:pPr>
            <w:r>
              <w:rPr>
                <w:rFonts w:ascii="Times New Roman" w:cs="Times New Roman" w:eastAsia="Times New Roman" w:hAnsi="Times New Roman"/>
                <w:sz w:val="17"/>
                <w:szCs w:val="17"/>
                <w:color w:val="auto"/>
              </w:rPr>
              <w:t>(In thousands)</w:t>
            </w:r>
          </w:p>
        </w:tc>
      </w:tr>
      <w:tr>
        <w:trPr>
          <w:trHeight w:val="237"/>
        </w:trPr>
        <w:tc>
          <w:tcPr>
            <w:tcW w:w="940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Balance as of December 31, 2025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184,902</w:t>
            </w:r>
          </w:p>
        </w:tc>
      </w:tr>
      <w:tr>
        <w:trPr>
          <w:trHeight w:val="229"/>
        </w:trPr>
        <w:tc>
          <w:tcPr>
            <w:tcW w:w="9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exchange adjustment</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48"/>
        </w:trPr>
        <w:tc>
          <w:tcPr>
            <w:tcW w:w="94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Balance as of March 31, 2026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184,540</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As of March 31, 2026 and December 31, 2025, accumulated impairment losses totaled $114.0 million.</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 - Patents</w:t>
      </w:r>
    </w:p>
    <w:p>
      <w:pPr>
        <w:spacing w:after="0" w:line="121"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Legal costs incurred to establish patents are capitalized. When patents are issued, capitalized costs are amortized on the straight-line method over the related patent term. We review our patent portfolio on a periodic basis to determine whether events and circumstances would indicate impairment. In the event a patent is abandoned, the net book value of the patent is written off.</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intangible assets are as follows:</w:t>
            </w: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56"/>
        </w:trPr>
        <w:tc>
          <w:tcPr>
            <w:tcW w:w="7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24"/>
                <w:szCs w:val="24"/>
                <w:color w:val="auto"/>
              </w:rPr>
            </w:pPr>
          </w:p>
        </w:tc>
        <w:tc>
          <w:tcPr>
            <w:tcW w:w="14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4"/>
        </w:trPr>
        <w:tc>
          <w:tcPr>
            <w:tcW w:w="7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340" w:type="dxa"/>
            <w:vAlign w:val="bottom"/>
            <w:gridSpan w:val="4"/>
          </w:tcPr>
          <w:p>
            <w:pPr>
              <w:ind w:left="10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carrying amount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16,639</w:t>
            </w:r>
          </w:p>
        </w:tc>
      </w:tr>
      <w:tr>
        <w:trPr>
          <w:trHeight w:val="23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(3,230)</w:t>
            </w:r>
          </w:p>
        </w:tc>
      </w:tr>
      <w:tr>
        <w:trPr>
          <w:trHeight w:val="223"/>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carrying amount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13,502</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13,409</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4"/>
        </w:trPr>
        <w:tc>
          <w:tcPr>
            <w:tcW w:w="7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Weighted average amortization period</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years</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9"/>
              </w:rPr>
              <w:t>11.0 years</w:t>
            </w:r>
          </w:p>
        </w:tc>
      </w:tr>
    </w:tbl>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is recognized over the estimated useful life of the asset. Aggregate amortization expense for intangible assets was $0.2 million for the three months ended March 31, 2026 and March 31, 2025. There were no impairments of intangible assets during the three months ended March 31, 2026 and 2025.</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7" w:name="page18"/>
    <w:bookmarkEnd w:id="17"/>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estimated annual amortization expense for the next five years and thereafter is as follows: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9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132"/>
              <w:spacing w:after="0"/>
              <w:rPr>
                <w:sz w:val="20"/>
                <w:szCs w:val="20"/>
                <w:color w:val="auto"/>
              </w:rPr>
            </w:pPr>
            <w:r>
              <w:rPr>
                <w:rFonts w:ascii="Times New Roman" w:cs="Times New Roman" w:eastAsia="Times New Roman" w:hAnsi="Times New Roman"/>
                <w:sz w:val="17"/>
                <w:szCs w:val="17"/>
                <w:b w:val="1"/>
                <w:bCs w:val="1"/>
                <w:color w:val="auto"/>
              </w:rPr>
              <w:t>Estimated</w:t>
            </w:r>
          </w:p>
        </w:tc>
      </w:tr>
      <w:tr>
        <w:trPr>
          <w:trHeight w:val="174"/>
        </w:trPr>
        <w:tc>
          <w:tcPr>
            <w:tcW w:w="9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center"/>
              <w:ind w:right="132"/>
              <w:spacing w:after="0" w:line="174" w:lineRule="exact"/>
              <w:rPr>
                <w:sz w:val="20"/>
                <w:szCs w:val="20"/>
                <w:color w:val="auto"/>
              </w:rPr>
            </w:pPr>
            <w:r>
              <w:rPr>
                <w:rFonts w:ascii="Times New Roman" w:cs="Times New Roman" w:eastAsia="Times New Roman" w:hAnsi="Times New Roman"/>
                <w:sz w:val="17"/>
                <w:szCs w:val="17"/>
                <w:b w:val="1"/>
                <w:bCs w:val="1"/>
                <w:color w:val="auto"/>
              </w:rPr>
              <w:t>Amortization</w:t>
            </w:r>
          </w:p>
        </w:tc>
      </w:tr>
      <w:tr>
        <w:trPr>
          <w:trHeight w:val="228"/>
        </w:trPr>
        <w:tc>
          <w:tcPr>
            <w:tcW w:w="9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7"/>
                <w:szCs w:val="17"/>
                <w:b w:val="1"/>
                <w:bCs w:val="1"/>
                <w:color w:val="auto"/>
                <w:w w:val="99"/>
              </w:rPr>
              <w:t>Expense</w:t>
            </w:r>
          </w:p>
        </w:tc>
      </w:tr>
      <w:tr>
        <w:trPr>
          <w:trHeight w:val="221"/>
        </w:trPr>
        <w:tc>
          <w:tcPr>
            <w:tcW w:w="9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right="132"/>
              <w:spacing w:after="0"/>
              <w:rPr>
                <w:sz w:val="20"/>
                <w:szCs w:val="20"/>
                <w:color w:val="auto"/>
              </w:rPr>
            </w:pPr>
            <w:r>
              <w:rPr>
                <w:rFonts w:ascii="Times New Roman" w:cs="Times New Roman" w:eastAsia="Times New Roman" w:hAnsi="Times New Roman"/>
                <w:sz w:val="17"/>
                <w:szCs w:val="17"/>
                <w:color w:val="auto"/>
              </w:rPr>
              <w:t>(In thousands)</w:t>
            </w:r>
          </w:p>
        </w:tc>
      </w:tr>
      <w:tr>
        <w:trPr>
          <w:trHeight w:val="23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10,618</w:t>
            </w:r>
          </w:p>
        </w:tc>
      </w:tr>
      <w:tr>
        <w:trPr>
          <w:trHeight w:val="248"/>
        </w:trPr>
        <w:tc>
          <w:tcPr>
            <w:tcW w:w="9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13,502</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Depreciation and amortization is calculated using the straight-line method over the estimated useful lives of the related assets. Leasehold improvements are amortized using the straight-line method over the shorter of the lease term or the estimated useful life of the asset. The Company reviews the estimated useful lives of its property and equipment on an annual basis. The following table presents the detail of property and equipment, net as of the dates presented: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3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Useful life</w:t>
            </w:r>
          </w:p>
        </w:tc>
        <w:tc>
          <w:tcPr>
            <w:tcW w:w="20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60" w:type="dxa"/>
            <w:vAlign w:val="bottom"/>
          </w:tcPr>
          <w:p>
            <w:pPr>
              <w:spacing w:after="0"/>
              <w:rPr>
                <w:sz w:val="16"/>
                <w:szCs w:val="16"/>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8"/>
        </w:trPr>
        <w:tc>
          <w:tcPr>
            <w:tcW w:w="4460" w:type="dxa"/>
            <w:vAlign w:val="bottom"/>
          </w:tcPr>
          <w:p>
            <w:pPr>
              <w:spacing w:after="0"/>
              <w:rPr>
                <w:sz w:val="19"/>
                <w:szCs w:val="19"/>
                <w:color w:val="auto"/>
              </w:rPr>
            </w:pPr>
          </w:p>
        </w:tc>
        <w:tc>
          <w:tcPr>
            <w:tcW w:w="38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51"/>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21"/>
        </w:trPr>
        <w:tc>
          <w:tcPr>
            <w:tcW w:w="446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 years)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720" w:type="dxa"/>
            <w:vAlign w:val="bottom"/>
            <w:tcBorders>
              <w:top w:val="single" w:sz="8" w:color="auto"/>
            </w:tcBorders>
            <w:gridSpan w:val="4"/>
          </w:tcPr>
          <w:p>
            <w:pPr>
              <w:jc w:val="right"/>
              <w:ind w:right="891"/>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3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3 to 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133,858</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 development costs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187,470</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equipment and building improvements</w:t>
            </w:r>
          </w:p>
        </w:tc>
        <w:tc>
          <w:tcPr>
            <w:tcW w:w="3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The lesser of 5 or estimated useful life</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3"/>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321,661</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(231,272)</w:t>
            </w:r>
          </w:p>
        </w:tc>
        <w:tc>
          <w:tcPr>
            <w:tcW w:w="0" w:type="dxa"/>
            <w:vAlign w:val="bottom"/>
          </w:tcPr>
          <w:p>
            <w:pPr>
              <w:spacing w:after="0"/>
              <w:rPr>
                <w:sz w:val="1"/>
                <w:szCs w:val="1"/>
                <w:color w:val="auto"/>
              </w:rPr>
            </w:pPr>
          </w:p>
        </w:tc>
      </w:tr>
      <w:tr>
        <w:trPr>
          <w:trHeight w:val="223"/>
        </w:trPr>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90,389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impairments of property and equipment during the three months ended March 31, 2026 and 2025.</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Expenditures for routine maintenance and repairs are charged to operating expense as incurred. Major renewals and improvements are capitalized and depreciated over their estimated useful lives. The following table presents total depreciation and amortization expense included in the condensed consolidated statements of operations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00" w:type="dxa"/>
            <w:vAlign w:val="bottom"/>
            <w:tcBorders>
              <w:bottom w:val="single" w:sz="8" w:color="auto"/>
            </w:tcBorders>
          </w:tcPr>
          <w:p>
            <w:pPr>
              <w:spacing w:after="0"/>
              <w:rPr>
                <w:sz w:val="20"/>
                <w:szCs w:val="20"/>
                <w:color w:val="auto"/>
              </w:rPr>
            </w:pPr>
          </w:p>
        </w:tc>
      </w:tr>
      <w:tr>
        <w:trPr>
          <w:trHeight w:val="223"/>
        </w:trPr>
        <w:tc>
          <w:tcPr>
            <w:tcW w:w="77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r>
      <w:tr>
        <w:trPr>
          <w:trHeight w:val="223"/>
        </w:trPr>
        <w:tc>
          <w:tcPr>
            <w:tcW w:w="7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8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(In thousands)</w:t>
            </w:r>
          </w:p>
        </w:tc>
        <w:tc>
          <w:tcPr>
            <w:tcW w:w="500" w:type="dxa"/>
            <w:vAlign w:val="bottom"/>
          </w:tcPr>
          <w:p>
            <w:pPr>
              <w:spacing w:after="0"/>
              <w:rPr>
                <w:sz w:val="19"/>
                <w:szCs w:val="19"/>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1,538</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3,375</w:t>
            </w:r>
          </w:p>
        </w:tc>
      </w:tr>
      <w:tr>
        <w:trPr>
          <w:trHeight w:val="248"/>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5,818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8" w:name="page19"/>
    <w:bookmarkEnd w:id="18"/>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detail of accrued expenses and other current liabilities as of the dates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8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2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color w:val="auto"/>
              </w:rPr>
              <w:t>(In thousands)</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 and consulting and other vendor fees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17,404</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other employee-related costs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liability (Note 9)</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(Note 12)</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commissions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w:t>
            </w:r>
          </w:p>
        </w:tc>
      </w:tr>
      <w:tr>
        <w:trPr>
          <w:trHeight w:val="223"/>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48,105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38,700</w:t>
            </w:r>
          </w:p>
        </w:tc>
      </w:tr>
      <w:tr>
        <w:trPr>
          <w:trHeight w:val="21"/>
        </w:trPr>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Senior Notes, Capped Call Transactions and Warrants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 due 2026 and Capped Calls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2020, the Company issued $517.5 million aggregate principal amount of its 2026 Notes in a private placement, of which $20.1 million aggregate principal amount was outstanding as of March 31, 2026. The 2026 Notes are senior unsecured obligations of the Company. The 2026 Notes will mature on December 15, 2026, unless earlier repurchased or redeemed by the Company or converted pursuant to their terms. The total net proceeds from the offering of the 2026 Notes, after deducting debt issuance costs, was approximately $505.3 million.</w:t>
      </w:r>
    </w:p>
    <w:p>
      <w:pPr>
        <w:spacing w:after="0" w:line="20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Each $1,000 in principal amount of the 2026 Notes is convertible into 0.8862 shares of the Company’s common stock, which is equivalent to a conversion price of $1,128.39 per share. The conversion rate is subject to adjustment upon the occurrence of certain specified events but will not be</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for any accrued and unpaid special interest. 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The indenture governing the 2026 Notes contains events of default customary for convertible notes issued in connection with similar transactions. If the Company undergoes a “Fundamental Change” (as defined in the indenture governing the 2026 Notes) which includes a change of control or the failure of the Company’s common stock to be listed or quoted on any of The Nasdaq Global Select Market, The Nasdaq Global Market or the New York Stock Exchange, holders may require the Company to repurchase for cash all or any portion of their 2026 Notes in principal amounts of $1,000 or a multiple thereof at a Fundamental Change repurchase price equal to 100% of the principal amount of the 2026 Notes to be repurchased, plus accrued and unpaid special interest to, but excluding, the Fundamental Change repurchase date. The Company determined that as of March 31, 2026, the likelihood of the Fundamental Change provision being triggered is remote.</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“2026 Notes measurement period”) in which the “trading price” (as defined in the indenture governing the 2026 Notes) per $1,000 principal amount of 2026 Notes for each trading day of the 2026 Notes measurement period was less than 98% of the product of the last reported sale price of the Company’s common stock and the conversion rate for the 2026 Notes on each such trading day; (3) with respect to any 2026 Notes that the Company calls for redemption, at any time prior to the close of business on the scheduled trading day immediately preceding the redemption date; or (4) upon the occurrence of specified corporate events. On or after August 15, 2026, holders may convert all or any portion of their 2026 Notes at any time</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9" w:name="page20"/>
    <w:bookmarkEnd w:id="19"/>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2026, the conditions allowing holders of the 2026 Notes to convert were not met.</w:t>
      </w:r>
    </w:p>
    <w:p>
      <w:pPr>
        <w:spacing w:after="0" w:line="2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offering of the 2026 Notes, the Company entered into privately-negotiated capped call option transactions with certain counterparties (the “2026 capped calls”). The 2026 capped calls each have a strike price of $1,128.39 per share, subject to certain adjustments, which corresponds to the conversion price of the 2026 Notes. The 2026 capped calls have cap prices of $1,583.70 per share, subject to certain adjustment events. The 2026 capped calls cover, subject to anti-dilution adjustments, approximately 0.11 million shares of common stock. The 2026 capped calls are generally intended to reduce or offset the potential dilution to the common stock upon any conversion of the 2026 Notes with such reduction or offset, as the case may be, subject to a cap based on the cap price. The 2026 capped calls expire on December 15, 2026, subject to earlier exercise. The 2026 capped calls are subject to either adjustment or termination upon the occurrence of specified extraordinary events affecting the Company, including a merger event, a tender offer, and a nationalization, insolvency or delisting involving the Company. In addition, the 2026 capped calls are subject to certain specified additional disruption events that may give rise to a termination of the 2026 capped calls, including changes in law, failure to deliver, and hedging disruptions. The 2026 capped calls are recorded in stockholders’ deficit and are not accounted for as derivatives. The net cost of $46.1 million incurred to purchase the 2026 capped calls was recorded as a reduction to additional paid-in capital in the accompanying condensed consolidated balance sheets.</w:t>
      </w:r>
    </w:p>
    <w:p>
      <w:pPr>
        <w:spacing w:after="0" w:line="21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a privately negotiated exchange and purchase agreement (the “Exchange and Purchase Agreement”), on June 3, 2024, the Company exchanged $146.0 million principal amount of the 2026 Notes then held by an investor for $100.0 million principal amount of new 2029 Notes, and the same investor purchased an additional $50.0 million principal amount of the 2029 Notes for cash. In connection with the exchange and purchase, the Company also issued the Warrants to the investor, and the investor agreed to purchase up to $50.0 million of additional 2029 Notes upon the Company’s request and subject to certain conditions (the “Delayed Draw Notes”). A corresponding portion of capped calls were terminated following the exchange and purchase as required by their terms for minimal consideration.</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13, 2024, the Company repurchased $10.3 million principal amount of the 2026 Notes for $4.9 million in cash, and a corresponding portion of the 2026 capped calls were terminated following the repurchase as required by their terms for no consideration.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2025 Debt Exchange</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September 12, 2025 (the “Exchange Closing Date”), the Company consummated an exchange of the $341.1 million in aggregate principal amount of 2026 Notes held by certain former holders of the Company’s outstanding 2026 Notes (the “Noteholders”) for (i) an aggregate payment of $45.0 million in cash, (ii) $115.0 million in aggregate principal amount of the Company’s 10.0% Second Lien Senior Subordinated Secured Notes due 2029 (the “Second Lien Notes”), (iii) 3,555,596 shares of common stock and (iv) 26,551 shares of Series B Fixed Rate Convertible Perpetual Preferred Stock, par value $0.001 (the “Series B Preferred Stock”). On September 25, 2025, the Company issued an additional 143,192 shares of common stock to certain of the Noteholders, which shares were issued on a deferred basis due to a beneficial ownership limitation preventing such Noteholders from owning in excess of 9.90% of the outstanding common stock of the Company. In addition, a corresponding portion of the 2026 capped calls were terminated following the exchange as required by their terms for no consideration. This September 2025 Debt Exchange was accounted for as a Troubled Debt Restructuring (“TDR”) in accordance with ASC 470-60, </w:t>
      </w:r>
      <w:r>
        <w:rPr>
          <w:rFonts w:ascii="Times New Roman" w:cs="Times New Roman" w:eastAsia="Times New Roman" w:hAnsi="Times New Roman"/>
          <w:sz w:val="18"/>
          <w:szCs w:val="18"/>
          <w:i w:val="1"/>
          <w:iCs w:val="1"/>
          <w:color w:val="auto"/>
        </w:rPr>
        <w:t>Troubled Debt Restructuring by Debtors</w:t>
      </w:r>
      <w:r>
        <w:rPr>
          <w:rFonts w:ascii="Times New Roman" w:cs="Times New Roman" w:eastAsia="Times New Roman" w:hAnsi="Times New Roman"/>
          <w:sz w:val="18"/>
          <w:szCs w:val="18"/>
          <w:color w:val="auto"/>
        </w:rPr>
        <w:t>. The Company recognized a TDR gain of $27.7 million, which was presented as Gain on troubled debt restructuring in the consolidated statements of operations for the year ended December 31, 2025.</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the Exchange Closing Date, the principal amount of the exchanged 2026 Notes was $341.1 million with a discount of $1.7 million for a net carrying value of $339.4 million. The Company recognized the Second Lien Notes at a carrying value of $182.0 million. Under the TDR accounting treatment, the carrying value of the Second Lien Notes of $182.0 million was comprised of the total future undiscounted cash flows which included principal of $115.0 million, the maximum interest of $58.7 million as well as a redemption premium of $8.3 million. The redemption premium is related to the contingent redemption feature where the lenders can redeem the Second Lien Notes immediately prior to their maturity upon the occurrence of a Fundamental Change as defined in the indenture governing the Second Lien Notes at 105% of the principal plus</w:t>
      </w:r>
    </w:p>
    <w:p>
      <w:pPr>
        <w:spacing w:after="0" w:line="200" w:lineRule="exact"/>
        <w:rPr>
          <w:sz w:val="20"/>
          <w:szCs w:val="20"/>
          <w:color w:val="auto"/>
        </w:rPr>
      </w:pPr>
    </w:p>
    <w:p>
      <w:pPr>
        <w:spacing w:after="0" w:line="36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0" w:name="page21"/>
    <w:bookmarkEnd w:id="20"/>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accrued but unpaid interest as discussed further below. The Company assumes contingent future payments will have to be paid and those amounts shall be included in the total future cash payments. If, in future periods, the contingency is resolved so that a contingent payment does not have to be made, the Company will recognize a gain in the period when the contingency has been resolved. Subsequently, no interest expense on the Second Lien Notes will be recorded, as all future interest payments will reduce the carrying value of the restructured debt.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unexchanged 2026 Notes, due December 15, 2026, are classified as Current portion of long-term debt in the condensed consolidated balance sheets as of March 31, 2026. The aggregate principal amount of the unexchanged 2026 Notes was $20.1 million and the carrying amount of the unexchanged 2026 Notes was $20.0 million as of March 31, 2026. The remaining term over which the unexchanged 2026 Notes’ debt issuance costs will be amortized is 0.7 years at an effective interest rate of 0.40%.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Lien Senior Subordinated Secured Notes due 2029</w:t>
      </w:r>
    </w:p>
    <w:p>
      <w:pPr>
        <w:spacing w:after="0" w:line="24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On the Exchange Closing Date, the Company issued $115.0 million in aggregate principal amount of Second Lien Notes as part of the September 2025 Debt Exchange transaction. The Second Lien Notes accrue interest at a rate of 10.0% per annum. Prior to March 15, 2027, all of the interest on the Second Lien Notes is payable in-kind (“PIK”). On and after March 15, 2027 and until June 15, 2028, interest will be payable, at the Company’s option, in cash or in-kind or partially in cash and partially in-kind. On and after June 15, 2028, until the maturity of the Second Lien Notes, interest on the Second Lien Notes will be payable in cash, or at the Company’s option, up to 6.0% per annum in-kind. Unless earlier repurchased or redeemed by the Company, the Second Lien Notes will mature on December 15, 2029.</w:t>
      </w:r>
    </w:p>
    <w:p>
      <w:pPr>
        <w:spacing w:after="0" w:line="21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Company may, at its option, redeem the Second Lien Notes, in whole or in part, prior to September 12, 2026 at a price equal to the sum of (i) 105% of the accrued and unpaid interest (including cash and PIK components thereof), (ii) 105% of the aggregate principal amount of the Second Lien Notes (including, without duplication of any amounts described in item (i), all increases to the principal amount as the result of previous payments of PIK interest) and (iii) the present value of the remaining future interest payments (including cash and PIK components thereof) through September 12, 2026, computed using a discount rate of T + 50 (such amount, the “Make Whole Amount”). On or after September 12, 2026, and prior to September 12, 2027, the Company may, at its option, redeem the Second Lien Notes, in whole or in part for an amount of cash equal to the sum of (i) 105% of the aggregate principal amount of the Second Lien Notes (including all increases to the principal amount as the result of previous payments of PIK interest) plus (ii) 105% of all accrued and unpaid interest (including, without duplication of any amounts described in item (i), cash and PIK components thereof). On or after September 12, 2027, and prior to September 12, 2028, the Company may, at its option, redeem the Second Lien Notes, in whole or in part for an amount of cash equal to the sum of (i) 102.5% of the aggregate principal amount of the Second Lien Notes (including all increases to the principal amount as the result of previous payments of PIK interest) plus (ii) 102.5% of all accrued and unpaid interest (including, without duplication of any amounts described in item (i), cash and PIK components thereof). From September 12, 2028 until maturity, the Company may, at its option, redeem the Second Lien Notes, in whole or in part for an amount of cash equal to the sum of (i) 100% of the aggregate principal amount of the Second Lien Notes (including all increases to the principal amount as the result of previous payments of PIK interest) plus (ii) 100% of all accrued and unpaid interest (including, without duplication of any amounts described in item (i), cash and PIK components thereof). No sinking fund is provided for the Second Lien Notes.</w:t>
      </w:r>
    </w:p>
    <w:p>
      <w:pPr>
        <w:spacing w:after="0" w:line="21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The Second Lien Notes are guaranteed on a senior subordinated basis by certain of the Company’s direct and indirect domestic and foreign subsidiaries and secured by second lien priority security interests in substantially all of the assets of the Company and such subsidiary guarantors, subject to customary exceptions. Pursuant to an intercreditor agreement, the Second Lien Notes are subordinated in right of payment and to collateral, in each case, to</w:t>
      </w: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the 2029 Notes. The indenture governing the Second Lien Notes contains affirmative and negative covenants and events of default customary for senior secured notes issued in connection with similar transactions. The negative covenants include limitations on asset sales, the incurrence of debt, preferred stock and liens, fundamental changes, investments, dividends and other payment restrictions affecting subsidiaries, restricted payments and transactions with affiliates. Among other things, these covenants generally prohibit the payment of cash dividends on the Company’s common stock. </w:t>
      </w:r>
      <w:r>
        <w:rPr>
          <w:rFonts w:ascii="Times New Roman" w:cs="Times New Roman" w:eastAsia="Times New Roman" w:hAnsi="Times New Roman"/>
          <w:sz w:val="18"/>
          <w:szCs w:val="18"/>
          <w:color w:val="212529"/>
        </w:rPr>
        <w:t>Our failure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comply with these covenants could result in an event of default which, if not cured or waived, could result in the acceleration of the Second Lien Notes. In the event the Second Lien Notes are accelerated prior to September 12, 2028, the applicable acceleration premium set forth in the indenture governing the Second Lien Notes will become due. </w:t>
      </w:r>
      <w:r>
        <w:rPr>
          <w:rFonts w:ascii="Times New Roman" w:cs="Times New Roman" w:eastAsia="Times New Roman" w:hAnsi="Times New Roman"/>
          <w:sz w:val="18"/>
          <w:szCs w:val="18"/>
          <w:color w:val="000000"/>
        </w:rPr>
        <w:t>The indenture governing the Second Lien Notes permits the Company and its subsidiaries to incur, subject to certain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requirements, up to (i) $150.0 million of debt that is junior in lien priority and subordinated in right of payment to the Second Lien Notes, and (ii) up to $20.1 million as exchange consideration for, or the proceeds of which are used to repay, the remaining $20.1 million aggregate principal amount of 2026 Notes, which debt may be in the form of additional Second Lien Notes. No embedded derivatives were bifurcated from the Second Lien Notes as the September 2025 Debt Exchange was accounted for as a troubled debt restructuring and the Company recognized a gain in connection with the issuance of the Second Lien Notes.</w:t>
      </w:r>
    </w:p>
    <w:p>
      <w:pPr>
        <w:spacing w:after="0" w:line="200" w:lineRule="exact"/>
        <w:rPr>
          <w:sz w:val="20"/>
          <w:szCs w:val="20"/>
          <w:color w:val="auto"/>
        </w:rPr>
      </w:pPr>
    </w:p>
    <w:p>
      <w:pPr>
        <w:spacing w:after="0" w:line="36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1" w:name="page22"/>
    <w:bookmarkEnd w:id="21"/>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governing the Second Lien Notes, which includes a change of control or the failure of the Company’s common stock to be listed or quoted on any of The Nasdaq Global Select Market, The Nasdaq Global Market or the New York Stock Exchange, holders may require the Company to repurchase all or any portion of their Second Lien Notes at a repurchase price equal to (i) to the Make Whole Amount, if such Fundamental Change occurs prior to September 12, 2026, or (ii) the sum of (A) 105% of the aggregate principal amount of the Second Lien Notes (including all increases to the principal amount as the result of previous payments of PIK interest) plus (B) 105% of all accrued and unpaid interest, if such Fundamental Change occurs on or after September 12, 2026.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Stock</w:t>
      </w:r>
    </w:p>
    <w:p>
      <w:pPr>
        <w:spacing w:after="0" w:line="24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the Exchange Closing Date, the Company filed a Certificate of Designation with respect to the Series B Preferred Stock (the “Series B Certificate of Designation”) with the Secretary of State of the State of Delaware and issued to the Noteholders an aggregate 26,551 shares of Series B Preferred Stock. Each share of Series B Preferred Stock had an initial stated value (“Stated Value”) of $1,000 per share, subject to adjustment for (i) any splits, combinations, or similar adjustment and (ii) accrued unpaid dividends. The Series B Preferred Stock did not have a stated maturity and were not subject to mandatory redemption or any sinking fund, and would have remained outstanding indefinitely unless earlier converted, repurchased or redeemed.</w:t>
      </w:r>
    </w:p>
    <w:p>
      <w:pPr>
        <w:spacing w:after="0" w:line="19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October 2, 2025, the stockholders of the Company approved the Stock Increase Charter Amendment Proposal to increase the authorized common stock share capital of the Company from 13,333,333 shares to 20,000,000 shares. The Stock Increase Charter Amendment was filed with the Secretary of State of the State of Delaware on October 3, 2025. As a result, all of the outstanding shares of Series B Preferred Stock automatically converted pursuant to the terms of the Series B Certificate of Designation, and on October 7, 2025, an aggregate 1,547,840 shares of common stock were issued to holders of the Series B Preferred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Convertible Senior Notes due 2029</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2024, the Company issued $150.0 million aggregate principal amount of its 2029 Notes pursuant to the Exchange and Purchase Agreement including $100.0 million aggregate principal amount issued in exchange for $146.0 million aggregate principal amount of 2026 Notes and $50.0 million aggregate principal amount issued for cash. The Company paid third parties $7.6 million in connection with the transaction, which was capitalized as debt issuance costs. At the time of the exchange, the fair value of the 2029 Notes approximated $118.1 million, and the Company recognized a debt discount of $31.9 million.</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 million aggregate principal amount of its 2029 Notes, constituting the Delayed Draw Notes, for $50.0 million cash.</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earlier repurchased or redeemed by the Company or converted pursuant to their terms, the 2029 Notes will mature on the earlier of (a) June 15, 2029 and (b) 91 days before the maturity of the 2026 Notes, if greater than $60.0 million principal amount of 2026 Notes remains outstanding on such date. The amount payable by the Company if the 2029 Notes mature pursuant to clause (b) will be equal to 100% of the aggregate principal amount of the 2029 Notes, plus accrued and unpaid interest, plus the remaining future interest payments that would have been payable through June 15, 2029, discounted at a rate equal to the comparable treasury rate plus 50 basis points (the “Make-Whole Amount”).</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June 3, 2024, until the date of issuance of the Delayed Draw Notes, interest on the 2029 Notes accrued at a rate of 10.83% (consisting of 4.17% cash and 6.66% PIK) per annum. From the date of issuance of the Delayed Draw Notes and prior to December 15, 2026, interest on the 2029 Notes has increased and accrues at a rate of 11.375% (consisting of 4.375% cash and 7.00% PIK) per annum. On and after December 15, 2026, interest on the 2029 Notes will further increase and accrue at a rate of 13% (consisting of 5% cash and 8% PIK) per annum.</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may, at its option, redeem the 2029 Notes, in whole or in part, prior to June 15, 2025 at a price equal to the Make-Whole Amount. On or after June 15, 2025, and prior to June 15, 2026, the Company may, at its option, redeem the 2029 Notes, in whole or in part for an amount of cash equal to the sum of (i) 106.50% of the aggregate principal amount of the 2029 Notes (including all increases to the principal amount as the result of previous payments of PIK interest) plus (ii) 106.50% of all accrued and unpaid PIK interest plus (iii) all accrued and unpaid cash interest. On or after June 15, 2026, and prior to December 15, 2026, the Company may, at its option, redeem the 2029 Notes, in whole or in part for an amount of cash equal to the sum of (i) 103.25% of the aggregate principal amount of the 2029 Notes (including all increases to the principal amount as the result of previous payments of PIK interest) plus (ii) 103.25% of all accrued and unpaid PIK interest plus (iii) all accrued</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2" w:name="page23"/>
    <w:bookmarkEnd w:id="22"/>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unpaid cash interest. From December 15, 2026 until maturity, the Company may, at its option, redeem the 2029 Notes, in whole or in part for an amount of cash equal to the sum of (i) 113% of the aggregate principal amount of the 2029 Notes (including all increases to the principal amount as the result of previous payments of PIK interest) plus (ii) 113% of all accrued and unpaid PIK interest plus (iii) all accrued and unpaid cash interest. No sinking fund is provided for the 2029 Notes.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2029 Notes are guaranteed on a senior basis by certain of the Company’s direct and indirect domestic and foreign subsidiaries and secured by first priority security interests in substantially all of the assets of the Company and such subsidiary guarantors, subject to customary exceptions. The indenture governing the 2029 Notes contains affirmative and negative covenants and events of default customary for senior secured notes issued in connection with similar transactions. The negative covenants include limitations on asset sales, the incurrence of debt, preferred stock and liens, fundamental changes, investments, dividends and other payment restrictions affecting subsidiaries, restricted payments and transactions with affiliates. Among other things, these covenants generally prohibit the payment of cash dividends on the Company’s common stock. The Make-Whole Amount will be payable in the event of an acceleration of the 2029 Notes or repurchase triggered by certain asset sales. The indenture governing the 2029 Notes permits the Company and its subsidiaries to incur, subject to certain requirements, up to $150.0 million of debt that is junior in lien priority and subordinated in right of payment to the 2029 Notes. The indenture governing the 2029 Notes also includes a financial covenant that requires the Company at all times to maintain a minimum cash balance of $60.0 million (excluding proceeds of the 2029 Notes). Upon request of the investor, the indenture governing the 2029 Notes requires the Company to enter into a registration rights agreement with respect to the 2029 Notes containing customary terms including demand, shelf and piggyback registration rights. The Company was in compliance with its financial covenants as of March 31, 2026.</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governing the 2029 Notes), which includes a change of control or the failure of the Company’s common stock to be listed or quoted on any of The Nasdaq Global Select Market, The Nasdaq Global Market or the New York Stock Exchange, holders may require the Company to repurchase all or any portion of their 2029 Notes at a repurchase price equal to 100% of the aggregate principal amount of the 2029 Notes to be repurchased, plus accrued and unpaid interest, plus an amount equal to 66% of the remaining future interest payments (including PIK interest) that would have been payable through June 15, 2029, discounted at a rate equal to the comparable treasury rate plus 50 basis points. The likelihood of a Fundamental Change under the 2029 Notes occurring was remote unless and until the noteholders agreed to concessions (as they did to enable the pending sale of the business) because the amounts required to satisfy the contractual obligations in connection with a Fundamental Change materially exceeded the Company’s enterprise value.</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Holders of the 2029 Notes may convert their 2029 Notes at their option at any time prior to the close of business on the business day immediately preceding February 15, 2029 only under the following circumstances: (1) during any calendar quarter commencing after the calendar quarter ending on September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2029 Notes on each applicable trading day as determined by the Company;</w:t>
      </w:r>
    </w:p>
    <w:p>
      <w:pPr>
        <w:spacing w:after="0" w:line="3" w:lineRule="exact"/>
        <w:rPr>
          <w:sz w:val="20"/>
          <w:szCs w:val="20"/>
          <w:color w:val="auto"/>
        </w:rPr>
      </w:pPr>
    </w:p>
    <w:p>
      <w:pPr>
        <w:jc w:val="both"/>
        <w:ind w:firstLine="8"/>
        <w:spacing w:after="0" w:line="250" w:lineRule="auto"/>
        <w:tabs>
          <w:tab w:leader="none" w:pos="2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(the “2029 Notes measurement period”) in which the “trading price” (as defined in the indenture governing the 2029 Notes) per $1,000 principal amount of 2029 Notes for each trading day of the 2029 Notes measurement period was less than 98% of the product of the last reported sale price of the Company’s common stock and the product of (x) the quotient of (i) the “conversion amount” (as defined in the Indenture) in respect of $1,000 principal amount of the 2029 Notes on such trading day divided by (ii) 1,000 times</w:t>
      </w:r>
    </w:p>
    <w:p>
      <w:pPr>
        <w:spacing w:after="0" w:line="1"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conversion rate for the 2029 Notes on each such trading day; (3) with respect to any 2029 Notes that the Company calls for redemption, at any time prior to the close of business on the scheduled trading day immediately preceding the redemption date; (4) upon the occurrence of specified corporate events; or (5) during the period from August 17, 2026 through September 14, 2026, if the aggregate principal amount of 2026 Notes exceeds $60.0 million on August 16, 2026. On or after February 15, 2029, holders may convert all or any portion of their 2029 Notes at any time prior to the close of business on June 13, 2029, regardless of the foregoing circumstances. The 2029 Notes include certain embedded features requiring bifurcation, which did not have material values as of March 31, 2026 due to management’s estimates of the likelihood of triggering events, but that may have value in the future should those estimates change, with any change in fair value recorded in the Company’s condensed consolidated statements of operations.</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2029 Notes (including all accrued and unpaid interest) are convertible at the option of the holders at certain times into cash based on a daily conversion value calculated on a proportionate basis for each trading day in a 50 trading day observation period, corresponding to 0.8862 shares of the Company’s common stock per $1,000 principal amount of 2029 Notes. The Company is not required to deliver its common stock upon conversion under any circumstances. The conversion</w:t>
      </w:r>
    </w:p>
    <w:p>
      <w:pPr>
        <w:spacing w:after="0" w:line="200" w:lineRule="exact"/>
        <w:rPr>
          <w:sz w:val="20"/>
          <w:szCs w:val="20"/>
          <w:color w:val="auto"/>
        </w:rPr>
      </w:pPr>
    </w:p>
    <w:p>
      <w:pPr>
        <w:spacing w:after="0" w:line="35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3" w:name="page24"/>
    <w:bookmarkEnd w:id="23"/>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rate for the 2029 Notes is subject to adjustment if certain events occur and contains customary anti-dilution protections. During the three months ended March 31, 2026, the conditions allowing holders of the 2029 Notes to convert were not met.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2029 Notes, including the Delayed Draw Notes, are accounted for as a single liability, and the combined carrying amount is $191.8 million as of March 31, 2026, consisting of principal of $221.9 million, net of unamortized issuance costs of $5.8 million and debt discount of $24.3 million. The 2029 Notes were classified as long-term liabilities in the condensed consolidated balance sheets as of March 31, 2026. The remaining term over which the 2029 Notes’ debt issuance costs will be amortized is 3.2 years at an effective interest rate of 19.13% for the 2029 Notes and 13.28% for the Delayed Draw Notes as of March 31, 2026. The 2029 Notes and the Delayed Draw Notes had an effective interest rate of 19.13% and 13.28%, respectively, as of December 31, 2025.</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Unamortized debt issuance costs incurred in connection with securing the Company’s financing arrangements are presented in the condensed consolidated balance sheets as a direct deduction from the carrying amount of the outstanding borrowings, consistent with debt discounts. All deferred financing costs are amortized to interest expense. The net carrying amount of the liability component of the Notes as of March 31, 2026 and December 31, 2025 is as follows:</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w:t>
      </w:r>
    </w:p>
    <w:p>
      <w:pPr>
        <w:spacing w:after="0" w:line="50" w:lineRule="exact"/>
        <w:rPr>
          <w:sz w:val="20"/>
          <w:szCs w:val="20"/>
          <w:color w:val="auto"/>
        </w:rPr>
      </w:pPr>
    </w:p>
    <w:p>
      <w:pPr>
        <w:ind w:left="140" w:right="300"/>
        <w:spacing w:after="0" w:line="284" w:lineRule="auto"/>
        <w:rPr>
          <w:sz w:val="20"/>
          <w:szCs w:val="20"/>
          <w:color w:val="auto"/>
        </w:rPr>
      </w:pPr>
      <w:r>
        <w:rPr>
          <w:rFonts w:ascii="Times New Roman" w:cs="Times New Roman" w:eastAsia="Times New Roman" w:hAnsi="Times New Roman"/>
          <w:sz w:val="17"/>
          <w:szCs w:val="17"/>
          <w:color w:val="auto"/>
        </w:rPr>
        <w:t>Unamortized debt discount Unamortized issuance costs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net carrying value</w:t>
      </w:r>
    </w:p>
    <w:p>
      <w:pPr>
        <w:spacing w:after="0" w:line="31" w:lineRule="exact"/>
        <w:rPr>
          <w:sz w:val="20"/>
          <w:szCs w:val="20"/>
          <w:color w:val="auto"/>
        </w:rPr>
      </w:pPr>
    </w:p>
    <w:p>
      <w:pPr>
        <w:ind w:left="140" w:right="140"/>
        <w:spacing w:after="0" w:line="245" w:lineRule="auto"/>
        <w:rPr>
          <w:sz w:val="20"/>
          <w:szCs w:val="20"/>
          <w:color w:val="auto"/>
        </w:rPr>
      </w:pPr>
      <w:r>
        <w:rPr>
          <w:rFonts w:ascii="Times New Roman" w:cs="Times New Roman" w:eastAsia="Times New Roman" w:hAnsi="Times New Roman"/>
          <w:sz w:val="18"/>
          <w:szCs w:val="18"/>
          <w:color w:val="auto"/>
        </w:rPr>
        <w:t>Less: Current portion of long-term debt</w:t>
      </w:r>
    </w:p>
    <w:p>
      <w:pPr>
        <w:spacing w:after="0" w:line="1"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8"/>
          <w:szCs w:val="18"/>
          <w:color w:val="auto"/>
        </w:rPr>
        <w:t>Carrying value of long-term debt, net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March 31,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2026 Notes</w:t>
            </w: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2029 Notes</w:t>
            </w: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rPr>
              <w:t>Second</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80" w:type="dxa"/>
            <w:vAlign w:val="bottom"/>
            <w:gridSpan w:val="3"/>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rPr>
              <w:t>Lien Notes</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2"/>
                <w:szCs w:val="12"/>
                <w:b w:val="1"/>
                <w:bCs w:val="1"/>
                <w:color w:val="auto"/>
                <w:w w:val="85"/>
              </w:rPr>
              <w:t>(1)</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5"/>
          </w:tcPr>
          <w:p>
            <w:pPr>
              <w:ind w:left="420"/>
              <w:spacing w:after="0"/>
              <w:rPr>
                <w:sz w:val="20"/>
                <w:szCs w:val="20"/>
                <w:color w:val="auto"/>
              </w:rPr>
            </w:pPr>
            <w:r>
              <w:rPr>
                <w:rFonts w:ascii="Times New Roman" w:cs="Times New Roman" w:eastAsia="Times New Roman" w:hAnsi="Times New Roman"/>
                <w:sz w:val="17"/>
                <w:szCs w:val="17"/>
                <w:color w:val="auto"/>
              </w:rPr>
              <w:t>(In thousands)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181,952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423,954</w:t>
            </w:r>
          </w:p>
        </w:tc>
        <w:tc>
          <w:tcPr>
            <w:tcW w:w="0" w:type="dxa"/>
            <w:vAlign w:val="bottom"/>
          </w:tcPr>
          <w:p>
            <w:pPr>
              <w:spacing w:after="0"/>
              <w:rPr>
                <w:sz w:val="1"/>
                <w:szCs w:val="1"/>
                <w:color w:val="auto"/>
              </w:rPr>
            </w:pPr>
          </w:p>
        </w:tc>
      </w:tr>
      <w:tr>
        <w:trPr>
          <w:trHeight w:val="252"/>
        </w:trPr>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(24,296)</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228"/>
        </w:trPr>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191,771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181,952</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393,794</w:t>
            </w: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0" w:type="dxa"/>
            <w:vAlign w:val="bottom"/>
          </w:tcPr>
          <w:p>
            <w:pPr>
              <w:spacing w:after="0"/>
              <w:rPr>
                <w:sz w:val="1"/>
                <w:szCs w:val="1"/>
                <w:color w:val="auto"/>
              </w:rPr>
            </w:pPr>
          </w:p>
        </w:tc>
      </w:tr>
      <w:tr>
        <w:trPr>
          <w:trHeight w:val="95"/>
        </w:trPr>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191,771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181,952</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373,723</w:t>
            </w:r>
          </w:p>
        </w:tc>
        <w:tc>
          <w:tcPr>
            <w:tcW w:w="0" w:type="dxa"/>
            <w:vAlign w:val="bottom"/>
          </w:tcPr>
          <w:p>
            <w:pPr>
              <w:spacing w:after="0"/>
              <w:rPr>
                <w:sz w:val="1"/>
                <w:szCs w:val="1"/>
                <w:color w:val="auto"/>
              </w:rPr>
            </w:pPr>
          </w:p>
        </w:tc>
      </w:tr>
      <w:tr>
        <w:trPr>
          <w:trHeight w:val="81"/>
        </w:trPr>
        <w:tc>
          <w:tcPr>
            <w:tcW w:w="1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-1165225</wp:posOffset>
            </wp:positionV>
            <wp:extent cx="71151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-847725</wp:posOffset>
            </wp:positionV>
            <wp:extent cx="711517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-548005</wp:posOffset>
            </wp:positionV>
            <wp:extent cx="7115175" cy="266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27520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52090"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2026 Notes</w:t>
            </w:r>
          </w:p>
        </w:tc>
        <w:tc>
          <w:tcPr>
            <w:tcW w:w="120" w:type="dxa"/>
            <w:vAlign w:val="bottom"/>
          </w:tcPr>
          <w:p>
            <w:pPr>
              <w:spacing w:after="0"/>
              <w:rPr>
                <w:sz w:val="17"/>
                <w:szCs w:val="17"/>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2029 Notes</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Second Lien</w:t>
            </w:r>
          </w:p>
        </w:tc>
        <w:tc>
          <w:tcPr>
            <w:tcW w:w="220" w:type="dxa"/>
            <w:vAlign w:val="bottom"/>
          </w:tcPr>
          <w:p>
            <w:pPr>
              <w:spacing w:after="0"/>
              <w:rPr>
                <w:sz w:val="17"/>
                <w:szCs w:val="17"/>
                <w:color w:val="auto"/>
              </w:rPr>
            </w:pPr>
          </w:p>
        </w:tc>
        <w:tc>
          <w:tcPr>
            <w:tcW w:w="82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6"/>
        </w:trPr>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1"/>
              </w:rPr>
              <w:t xml:space="preserve">Notes </w:t>
            </w:r>
            <w:r>
              <w:rPr>
                <w:rFonts w:ascii="Times New Roman" w:cs="Times New Roman" w:eastAsia="Times New Roman" w:hAnsi="Times New Roman"/>
                <w:sz w:val="23"/>
                <w:szCs w:val="23"/>
                <w:b w:val="1"/>
                <w:bCs w:val="1"/>
                <w:color w:val="auto"/>
                <w:w w:val="91"/>
                <w:vertAlign w:val="superscript"/>
              </w:rPr>
              <w:t>(1)</w:t>
            </w: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tcPr>
          <w:p>
            <w:pPr>
              <w:ind w:left="50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221,877</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181,952</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423,954</w:t>
            </w: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(25,955)</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0" w:type="dxa"/>
            <w:vAlign w:val="bottom"/>
          </w:tcPr>
          <w:p>
            <w:pPr>
              <w:spacing w:after="0"/>
              <w:rPr>
                <w:sz w:val="1"/>
                <w:szCs w:val="1"/>
                <w:color w:val="auto"/>
              </w:rPr>
            </w:pPr>
          </w:p>
        </w:tc>
      </w:tr>
      <w:tr>
        <w:trPr>
          <w:trHeight w:val="228"/>
        </w:trPr>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20,052</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189,780</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181,952</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391,784</w:t>
            </w:r>
          </w:p>
        </w:tc>
        <w:tc>
          <w:tcPr>
            <w:tcW w:w="0" w:type="dxa"/>
            <w:vAlign w:val="bottom"/>
          </w:tcPr>
          <w:p>
            <w:pPr>
              <w:spacing w:after="0"/>
              <w:rPr>
                <w:sz w:val="1"/>
                <w:szCs w:val="1"/>
                <w:color w:val="auto"/>
              </w:rPr>
            </w:pPr>
          </w:p>
        </w:tc>
      </w:tr>
      <w:tr>
        <w:trPr>
          <w:trHeight w:val="319"/>
        </w:trPr>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(20,052)</w:t>
            </w:r>
          </w:p>
        </w:tc>
        <w:tc>
          <w:tcPr>
            <w:tcW w:w="0" w:type="dxa"/>
            <w:vAlign w:val="bottom"/>
          </w:tcPr>
          <w:p>
            <w:pPr>
              <w:spacing w:after="0"/>
              <w:rPr>
                <w:sz w:val="1"/>
                <w:szCs w:val="1"/>
                <w:color w:val="auto"/>
              </w:rPr>
            </w:pPr>
          </w:p>
        </w:tc>
      </w:tr>
      <w:tr>
        <w:trPr>
          <w:trHeight w:val="95"/>
        </w:trPr>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189,780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181,952</w:t>
            </w:r>
          </w:p>
        </w:tc>
        <w:tc>
          <w:tcPr>
            <w:tcW w:w="8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371,732</w:t>
            </w:r>
          </w:p>
        </w:tc>
        <w:tc>
          <w:tcPr>
            <w:tcW w:w="0" w:type="dxa"/>
            <w:vAlign w:val="bottom"/>
          </w:tcPr>
          <w:p>
            <w:pPr>
              <w:spacing w:after="0"/>
              <w:rPr>
                <w:sz w:val="1"/>
                <w:szCs w:val="1"/>
                <w:color w:val="auto"/>
              </w:rPr>
            </w:pPr>
          </w:p>
        </w:tc>
      </w:tr>
      <w:tr>
        <w:trPr>
          <w:trHeight w:val="81"/>
        </w:trPr>
        <w:tc>
          <w:tcPr>
            <w:tcW w:w="1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2440" w:space="140"/>
            <w:col w:w="4200" w:space="100"/>
            <w:col w:w="4360"/>
          </w:cols>
          <w:pgMar w:left="320" w:top="171" w:right="339" w:bottom="1440" w:gutter="0" w:footer="0" w:header="0"/>
          <w:type w:val="continuous"/>
        </w:sectPr>
      </w:pPr>
    </w:p>
    <w:p>
      <w:pPr>
        <w:spacing w:after="0" w:line="124" w:lineRule="exact"/>
        <w:rPr>
          <w:sz w:val="20"/>
          <w:szCs w:val="20"/>
          <w:color w:val="auto"/>
        </w:rPr>
      </w:pPr>
    </w:p>
    <w:p>
      <w:pPr>
        <w:ind w:right="20" w:firstLine="8"/>
        <w:spacing w:after="0" w:line="225" w:lineRule="auto"/>
        <w:tabs>
          <w:tab w:leader="none" w:pos="18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$115.0 million of outstanding principal amount of Second Lien Notes, plus the maximum interest of $58.7 million as well as a redemption premium of $8.3 million.</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Notes:</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10"/>
        </w:trPr>
        <w:tc>
          <w:tcPr>
            <w:tcW w:w="8080" w:type="dxa"/>
            <w:vAlign w:val="bottom"/>
          </w:tcPr>
          <w:p>
            <w:pPr>
              <w:spacing w:after="0"/>
              <w:rPr>
                <w:sz w:val="24"/>
                <w:szCs w:val="24"/>
                <w:color w:val="auto"/>
              </w:rPr>
            </w:pPr>
          </w:p>
        </w:tc>
        <w:tc>
          <w:tcPr>
            <w:tcW w:w="310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6"/>
        </w:trPr>
        <w:tc>
          <w:tcPr>
            <w:tcW w:w="8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1000" w:type="dxa"/>
            <w:vAlign w:val="bottom"/>
          </w:tcPr>
          <w:p>
            <w:pPr>
              <w:spacing w:after="0"/>
              <w:rPr>
                <w:sz w:val="22"/>
                <w:szCs w:val="22"/>
                <w:color w:val="auto"/>
              </w:rPr>
            </w:pPr>
          </w:p>
        </w:tc>
      </w:tr>
      <w:tr>
        <w:trPr>
          <w:trHeight w:val="237"/>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w:t>
            </w:r>
          </w:p>
        </w:tc>
      </w:tr>
      <w:tr>
        <w:trPr>
          <w:trHeight w:val="23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30"/>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23"/>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7,478</w:t>
            </w:r>
          </w:p>
        </w:tc>
      </w:tr>
      <w:tr>
        <w:trPr>
          <w:trHeight w:val="20"/>
        </w:trPr>
        <w:tc>
          <w:tcPr>
            <w:tcW w:w="8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3, 2024, pursuant to the Exchange and Purchase Agreement, the Company issued to the investor 10-year warrants with a strike price of $11.25 per share, exercisable for 649,782 shares of the Company’s common stock and 10-year warrants with a strike price of $11.25 per share, exercisable with respect to a notional amount of 156,318 shares of the Company’s common stock for cash payments equal to the excess of “fair market value” (as defined therein) per share over the strike price, fully diluted subject to certain adjustments. In August 2025, Warrants with a notional amount of 200,000 shares were settled and a gain of $1.3 million related to the fair value adjustment on settlement date was recognized in Other (expense) income, net in the consolidated statements of operations for the year ended December 31, 2025.</w:t>
      </w:r>
    </w:p>
    <w:p>
      <w:pPr>
        <w:sectPr>
          <w:pgSz w:w="11900" w:h="16838" w:orient="portrait"/>
          <w:cols w:equalWidth="0" w:num="1">
            <w:col w:w="11240"/>
          </w:cols>
          <w:pgMar w:left="320" w:top="17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4" w:name="page25"/>
    <w:bookmarkEnd w:id="24"/>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cash-settled warrants will permit the Company, subject to certain conditions (including to the extent that the Company, following payment, would have “available cash” (as defined therein) of less than $100.0 million), to defer payment of the settlement amount at an annualized interest rate of 6.0%, compounded monthly. Warrants outstanding at the 10-year expiration will be exercised automatically (and in the case of the share-settled warrants, will be exercised on a cashless basis) if, immediately prior to the expiration, the fair market value per share is greater than the strike price.</w:t>
      </w:r>
    </w:p>
    <w:p>
      <w:pPr>
        <w:spacing w:after="0" w:line="19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Warrants contain customary anti-dilution protections. The triggers for the anti-dilution adjustments include (a) subdivision, combination or reclassification of the outstanding shares of common stock into a greater or smaller number of shares, (b) certain below market issuances of common stock,</w:t>
      </w:r>
    </w:p>
    <w:p>
      <w:pPr>
        <w:spacing w:after="0" w:line="1" w:lineRule="exact"/>
        <w:rPr>
          <w:sz w:val="20"/>
          <w:szCs w:val="20"/>
          <w:color w:val="auto"/>
        </w:rPr>
      </w:pPr>
    </w:p>
    <w:p>
      <w:pPr>
        <w:jc w:val="both"/>
        <w:ind w:firstLine="8"/>
        <w:spacing w:after="0" w:line="238"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issuances of common stock at a price that is less than the strike price of the Warrant, (d) certain issuances of a dividend or distribution to all holders of common stock, (e) an above market tender offer or exchange offer by the Company for common stock. Pursuant to the anti-dilution terms of the Warrants, and giving effect to the settlement of Warrants with respect to a notional amount of 200,000 shares, the aggregate notional amount of the Warrants increased to 1,047,514 shares as of March 31, 2026.</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the event of a “Cash/Public Acquisition” (as defined therein), the Warrants may be automatically exercised, cash settled or expire, depending on the fair market value per share. The Warrants contain a beneficial ownership limitation on the investor’s ownership of the Company’s common stock, on a post-exercise basis (aggregating all securities convertible into or exercisable for the Company’s common stock), of 4.99%, subject to increase upon 61 days’ notice by the investor, but not to exceed 9.99%.</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Warrants were classified as current liabilities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in the Company’s condensed consolidated balance sheets and recorded at fair value of $5.3 million at the issuance date with subsequent changes in fair value recorded in the Company’s condensed consolidated statements of operations. As of March 31, 2026, the Warrants had a fair value of $1.9 million. A gain of $1.1 million and a gain of $8.8 million for the change in fair value were recorded in Other (expense) income, net, in the Company’s condensed consolidated statements of operations for the three months ended March 31, 2026 and 2025,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Measurements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79" w:lineRule="exact"/>
        <w:rPr>
          <w:sz w:val="20"/>
          <w:szCs w:val="20"/>
          <w:color w:val="auto"/>
        </w:rPr>
      </w:pPr>
    </w:p>
    <w:p>
      <w:pPr>
        <w:ind w:left="1140" w:hanging="32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117"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67" w:lineRule="exact"/>
        <w:rPr>
          <w:rFonts w:ascii="Times New Roman" w:cs="Times New Roman" w:eastAsia="Times New Roman" w:hAnsi="Times New Roman"/>
          <w:sz w:val="18"/>
          <w:szCs w:val="18"/>
          <w:color w:val="auto"/>
        </w:rPr>
      </w:pPr>
    </w:p>
    <w:p>
      <w:pPr>
        <w:ind w:left="1140" w:right="420" w:hanging="322"/>
        <w:spacing w:after="0" w:line="282"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200" w:lineRule="exact"/>
        <w:rPr>
          <w:sz w:val="20"/>
          <w:szCs w:val="20"/>
          <w:color w:val="auto"/>
        </w:rPr>
      </w:pPr>
    </w:p>
    <w:p>
      <w:pPr>
        <w:spacing w:after="0" w:line="34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5" w:name="page26"/>
    <w:bookmarkEnd w:id="25"/>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Assets and Liabilities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March 31, 2026 and December 31, 2025, are summarized as follows: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3"/>
        </w:trPr>
        <w:tc>
          <w:tcPr>
            <w:tcW w:w="5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43,375</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Warrants liability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23"/>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3"/>
        </w:trPr>
        <w:tc>
          <w:tcPr>
            <w:tcW w:w="5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0" w:type="dxa"/>
            <w:vAlign w:val="bottom"/>
          </w:tcPr>
          <w:p>
            <w:pPr>
              <w:spacing w:after="0"/>
              <w:rPr>
                <w:sz w:val="1"/>
                <w:szCs w:val="1"/>
                <w:color w:val="auto"/>
              </w:rPr>
            </w:pPr>
          </w:p>
        </w:tc>
      </w:tr>
      <w:tr>
        <w:trPr>
          <w:trHeight w:val="248"/>
        </w:trPr>
        <w:tc>
          <w:tcPr>
            <w:tcW w:w="5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Warrants liability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0" w:type="dxa"/>
            <w:vAlign w:val="bottom"/>
          </w:tcPr>
          <w:p>
            <w:pPr>
              <w:spacing w:after="0"/>
              <w:rPr>
                <w:sz w:val="1"/>
                <w:szCs w:val="1"/>
                <w:color w:val="auto"/>
              </w:rPr>
            </w:pPr>
          </w:p>
        </w:tc>
      </w:tr>
      <w:tr>
        <w:trPr>
          <w:trHeight w:val="223"/>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money market funds are measured at fair value on a recurring basis based on quoted market prices in active markets and are classified as Level 1 within the fair value hierarchy. The Company’s Warrants liability was measured at fair value on a recurring basis and was classified as Level 3 within the fair value hierarchy. Significant changes in unobservable inputs could result in significantly lower or higher fair value measurements.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 nonrecurring basis, the Company uses fair value measures when analyzing asset impairment. Long-lived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Estimated fair values are Level 3 measures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6" w:name="page27"/>
    <w:bookmarkEnd w:id="26"/>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fair value of outstanding balances of the Notes as of the dates presented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Level of</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Unamortized</w:t>
            </w:r>
          </w:p>
        </w:tc>
        <w:tc>
          <w:tcPr>
            <w:tcW w:w="140" w:type="dxa"/>
            <w:vAlign w:val="bottom"/>
          </w:tcPr>
          <w:p>
            <w:pPr>
              <w:spacing w:after="0"/>
              <w:rPr>
                <w:sz w:val="18"/>
                <w:szCs w:val="18"/>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211"/>
        </w:trPr>
        <w:tc>
          <w:tcPr>
            <w:tcW w:w="26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Unamortized</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Debt Issuance</w:t>
            </w: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Debt Discount</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63"/>
        </w:trPr>
        <w:tc>
          <w:tcPr>
            <w:tcW w:w="26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2026 Notes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2029 Notes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(24,296)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191,771</w:t>
            </w:r>
          </w:p>
        </w:tc>
        <w:tc>
          <w:tcPr>
            <w:tcW w:w="0" w:type="dxa"/>
            <w:vAlign w:val="bottom"/>
          </w:tcPr>
          <w:p>
            <w:pPr>
              <w:spacing w:after="0"/>
              <w:rPr>
                <w:sz w:val="1"/>
                <w:szCs w:val="1"/>
                <w:color w:val="auto"/>
              </w:rPr>
            </w:pPr>
          </w:p>
        </w:tc>
      </w:tr>
      <w:tr>
        <w:trPr>
          <w:trHeight w:val="229"/>
        </w:trPr>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Second Lien 2029 Notes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181,952</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2026 Notes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20,052</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2029 Notes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(25,955)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189,780</w:t>
            </w:r>
          </w:p>
        </w:tc>
        <w:tc>
          <w:tcPr>
            <w:tcW w:w="0" w:type="dxa"/>
            <w:vAlign w:val="bottom"/>
          </w:tcPr>
          <w:p>
            <w:pPr>
              <w:spacing w:after="0"/>
              <w:rPr>
                <w:sz w:val="1"/>
                <w:szCs w:val="1"/>
                <w:color w:val="auto"/>
              </w:rPr>
            </w:pPr>
          </w:p>
        </w:tc>
      </w:tr>
      <w:tr>
        <w:trPr>
          <w:trHeight w:val="234"/>
        </w:trPr>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Second Lien 2029 Notes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181,952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181,952</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determined the fair value of 2026 Notes by using Level 2 inputs based on observable market prices for the instrument and similar instruments. Management determined the fair value of the 2029 Notes and Delayed Draw Notes as of March 31, 2026 by using Level 3 inputs, including volatility of 15.00%, yield of 17.50%, risk-free rate of 3.82%, and credit spread of 13.90%. Management determined the fair value of the Second Lien Notes as of March 31, 2026 by using Level 3 inputs, including volatility of 15.00%, yield of 30.00%, risk-free rate of 3.85% and credit spread of 26.69%.</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determined the fair value of the 2029 Notes as of December 31, 2025 by using Level 3 inputs, including the volatility of 15.00%, yield of 16.00%, risk-free rate of 3.59% and credit spread of 12.81%. Management determined the fair value of the Second Lien Notes as of December 31, 2025 by using Level 3 inputs, including volatility of 15.00%, yield of 30.00%, risk-free rate of 3.64% and credit spread of 24.60%. A change in those inputs to a different amount might result in a significantly higher or lower fair value measurement.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the fair value of the Warrants upon issuance using the Black-Scholes valuation model and is required to revalue these Warrants at each reporting date with any changes in fair value recorded on the Company’s condensed consolidated statements of operations. The valuation of the Warrants was classified as Level 3 within the fair value hierarchy and is influenced by the fair value of the underlying, or notional amount of, common stock of the Company. A summary of the Black-Scholes pricing model assumptions used to record the fair value of the Warrants as of March 31, 2026 and 2025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8"/>
                <w:szCs w:val="18"/>
                <w:color w:val="auto"/>
              </w:rPr>
            </w:pPr>
          </w:p>
        </w:tc>
        <w:tc>
          <w:tcPr>
            <w:tcW w:w="1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7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1"/>
        </w:trPr>
        <w:tc>
          <w:tcPr>
            <w:tcW w:w="764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52"/>
        </w:trPr>
        <w:tc>
          <w:tcPr>
            <w:tcW w:w="7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$2.55</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$0.80</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4.18%</w:t>
            </w:r>
          </w:p>
        </w:tc>
        <w:tc>
          <w:tcPr>
            <w:tcW w:w="1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4.19%</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9.18</w:t>
            </w: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86.00%</w:t>
            </w:r>
          </w:p>
        </w:tc>
        <w:tc>
          <w:tcPr>
            <w:tcW w:w="1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78.00%</w:t>
            </w:r>
          </w:p>
        </w:tc>
      </w:tr>
    </w:tbl>
    <w:p>
      <w:pPr>
        <w:spacing w:after="0" w:line="31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Any significant changes in the inputs may result in significantly higher or lower fair value measurements. Refer to Note 8 – </w:t>
      </w:r>
      <w:r>
        <w:rPr>
          <w:rFonts w:ascii="Times New Roman" w:cs="Times New Roman" w:eastAsia="Times New Roman" w:hAnsi="Times New Roman"/>
          <w:sz w:val="18"/>
          <w:szCs w:val="18"/>
          <w:i w:val="1"/>
          <w:iCs w:val="1"/>
          <w:color w:val="auto"/>
        </w:rPr>
        <w:t>Senior Notes, Capped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Call Transactions and Warrants </w:t>
      </w:r>
      <w:r>
        <w:rPr>
          <w:rFonts w:ascii="Times New Roman" w:cs="Times New Roman" w:eastAsia="Times New Roman" w:hAnsi="Times New Roman"/>
          <w:sz w:val="18"/>
          <w:szCs w:val="18"/>
          <w:color w:val="auto"/>
        </w:rPr>
        <w:t>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7" w:name="page28"/>
    <w:bookmarkEnd w:id="27"/>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changes in fair value of the Level 3 Warrants as of the dates presented are as follows: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0"/>
        </w:trPr>
        <w:tc>
          <w:tcPr>
            <w:tcW w:w="8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8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0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color w:val="auto"/>
              </w:rPr>
              <w:t>(In thousands)</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w:t>
            </w:r>
          </w:p>
        </w:tc>
      </w:tr>
      <w:tr>
        <w:trPr>
          <w:trHeight w:val="230"/>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 of Warrants</w:t>
            </w:r>
          </w:p>
        </w:tc>
        <w:tc>
          <w:tcPr>
            <w:tcW w:w="2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r>
      <w:tr>
        <w:trPr>
          <w:trHeight w:val="22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the fair value of Warrants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0"/>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 Plans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 401(k) defined contribution plan covering all eligible employees. The Company’s 401(k) policy is a Safe Harbor Plan, whereby the Company matches 100% of the first 3% of eligible compensation and 50% of the next 2% of eligible compensation. The match is immediately vested. Salaries and related expenses include $0.4 million and $0.7 million of employer matching contributions for the three months ended March 31, 2026 and 2025,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letters of credit totaling $0.5 million outstanding as a security deposit for the due performance by the Company of the terms and conditions of a supply contract.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purchase obligations consist of agreements to purchase goods and services entered into in the ordinary course of business. The Company has purchase obligation agreements primarily relating to contracts with vendors in connection with Information Technology (“IT”) infrastructure and cloud computing services with remaining terms of one year or less. In September 2025, the Company entered into a new three-year contract for $76.4 million in purchase commitments over a three-year term. Total purchase commitments remaining as of March 31, 2026 including those under this contract are as follows: $19.9 million for the remainder of 2026, $25.3 million for 2027, and $25.2 million for 2028.</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enters into service and license agreements in its ordinary course of business. Pursuant to some of these agreements, the Company agrees to indemnify certain customers from and against certain types of claims and losses suffered or incurred by them as a result of using the Company’s products.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also has agreements whereby its executive officers and directors are indemnified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has a directors and officers insurance policy that reduces its exposure and enables the Company to recover a portion of any future amounts paid. As a result of its insurance policy coverage, the Company believes the estimated fair value of these indemnification agreements is minimal. The Company has no liabilities recorded for these agreements as of March 31, 2026 and December 31, 2025.</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Deficit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there were 20,000,000 shares of common stock authorized, 12,285,554 shares issued, and 12,101,150 shares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 value for the common stock is $0.001 per share.</w:t>
      </w:r>
    </w:p>
    <w:p>
      <w:pPr>
        <w:sectPr>
          <w:pgSz w:w="11900" w:h="16838" w:orient="portrait"/>
          <w:cols w:equalWidth="0" w:num="1">
            <w:col w:w="11240"/>
          </w:cols>
          <w:pgMar w:left="320" w:top="171" w:right="339" w:bottom="10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091" w:gutter="0" w:footer="0" w:header="0"/>
          <w:type w:val="continuous"/>
        </w:sectPr>
      </w:pPr>
    </w:p>
    <w:bookmarkStart w:id="28" w:name="page29"/>
    <w:bookmarkEnd w:id="28"/>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stock-based compensation generally includes stock options, restricted stock units (“RSUs”), performance-vesting restricted stock units (“PRSUs”), and purchases under the Company’s 2019 Employee Stock Purchase Plan (the “ESPP”). Stock-based compensation expense related to RSUs is based on the market value of the underlying stock on the date of grant and the related expense is recognized ratably over the requisite service period. The stock-based compensation expense related to PRSUs is estimated at the grant date based on the expectation that performance goals will be achieved at the stated target level. The amount of compensation cost recognized depends on the relative satisfaction of the performance condition based on performance to date. There were no PRSUs granted during the three months ended March 31, 2026, and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Incentive Plans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2019 Stock Incentive Plan became effective on April 11, 2019. The 2019 Stock Incentive Plan, as amended and restated, allows the Company’s employees and directors to participate in the Company’s future performance through grants of stock-based awards of stock options and RSUs at the discretion of the board of directors. The number of shares authorized for issuance under the 2019 Stock Incentive Plan as of March 31, 2026 was 3,487,182 shares. Options to acquire common stock granted under the 2019 Stock Incentive Plan have ten-year terms. As of March 31, 2026, 43,123 shares of common stock remained available for issuance (taking into account all stock option exercises and other equity award settlements through March 31,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authorized for issuance under the ESPP as of March 31, 2026 was 300,000 shares. As of March 31, 2026, 92,972 shares of common stock remained available for issuance under the ESPP (taking into account all share purchases through March 31,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Plan</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1,027,489 shares of common stock authorized and reserved for issuance under the Inducement Plan. As of March 31, 2026, 77,746 shares of common stock remained available for issuance under the Inducement Plan (taking into account all option exercises and other equity award settlements through March 31, 2026).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Activity</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Company’s stock option activity and weighted average exercise prices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00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Stock Option Activity</w:t>
            </w:r>
          </w:p>
        </w:tc>
        <w:tc>
          <w:tcPr>
            <w:tcW w:w="10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4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4"/>
                <w:szCs w:val="14"/>
                <w:color w:val="auto"/>
              </w:rPr>
            </w:pPr>
          </w:p>
        </w:tc>
        <w:tc>
          <w:tcPr>
            <w:tcW w:w="13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4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20" w:type="dxa"/>
            <w:vAlign w:val="bottom"/>
          </w:tcPr>
          <w:p>
            <w:pPr>
              <w:spacing w:after="0"/>
              <w:rPr>
                <w:sz w:val="15"/>
                <w:szCs w:val="15"/>
                <w:color w:val="auto"/>
              </w:rPr>
            </w:pPr>
          </w:p>
        </w:tc>
        <w:tc>
          <w:tcPr>
            <w:tcW w:w="13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41"/>
        </w:trPr>
        <w:tc>
          <w:tcPr>
            <w:tcW w:w="51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2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5"/>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 at December 31, 2025</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Cancelled or expired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461.55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 at March 31, 2026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306.10</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10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
        </w:trPr>
        <w:tc>
          <w:tcPr>
            <w:tcW w:w="516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160" w:type="dxa"/>
            <w:vAlign w:val="bottom"/>
            <w:tcBorders>
              <w:top w:val="single" w:sz="8" w:color="CCEEFF"/>
              <w:bottom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exercisable at March 31, 2026</w:t>
            </w:r>
          </w:p>
        </w:tc>
        <w:tc>
          <w:tcPr>
            <w:tcW w:w="1160" w:type="dxa"/>
            <w:vAlign w:val="bottom"/>
            <w:tcBorders>
              <w:top w:val="single" w:sz="8" w:color="CCEEFF"/>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368.37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ind w:left="10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total fair value of stock options exercised during the three months ended March 31, 2026 and 2025 was immaterial. As of March 31, 2026, there was $0.4 million of total unrecognized compensation cost related to nonvested share-based compensation arrangements. That cost is expected to be recognized over a weighted average period of approximately 1.4 years.</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9" w:name="page30"/>
    <w:bookmarkEnd w:id="29"/>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and Performance-Vesting Restricted Stock Unit Activity</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Company’s RSU and PRSU activity and weighted average grant date fair value for the three months ended March 31, 2026:</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7"/>
                <w:szCs w:val="17"/>
                <w:color w:val="auto"/>
              </w:rPr>
            </w:pPr>
          </w:p>
        </w:tc>
        <w:tc>
          <w:tcPr>
            <w:tcW w:w="13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Aggregate Fair</w:t>
            </w:r>
          </w:p>
        </w:tc>
        <w:tc>
          <w:tcPr>
            <w:tcW w:w="0" w:type="dxa"/>
            <w:vAlign w:val="bottom"/>
          </w:tcPr>
          <w:p>
            <w:pPr>
              <w:spacing w:after="0"/>
              <w:rPr>
                <w:sz w:val="1"/>
                <w:szCs w:val="1"/>
                <w:color w:val="auto"/>
              </w:rPr>
            </w:pPr>
          </w:p>
        </w:tc>
      </w:tr>
      <w:tr>
        <w:trPr>
          <w:trHeight w:val="184"/>
        </w:trPr>
        <w:tc>
          <w:tcPr>
            <w:tcW w:w="6440" w:type="dxa"/>
            <w:vAlign w:val="bottom"/>
          </w:tcPr>
          <w:p>
            <w:pPr>
              <w:spacing w:after="0"/>
              <w:rPr>
                <w:sz w:val="16"/>
                <w:szCs w:val="16"/>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440" w:type="dxa"/>
            <w:vAlign w:val="bottom"/>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63"/>
        </w:trPr>
        <w:tc>
          <w:tcPr>
            <w:tcW w:w="6440" w:type="dxa"/>
            <w:vAlign w:val="bottom"/>
          </w:tcPr>
          <w:p>
            <w:pPr>
              <w:spacing w:after="0"/>
              <w:rPr>
                <w:sz w:val="22"/>
                <w:szCs w:val="22"/>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Pr>
          <w:p>
            <w:pPr>
              <w:spacing w:after="0"/>
              <w:rPr>
                <w:sz w:val="22"/>
                <w:szCs w:val="22"/>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(Per share)</w:t>
            </w:r>
          </w:p>
        </w:tc>
        <w:tc>
          <w:tcPr>
            <w:tcW w:w="120" w:type="dxa"/>
            <w:vAlign w:val="bottom"/>
          </w:tcPr>
          <w:p>
            <w:pPr>
              <w:spacing w:after="0"/>
              <w:rPr>
                <w:sz w:val="22"/>
                <w:szCs w:val="22"/>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(In thousands)</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 at December 31, 2025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0" w:type="dxa"/>
            <w:vAlign w:val="bottom"/>
          </w:tcPr>
          <w:p>
            <w:pPr>
              <w:spacing w:after="0"/>
              <w:rPr>
                <w:sz w:val="1"/>
                <w:szCs w:val="1"/>
                <w:color w:val="auto"/>
              </w:rPr>
            </w:pPr>
          </w:p>
        </w:tc>
      </w:tr>
      <w:tr>
        <w:trPr>
          <w:trHeight w:val="229"/>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Awarded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and outstanding at March 31, 2026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03"/>
        </w:trPr>
        <w:tc>
          <w:tcPr>
            <w:tcW w:w="64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Expected to vest</w:t>
            </w:r>
          </w:p>
        </w:tc>
        <w:tc>
          <w:tcPr>
            <w:tcW w:w="15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628</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13.51</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RSUs granted to employees generally vest over a one to four-year period, or upon achievement of certain performance conditions. As of March 31, 2026, total unrecognized compensation cost, adjusted for estimated forfeitures, related to nonvested RSUs was $5.4 million and the weighted-average remaining vesting period was 0.95 years.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PRSUs granted are generally subject to both a service-based vesting condition and a performance-based vesting condition. PRSUs will vest upon the achievement of specified performance targets and subject to continued service through the applicable vesting dates. The associated compensation cost is recognized over the requisite service period when it is probable that the performance condition will be satisfied. There were no PRSUs granted during the three months ended March 31, 2026 and 2025, respectively. The PRSUs that vested in the third quarter of 2025 were settled and distributed during the three months ended March 31, 2026.</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stock-based compensation costs included in the condensed consolidated statements of operations for the three months ended March 31, 2026 and 2025 are as follows:</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r>
      <w:tr>
        <w:trPr>
          <w:trHeight w:val="223"/>
        </w:trPr>
        <w:tc>
          <w:tcPr>
            <w:tcW w:w="7460" w:type="dxa"/>
            <w:vAlign w:val="bottom"/>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r>
      <w:tr>
        <w:trPr>
          <w:trHeight w:val="263"/>
        </w:trPr>
        <w:tc>
          <w:tcPr>
            <w:tcW w:w="74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96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(In thousands)</w:t>
            </w:r>
          </w:p>
        </w:tc>
        <w:tc>
          <w:tcPr>
            <w:tcW w:w="540" w:type="dxa"/>
            <w:vAlign w:val="bottom"/>
          </w:tcPr>
          <w:p>
            <w:pPr>
              <w:spacing w:after="0"/>
              <w:rPr>
                <w:sz w:val="22"/>
                <w:szCs w:val="22"/>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48"/>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0" w:name="page31"/>
    <w:bookmarkEnd w:id="30"/>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Restructuring</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LivePerson has undertaken several restructuring initiatives to realign the Company’s cost structure with its current business model, a changing competitive environment and changes in the Company’s commercial performance. In September 2025, the Company initiated a new restructuring plan to reduce cash expenditures to align with the Company’s current commercial performance, resulting in a charge of $11.7 million for the year ended December 31, 2025. The Company recognized no restructuring costs during the three months ended March 31, 2026, and $1.3 million during the three months ended March 31, 2025, which included severance and other compensation costs and are recorded in Restructuring costs in the condensed consolidated statements of operations. The 2025 restructuring activities were considered to be substantially completed as of December 31, 2025.</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detail of the liability for the Company’s restructuring costs, which is included within Accrued expenses and other current liabilities within the condensed consolidated balance sheets as of March 31, 2026 and December 31, 2025:</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2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color w:val="auto"/>
              </w:rPr>
              <w:t>(In thousands)</w:t>
            </w:r>
          </w:p>
        </w:tc>
      </w:tr>
      <w:tr>
        <w:trPr>
          <w:trHeight w:val="229"/>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the year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r>
      <w:tr>
        <w:trPr>
          <w:trHeight w:val="229"/>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Severance and other associated costs</w:t>
            </w:r>
          </w:p>
        </w:tc>
        <w:tc>
          <w:tcPr>
            <w:tcW w:w="2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w:t>
            </w:r>
          </w:p>
        </w:tc>
      </w:tr>
      <w:tr>
        <w:trPr>
          <w:trHeight w:val="230"/>
        </w:trPr>
        <w:tc>
          <w:tcPr>
            <w:tcW w:w="8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payments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(13,308)</w:t>
            </w:r>
          </w:p>
        </w:tc>
      </w:tr>
      <w:tr>
        <w:trPr>
          <w:trHeight w:val="223"/>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Legal Matters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Litigation</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2023, a putative stockholder class action entitled Damri v. LivePerson, Inc., No. 1:23-cv-10517, was filed under the federal securities laws against the Company, its former Chief Executive Officer, and its Chief Financial Officer in the United States District Court for the Southern District of New York. The complaint alleges that the Company’s Form 10-Q filings and forecasts for the first, second, and third quarters of fiscal year 2022 were false and misleading in violation of Section 10(b) of the Securities Exchange Act of 1934, based on the Company’s later disclosures and report on Form 10-K on March 16, 2023. In May 2024, the plaintiff filed an amended complaint. The Company moved to dismiss the amended complaint in August 2024, and in March 2025, the court granted the Company’s motion and dismissed the action with prejudice. In April 2025, the plaintiff appealed the decision to the United States Court of Appeals for the Second Circuit and in March 2026, the dismissal was affirmed but the case was remanded to the district court with leave for the plaintiff to try to replead his complaint. A second amended complaint was filed, and the parties are currently briefing a renewed motion to dismiss. A parallel litigation on behalf of stockholders who purchased their shares on the Tel Aviv Stock Exchange, entitled Weissbrod v. LivePerson, Inc., is pending in the Tel Aviv District Court in Israel, but has been stayed pending further developments in the Damri case.</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a purported derivative action entitled Marti v. LoCascio, No. 1:24-cv-00598, was filed in the United States District Court for the Southern District of New York by a purported stockholder of the Company against the Company’s former Chief Executive Officer, its Chief Financial Officer, members of the current Board of Directors and several former Directors. The Marti litigation claims that the Company itself was harmed by the same acts and omissions underlying the Damri federal securities lawsuit and seeks to recover unspecified losses on behalf of the Company. Between June and September 2024, four other purported derivative actions were filed by purported stockholders of the Company against the Company’s former Chief Executive Officer, its Chief Financial Officer, members of the current Board of Directors and several former Directors. These four purported derivative actions, similar to the Marti litigation, claim that the Company itself was harmed by the same acts and omissions underlying the Damri federal securities lawsuit, and seek to recover unspecified losses on behalf of the Company. The four actions are entitled: (i) Steffens v. Block, No. 1:24-cv-04481, filed in the United States District Court for the Southern District of New York; (ii) Ravi v. LoCascio, Index No. 653498/2024, filed in the Supreme Court of the State of New York, New York County; (iii) Morales v. LoCascio, No. 1:24-cv-05297, filed in the United States District Court for the Southern District of New York; and (iv) Perkins v. LoCascio, Index No. 654992/2024, filed in the Supreme Court of the State of New York, New York County. The Marti, Steffens and Morales cases are stayed, and the Perkins case is in abeyance, pending further developments in the Damri case.</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31" w:name="page32"/>
    <w:bookmarkEnd w:id="31"/>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2024, Starboard Value LP and several of its related entities and investment funds filed a lawsuit against the Company, its former Chief Executive Officer, and its Chief Financial Officer entitled Starboard Value LP v. LivePerson, Inc., No. 2024-0103, in the Court of Chancery of the State of Delaware. The complaint alleged common law fraud, fraudulent inducement and negligent misrepresentation in connection with an alleged scheme to induce Starboard to settle its 2022 proxy contest against the Company and, as stated in the complaint, involved previous Starboard allegations of misrepresentations in the Company’s public disclosures that the Company previously informed Starboard were found to be unsubstantiated following an independent investigation. Starboard sought damages for its trading losses and purported lost anticipated profits. The defendants filed an answer denying the substantive allegations of the complaint, the parties engaged in discovery, and in July 2025, the litigation was settled. The settlement did not have an impact on the Company’s condensed consolidated statements of operations, as the cost was covered by insurance.</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2026, Vector Capital VI, L.P. filed a lawsuit in the Court of Chancey of the State of Delaware against the members of the Company’s board of directors who voted in favor of the Company’s September 2025 Debt Exchange transaction. The action, entitled Vector Capital VI, L.P. v. Miller, C.A. No. 2026-0536, alleges that the September 2025 Debt Exchange constituted a breach of fiduciary duty by the board, was unfairly coercive, frustrated stockholder voting rights and improperly diluted the value of the Company’s common stock. The complaint seeks unspecified damages. The Company, on behalf of the directors, will be moving to dismiss the complaint.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COVID-Related Matters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has been widely reported, there is heightened scrutiny by the federal government across many programs related to global novel coronavirus disease (“COVID-19”) that were introduced during the COVID-19 pandemic. The Company previously provided products and services related to COVID-19 testing and accompanying software. Those products and services have been the subject of inquiry and review by Medicare, the Department of Justice and the U.S. Food and Drug Administration.</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discontinued all products and services related to COVID-19, and has responded to and intends to continue to cooperate with governmental inquiries related to its previous engagement in COVID-19 related product and service offerings.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Administrative, Governmental and Regulatory Matters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or may be subject to or involved in legal, administrative, governmental and/or regulatory proceedings, inquiries and investigations as well as actual or threatened litigation, claims and/or demands (each an “Action” and collectively “Actions”). These have included and may include (without limitation) Actions brought by or against the Company, its affiliates, subsidiaries, directors and/or officers with respect to intellectual property, contracts, financial, commercial, employment, legal, compliance, privacy, data security, regulatory and/or other matters related to the Company’s business, as well as Actions brought against the Company’s customers for which the Company has a contractual indemnification obligation.</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Regardless of the outcome, Actions can have an adverse impact on the Company because of defense and/or settlement costs, diversion of management resources, reputational risks and other factors.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Accruals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accrues for certain contingencies when it is both probable that a liability has been incurred and the amount of the loss can be reasonably estimated and discloses certain contingencies for which no accrual has been made as appropriate and in compliance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Significant judgment is required in both the determination of probability and the determination as to whether a loss is reasonably estimable.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accruals or estimates, if any, resulting from the foregoing analysis, are reviewed at least quarterly and adjusted to reflect the impact of negotiations, settlements, rulings, advice of legal counsel and other information and events pertaining to a particular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2" w:name="page33"/>
    <w:bookmarkEnd w:id="32"/>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25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w:t>
      </w:r>
    </w:p>
    <w:p>
      <w:pPr>
        <w:spacing w:after="0" w:line="20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The Company includes interest accrued on the underpayment of income taxes and certain interest expense and penalties, if any, related to unrecognized tax benefits as a component of the income tax provision. The Company recorded a valuation allowance against its U.S., e-bot7 Germany, and Bulgaria deferred tax assets as it considered its cumulative losses in recent years as a significant piece of negative evidence. Since valuation allowances are evaluated by jurisdiction, the Company believes that the deferred tax assets related to LivePerson Australia Pty. Ltd., Engage Pty. Ltd., LivePerson (UK) Ltd., LivePerson Japan, and LivePerson Ltd. (Israel) are more likely than not to be realized as these jurisdictions have positive cumulative pre-tax book income after adjusting for permanent and one-time items.</w:t>
      </w:r>
    </w:p>
    <w:p>
      <w:pPr>
        <w:spacing w:after="0" w:line="20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One Big Beautiful Bill Act (“OBBBA”) was signed into law on July 4, 2025, and makes changes to the deductibility of certain business expenditures including interest expense, research and development expenditures, and property and equipment, and makes changes to elements of U.S. cross-border taxation. OBBBA allows taxpayers to make an election to accelerate the deductions over one year or two years. The Company implemented the changes enacted under OBBBA and is currently evaluating the impact of the elections available.</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2026, the Company recorded a tax provision of $0.3 million. This consisted of a tax provision on operating earnings of non-US subsidiaries, a tax expense on UK stock compensation windfall, and interest accrual on unrecognized tax benefits in Israel. For the three months ended March 31, 2025, the Company recorded a tax benefit of $0.3 million. This consisted of a tax provision on operating earnings of non-US subsidiaries, a tax benefit on an increase in tax receivables, and interest accrual on unrecognized tax benefits in Israel.</w:t>
      </w:r>
    </w:p>
    <w:p>
      <w:pPr>
        <w:spacing w:after="0" w:line="2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a valuation allowance on certain deferred tax assets for the year ended December 31, 2025 of $243.2 million. Inherent in the Company’s 2026 annual effective tax rate is an estimated increase in the valuation allowance of $3.6 million, all of which would be recorded as an expense. During 2025, an increase in the valuation allowance in the amount of $8.6 million was recorded as an expense.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Repurchase</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7, 2026, the Company repurchased $5.2 million principal amount of the 2026 Notes for $3.0 million in cash. Following this transaction, the aggregate principal amount and carrying value of the 2026 Notes were reduced to $15.0 million. A corresponding portion of the 2026 capped calls were terminated following the repurchase as required by their terms for no consideration.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Merger Agreement</w:t>
      </w:r>
    </w:p>
    <w:p>
      <w:pPr>
        <w:spacing w:after="0" w:line="254"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8"/>
          <w:szCs w:val="18"/>
          <w:color w:val="auto"/>
        </w:rPr>
        <w:t>On April 21, 2026, LivePerson entered into a Merger Agreement (the “Merger Agreement”), by and among LivePerson, SoundHound AI, Inc., a Delaware corporation, and Lightspeed Merger Sub Inc., a Delaware corporation and an indirect wholly owned subsidiary of SoundHound (“Merger Sub”), pursuant to which, on the terms and subject to the conditions set forth in the Merger Agreement, Merger Sub will merge with and into LivePerson (the “Merger”), with LivePerson surviving the Merger as an indirect wholly owned subsidiary of SoundHound. All capitalized terms used in this summary of the Merger Agreement that are not otherwise defined herein have the meanings ascribed to such terms in the Merger Agreement.</w:t>
      </w:r>
    </w:p>
    <w:p>
      <w:pPr>
        <w:spacing w:after="0" w:line="2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date and time the Merger becomes effective (the “Effective Time”), each share of LivePerson’s common stock issued and outstanding immediately prior to the Effective Time (other than certain excluded shares) will be automatically converted into the right to receive a number of shares of Class A</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33" w:name="page34"/>
    <w:bookmarkEnd w:id="33"/>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common stock of SoundHound, par value $0.0001 per share (“SoundHound Common Stock”) equal to (a) the Closing Merger Consideration (as defined below), divided by (b) the total number of shares of LivePerson common stock that are issued and outstanding, or that are issuable upon the conversion, exercise or settlement in full of any rights to acquire LivePerson’s common stock, as of immediately prior to the Effective Time (such number of shares, the “Fully Diluted Common Number”, and the result of the calculation set forth in the foregoing clauses (a) and (b), the “Per Share Merger Consideration”). It is intended that the Merger be treated as a transaction in which gain or loss is recognized for U.S. federal income tax purposes.</w:t>
      </w:r>
    </w:p>
    <w:p>
      <w:pPr>
        <w:spacing w:after="0" w:line="20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aggregate amount of consideration payable by SoundHound to holders of LivePerson’s common stock in connection with the Merger pursuant to the terms of the Merger Agreement will be a number of shares of SoundHound Common Stock equal to the quotient of (a) the Aggregate Consideration Amount (as defined below), divided by (b) the SoundHound Closing Stock Price (the “Closing Merger Consideration”).</w:t>
      </w:r>
    </w:p>
    <w:p>
      <w:pPr>
        <w:spacing w:after="0" w:line="196" w:lineRule="exact"/>
        <w:rPr>
          <w:sz w:val="20"/>
          <w:szCs w:val="20"/>
          <w:color w:val="auto"/>
        </w:rPr>
      </w:pPr>
    </w:p>
    <w:p>
      <w:pPr>
        <w:jc w:val="both"/>
        <w:ind w:firstLine="432"/>
        <w:spacing w:after="0" w:line="242" w:lineRule="auto"/>
        <w:rPr>
          <w:sz w:val="20"/>
          <w:szCs w:val="20"/>
          <w:color w:val="auto"/>
        </w:rPr>
      </w:pPr>
      <w:r>
        <w:rPr>
          <w:rFonts w:ascii="Times New Roman" w:cs="Times New Roman" w:eastAsia="Times New Roman" w:hAnsi="Times New Roman"/>
          <w:sz w:val="18"/>
          <w:szCs w:val="18"/>
          <w:color w:val="auto"/>
        </w:rPr>
        <w:t>The “Aggregate Consideration Amount” refers to an amount equal to (a) $42,784,532.64, minus (b) the LivePerson Shortfall Cash (as defined below), plus (c) the aggregate dollar amount of the exercise prices of all In-the-Money Options (as defined below) (other than options assumed by SoundHound and converted into an option to acquire shares of SoundHound Common Stock, in accordance with the terms of the Merger Agreement). “LivePerson Shortfall Cash” refers to an amount equal to (x) $74,000,000 (or, solely for purposes of the Merger Agreement, $71,000,000 if the Closing occurs in July), minus (y) the aggregate principal amount of the 2026 Notes repurchased by LivePerson between April 1, 2026 and the closing of the Merger (the “Closing”) (the figure resulting from clause (x) minus clause (y), the “LivePerson Minimum Cash”), minus (z) the cash and cash equivalents on LivePerson’s balance sheet as of 12:01 a.m. Pacific Time on the date on which the Closing occurs (the “Closing Date”) (net of certain LivePerson transaction expenses as of the Closing) (the foregoing clause (z), the “LivePerson Cash Balance”); provided that, if a negative number results from such calculation, “LivePerson Shortfall Cash” will be $0. The “SoundHound Closing Stock Price” refers to the price per share of SoundHound Common Stock derived from the average of the daily volume weighted average prices of a share of SoundHound Common Stock on the Nasdaq on each of the ten (10) consecutive trading days ending on (and including) the trading day that is three (3) trading days prior to the Closing Date, rounded down to the nearest penny, as reported by Bloomberg; provided that, in the event such price per share (I) exceeds $12 per share, “SoundHound Closing Stock Price” will be $12 per share or (II) falls below $7 per share, “SoundHound Closing Stock Price” will be $7 per share.</w:t>
      </w:r>
    </w:p>
    <w:p>
      <w:pPr>
        <w:spacing w:after="0" w:line="216"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8"/>
          <w:szCs w:val="18"/>
          <w:color w:val="auto"/>
        </w:rPr>
        <w:t>Under the terms of the Merger Agreement, completion of the Merger is subject to customary closing conditions, including, among others (a) the adoption of the Merger Agreement by the stockholders of LivePerson; (b) the absence of any law, order or other legal impediment prohibiting the consummation of the Merger; (c) the receipt of approvals under certain applicable foreign direct investment laws; (d) the approval for listing the shares of SoundHound Common Stock issuable to the stockholders of LivePerson pursuant to the Merger Agreement on the Nasdaq; (e) the effectiveness of SoundHound’s registration statement on Form S-4; (f) the accuracy of the parties’ respective representations and warranties in the Merger Agreement, subject to specified materiality qualifications; (g) the performance or compliance by SoundHound and LivePerson with the covenants in the Merger Agreement in all material respects; (h) the absence of a material adverse effect on LivePerson (as defined in the Merger Agreement); and (i) the consummation of the Notes Restructuring Transactions (as defined below).</w:t>
      </w:r>
    </w:p>
    <w:p>
      <w:pPr>
        <w:spacing w:after="0" w:line="206"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18"/>
          <w:szCs w:val="18"/>
          <w:color w:val="auto"/>
        </w:rPr>
        <w:t>The Merger Agreement contains customary representations, warranties and covenants made by each of SoundHound, Merger Sub and LivePerson, including, among others, covenants by LivePerson regarding the conduct of its business during the pendency of the transactions contemplated by the Merger Agreement, public disclosures and other matters. LivePerson is required, among other things, not to solicit alternative business combination transactions and, subject to certain exceptions, not to engage in discussions or negotiations regarding an alternative business combination transaction.</w:t>
      </w:r>
    </w:p>
    <w:p>
      <w:pPr>
        <w:spacing w:after="0" w:line="204" w:lineRule="exact"/>
        <w:rPr>
          <w:sz w:val="20"/>
          <w:szCs w:val="20"/>
          <w:color w:val="auto"/>
        </w:rPr>
      </w:pPr>
    </w:p>
    <w:p>
      <w:pPr>
        <w:jc w:val="both"/>
        <w:ind w:firstLine="432"/>
        <w:spacing w:after="0" w:line="243" w:lineRule="auto"/>
        <w:rPr>
          <w:sz w:val="20"/>
          <w:szCs w:val="20"/>
          <w:color w:val="auto"/>
        </w:rPr>
      </w:pPr>
      <w:r>
        <w:rPr>
          <w:rFonts w:ascii="Times New Roman" w:cs="Times New Roman" w:eastAsia="Times New Roman" w:hAnsi="Times New Roman"/>
          <w:sz w:val="18"/>
          <w:szCs w:val="18"/>
          <w:color w:val="auto"/>
        </w:rPr>
        <w:t>Both SoundHound and LivePerson may terminate the Merger Agreement under specified circumstances, including (a) if the Merger is not completed by October 21, 2026 (which date may be extended to December 5, 2026 if certain regulatory approvals have not been obtained); (b) if LivePerson fails to obtain stockholder approval; (c) if LivePerson’s board of directors makes an adverse recommendation change with respect to the Merger or commits a material breach of its non-solicitation obligations; (d) if LivePerson’s board of directors terminates to accept a superior acquisition proposal; or (e) if the Notes Restructuring Transactions are terminated for any reason. The Merger Agreement further provides that LivePerson is required to pay SoundHound a termination fee of $5,000,000, plus SoundHound’s transaction expenses, if the Merger Agreement is terminated under certain specified circumstances, including if LivePerson’s board of directors changes or withdraws its recommendation of the Merger, terminates the Merger Agreement to enter into an agreement with respect to a superior acquisition proposal or if the Notes Restructuring Transactions terminate for any reason or otherwise fail to consummate by the Outside Date (as defined in the Merger Agreement), except where such termination or failure to consummate primarily resulted from SoundHound’s material breach of the Notes Restructuring Agreement; provided that where a termination fee is payable in connection with the failure to consummate, or termination of, the Note Restructuring Transactions, the obligation to reimburse SoundHound’s transaction expenses will be capped at $3,750,000.</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34" w:name="page35"/>
    <w:bookmarkEnd w:id="34"/>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Merger Agreement and the consummation of the transactions contemplated thereby, including the Merger (collectively, the “Transactions”) have been unanimously approved by LivePerson’s board of directors, and LivePerson’s board of directors has resolved to recommend to the stockholders of LivePerson to adopt the Merger Agreement, subject to its terms and conditions.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Notes Restructuring Agreement</w:t>
      </w:r>
    </w:p>
    <w:p>
      <w:pPr>
        <w:spacing w:after="0" w:line="254"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8"/>
          <w:szCs w:val="18"/>
          <w:color w:val="auto"/>
        </w:rPr>
        <w:t>On April 21, 2026, concurrently with the execution and delivery of the Merger Agreement, SoundHound entered into a Notes Restructuring Agreement (the “Notes Restructuring Agreement”) with LivePerson and each of the holders of the 2029 Notes and the Second Lien Notes (together with the 2029 Notes, the “Secured Notes”), pursuant to which and on the terms and subject to the conditions thereof, among other things, the holders of the Secured Notes have agreed to release and deem satisfied the Secured Notes for the consideration contemplated thereby (the transactions contemplated by the Notes Restructuring Agreement, “Notes Restructuring Transactions”).</w:t>
      </w:r>
    </w:p>
    <w:p>
      <w:pPr>
        <w:spacing w:after="0" w:line="208"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18"/>
          <w:szCs w:val="18"/>
          <w:color w:val="auto"/>
        </w:rPr>
        <w:t>Upon consummation of the Notes Restructuring Transactions, on the terms and subject to the conditions set forth in the Notes Restructuring Agreement, each holder of 2029 Notes has agreed to accept, in full and complete satisfaction of all obligations of LivePerson to such holder, (a) a number of shares of SoundHound Common Stock equal to the quotient of (i) $178,007,733.68 (the “First Lien Holder Aggregate Consideration Amount”), divided by (ii) the SoundHound Closing Stock Price and (b) an amount in cash paid by LivePerson concurrently with Closing in the amount of (i) accrued and unpaid interest on the 2029 Notes held by such holder, plus (ii) 65% of any LivePerson Excess Cash.</w:t>
      </w:r>
    </w:p>
    <w:p>
      <w:pPr>
        <w:spacing w:after="0" w:line="204"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18"/>
          <w:szCs w:val="18"/>
          <w:color w:val="auto"/>
        </w:rPr>
        <w:t>Upon consummation of the Notes Restructuring Transactions, on the terms and subject to the conditions set forth in the Notes Restructuring Agreement, each holder of Second Lien Notes has agreed to accept, in full and complete satisfaction of all obligations of LivePerson to such holder, such holder’s pro rata portion of (a) a number of shares of SoundHound Common Stock equal to the quotient of (i) $83,207,733.68 (the “Second Lien Holder Aggregate Consideration Amount”), divided by (ii) the SoundHound Closing Stock Price and (b) an amount in cash equal to (i) the principal amount of any 2026 Notes repurchased and retired by LivePerson between April 1, 2026 and the Closing, minus (ii) the amount of cash paid to repurchase such 2026 Notes, plus (iii) 35% of LivePerson Excess Cash.</w:t>
      </w:r>
    </w:p>
    <w:p>
      <w:pPr>
        <w:spacing w:after="0" w:line="20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“LivePerson Excess Cash” refers to the difference of (a) the LivePerson Cash Balance, minus (b) the LivePerson Minimum Cash; provided that, if a negative number results from such calculation, “LivePerson Excess Cash” shall be $0.</w:t>
      </w:r>
    </w:p>
    <w:p>
      <w:pPr>
        <w:spacing w:after="0" w:line="203"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8"/>
          <w:szCs w:val="18"/>
          <w:color w:val="auto"/>
        </w:rPr>
        <w:t>The Notes Restructuring Agreement provides SoundHound the option to elect, at any time before the close of business two business days prior to the Closing Date, to substitute an amount of cash in lieu of all or a portion of the stock consideration paid to the holders of Secured Notes, provided that (a) each holder of Secured Notes receives the same proportion of its consideration in cash and shares of SoundHound Common Stock; (b) regardless of the SoundHound Closing Stock Price, the proportion of consideration satisfied in cash shall be calculated assuming the stock consideration is worth the First Lien Holder Aggregate Consideration Amount and the Second Lien Holder Aggregate Consideration Amount, respectively and (c) in the event SoundHound Closing Stock Price is greater than $12 per share, SoundHound shall not be entitled to substitute cash for more than 50% of the stock consideration.</w:t>
      </w:r>
    </w:p>
    <w:p>
      <w:pPr>
        <w:spacing w:after="0" w:line="208" w:lineRule="exact"/>
        <w:rPr>
          <w:sz w:val="20"/>
          <w:szCs w:val="20"/>
          <w:color w:val="auto"/>
        </w:rPr>
      </w:pPr>
    </w:p>
    <w:p>
      <w:pPr>
        <w:jc w:val="both"/>
        <w:ind w:firstLine="432"/>
        <w:spacing w:after="0" w:line="243" w:lineRule="auto"/>
        <w:rPr>
          <w:sz w:val="20"/>
          <w:szCs w:val="20"/>
          <w:color w:val="auto"/>
        </w:rPr>
      </w:pPr>
      <w:r>
        <w:rPr>
          <w:rFonts w:ascii="Times New Roman" w:cs="Times New Roman" w:eastAsia="Times New Roman" w:hAnsi="Times New Roman"/>
          <w:sz w:val="18"/>
          <w:szCs w:val="18"/>
          <w:color w:val="auto"/>
        </w:rPr>
        <w:t>Under the terms of the Notes Restructuring Agreement, completion of the Notes Restructuring Transactions is subject to customary closing conditions, including (a) the absence of any order or other legal impediment prohibiting the consummation of the Notes Restructuring Transactions; (b) the closing conditions under the Merger Agreement being satisfied or waived (other than the consummation of the Notes Restructuring Transactions); (c) the requisite securities law filings having been made; (d) the approval for listing the shares of SoundHound Common Stock issuable to the holder of the Secured Notes pursuant to the Notes Restructuring Agreement on the Nasdaq; (e) the accuracy of the parties’ respective representations and warranties in the Notes Restructuring Agreement, subject to specified materiality qualifications; (f) the performance or compliance by SoundHound, LivePerson and the holders of Secured Notes with the covenants in the Notes Restructuring Agreement in all material respects; (g) the delivery of all required payments under the Notes Restructuring Agreement; (h) the entry into a registration rights agreement in respect of the shares of SoundHound Common Stock issuable to the holders of the Secured Notes; and (i) the substantially contemporaneous consummation of the Notes Restructuring Transactions by the holders of the 2029 Notes and the holders of the Second Lien Notes.</w:t>
      </w:r>
    </w:p>
    <w:p>
      <w:pPr>
        <w:spacing w:after="0" w:line="213"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8"/>
          <w:szCs w:val="18"/>
          <w:color w:val="auto"/>
        </w:rPr>
        <w:t>The Notes Restructuring Agreement contains customary representations, warranties and covenants made by each of the parties, including, among others, that the shares of SoundHound Common Stock issued in connection with the Notes Restructuring Transactions will be eligible for resale pursuant to an effective registration statement filed by SoundHound with the SEC. The holders of Secured Notes are required, among other things, not to solicit alternative business combination or note restructuring transactions and not to engage in discussions or negotiations regarding an alternative business combination or note restructuring transaction.</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35" w:name="page36"/>
    <w:bookmarkEnd w:id="35"/>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18"/>
          <w:szCs w:val="18"/>
          <w:color w:val="auto"/>
        </w:rPr>
        <w:t>The Notes Restructuring Agreement automatically terminates upon any termination of the Merger Agreement in accordance with its terms. Additionally, each of the parties may terminate the Notes Restructuring Agreement under specified circumstances, including if the Notes Restructuring Transactions are not completed on or prior to the fifth business day following the Outside Date (as defined in the Merger Agreement). The holders of the 2029 Notes are entitled to terminate the Notes Restructuring Agreement upon (a) any failure by LivePerson to pay amounts due under the indenture or other agreements governing the 2029 Notes or (b) a breach of certain provisions of the indenture governing the 2029 Notes, in each case, subject to cure rights of LivePerson and SoundHound.</w:t>
      </w:r>
    </w:p>
    <w:p>
      <w:pPr>
        <w:spacing w:after="0" w:line="20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the condensed consolidated financial statements and the notes thereto included elsewhere in this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“Risk Factors.”</w:t>
      </w:r>
    </w:p>
    <w:p>
      <w:pPr>
        <w:spacing w:after="0" w:line="200" w:lineRule="exact"/>
        <w:rPr>
          <w:sz w:val="20"/>
          <w:szCs w:val="20"/>
          <w:color w:val="auto"/>
        </w:rPr>
      </w:pPr>
    </w:p>
    <w:p>
      <w:pPr>
        <w:spacing w:after="0" w:line="2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Merger Agreement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April 21, 2026, LivePerson entered into a Merger Agreement (the “Merger Agreement”), by and among LivePerson, SoundHound AI, Inc., a Delaware corporation (“SoundHound”) and Lightspeed Merger Sub Inc., a Delaware corporation and an indirect wholly owned subsidiary of SoundHound (“Merger Sub”), pursuant to which, on the terms and subject to the conditions set forth in the Merger Agreement, Merger Sub will merge with and into LivePerson (the “Merger”), with LivePerson surviving the Merger as an indirect wholly owned subsidiary of SoundHound. See Note 15 – </w:t>
      </w:r>
      <w:r>
        <w:rPr>
          <w:rFonts w:ascii="Times New Roman" w:cs="Times New Roman" w:eastAsia="Times New Roman" w:hAnsi="Times New Roman"/>
          <w:sz w:val="18"/>
          <w:szCs w:val="18"/>
          <w:i w:val="1"/>
          <w:iCs w:val="1"/>
          <w:color w:val="auto"/>
        </w:rPr>
        <w:t>Subseqeuent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Events </w:t>
      </w:r>
      <w:r>
        <w:rPr>
          <w:rFonts w:ascii="Times New Roman" w:cs="Times New Roman" w:eastAsia="Times New Roman" w:hAnsi="Times New Roman"/>
          <w:sz w:val="18"/>
          <w:szCs w:val="18"/>
          <w:color w:val="auto"/>
        </w:rPr>
        <w:t>under Item 1 of this Quarterly Report on Form 10-Q for additional information about the Merger Agreement.</w:t>
      </w:r>
    </w:p>
    <w:p>
      <w:pPr>
        <w:spacing w:after="0" w:line="20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Revenue Retention and Current Trends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continue to observe slower than anticipated renewals and new business bookings, primarily driven by customer uncertainty regarding our financial stability as well as broader macroeconomic and industry factors extending enterprise buying cycles, including for high-value AI solutions. Because we recognize revenue from subscriptions over the term of the customer contract, declines in our business may not be immediately reflected in our operating results, but could negatively impact the Company's revenue on a long-term basis.</w:t>
      </w:r>
    </w:p>
    <w:p>
      <w:pPr>
        <w:spacing w:after="0" w:line="31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conformity with accounting principles generally accepted in the United States (“GAAP”).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We evaluate these estimates on an annual basis. Actual results could differ from those estimates under different assumptions or conditions, and any differences could be material.</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There have been no significant changes in our critical accounting policies and estimates during the three months ended March 31, 2026, as compared to the critical accounting policies and estimates disclosed in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included in our Annual Report on Form 10-K for the year ended December 31, 2025, filed with the SEC on March 16,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Note 1 – </w:t>
      </w:r>
      <w:r>
        <w:rPr>
          <w:rFonts w:ascii="Times New Roman" w:cs="Times New Roman" w:eastAsia="Times New Roman" w:hAnsi="Times New Roman"/>
          <w:sz w:val="18"/>
          <w:szCs w:val="18"/>
          <w:i w:val="1"/>
          <w:iCs w:val="1"/>
          <w:color w:val="auto"/>
        </w:rPr>
        <w:t>Description of Business and Basis of Presentation</w:t>
      </w:r>
      <w:r>
        <w:rPr>
          <w:rFonts w:ascii="Times New Roman" w:cs="Times New Roman" w:eastAsia="Times New Roman" w:hAnsi="Times New Roman"/>
          <w:sz w:val="18"/>
          <w:szCs w:val="18"/>
          <w:color w:val="auto"/>
        </w:rPr>
        <w:t xml:space="preserve"> under Item 1 of this Quarterly Report on Form 10-Q for additional information about recent accounting guidance.</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36" w:name="page37"/>
    <w:bookmarkEnd w:id="36"/>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enable brands to leverage the Conversational Cloud’s sophisticated intelligence engine to connect with consumers through an integrated suite of mobile and online business messaging technologies. Our platform enables businesses to have conversations with millions of consumers as personally as they would with one consumer.</w:t>
      </w:r>
    </w:p>
    <w:p>
      <w:pPr>
        <w:spacing w:after="0" w:line="19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March 31, 2025</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revenues for those periods. The period-to-period comparison of financial results is not necessarily indicative of future results.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44"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5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460" w:type="dxa"/>
            <w:vAlign w:val="bottom"/>
            <w:tcBorders>
              <w:bottom w:val="single" w:sz="8" w:color="auto"/>
            </w:tcBorders>
          </w:tcPr>
          <w:p>
            <w:pPr>
              <w:spacing w:after="0"/>
              <w:rPr>
                <w:sz w:val="20"/>
                <w:szCs w:val="20"/>
                <w:color w:val="auto"/>
              </w:rPr>
            </w:pPr>
          </w:p>
        </w:tc>
      </w:tr>
      <w:tr>
        <w:trPr>
          <w:trHeight w:val="228"/>
        </w:trPr>
        <w:tc>
          <w:tcPr>
            <w:tcW w:w="5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80" w:type="dxa"/>
            <w:vAlign w:val="bottom"/>
          </w:tcPr>
          <w:p>
            <w:pPr>
              <w:spacing w:after="0"/>
              <w:rPr>
                <w:sz w:val="19"/>
                <w:szCs w:val="19"/>
                <w:color w:val="auto"/>
              </w:rPr>
            </w:pPr>
          </w:p>
        </w:tc>
        <w:tc>
          <w:tcPr>
            <w:tcW w:w="1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57"/>
        </w:trPr>
        <w:tc>
          <w:tcPr>
            <w:tcW w:w="5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9"/>
              </w:rPr>
              <w:t>(Dollar in thousands)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56,956</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22222"/>
        </w:rPr>
        <w:t xml:space="preserve">Revenue </w:t>
      </w:r>
      <w:r>
        <w:rPr>
          <w:rFonts w:ascii="Times New Roman" w:cs="Times New Roman" w:eastAsia="Times New Roman" w:hAnsi="Times New Roman"/>
          <w:sz w:val="18"/>
          <w:szCs w:val="18"/>
          <w:color w:val="000000"/>
        </w:rPr>
        <w:t>decrease</w:t>
      </w:r>
      <w:r>
        <w:rPr>
          <w:rFonts w:ascii="Times New Roman" w:cs="Times New Roman" w:eastAsia="Times New Roman" w:hAnsi="Times New Roman"/>
          <w:sz w:val="18"/>
          <w:szCs w:val="18"/>
          <w:color w:val="222222"/>
        </w:rPr>
        <w:t xml:space="preserve">d by </w:t>
      </w:r>
      <w:r>
        <w:rPr>
          <w:rFonts w:ascii="Times New Roman" w:cs="Times New Roman" w:eastAsia="Times New Roman" w:hAnsi="Times New Roman"/>
          <w:sz w:val="18"/>
          <w:szCs w:val="18"/>
          <w:color w:val="000000"/>
        </w:rPr>
        <w:t>12%</w:t>
      </w:r>
      <w:r>
        <w:rPr>
          <w:rFonts w:ascii="Times New Roman" w:cs="Times New Roman" w:eastAsia="Times New Roman" w:hAnsi="Times New Roman"/>
          <w:sz w:val="18"/>
          <w:szCs w:val="18"/>
          <w:color w:val="222222"/>
        </w:rPr>
        <w:t xml:space="preserve"> to </w:t>
      </w:r>
      <w:r>
        <w:rPr>
          <w:rFonts w:ascii="Times New Roman" w:cs="Times New Roman" w:eastAsia="Times New Roman" w:hAnsi="Times New Roman"/>
          <w:sz w:val="18"/>
          <w:szCs w:val="18"/>
          <w:color w:val="000000"/>
        </w:rPr>
        <w:t>$57.0 million</w:t>
      </w:r>
      <w:r>
        <w:rPr>
          <w:rFonts w:ascii="Times New Roman" w:cs="Times New Roman" w:eastAsia="Times New Roman" w:hAnsi="Times New Roman"/>
          <w:sz w:val="18"/>
          <w:szCs w:val="18"/>
          <w:color w:val="222222"/>
        </w:rPr>
        <w:t xml:space="preserve"> for the three months ended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22222"/>
        </w:rPr>
        <w:t xml:space="preserve"> from </w:t>
      </w:r>
      <w:r>
        <w:rPr>
          <w:rFonts w:ascii="Times New Roman" w:cs="Times New Roman" w:eastAsia="Times New Roman" w:hAnsi="Times New Roman"/>
          <w:sz w:val="18"/>
          <w:szCs w:val="18"/>
          <w:color w:val="000000"/>
        </w:rPr>
        <w:t>$64.7 million</w:t>
      </w:r>
      <w:r>
        <w:rPr>
          <w:rFonts w:ascii="Times New Roman" w:cs="Times New Roman" w:eastAsia="Times New Roman" w:hAnsi="Times New Roman"/>
          <w:sz w:val="18"/>
          <w:szCs w:val="18"/>
          <w:color w:val="222222"/>
        </w:rPr>
        <w:t xml:space="preserve"> for the comparable period in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22222"/>
        </w:rPr>
        <w:t xml:space="preserve">. This decrease in revenue is due to a decrease in hosted services of </w:t>
      </w:r>
      <w:r>
        <w:rPr>
          <w:rFonts w:ascii="Times New Roman" w:cs="Times New Roman" w:eastAsia="Times New Roman" w:hAnsi="Times New Roman"/>
          <w:sz w:val="18"/>
          <w:szCs w:val="18"/>
          <w:color w:val="000000"/>
        </w:rPr>
        <w:t>$5.8 million primarily driven by customer cancellations and downsells</w:t>
      </w:r>
      <w:r>
        <w:rPr>
          <w:rFonts w:ascii="Times New Roman" w:cs="Times New Roman" w:eastAsia="Times New Roman" w:hAnsi="Times New Roman"/>
          <w:sz w:val="18"/>
          <w:szCs w:val="18"/>
          <w:color w:val="222222"/>
        </w:rPr>
        <w:t xml:space="preserve"> and a decrease in professional services of </w:t>
      </w:r>
      <w:r>
        <w:rPr>
          <w:rFonts w:ascii="Times New Roman" w:cs="Times New Roman" w:eastAsia="Times New Roman" w:hAnsi="Times New Roman"/>
          <w:sz w:val="18"/>
          <w:szCs w:val="18"/>
          <w:color w:val="000000"/>
        </w:rPr>
        <w:t>$2.0 million</w:t>
      </w:r>
      <w:r>
        <w:rPr>
          <w:rFonts w:ascii="Times New Roman" w:cs="Times New Roman" w:eastAsia="Times New Roman" w:hAnsi="Times New Roman"/>
          <w:sz w:val="18"/>
          <w:szCs w:val="18"/>
          <w:color w:val="222222"/>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 expense shown separately below)</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500" w:type="dxa"/>
            <w:vAlign w:val="bottom"/>
            <w:tcBorders>
              <w:bottom w:val="single" w:sz="8" w:color="auto"/>
            </w:tcBorders>
          </w:tcPr>
          <w:p>
            <w:pPr>
              <w:spacing w:after="0"/>
              <w:rPr>
                <w:sz w:val="20"/>
                <w:szCs w:val="20"/>
                <w:color w:val="auto"/>
              </w:rPr>
            </w:pPr>
          </w:p>
        </w:tc>
      </w:tr>
      <w:tr>
        <w:trPr>
          <w:trHeight w:val="228"/>
        </w:trPr>
        <w:tc>
          <w:tcPr>
            <w:tcW w:w="50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57"/>
        </w:trPr>
        <w:tc>
          <w:tcPr>
            <w:tcW w:w="5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(Dollar in thousands)</w:t>
            </w: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15,525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18,218</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(2,693)</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Headcount (at period end)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 decreased by 15% to $15.5 million for the three months ended March 31, 2026 from $18.2 million for the comparable period in 2025. This decrease in expense is primarily attributable to a decrease in software and hosting expenses of $1.2 million, a decrease in business services and outsourced expenses of $1.1 million, and a decrease in salary, stock-based compensation and employee-related expenses of $0.4 million due to restructuring activities.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of compensation and related expenses for sales and marketing personnel, as well as advertising, marketing events, public relations, trade show exhibit expenses and allocated occupancy costs and related overhead.</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5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520" w:type="dxa"/>
            <w:vAlign w:val="bottom"/>
            <w:tcBorders>
              <w:bottom w:val="single" w:sz="8" w:color="auto"/>
            </w:tcBorders>
          </w:tcPr>
          <w:p>
            <w:pPr>
              <w:spacing w:after="0"/>
              <w:rPr>
                <w:sz w:val="20"/>
                <w:szCs w:val="20"/>
                <w:color w:val="auto"/>
              </w:rPr>
            </w:pPr>
          </w:p>
        </w:tc>
      </w:tr>
      <w:tr>
        <w:trPr>
          <w:trHeight w:val="228"/>
        </w:trPr>
        <w:tc>
          <w:tcPr>
            <w:tcW w:w="50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7"/>
                <w:szCs w:val="17"/>
                <w:b w:val="1"/>
                <w:bCs w:val="1"/>
                <w:color w:val="auto"/>
              </w:rPr>
              <w:t>2026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57"/>
        </w:trPr>
        <w:tc>
          <w:tcPr>
            <w:tcW w:w="5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(Dollar in thousands)</w:t>
            </w: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13,770</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23,485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(9,715)</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Headcount (at period end)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200" w:lineRule="exact"/>
        <w:rPr>
          <w:sz w:val="20"/>
          <w:szCs w:val="20"/>
          <w:color w:val="auto"/>
        </w:rPr>
      </w:pP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37" w:name="page38"/>
    <w:bookmarkEnd w:id="3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by 41% to $13.8 million for the three months ended March 31, 2026 from $23.5 million for the comparable period in 2025. This decrease was primarily attributable to a decrease in salary, stock-based compensation expense and employee-related expenses of $7.7 million due to restructuring activities, a decrease in marketing expenses of $1.0 million, a decrease in business services and outsourced expenses of $0.7 million, and a decrease in software and hosting expenses of $0.4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500" w:type="dxa"/>
            <w:vAlign w:val="bottom"/>
            <w:tcBorders>
              <w:bottom w:val="single" w:sz="8" w:color="auto"/>
            </w:tcBorders>
          </w:tcPr>
          <w:p>
            <w:pPr>
              <w:spacing w:after="0"/>
              <w:rPr>
                <w:sz w:val="20"/>
                <w:szCs w:val="20"/>
                <w:color w:val="auto"/>
              </w:rPr>
            </w:pPr>
          </w:p>
        </w:tc>
      </w:tr>
      <w:tr>
        <w:trPr>
          <w:trHeight w:val="228"/>
        </w:trPr>
        <w:tc>
          <w:tcPr>
            <w:tcW w:w="50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57"/>
        </w:trPr>
        <w:tc>
          <w:tcPr>
            <w:tcW w:w="5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(Dollar in thousands)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12,120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16,784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Headcount (at period end)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3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decreased by 28% to $12.1 million for the three months ended March 31, 2026 from $16.8 million for the comparable period in 2025. This is primarily attributable to a decrease in salary, stock-based compensation expense and employee-related expenses of $1.8 million due to restructuring activities, and a decrease in legal costs of $2.8 million.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25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520" w:type="dxa"/>
            <w:vAlign w:val="bottom"/>
            <w:tcBorders>
              <w:bottom w:val="single" w:sz="8" w:color="auto"/>
            </w:tcBorders>
          </w:tcPr>
          <w:p>
            <w:pPr>
              <w:spacing w:after="0"/>
              <w:rPr>
                <w:sz w:val="20"/>
                <w:szCs w:val="20"/>
                <w:color w:val="auto"/>
              </w:rPr>
            </w:pPr>
          </w:p>
        </w:tc>
      </w:tr>
      <w:tr>
        <w:trPr>
          <w:trHeight w:val="228"/>
        </w:trPr>
        <w:tc>
          <w:tcPr>
            <w:tcW w:w="5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57"/>
        </w:trPr>
        <w:tc>
          <w:tcPr>
            <w:tcW w:w="5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(Dollar in thousands)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12,180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16,034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Headcount (at period end)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Product development costs decreased by 24% to $12.2 million for the three months ended March 31, 2026 from $16.0 million for the comparable period in 2025. This decrease is primarily related to a decrease in salary, stock-based compensation expense and employee-related expenses of $3.7 million due to restructuring activities, and a decrease in business services and outsourced expenses of $0.3 million.</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continued to make investments in public cloud migration, and in the Conversational Cloud. While innovation remains a core component of our strategy, we are operating in a competitive environment characterized by aggressive investment in artificial intelligence and other technological innovation by competitors with significant resources and investment capital. During the three months ended March 31, 2026 and 2025, $2.4 million and $3.3 million was capitalized,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depreciation and amortization expense relates to depreciation and amortization of our property and equipment and to amortization of our intangible assets and finance leases.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5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420" w:type="dxa"/>
            <w:vAlign w:val="bottom"/>
            <w:tcBorders>
              <w:bottom w:val="single" w:sz="8" w:color="auto"/>
            </w:tcBorders>
          </w:tcPr>
          <w:p>
            <w:pPr>
              <w:spacing w:after="0"/>
              <w:rPr>
                <w:sz w:val="20"/>
                <w:szCs w:val="20"/>
                <w:color w:val="auto"/>
              </w:rPr>
            </w:pPr>
          </w:p>
        </w:tc>
      </w:tr>
      <w:tr>
        <w:trPr>
          <w:trHeight w:val="228"/>
        </w:trPr>
        <w:tc>
          <w:tcPr>
            <w:tcW w:w="50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57"/>
        </w:trPr>
        <w:tc>
          <w:tcPr>
            <w:tcW w:w="5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2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(Dollar in thousands)</w:t>
            </w: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5,112</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5,818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3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depreciation and amortization expense decreased by 12% to $5.1 million for the three months ended March 31, 2026 from $5.8 million for the comparable period in 2025. There were no impairments of property and equipment in 2025 and the first quarter of 2026, but we did record a non-cash impairment charge of $2.1 million related to patents in the fourth quarter of 2025 as a result of our annual impairment test, thus reducing our amortizable asset balance.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restructuring initiatives to realign our cost structure with our current business model, in which we have flattened the organization to align to more efficient sales and service support. While the Company’s restructuring efforts are ongoing, the 2025 restructuring activities were considered to be substantially completed as of December 31, 2025.</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460" w:type="dxa"/>
            <w:vAlign w:val="bottom"/>
            <w:tcBorders>
              <w:bottom w:val="single" w:sz="8" w:color="auto"/>
            </w:tcBorders>
          </w:tcPr>
          <w:p>
            <w:pPr>
              <w:spacing w:after="0"/>
              <w:rPr>
                <w:sz w:val="20"/>
                <w:szCs w:val="20"/>
                <w:color w:val="auto"/>
              </w:rPr>
            </w:pPr>
          </w:p>
        </w:tc>
      </w:tr>
      <w:tr>
        <w:trPr>
          <w:trHeight w:val="228"/>
        </w:trPr>
        <w:tc>
          <w:tcPr>
            <w:tcW w:w="5000" w:type="dxa"/>
            <w:vAlign w:val="bottom"/>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7"/>
                <w:szCs w:val="17"/>
                <w:b w:val="1"/>
                <w:bCs w:val="1"/>
                <w:color w:val="auto"/>
              </w:rPr>
              <w:t>2026</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57"/>
        </w:trPr>
        <w:tc>
          <w:tcPr>
            <w:tcW w:w="5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(Dollar in thousands)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04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04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restructuring costs for the three months ended March 31, 2026, compared to $1.3 million for the three months ended March 31,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(Expense) Income, net</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represents interest expense from our senior notes, and amortization of debt issuance costs and debt discount. Interest income represents interest earned from cash deposits. Other income, net consists primarily of fair value adjustments for our Warrants and foreign currency gains and losses.</w:t>
      </w:r>
    </w:p>
    <w:p>
      <w:pPr>
        <w:spacing w:after="0" w:line="344"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center"/>
              <w:ind w:right="11"/>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228"/>
        </w:trPr>
        <w:tc>
          <w:tcPr>
            <w:tcW w:w="5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57"/>
        </w:trPr>
        <w:tc>
          <w:tcPr>
            <w:tcW w:w="5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(Dollar in thousands)</w:t>
            </w: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7"/>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rPr>
              <w:t>(7,478)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8"/>
              </w:rPr>
              <w:t>1,457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8"/>
              </w:rPr>
              <w:t>8,487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8"/>
              </w:rPr>
              <w:t>2,466</w:t>
            </w:r>
          </w:p>
        </w:tc>
        <w:tc>
          <w:tcPr>
            <w:tcW w:w="120" w:type="dxa"/>
            <w:vAlign w:val="bottom"/>
          </w:tcPr>
          <w:p>
            <w:pPr>
              <w:spacing w:after="0"/>
              <w:rPr>
                <w:sz w:val="19"/>
                <w:szCs w:val="19"/>
                <w:color w:val="auto"/>
              </w:rPr>
            </w:pPr>
          </w:p>
        </w:tc>
        <w:tc>
          <w:tcPr>
            <w:tcW w:w="2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w:t>
            </w:r>
          </w:p>
        </w:tc>
      </w:tr>
    </w:tbl>
    <w:p>
      <w:pPr>
        <w:spacing w:after="0" w:line="3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other (expense) income, net was an expense of $6.8 million for the three months ended March 31, 2026 compared to income of $2.5 million for the comparable period in 2025. This change is primarily due to the $7.7 million reduction in the fair value adjustment of our Warrants recorded in other income, net. Other (expense) income, net for the current period also reflects an increase in interest expense of $0.8 million due to the PIK feature of the 2029 Notes, and $1.0 million decrease in interest income from our money market accounts.</w:t>
      </w:r>
    </w:p>
    <w:p>
      <w:pPr>
        <w:sectPr>
          <w:pgSz w:w="11900" w:h="16838" w:orient="portrait"/>
          <w:cols w:equalWidth="0" w:num="1">
            <w:col w:w="11240"/>
          </w:cols>
          <w:pgMar w:left="320" w:top="10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50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540" w:type="dxa"/>
            <w:vAlign w:val="bottom"/>
            <w:tcBorders>
              <w:bottom w:val="single" w:sz="8" w:color="auto"/>
            </w:tcBorders>
          </w:tcPr>
          <w:p>
            <w:pPr>
              <w:spacing w:after="0"/>
              <w:rPr>
                <w:sz w:val="20"/>
                <w:szCs w:val="20"/>
                <w:color w:val="auto"/>
              </w:rPr>
            </w:pPr>
          </w:p>
        </w:tc>
      </w:tr>
      <w:tr>
        <w:trPr>
          <w:trHeight w:val="228"/>
        </w:trPr>
        <w:tc>
          <w:tcPr>
            <w:tcW w:w="50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49"/>
        </w:trPr>
        <w:tc>
          <w:tcPr>
            <w:tcW w:w="5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(Dollar in thousands)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3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r>
    </w:tbl>
    <w:p>
      <w:pPr>
        <w:spacing w:after="0" w:line="3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Provision for income taxes was $0.3 million for the three months ended March 31, 2026, compared to a benefit from income taxes of $0.3 million for the comparable period. Our consolidated effective tax rate was impacted by the statutory income tax rates applicable to each of the jurisdictions in which we operate, valuation allowance recorded against losses generated in the U.S. and Germany, UK stock compensation windfall, and changes to unrecognized tax benefits in Israel. The overall tax provision recorded represents tax on non-U.S. earnings in the various jurisdictions in which we operate and the provision for U.S. state and local impacts. The total tax expense associated with non-U.S. jurisdictions is relatively consistent between periods.</w:t>
      </w:r>
    </w:p>
    <w:p>
      <w:pPr>
        <w:spacing w:after="0" w:line="22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describes the Company’s cash flows for the three months ended March 31, 2026 and 2025:</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44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311"/>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8"/>
        </w:trPr>
        <w:tc>
          <w:tcPr>
            <w:tcW w:w="44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57"/>
        </w:trPr>
        <w:tc>
          <w:tcPr>
            <w:tcW w:w="44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22"/>
                <w:szCs w:val="22"/>
                <w:color w:val="auto"/>
              </w:rPr>
            </w:pPr>
          </w:p>
        </w:tc>
      </w:tr>
      <w:tr>
        <w:trPr>
          <w:trHeight w:val="217"/>
        </w:trPr>
        <w:tc>
          <w:tcPr>
            <w:tcW w:w="802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Condensed Consolidated Statements of Cash Flows Data:</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4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10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(3,096)</w:t>
            </w:r>
          </w:p>
        </w:tc>
      </w:tr>
      <w:tr>
        <w:trPr>
          <w:trHeight w:val="230"/>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3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we had approximately $101.5 million in cash and cash equivalents, an increase of $6.5 million from December 31, 2025. The increase is primarily attributable to favorable working capital management partially offset by purchases of property and equipment and capitalization of internal-use software development costs of $2.6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$9.5 million for the three months ended March 31, 2026. Our net loss of $8.8 million includes the effect of non-cash expenses of depreciation and amortization expense of $5.1 million, stock-based compensation of $2.3 million, non-cash interest expense of $6.2 million, and amortization of debt issuance costs and accretion of debt discount of $2.0 million, partially offset by a gain from the change in the fair value of our Warrants of $1.1 million. This was further driven by an increase in accounts receivable of $2.5 million, and a decrease in accounts payable, accrued expenses and other current liabilities of $0.6 million, partially offset by a decrease in contract acquisition costs of $3.1 million, and an increase in deferred revenue of $3.7 million.</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$3.1 million for the three months ended March 31, 2025. Our net loss of $14.1 million includes the effect of non-cash expenses of depreciation and amortization expense of $5.8 million, stock-based compensation of $4.7 million, non-cash interest expense of $5.7 million, and amortization of debt issuance costs and accretion of debt discount of $1.8 million, partially offset by a gain from the change in the fair value of our Warrants of $8.8 million. This was further driven by a decrease in accounts payable, accrued expenses and other current liabilities of $5.9 million, partially offset by a decrease in prepaid expenses and other current assets of $3.6 million, a decrease in contract acquisition costs of $1.7 million, and an increase in deferred revenue of $3.2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4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$2.9 million and $4.1 million for the three months ended March 31, 2026 and 2025, respectively, and was primarily driven by purchases of property and equipment and capitalization of internal-use software development costs for both periods.</w:t>
      </w:r>
    </w:p>
    <w:p>
      <w:pPr>
        <w:spacing w:after="0" w:line="200" w:lineRule="exact"/>
        <w:rPr>
          <w:sz w:val="20"/>
          <w:szCs w:val="20"/>
          <w:color w:val="auto"/>
        </w:rPr>
      </w:pPr>
    </w:p>
    <w:p>
      <w:pPr>
        <w:spacing w:after="0" w:line="34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 was not material for the three months ended March 31, 2026 and 2025.</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incurred significant expenses to develop our technology and services and to hire employees in our customer service and sales and marketing departments, as well as acquisition costs and non-cash compensation costs. Historically, we have incurred net losses and negative cash flows for various quarterly and annual periods since our inception, including during numerous quarters and annual periods in the past several years. As of March 31, 2026, we had an accumulated deficit of $1,067.3 million.</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principal sources of liquidity are the net proceeds from the issuance of our convertible senior notes, after deducting purchaser discounts as applicable and debt issuance costs paid by us, and payments received from customers using our products. 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financing, we may be required to further reduce the scope of our planned sales and marketing and product development efforts, which could materially adversely affect our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indenture governing the 2029 Notes includes a financial covenant that requires the Company to maintain a minimum cash balance of $60.0 million (excluding the proceeds of the 2029 Notes) at all times. Proceeds of the 2029 Notes may be used only to (i) pay interest, or cash settle, the 2029 Notes, (ii) cash settle the Warrants, (iii) exchange, repurchase, redeem, replace or otherwise refinance 2026 Notes (or refund or replenish cash of the Company or any of its subsidiaries used to do so), or (iv) pay or reimburse certain fees, costs and expenses related to the foregoing and the other transactions contemplated by the Exchange and Purchase Agreement as amended or otherwise modified from time to time.</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Upon conversion or exercise, the 2029 Notes and cash-settled warrants would be settled for cash. In addition, the 2026 Notes, the 2029 Notes and the Second Lien Notes are subject to repurchase at the option of holders if the Company undergoes a “Fundamental Change” (as defined in the indentures governing the 2026 Notes, the 2029 Notes and the Second Lien Notes, as applicable), and the 2026 Notes, the 2029 Notes and the Second Lien Notes are subject to events of default customary for notes issued in connection with similar transactions, which could result in the acceleration of amounts owed. See Note 8 – </w:t>
      </w:r>
      <w:r>
        <w:rPr>
          <w:rFonts w:ascii="Times New Roman" w:cs="Times New Roman" w:eastAsia="Times New Roman" w:hAnsi="Times New Roman"/>
          <w:sz w:val="18"/>
          <w:szCs w:val="18"/>
          <w:i w:val="1"/>
          <w:iCs w:val="1"/>
          <w:color w:val="auto"/>
        </w:rPr>
        <w:t>Senior Notes, Capped Call Transactions and Warrants</w:t>
      </w:r>
      <w:r>
        <w:rPr>
          <w:rFonts w:ascii="Times New Roman" w:cs="Times New Roman" w:eastAsia="Times New Roman" w:hAnsi="Times New Roman"/>
          <w:sz w:val="18"/>
          <w:szCs w:val="18"/>
          <w:color w:val="auto"/>
        </w:rPr>
        <w:t xml:space="preserve"> for additional information.</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from time to time, subject to board authorization and any applicable restrictions under contracts to which it may be or become a party, depending upon market conditions and the Company’s financing needs, use available funds to refinance or repurchase its outstanding debt or equity securities in privately negotiated or open market transactions, by tender offer or otherwise, in compliance with applicable laws, rules and regulations, at prices and on terms the Company deems appropriate (which, in the case of debt securities, may be below par) and subject to the Company’s cash requirements for other purposes and other factors management deems relevant.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engage in off-balance sheet financing arrangements.</w:t>
      </w:r>
    </w:p>
    <w:p>
      <w:pPr>
        <w:spacing w:after="0" w:line="2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actively monitor the movement of the U.S. dollar against the NIS, Pound Sterling, Euro, Australian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into these types of arrangements.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Collection Risks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accounts receivable are subject, in the normal course of business, to collection risks. We regularly assess these risks and have established policies and business practices to protect against the adverse effects of collection risks. During the</w:t>
      </w:r>
    </w:p>
    <w:p>
      <w:pPr>
        <w:spacing w:after="0" w:line="200" w:lineRule="exact"/>
        <w:rPr>
          <w:sz w:val="20"/>
          <w:szCs w:val="20"/>
          <w:color w:val="auto"/>
        </w:rPr>
      </w:pPr>
    </w:p>
    <w:p>
      <w:pPr>
        <w:spacing w:after="0" w:line="34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three months ended March 31, 2026, our allowance for credit losses increased by $0.3 million to $4.8 million. During the three months ended March 31, 2025, our allowance for credit losses decreased by $0.9 million to $7.7 million. A large proportion of our receivables are due from larger corporate customers that typically have longer payment cycles. We base our allowance for credit losses on specifically identified credit risks of customers, historical trends and other information that we believe to be reasonable. Receivables are written off and charged against the applicable recorded allowance when we have exhausted collection efforts without success. We adjust our allowance for credit losses when accounts previously reserved have been collected.</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 allowance for credit losses is established for losses expected to be incurred on accounts receivable balances. Judgment is required in the estimation of the allowance and we evaluate the collectability of our accounts receivable and contract assets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credit losses based on the creditworthiness of the debtor, the age and status of outstanding receivables, the current business environment and our historical collection experience adjusted for current expectations for the customer or industry.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investments consist of cash and cash equivalents. Therefore, changes in market interest rates do not affect in any material respect the value of the investments as recorded by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Our management, including the Chief Executive Officer and Chief Financial Officer, evaluated the effectiveness of our “disclosure controls and procedures,” as that term is defined in Rule 13a-15(e) promulgated under the Securities Exchange Act of 1934, as amended (the “Exchange Act”), as of March 31, 2026. Disclosure controls and procedures ensure that the information we are required to disclose in the reports that we file or submit under the Exchange Act is recorded, processed and summarized within the time periods specified in the Securities and Exchange Commission’s rules and forms, and ensure that such information is accumulated and communicated to our management, including the Chief Executive Officer and Chief Financial Officer, as appropriate to allow timely decisions regarding required disclosure. </w:t>
      </w:r>
      <w:r>
        <w:rPr>
          <w:rFonts w:ascii="Times New Roman" w:cs="Times New Roman" w:eastAsia="Times New Roman" w:hAnsi="Times New Roman"/>
          <w:sz w:val="18"/>
          <w:szCs w:val="18"/>
          <w:color w:val="1D1C1D"/>
        </w:rPr>
        <w:t>Based on that evaluation, the Chief Executive Officer and Chief Financial Officer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C1D"/>
        </w:rPr>
        <w:t xml:space="preserve">concluded that our disclosure controls and procedures were effective as of </w:t>
      </w:r>
      <w:r>
        <w:rPr>
          <w:rFonts w:ascii="Times New Roman" w:cs="Times New Roman" w:eastAsia="Times New Roman" w:hAnsi="Times New Roman"/>
          <w:sz w:val="18"/>
          <w:szCs w:val="18"/>
          <w:color w:val="000000"/>
        </w:rPr>
        <w:t>March 31, 2026.</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of the Effectiveness of Internal Control</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March 31, 2026 identified in connection with the evaluation thereof by our management, including the Chief Executive Officer and Chief Financial Officer, that have materially affected, or are reasonably likely to materially affect, the Company’s internal control over financial reporting.</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called for by this Item is incorporated herein by reference to Note 13 –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in the Notes to the Unaudited Condensed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in Part I, Item 1A. “Risk Factors” in our Annual Report on Form 10-K for the year ended December 31, 2025, filed on March 16, 2026, which could adversely affect our business, financial condition, results of operations, cash flows, and the trading price of our common stock. Other than as set forth below, there have been no material changes to the risk factors described in our most recent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Pending Merger with SoundHound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conditions to the completion of the Merger contained in the Merger Agreement are not satisfied, the Merger may not occur.</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completion of the Merger is subject to a number of conditions, including, among others, the approval of the Merger by the Company’s stockholders and the receipt of the requisite regulatory approvals. There can be no assurance that these required approvals will be obtained, or that they will be obtained in a timely manner, or whether they will be subject to required actions, conditions, limitations or restrictions on our, SoundHound’s or the combined company’s business, operations or assets. Many of the conditions to the completion of the Merger are not within our control, and we cannot predict when or if these conditions will be satisfied (or waived, if permitted by the Merger Agreement and applicable law). Difficulties in otherwise satisfying the conditions may prevent, delay, or otherwise materially adversely affect the completion of the Merger. Consequently, the completion of the Merger and timing thereof is uncertain. Also, both SoundHound and LivePerson may terminate the Merger Agreement under specified circumstances, including if the Merger has not been consummated by the end</w:t>
      </w:r>
    </w:p>
    <w:p>
      <w:pPr>
        <w:spacing w:after="0" w:line="200" w:lineRule="exact"/>
        <w:rPr>
          <w:sz w:val="20"/>
          <w:szCs w:val="20"/>
          <w:color w:val="auto"/>
        </w:rPr>
      </w:pPr>
    </w:p>
    <w:p>
      <w:pPr>
        <w:spacing w:after="0" w:line="37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date (subject to an automatic extension in certain circumstances). Termination of the Merger Agreement could result in a material adverse effect on our business, results of operations,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approvals may not be received, may take longer than expected, or may impose conditions that are not presently anticipated or that affect the anticipated benefits of the Merger.</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Before the Merger may be completed, various approvals, consents and non-objections must be obtained from regulatory authorities in certain jurisdictions. These approvals could be delayed or not obtained at all, which could disrupt our operations, or could delay or adversely affect completion of the Merger. The approvals that are granted may impose terms and conditions, including requiring the parties to seek divestitures of substantial assets, limitations, obligations or costs, or place restrictions on the conduct of the combined company’s business or require changes to the terms of the transactions contemplated by the Merger Agreement, which could affect the completion of the Merger.</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the Merger, or a delay in completing the Merger, could negatively impact our stock price and the future business, assets, liabilities, prospects, outlook, financial condition and results of operations of LivePerson or the combined company.</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Merger is not completed or is delayed, our ongoing business may be materially and adversely affected and, without realizing any of the benefits of having completed the Merger, we will be subject to numerous risks, including the following:</w:t>
      </w:r>
    </w:p>
    <w:p>
      <w:pPr>
        <w:spacing w:after="0" w:line="189" w:lineRule="exact"/>
        <w:rPr>
          <w:sz w:val="20"/>
          <w:szCs w:val="20"/>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decline to the extent that the current market price reflects the market assumption that the Merger will be completed and, thus, an “acquisition premium”;</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suppliers, vendors or customers could lose focus on our business, cease doing business with us, or curtail their activities with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of our ability to remain an independent, viable business may be diminished;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suffer reputational harm due to the adverse perception of any failure to successfully complete the Merger.</w:t>
      </w:r>
    </w:p>
    <w:p>
      <w:pPr>
        <w:spacing w:after="0" w:line="30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these risks will not materialize and will not materially adversely affect our business, results of operation and financial condition if the Merger is not completed.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restricts our ability to pursue alternatives to the Merger.</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Merger Agreement contains “no shop” covenants that restrict our ability to, directly or indirectly, among other things, solicit proposals relating to any alternative business combination or acquisition transactions and enter into any discussions concerning, or provide confidential information in connection with, any such alternative business combination or acquisition transactions. These provisions prevent us from engaging with a potential third-party acquirer that might have an interest in acquiring all or a significant part of the Company, and could discourage a potential third-party acquirer or merger partner from making an alternative proposal.</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to incur costs, fees, expenses, and charges related to the Merger and integration, and we may incur additional costs we do not currently anticipate.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incurred and expect to incur additional costs, fees, expenses, and charges related to the Merger and preparing for the integration of the business operations, systems, processes and personnel of LivePerson and SoundHound. These costs include, or are expected to include, legal, financial advisory, accounting, consulting and other advisory fees, retention, severance and employee benefit-related costs, public company filing fees and other regulatory fees. Many of these costs will be borne by us even if the Merger is not completed. Additional unanticipated costs may be incurred in connection with the Merger and the integration planning process.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While the Merger is pending, we are subject to contractual restrictions that could harm our business, operating results and stock price.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Agreement includes restrictions on the conduct of our business prior to the completion of the Merger, generally requiring us to conduct our businesses in the ordinary course, consistent with past practice, and restricting us from taking certain specified actions absent SoundHound’s prior written consent. These and other obligations in the Merger</w:t>
      </w:r>
    </w:p>
    <w:p>
      <w:pPr>
        <w:spacing w:after="0" w:line="200" w:lineRule="exact"/>
        <w:rPr>
          <w:sz w:val="20"/>
          <w:szCs w:val="20"/>
          <w:color w:val="auto"/>
        </w:rPr>
      </w:pPr>
    </w:p>
    <w:p>
      <w:pPr>
        <w:spacing w:after="0" w:line="35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Agreement may limit our ability to respond effectively to competitive pressures, industry developments and future business opportunities that may arise during such period, even if our management and board of directors think they may be advisable. These restrictions could adversely impact our business, operating results and stock price and our perceived acquisition value, regardless of whether the Merger is completed.</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associated with the Merger may cause a loss of our or SoundHound’s management and other key employees, which could adversely affect the future business and operations of the combined company following the Merger.</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depend on the experience and industry knowledge of our management personnel and other key employees to execute our business plans. The success of the combined company after the Merger will depend, in part, on its ability to retain or attract key management personnel and other key employees. During the pendency or following the completion of the Merger, our current or prospective employees may experience uncertainty or have concerns regarding their roles within the combined company, the timing and completion of the Merger, or the operations of the combined company, any of which may have an adverse effect on our ability to retain or attract key personnel. In addition, the Merger may divert management’s time and attention from the day-to-day operation of our business. If we are unable to retain personnel who are critical to the future operations of the combined company, we or the combined company could face disruptions in operations, loss of existing customers, loss of key information, expertise or know-how, and unanticipated additional recruitment and training costs. In addition, the loss of key personnel could diminish the anticipated benefits of the Merger. There can be no assurance that the combined company, following the Merger, will be able to retain or attract our key management personnel and other key employees to the same extent that we have previously been able to retain or attract our own employees.</w:t>
      </w:r>
    </w:p>
    <w:p>
      <w:pPr>
        <w:spacing w:after="0" w:line="2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Merger is completed, the combined company may not perform as we or the market expects and may fail to realize the anticipated benefits and cost savings of the Merger, which could adversely affect the value of SoundHound common stock that our stockholders will own following the completion of the Merger.</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success of the Merger will depend, in part, on SoundHound’s ability to realize the anticipated benefits and cost savings from combining our and SoundHound’s respective businesses. The anticipated benefits and cost savings of the Merger may not be realized fully or at all, may take longer to realize than expected, or could have other adverse effects that we do not currently foresee. Risks associated with the combined company following the Merger include the following:</w:t>
      </w:r>
    </w:p>
    <w:p>
      <w:pPr>
        <w:spacing w:after="0" w:line="207" w:lineRule="exact"/>
        <w:rPr>
          <w:sz w:val="20"/>
          <w:szCs w:val="20"/>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process will require significant time and focus from management following the Merger and may, for the combined company, result in the loss of key employees, the disruption of ongoing businesses, or inconsistencies in standards, controls, procedures, and policies;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operations of the combined company and the market price of the combined company’s common stock after the completion of the Merger may be affected by factors different from those currently affecting each of our and SoundHound’s independent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challenges or delays in assimilating or integrating LivePerson’s technology into SoundHound’s platform;</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suppliers or vendors may terminate or scale back their current or prospective business relationships with the combined company;</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potential unknown liabilities and unforeseen expenses associated with the Merger that were not discovered in the course of performing due diligence;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the SoundHound common stock in the Merger could depress the market price for the combined company’s common stock.</w:t>
      </w:r>
    </w:p>
    <w:p>
      <w:pPr>
        <w:spacing w:after="0" w:line="2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stockholders cannot be certain of the precise value of the merger consideration they may receive in the Merger, because the amount of SoundHound common stock to be received per share of LivePerson common stock depends on variables including our future cash balance and is subject to a floor and a ceiling with respect to the deemed value of a share of SoundHound common stock.</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aggregate quantity of shares of SoundHound common stock issuable to holders of LivePerson common stock in connection with the Merger will depend on our cash balance, repurchases of 2026 Notes, and the aggregate dollar amount of the exercise prices of certain LivePerson options. Further, the deemed value of a share of SoundHound common stock used to calculate the merger consideration will be subject to a floor of $7 per share and a ceiling of $12 per share. Accordingly, the market value of the merger consideration that our stockholders would receive upon completion of the Merger is uncertain. To the extent the market price of SoundHound common stock is below $7 per share, LivePerson stockholders would receive a</w:t>
      </w:r>
    </w:p>
    <w:p>
      <w:pPr>
        <w:spacing w:after="0" w:line="200" w:lineRule="exact"/>
        <w:rPr>
          <w:sz w:val="20"/>
          <w:szCs w:val="20"/>
          <w:color w:val="auto"/>
        </w:rPr>
      </w:pPr>
    </w:p>
    <w:p>
      <w:pPr>
        <w:spacing w:after="0" w:line="36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reduced amount of SoundHound common stock relative to its market value. The market price of SoundHound common stock is expected to fluctuate through and after the completion of the Merger as a result of a variety of factors, including general market and economic conditions, changes in our and SoundHound’s businesses, operations and prospects, and regulatory considerations. Many of these factors are outside of our and SoundHound’s control.</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stockholders will have a reduced ownership and voting interest in the combined company after the Merger and will exercise less influence over management.</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completion of the Merger, each of our stockholders who receives shares of SoundHound common stock will become a stockholder of SoundHound with a percentage ownership of SoundHound that is smaller than their current percentage ownership of LivePerson. As a result, even if all of our former stockholders were to vote together on all matters presented to SoundHound stockholders from time to time, our former stockholders would exercise significantly less influence over the combined company after the completion of the Merger relative to their influence over us now, and thus would have a less significant impact on the election of the combined company’s board of directors and on the approval or rejection of future proposals submitted to a stockholder vote of the combined company’s stockholders.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relating to the proposed Merger may be filed against LivePerson, SoundHound and/or each company’s board of directors that could prevent or delay the closing of the Merger, or result in the payment of damages or have an adverse effect on the trading prices of our securities.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Litigation is a common occurrence in connection with transactions similar to the proposed Merger. In connection with the proposed Merger, it is possible that our stockholders or SoundHound’s stockholders or other third parties may file lawsuits against LivePerson, SoundHound, and/or each company’s board of directors. Among other remedies, these stockholders could seek damages or to enjoin the Merger. Any such potential lawsuits could prevent or delay the closing or result in substantial costs to us. The outcome of any such actions would be uncertain and may create uncertainty relating to the Merger and may be costly and distracting to management. Further, the defense or settlement of any lawsuit or claim that remains unresolved at the time of the Merger may adversely affect our business, financial condition, results of operations and cash flows or those of the combined company. In addition, if the Merger is not completed for any reason, litigation could be filed in connection with the failure to complete the Merger. Potential litigation relating to the Merger or the threat thereof may have an adverse effect on the trading prices of our securities or could result in a material adverse effect on our business, results of operations, and financial condition.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unregistered sales of equity securities by the issuer during the three months ended March 31,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Equity Securities by the Issuer</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repurchases of equity securities by the issuer during the three months ended March 31, 2026.</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left="900" w:hanging="24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firstLine="656"/>
        <w:spacing w:after="0" w:line="282" w:lineRule="auto"/>
        <w:tabs>
          <w:tab w:leader="none" w:pos="8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no director or executive officer of the Company adopted or terminated a “Rule 10b5-1 trading arrangement” or “non-Rule 10b5-1 trading arrangement,” as each term is defined in Item 408(a) of Regulations S-K.</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2.1</w:t>
      </w:r>
    </w:p>
    <w:p>
      <w:pPr>
        <w:spacing w:after="0" w:line="200" w:lineRule="exact"/>
        <w:rPr>
          <w:sz w:val="20"/>
          <w:szCs w:val="20"/>
          <w:color w:val="auto"/>
        </w:rPr>
      </w:pP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6" w:lineRule="exact"/>
        <w:rPr>
          <w:sz w:val="20"/>
          <w:szCs w:val="20"/>
          <w:color w:val="auto"/>
        </w:rPr>
      </w:pPr>
    </w:p>
    <w:p>
      <w:pPr>
        <w:ind w:right="40"/>
        <w:spacing w:after="0" w:line="280" w:lineRule="auto"/>
        <w:rPr>
          <w:rFonts w:ascii="Times New Roman" w:cs="Times New Roman" w:eastAsia="Times New Roman" w:hAnsi="Times New Roman"/>
          <w:sz w:val="16"/>
          <w:szCs w:val="16"/>
          <w:u w:val="single" w:color="auto"/>
          <w:color w:val="0000FF"/>
        </w:rPr>
      </w:pPr>
      <w:hyperlink r:id="rId63">
        <w:r>
          <w:rPr>
            <w:rFonts w:ascii="Times New Roman" w:cs="Times New Roman" w:eastAsia="Times New Roman" w:hAnsi="Times New Roman"/>
            <w:sz w:val="16"/>
            <w:szCs w:val="16"/>
            <w:u w:val="single" w:color="auto"/>
            <w:color w:val="0000FF"/>
          </w:rPr>
          <w:t>Merger Agreement, dated as of April 21, 2026, by and among SoundHound AI, Inc., Lightspeed Merger Sub Inc. and LivePerson, Inc. (incorporated by</w:t>
        </w:r>
      </w:hyperlink>
      <w:r>
        <w:rPr>
          <w:rFonts w:ascii="Times New Roman" w:cs="Times New Roman" w:eastAsia="Times New Roman" w:hAnsi="Times New Roman"/>
          <w:sz w:val="16"/>
          <w:szCs w:val="16"/>
          <w:u w:val="single" w:color="auto"/>
          <w:color w:val="0000FF"/>
        </w:rPr>
        <w:t xml:space="preserve"> </w:t>
      </w:r>
      <w:hyperlink r:id="rId63">
        <w:r>
          <w:rPr>
            <w:rFonts w:ascii="Times New Roman" w:cs="Times New Roman" w:eastAsia="Times New Roman" w:hAnsi="Times New Roman"/>
            <w:sz w:val="16"/>
            <w:szCs w:val="16"/>
            <w:u w:val="single" w:color="auto"/>
            <w:color w:val="0000FF"/>
          </w:rPr>
          <w:t>reference to Exhibit 2.1 to Current Report on Form 8-K filed by SoundHound AI, Inc. on April 21,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-271780</wp:posOffset>
            </wp:positionV>
            <wp:extent cx="7132320"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5" w:lineRule="exact"/>
        <w:rPr>
          <w:sz w:val="20"/>
          <w:szCs w:val="20"/>
          <w:color w:val="auto"/>
        </w:rPr>
      </w:pPr>
    </w:p>
    <w:p>
      <w:pPr>
        <w:ind w:right="20"/>
        <w:spacing w:after="0" w:line="280" w:lineRule="auto"/>
        <w:rPr>
          <w:rFonts w:ascii="Times New Roman" w:cs="Times New Roman" w:eastAsia="Times New Roman" w:hAnsi="Times New Roman"/>
          <w:sz w:val="16"/>
          <w:szCs w:val="16"/>
          <w:u w:val="single" w:color="auto"/>
          <w:color w:val="0000FF"/>
        </w:rPr>
      </w:pPr>
      <w:hyperlink r:id="rId65">
        <w:r>
          <w:rPr>
            <w:rFonts w:ascii="Times New Roman" w:cs="Times New Roman" w:eastAsia="Times New Roman" w:hAnsi="Times New Roman"/>
            <w:sz w:val="16"/>
            <w:szCs w:val="16"/>
            <w:u w:val="single" w:color="auto"/>
            <w:color w:val="0000FF"/>
          </w:rPr>
          <w:t>Fourth Amended and Restated By-Laws of LivePerson, Inc., as amended (incorporated by reference to Exhibit 3.1 to LivePerson’s Annual Report on</w:t>
        </w:r>
      </w:hyperlink>
      <w:r>
        <w:rPr>
          <w:rFonts w:ascii="Times New Roman" w:cs="Times New Roman" w:eastAsia="Times New Roman" w:hAnsi="Times New Roman"/>
          <w:sz w:val="16"/>
          <w:szCs w:val="16"/>
          <w:u w:val="single" w:color="auto"/>
          <w:color w:val="0000FF"/>
        </w:rPr>
        <w:t xml:space="preserve"> </w:t>
      </w:r>
      <w:hyperlink r:id="rId65">
        <w:r>
          <w:rPr>
            <w:rFonts w:ascii="Times New Roman" w:cs="Times New Roman" w:eastAsia="Times New Roman" w:hAnsi="Times New Roman"/>
            <w:sz w:val="16"/>
            <w:szCs w:val="16"/>
            <w:u w:val="single" w:color="auto"/>
            <w:color w:val="0000FF"/>
          </w:rPr>
          <w:t>Form 10-K/A filed on April 30,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-271780</wp:posOffset>
            </wp:positionV>
            <wp:extent cx="7132320"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640" w:space="720"/>
            <w:col w:w="9880"/>
          </w:cols>
          <w:pgMar w:left="320" w:top="1089" w:right="339" w:bottom="1440" w:gutter="0" w:footer="0" w:header="0"/>
          <w:type w:val="continuous"/>
        </w:sectPr>
      </w:pPr>
    </w:p>
    <w:p>
      <w:pPr>
        <w:ind w:left="1360"/>
        <w:spacing w:after="0"/>
        <w:rPr>
          <w:rFonts w:ascii="Times New Roman" w:cs="Times New Roman" w:eastAsia="Times New Roman" w:hAnsi="Times New Roman"/>
          <w:sz w:val="16"/>
          <w:szCs w:val="16"/>
          <w:u w:val="single" w:color="auto"/>
          <w:color w:val="0000FF"/>
        </w:rPr>
      </w:pPr>
      <w:hyperlink r:id="rId67">
        <w:r>
          <w:rPr>
            <w:rFonts w:ascii="Times New Roman" w:cs="Times New Roman" w:eastAsia="Times New Roman" w:hAnsi="Times New Roman"/>
            <w:sz w:val="16"/>
            <w:szCs w:val="16"/>
            <w:u w:val="single" w:color="auto"/>
            <w:color w:val="0000FF"/>
          </w:rPr>
          <w:t>Notes Restructuring Agreement, dated as of April 21, 2026, by and among SoundHound AI, Inc., LivePerson, Inc. and each holder of LivePerson’s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3860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3" w:lineRule="exact"/>
        <w:rPr>
          <w:sz w:val="20"/>
          <w:szCs w:val="20"/>
          <w:color w:val="auto"/>
        </w:rPr>
      </w:pPr>
    </w:p>
    <w:p>
      <w:pPr>
        <w:ind w:left="1360" w:right="20" w:hanging="1016"/>
        <w:spacing w:after="0" w:line="257" w:lineRule="auto"/>
        <w:tabs>
          <w:tab w:leader="none" w:pos="13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w:t>
      </w:r>
      <w:r>
        <w:rPr>
          <w:sz w:val="20"/>
          <w:szCs w:val="20"/>
          <w:color w:val="auto"/>
        </w:rPr>
        <w:tab/>
      </w:r>
      <w:hyperlink r:id="rId67">
        <w:r>
          <w:rPr>
            <w:rFonts w:ascii="Times New Roman" w:cs="Times New Roman" w:eastAsia="Times New Roman" w:hAnsi="Times New Roman"/>
            <w:sz w:val="16"/>
            <w:szCs w:val="16"/>
            <w:u w:val="single" w:color="auto"/>
            <w:color w:val="0000FF"/>
          </w:rPr>
          <w:t>First Lien Convertible Senior Notes due 2029 and Second Lien Senior Subordinated Secured Notes due 2029 (incorporated by reference to Exhibit 10.1</w:t>
        </w:r>
      </w:hyperlink>
      <w:r>
        <w:rPr>
          <w:rFonts w:ascii="Times New Roman" w:cs="Times New Roman" w:eastAsia="Times New Roman" w:hAnsi="Times New Roman"/>
          <w:sz w:val="16"/>
          <w:szCs w:val="16"/>
          <w:u w:val="single" w:color="auto"/>
          <w:color w:val="0000FF"/>
        </w:rPr>
        <w:t xml:space="preserve"> </w:t>
      </w:r>
      <w:hyperlink r:id="rId67">
        <w:r>
          <w:rPr>
            <w:rFonts w:ascii="Times New Roman" w:cs="Times New Roman" w:eastAsia="Times New Roman" w:hAnsi="Times New Roman"/>
            <w:sz w:val="16"/>
            <w:szCs w:val="16"/>
            <w:u w:val="single" w:color="auto"/>
            <w:color w:val="0000FF"/>
          </w:rPr>
          <w:t>to LivePerson’s Current Report on Form 8-K filed on April 21, 2026)</w:t>
        </w:r>
      </w:hyperlink>
    </w:p>
    <w:p>
      <w:pPr>
        <w:sectPr>
          <w:pgSz w:w="11900" w:h="16838" w:orient="portrait"/>
          <w:cols w:equalWidth="0" w:num="1">
            <w:col w:w="11240"/>
          </w:cols>
          <w:pgMar w:left="320" w:top="1089" w:right="339" w:bottom="1440" w:gutter="0" w:footer="0" w:header="0"/>
          <w:type w:val="continuous"/>
        </w:sectPr>
      </w:pPr>
    </w:p>
    <w:p>
      <w:pPr>
        <w:spacing w:after="0" w:line="276"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6"/>
          <w:szCs w:val="16"/>
          <w:color w:val="auto"/>
        </w:rPr>
        <w:t>31.1</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10"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6"/>
          <w:szCs w:val="16"/>
          <w:color w:val="auto"/>
        </w:rPr>
        <w:t>31.2</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u w:val="single" w:color="auto"/>
          <w:color w:val="0000FF"/>
        </w:rPr>
        <w:t>Certification by principal executive officer pursuant to Exchange Act Rule 13a-14(a) and 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-271780</wp:posOffset>
            </wp:positionV>
            <wp:extent cx="7132320"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5"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u w:val="single" w:color="auto"/>
          <w:color w:val="0000FF"/>
        </w:rPr>
        <w:t>Certification by principal financial officer pursuant to Exchange Act Rule 13a-14(a) and 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-271780</wp:posOffset>
            </wp:positionV>
            <wp:extent cx="713232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1060" w:space="300"/>
            <w:col w:w="988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32.1</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9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0000FF"/>
              </w:rPr>
              <w:t>Certification by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62"/>
        </w:trPr>
        <w:tc>
          <w:tcPr>
            <w:tcW w:w="88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5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32.2</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9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0000FF"/>
              </w:rPr>
              <w:t>Certification by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62"/>
        </w:trPr>
        <w:tc>
          <w:tcPr>
            <w:tcW w:w="88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56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101.INS</w:t>
            </w:r>
          </w:p>
        </w:tc>
        <w:tc>
          <w:tcPr>
            <w:tcW w:w="3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980" w:type="dxa"/>
            <w:vAlign w:val="bottom"/>
            <w:gridSpan w:val="4"/>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129"/>
        </w:trPr>
        <w:tc>
          <w:tcPr>
            <w:tcW w:w="880" w:type="dxa"/>
            <w:vAlign w:val="bottom"/>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9980" w:type="dxa"/>
            <w:vAlign w:val="bottom"/>
            <w:gridSpan w:val="4"/>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Inline XBRL document</w:t>
            </w:r>
          </w:p>
        </w:tc>
        <w:tc>
          <w:tcPr>
            <w:tcW w:w="0" w:type="dxa"/>
            <w:vAlign w:val="bottom"/>
          </w:tcPr>
          <w:p>
            <w:pPr>
              <w:spacing w:after="0"/>
              <w:rPr>
                <w:sz w:val="1"/>
                <w:szCs w:val="1"/>
                <w:color w:val="auto"/>
              </w:rPr>
            </w:pPr>
          </w:p>
        </w:tc>
      </w:tr>
      <w:tr>
        <w:trPr>
          <w:trHeight w:val="87"/>
        </w:trPr>
        <w:tc>
          <w:tcPr>
            <w:tcW w:w="8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9980" w:type="dxa"/>
            <w:vAlign w:val="bottom"/>
            <w:gridSpan w:val="4"/>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9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101.CAL</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9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101.DEF</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9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101.LAB</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9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101.PRE</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9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9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40"/>
        <w:spacing w:after="0"/>
        <w:tabs>
          <w:tab w:leader="none" w:pos="680" w:val="left"/>
        </w:tabs>
        <w:rPr>
          <w:sz w:val="20"/>
          <w:szCs w:val="20"/>
          <w:color w:val="auto"/>
        </w:rPr>
      </w:pPr>
      <w:r>
        <w:rPr>
          <w:rFonts w:ascii="Times New Roman" w:cs="Times New Roman" w:eastAsia="Times New Roman" w:hAnsi="Times New Roman"/>
          <w:sz w:val="18"/>
          <w:szCs w:val="18"/>
          <w:color w:val="auto"/>
        </w:rPr>
        <w:t>*</w:t>
        <w:tab/>
        <w:t>Filed herewith</w:t>
      </w:r>
    </w:p>
    <w:p>
      <w:pPr>
        <w:spacing w:after="0" w:line="117" w:lineRule="exact"/>
        <w:rPr>
          <w:sz w:val="20"/>
          <w:szCs w:val="20"/>
          <w:color w:val="auto"/>
        </w:rPr>
      </w:pPr>
    </w:p>
    <w:p>
      <w:pPr>
        <w:ind w:left="440"/>
        <w:spacing w:after="0"/>
        <w:tabs>
          <w:tab w:leader="none" w:pos="780" w:val="left"/>
        </w:tabs>
        <w:rPr>
          <w:sz w:val="20"/>
          <w:szCs w:val="20"/>
          <w:color w:val="auto"/>
        </w:rPr>
      </w:pPr>
      <w:r>
        <w:rPr>
          <w:rFonts w:ascii="Times New Roman" w:cs="Times New Roman" w:eastAsia="Times New Roman" w:hAnsi="Times New Roman"/>
          <w:sz w:val="18"/>
          <w:szCs w:val="18"/>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47" w:name="page48"/>
    <w:bookmarkEnd w:id="47"/>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400" w:type="dxa"/>
            <w:vAlign w:val="bottom"/>
            <w:gridSpan w:val="2"/>
          </w:tcPr>
          <w:p>
            <w:pPr>
              <w:ind w:left="2300"/>
              <w:spacing w:after="0"/>
              <w:rPr>
                <w:sz w:val="20"/>
                <w:szCs w:val="20"/>
                <w:color w:val="auto"/>
              </w:rPr>
            </w:pPr>
            <w:r>
              <w:rPr>
                <w:rFonts w:ascii="Times New Roman" w:cs="Times New Roman" w:eastAsia="Times New Roman" w:hAnsi="Times New Roman"/>
                <w:sz w:val="16"/>
                <w:szCs w:val="16"/>
                <w:b w:val="1"/>
                <w:bCs w:val="1"/>
                <w:color w:val="auto"/>
              </w:rPr>
              <w:t>LIVEPERSON, INC.</w:t>
            </w:r>
          </w:p>
        </w:tc>
      </w:tr>
      <w:tr>
        <w:trPr>
          <w:trHeight w:val="216"/>
        </w:trPr>
        <w:tc>
          <w:tcPr>
            <w:tcW w:w="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12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(Registrant)</w:t>
            </w:r>
          </w:p>
        </w:tc>
        <w:tc>
          <w:tcPr>
            <w:tcW w:w="4280" w:type="dxa"/>
            <w:vAlign w:val="bottom"/>
          </w:tcPr>
          <w:p>
            <w:pPr>
              <w:spacing w:after="0"/>
              <w:rPr>
                <w:sz w:val="18"/>
                <w:szCs w:val="18"/>
                <w:color w:val="auto"/>
              </w:rPr>
            </w:pPr>
          </w:p>
        </w:tc>
      </w:tr>
      <w:tr>
        <w:trPr>
          <w:trHeight w:val="47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May 8, 2026</w:t>
            </w:r>
          </w:p>
        </w:tc>
        <w:tc>
          <w:tcPr>
            <w:tcW w:w="312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JOHN SABINO</w:t>
            </w:r>
          </w:p>
        </w:tc>
      </w:tr>
      <w:tr>
        <w:trPr>
          <w:trHeight w:val="210"/>
        </w:trPr>
        <w:tc>
          <w:tcPr>
            <w:tcW w:w="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12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Name:</w:t>
            </w:r>
          </w:p>
        </w:tc>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John Sabino</w:t>
            </w:r>
          </w:p>
        </w:tc>
      </w:tr>
      <w:tr>
        <w:trPr>
          <w:trHeight w:val="270"/>
        </w:trPr>
        <w:tc>
          <w:tcPr>
            <w:tcW w:w="54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312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Title:</w:t>
            </w:r>
          </w:p>
        </w:tc>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6"/>
        </w:trPr>
        <w:tc>
          <w:tcPr>
            <w:tcW w:w="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Executive Officer</w:t>
            </w:r>
            <w:r>
              <w:rPr>
                <w:rFonts w:ascii="Times New Roman" w:cs="Times New Roman" w:eastAsia="Times New Roman" w:hAnsi="Times New Roman"/>
                <w:sz w:val="16"/>
                <w:szCs w:val="16"/>
                <w:color w:val="auto"/>
              </w:rPr>
              <w:t>)</w:t>
            </w:r>
          </w:p>
        </w:tc>
      </w:tr>
      <w:tr>
        <w:trPr>
          <w:trHeight w:val="47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May 8, 2026</w:t>
            </w:r>
          </w:p>
        </w:tc>
        <w:tc>
          <w:tcPr>
            <w:tcW w:w="312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JOHN COLLINS</w:t>
            </w:r>
          </w:p>
        </w:tc>
      </w:tr>
      <w:tr>
        <w:trPr>
          <w:trHeight w:val="210"/>
        </w:trPr>
        <w:tc>
          <w:tcPr>
            <w:tcW w:w="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12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Name:</w:t>
            </w:r>
          </w:p>
        </w:tc>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John Collins</w:t>
            </w:r>
          </w:p>
        </w:tc>
      </w:tr>
      <w:tr>
        <w:trPr>
          <w:trHeight w:val="270"/>
        </w:trPr>
        <w:tc>
          <w:tcPr>
            <w:tcW w:w="54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312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Title:</w:t>
            </w:r>
          </w:p>
        </w:tc>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 and Chief Operating Officer</w:t>
            </w:r>
          </w:p>
        </w:tc>
      </w:tr>
      <w:tr>
        <w:trPr>
          <w:trHeight w:val="216"/>
        </w:trPr>
        <w:tc>
          <w:tcPr>
            <w:tcW w:w="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Financial Officer</w:t>
            </w: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089"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Sabino, certify that:</w:t>
      </w:r>
    </w:p>
    <w:p>
      <w:pPr>
        <w:spacing w:after="0" w:line="104"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LivePerson, Inc.;</w:t>
      </w:r>
    </w:p>
    <w:p>
      <w:pPr>
        <w:spacing w:after="0" w:line="9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May 8, 2026</w:t>
            </w:r>
          </w:p>
        </w:tc>
        <w:tc>
          <w:tcPr>
            <w:tcW w:w="24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Sabino</w:t>
            </w:r>
          </w:p>
        </w:tc>
        <w:tc>
          <w:tcPr>
            <w:tcW w:w="0" w:type="dxa"/>
            <w:vAlign w:val="bottom"/>
          </w:tcPr>
          <w:p>
            <w:pPr>
              <w:spacing w:after="0"/>
              <w:rPr>
                <w:sz w:val="1"/>
                <w:szCs w:val="1"/>
                <w:color w:val="auto"/>
              </w:rPr>
            </w:pPr>
          </w:p>
        </w:tc>
      </w:tr>
      <w:tr>
        <w:trPr>
          <w:trHeight w:val="232"/>
        </w:trPr>
        <w:tc>
          <w:tcPr>
            <w:tcW w:w="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4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John Sabino</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8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5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Collins, certify that:</w:t>
      </w:r>
    </w:p>
    <w:p>
      <w:pPr>
        <w:spacing w:after="0" w:line="104"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LivePerson, Inc.;</w:t>
      </w:r>
    </w:p>
    <w:p>
      <w:pPr>
        <w:spacing w:after="0" w:line="9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May 8, 2026</w:t>
            </w:r>
          </w:p>
        </w:tc>
        <w:tc>
          <w:tcPr>
            <w:tcW w:w="23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Collins</w:t>
            </w:r>
          </w:p>
        </w:tc>
      </w:tr>
      <w:tr>
        <w:trPr>
          <w:trHeight w:val="218"/>
        </w:trPr>
        <w:tc>
          <w:tcPr>
            <w:tcW w:w="6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John Collins</w:t>
            </w:r>
          </w:p>
        </w:tc>
      </w:tr>
      <w:tr>
        <w:trPr>
          <w:trHeight w:val="234"/>
        </w:trPr>
        <w:tc>
          <w:tcPr>
            <w:tcW w:w="6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 (Principal</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340"/>
        <w:spacing w:after="0" w:line="197" w:lineRule="auto"/>
        <w:rPr>
          <w:sz w:val="20"/>
          <w:szCs w:val="20"/>
          <w:color w:val="auto"/>
        </w:rPr>
      </w:pPr>
      <w:r>
        <w:rPr>
          <w:rFonts w:ascii="Times New Roman" w:cs="Times New Roman" w:eastAsia="Times New Roman" w:hAnsi="Times New Roman"/>
          <w:sz w:val="10"/>
          <w:szCs w:val="10"/>
          <w:color w:val="auto"/>
        </w:rPr>
        <w:t>Title:</w:t>
      </w:r>
    </w:p>
    <w:p>
      <w:pPr>
        <w:sectPr>
          <w:pgSz w:w="11900" w:h="16838" w:orient="portrait"/>
          <w:cols w:equalWidth="0" w:num="1">
            <w:col w:w="11240"/>
          </w:cols>
          <w:pgMar w:left="320" w:top="121" w:right="339" w:bottom="1440" w:gutter="0" w:footer="0" w:header="0"/>
          <w:type w:val="continuous"/>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John Sabino, Chief Executive Officer of LivePerson, Inc. (the “Company”), certify, pursuant to 18 U.S.C. Section 1350, as adopted pursuant to Section 906 of the Sarbanes-Oxley Act of 2002, that:</w:t>
      </w:r>
    </w:p>
    <w:p>
      <w:pPr>
        <w:spacing w:after="0" w:line="40" w:lineRule="exact"/>
        <w:rPr>
          <w:sz w:val="20"/>
          <w:szCs w:val="20"/>
          <w:color w:val="auto"/>
        </w:rPr>
      </w:pPr>
    </w:p>
    <w:p>
      <w:pPr>
        <w:ind w:left="660" w:hanging="328"/>
        <w:spacing w:after="0" w:line="282" w:lineRule="auto"/>
        <w:tabs>
          <w:tab w:leader="none" w:pos="6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March 31, 2026, as filed with the Securities and Exchange Commission (the “Report”), fully complies with the requirements of Section 13(a) or 15(d) of the Securities Exchange Act of 1934; and</w:t>
      </w:r>
    </w:p>
    <w:p>
      <w:pPr>
        <w:spacing w:after="0" w:line="2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8, 2026</w:t>
            </w:r>
          </w:p>
        </w:tc>
        <w:tc>
          <w:tcPr>
            <w:tcW w:w="25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Sabino</w:t>
            </w:r>
          </w:p>
        </w:tc>
      </w:tr>
      <w:tr>
        <w:trPr>
          <w:trHeight w:val="232"/>
        </w:trPr>
        <w:tc>
          <w:tcPr>
            <w:tcW w:w="6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5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John Sabino</w:t>
            </w:r>
          </w:p>
        </w:tc>
      </w:tr>
      <w:tr>
        <w:trPr>
          <w:trHeight w:val="234"/>
        </w:trPr>
        <w:tc>
          <w:tcPr>
            <w:tcW w:w="6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5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200" w:lineRule="exact"/>
        <w:rPr>
          <w:sz w:val="20"/>
          <w:szCs w:val="20"/>
          <w:color w:val="auto"/>
        </w:rPr>
      </w:pPr>
    </w:p>
    <w:p>
      <w:pPr>
        <w:spacing w:after="0" w:line="3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John Collins, Chief Financial Officer and Chief Operating Officer of LivePerson, Inc. (the “Company”), certify, pursuant to 18 U.S.C. Section 1350, as adopted pursuant to Section 906 of the Sarbanes-Oxley Act of 2002, that:</w:t>
      </w:r>
    </w:p>
    <w:p>
      <w:pPr>
        <w:spacing w:after="0" w:line="40" w:lineRule="exact"/>
        <w:rPr>
          <w:sz w:val="20"/>
          <w:szCs w:val="20"/>
          <w:color w:val="auto"/>
        </w:rPr>
      </w:pPr>
    </w:p>
    <w:p>
      <w:pPr>
        <w:ind w:left="660" w:hanging="328"/>
        <w:spacing w:after="0" w:line="282"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March 31 2026, as filed with the Securities and Exchange Commission (the “Report”), fully complies with the requirements of Section 13(a) or 15(d) of the Securities Exchange Act of 1934; and</w:t>
      </w:r>
    </w:p>
    <w:p>
      <w:pPr>
        <w:spacing w:after="0" w:line="2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May 8, 2026</w:t>
            </w:r>
          </w:p>
        </w:tc>
        <w:tc>
          <w:tcPr>
            <w:tcW w:w="24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Collins</w:t>
            </w:r>
          </w:p>
        </w:tc>
        <w:tc>
          <w:tcPr>
            <w:tcW w:w="0" w:type="dxa"/>
            <w:vAlign w:val="bottom"/>
          </w:tcPr>
          <w:p>
            <w:pPr>
              <w:spacing w:after="0"/>
              <w:rPr>
                <w:sz w:val="1"/>
                <w:szCs w:val="1"/>
                <w:color w:val="auto"/>
              </w:rPr>
            </w:pPr>
          </w:p>
        </w:tc>
      </w:tr>
      <w:tr>
        <w:trPr>
          <w:trHeight w:val="218"/>
        </w:trPr>
        <w:tc>
          <w:tcPr>
            <w:tcW w:w="7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John Collins</w:t>
            </w: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8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Chief Financial Officer and Chief Operating Officer (Principal</w:t>
            </w:r>
          </w:p>
        </w:tc>
        <w:tc>
          <w:tcPr>
            <w:tcW w:w="0" w:type="dxa"/>
            <w:vAlign w:val="bottom"/>
          </w:tcPr>
          <w:p>
            <w:pPr>
              <w:spacing w:after="0"/>
              <w:rPr>
                <w:sz w:val="1"/>
                <w:szCs w:val="1"/>
                <w:color w:val="auto"/>
              </w:rPr>
            </w:pPr>
          </w:p>
        </w:tc>
      </w:tr>
      <w:tr>
        <w:trPr>
          <w:trHeight w:val="140"/>
        </w:trPr>
        <w:tc>
          <w:tcPr>
            <w:tcW w:w="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2"/>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3"/>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6"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63" Type="http://schemas.openxmlformats.org/officeDocument/2006/relationships/hyperlink" Target="https://www.sec.gov/Archives/edgar/data/1840856/000121390026045991/ea028711701ex2-1.htm" TargetMode="External"/><Relationship Id="rId65" Type="http://schemas.openxmlformats.org/officeDocument/2006/relationships/hyperlink" Target="https://www.sec.gov/Archives/edgar/data/1102993/000119312526167270/d148603dex31.htm" TargetMode="External"/><Relationship Id="rId67" Type="http://schemas.openxmlformats.org/officeDocument/2006/relationships/hyperlink" Target="https://www.sec.gov/Archives/edgar/data/1102993/000119312526167270/d14860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2026-05-08T15:57:25Z</dcterms:created>
  <dcterms:modified xsi:type="dcterms:W3CDTF">2026-05-08T15:57:25Z</dcterms:modified>
</cp:coreProperties>
</file>