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15" w:lineRule="exact"/>
        <w:rPr>
          <w:sz w:val="24"/>
          <w:szCs w:val="24"/>
          <w:color w:val="auto"/>
        </w:rPr>
      </w:pPr>
    </w:p>
    <w:p>
      <w:pPr>
        <w:jc w:val="both"/>
        <w:ind w:left="4100" w:right="4060" w:hanging="30"/>
        <w:spacing w:after="0" w:line="341" w:lineRule="auto"/>
        <w:tabs>
          <w:tab w:leader="none" w:pos="448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QUARTERLY REPORT PURSUANT TO SECTION 13 OR 15(d) OF THE SECURITIES</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EXCHANGE ACT OF 1934</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2019</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10" w:lineRule="exact"/>
        <w:rPr>
          <w:sz w:val="24"/>
          <w:szCs w:val="24"/>
          <w:color w:val="auto"/>
        </w:rPr>
      </w:pPr>
    </w:p>
    <w:p>
      <w:pPr>
        <w:jc w:val="center"/>
        <w:ind w:left="4700" w:right="2340" w:hanging="2354"/>
        <w:spacing w:after="0" w:line="278" w:lineRule="auto"/>
        <w:tabs>
          <w:tab w:leader="none" w:pos="2545"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55" w:lineRule="exact"/>
        <w:rPr>
          <w:sz w:val="24"/>
          <w:szCs w:val="24"/>
          <w:color w:val="auto"/>
        </w:rPr>
      </w:pPr>
    </w:p>
    <w:p>
      <w:pPr>
        <w:ind w:left="2800"/>
        <w:spacing w:after="0"/>
        <w:rPr>
          <w:sz w:val="20"/>
          <w:szCs w:val="20"/>
          <w:color w:val="auto"/>
        </w:rPr>
      </w:pPr>
      <w:r>
        <w:rPr>
          <w:rFonts w:ascii="Arial" w:cs="Arial" w:eastAsia="Arial" w:hAnsi="Arial"/>
          <w:sz w:val="17"/>
          <w:szCs w:val="17"/>
          <w:b w:val="1"/>
          <w:bCs w:val="1"/>
          <w:color w:val="auto"/>
        </w:rPr>
        <w:t>For the transition period from ____________________ to ____________________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000-30141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31750</wp:posOffset>
            </wp:positionV>
            <wp:extent cx="718185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1850" cy="1587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87" w:lineRule="exact"/>
        <w:rPr>
          <w:sz w:val="24"/>
          <w:szCs w:val="24"/>
          <w:color w:val="auto"/>
        </w:rPr>
      </w:pPr>
    </w:p>
    <w:tbl>
      <w:tblPr>
        <w:tblLayout w:type="fixed"/>
        <w:tblInd w:w="1380" w:type="dxa"/>
        <w:tblCellMar>
          <w:top w:w="0" w:type="dxa"/>
          <w:left w:w="0" w:type="dxa"/>
          <w:bottom w:w="0" w:type="dxa"/>
          <w:right w:w="0" w:type="dxa"/>
        </w:tblCellMar>
      </w:tblPr>
      <w:tr>
        <w:trPr>
          <w:trHeight w:val="215"/>
        </w:trPr>
        <w:tc>
          <w:tcPr>
            <w:tcW w:w="4560" w:type="dxa"/>
            <w:vAlign w:val="bottom"/>
            <w:gridSpan w:val="2"/>
          </w:tcPr>
          <w:p>
            <w:pPr>
              <w:jc w:val="center"/>
              <w:ind w:right="460"/>
              <w:spacing w:after="0"/>
              <w:rPr>
                <w:sz w:val="20"/>
                <w:szCs w:val="20"/>
                <w:color w:val="auto"/>
              </w:rPr>
            </w:pPr>
            <w:r>
              <w:rPr>
                <w:rFonts w:ascii="Arial" w:cs="Arial" w:eastAsia="Arial" w:hAnsi="Arial"/>
                <w:sz w:val="17"/>
                <w:szCs w:val="17"/>
                <w:color w:val="auto"/>
                <w:w w:val="91"/>
              </w:rPr>
              <w:t>Delaware</w:t>
            </w:r>
          </w:p>
        </w:tc>
        <w:tc>
          <w:tcPr>
            <w:tcW w:w="4120" w:type="dxa"/>
            <w:vAlign w:val="bottom"/>
          </w:tcPr>
          <w:p>
            <w:pPr>
              <w:jc w:val="right"/>
              <w:ind w:right="1580"/>
              <w:spacing w:after="0"/>
              <w:rPr>
                <w:sz w:val="20"/>
                <w:szCs w:val="20"/>
                <w:color w:val="auto"/>
              </w:rPr>
            </w:pPr>
            <w:r>
              <w:rPr>
                <w:rFonts w:ascii="Arial" w:cs="Arial" w:eastAsia="Arial" w:hAnsi="Arial"/>
                <w:sz w:val="17"/>
                <w:szCs w:val="17"/>
                <w:color w:val="auto"/>
              </w:rPr>
              <w:t>13-3861628</w:t>
            </w:r>
          </w:p>
        </w:tc>
      </w:tr>
      <w:tr>
        <w:trPr>
          <w:trHeight w:val="32"/>
        </w:trPr>
        <w:tc>
          <w:tcPr>
            <w:tcW w:w="4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11"/>
        </w:trPr>
        <w:tc>
          <w:tcPr>
            <w:tcW w:w="4560" w:type="dxa"/>
            <w:vAlign w:val="bottom"/>
            <w:gridSpan w:val="2"/>
          </w:tcPr>
          <w:p>
            <w:pPr>
              <w:jc w:val="center"/>
              <w:ind w:right="460"/>
              <w:spacing w:after="0"/>
              <w:rPr>
                <w:sz w:val="20"/>
                <w:szCs w:val="20"/>
                <w:color w:val="auto"/>
              </w:rPr>
            </w:pPr>
            <w:r>
              <w:rPr>
                <w:rFonts w:ascii="Arial" w:cs="Arial" w:eastAsia="Arial" w:hAnsi="Arial"/>
                <w:sz w:val="15"/>
                <w:szCs w:val="15"/>
                <w:color w:val="auto"/>
                <w:w w:val="93"/>
              </w:rPr>
              <w:t>(State or Other Jurisdiction of Incorporation or Organization)</w:t>
            </w:r>
          </w:p>
        </w:tc>
        <w:tc>
          <w:tcPr>
            <w:tcW w:w="4120" w:type="dxa"/>
            <w:vAlign w:val="bottom"/>
          </w:tcPr>
          <w:p>
            <w:pPr>
              <w:jc w:val="center"/>
              <w:spacing w:after="0"/>
              <w:rPr>
                <w:sz w:val="20"/>
                <w:szCs w:val="20"/>
                <w:color w:val="auto"/>
              </w:rPr>
            </w:pPr>
            <w:r>
              <w:rPr>
                <w:rFonts w:ascii="Arial" w:cs="Arial" w:eastAsia="Arial" w:hAnsi="Arial"/>
                <w:sz w:val="15"/>
                <w:szCs w:val="15"/>
                <w:color w:val="auto"/>
                <w:w w:val="96"/>
              </w:rPr>
              <w:t>(IRS Employer Identification No.)</w:t>
            </w:r>
          </w:p>
        </w:tc>
      </w:tr>
      <w:tr>
        <w:trPr>
          <w:trHeight w:val="411"/>
        </w:trPr>
        <w:tc>
          <w:tcPr>
            <w:tcW w:w="4560" w:type="dxa"/>
            <w:vAlign w:val="bottom"/>
            <w:gridSpan w:val="2"/>
          </w:tcPr>
          <w:p>
            <w:pPr>
              <w:jc w:val="center"/>
              <w:ind w:right="460"/>
              <w:spacing w:after="0"/>
              <w:rPr>
                <w:sz w:val="20"/>
                <w:szCs w:val="20"/>
                <w:color w:val="auto"/>
              </w:rPr>
            </w:pPr>
            <w:r>
              <w:rPr>
                <w:rFonts w:ascii="Arial" w:cs="Arial" w:eastAsia="Arial" w:hAnsi="Arial"/>
                <w:sz w:val="17"/>
                <w:szCs w:val="17"/>
                <w:color w:val="auto"/>
                <w:w w:val="90"/>
              </w:rPr>
              <w:t>475 Tenth Avenue, 5th Floor</w:t>
            </w:r>
          </w:p>
        </w:tc>
        <w:tc>
          <w:tcPr>
            <w:tcW w:w="4120" w:type="dxa"/>
            <w:vAlign w:val="bottom"/>
          </w:tcPr>
          <w:p>
            <w:pPr>
              <w:spacing w:after="0"/>
              <w:rPr>
                <w:sz w:val="24"/>
                <w:szCs w:val="24"/>
                <w:color w:val="auto"/>
              </w:rPr>
            </w:pPr>
          </w:p>
        </w:tc>
      </w:tr>
      <w:tr>
        <w:trPr>
          <w:trHeight w:val="254"/>
        </w:trPr>
        <w:tc>
          <w:tcPr>
            <w:tcW w:w="4560" w:type="dxa"/>
            <w:vAlign w:val="bottom"/>
            <w:gridSpan w:val="2"/>
          </w:tcPr>
          <w:p>
            <w:pPr>
              <w:jc w:val="center"/>
              <w:ind w:right="460"/>
              <w:spacing w:after="0"/>
              <w:rPr>
                <w:sz w:val="20"/>
                <w:szCs w:val="20"/>
                <w:color w:val="auto"/>
              </w:rPr>
            </w:pPr>
            <w:r>
              <w:rPr>
                <w:rFonts w:ascii="Arial" w:cs="Arial" w:eastAsia="Arial" w:hAnsi="Arial"/>
                <w:sz w:val="17"/>
                <w:szCs w:val="17"/>
                <w:color w:val="auto"/>
                <w:w w:val="95"/>
              </w:rPr>
              <w:t xml:space="preserve">New York </w:t>
            </w:r>
            <w:r>
              <w:rPr>
                <w:rFonts w:ascii="Arial" w:cs="Arial" w:eastAsia="Arial" w:hAnsi="Arial"/>
                <w:sz w:val="17"/>
                <w:szCs w:val="17"/>
                <w:b w:val="1"/>
                <w:bCs w:val="1"/>
                <w:color w:val="auto"/>
                <w:w w:val="95"/>
              </w:rPr>
              <w:t>,</w:t>
            </w:r>
            <w:r>
              <w:rPr>
                <w:rFonts w:ascii="Arial" w:cs="Arial" w:eastAsia="Arial" w:hAnsi="Arial"/>
                <w:sz w:val="17"/>
                <w:szCs w:val="17"/>
                <w:color w:val="auto"/>
                <w:w w:val="95"/>
              </w:rPr>
              <w:t xml:space="preserve"> New York</w:t>
            </w:r>
          </w:p>
        </w:tc>
        <w:tc>
          <w:tcPr>
            <w:tcW w:w="4120" w:type="dxa"/>
            <w:vAlign w:val="bottom"/>
          </w:tcPr>
          <w:p>
            <w:pPr>
              <w:jc w:val="right"/>
              <w:ind w:right="1780"/>
              <w:spacing w:after="0"/>
              <w:rPr>
                <w:sz w:val="20"/>
                <w:szCs w:val="20"/>
                <w:color w:val="auto"/>
              </w:rPr>
            </w:pPr>
            <w:r>
              <w:rPr>
                <w:rFonts w:ascii="Arial" w:cs="Arial" w:eastAsia="Arial" w:hAnsi="Arial"/>
                <w:sz w:val="17"/>
                <w:szCs w:val="17"/>
                <w:color w:val="auto"/>
              </w:rPr>
              <w:t>10018</w:t>
            </w:r>
          </w:p>
        </w:tc>
      </w:tr>
      <w:tr>
        <w:trPr>
          <w:trHeight w:val="32"/>
        </w:trPr>
        <w:tc>
          <w:tcPr>
            <w:tcW w:w="4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11"/>
        </w:trPr>
        <w:tc>
          <w:tcPr>
            <w:tcW w:w="4560" w:type="dxa"/>
            <w:vAlign w:val="bottom"/>
            <w:gridSpan w:val="2"/>
          </w:tcPr>
          <w:p>
            <w:pPr>
              <w:jc w:val="center"/>
              <w:ind w:right="460"/>
              <w:spacing w:after="0"/>
              <w:rPr>
                <w:sz w:val="20"/>
                <w:szCs w:val="20"/>
                <w:color w:val="auto"/>
              </w:rPr>
            </w:pPr>
            <w:r>
              <w:rPr>
                <w:rFonts w:ascii="Arial" w:cs="Arial" w:eastAsia="Arial" w:hAnsi="Arial"/>
                <w:sz w:val="15"/>
                <w:szCs w:val="15"/>
                <w:color w:val="auto"/>
                <w:w w:val="94"/>
              </w:rPr>
              <w:t>(Address of Principal Executive Offices)</w:t>
            </w:r>
          </w:p>
        </w:tc>
        <w:tc>
          <w:tcPr>
            <w:tcW w:w="4120" w:type="dxa"/>
            <w:vAlign w:val="bottom"/>
          </w:tcPr>
          <w:p>
            <w:pPr>
              <w:jc w:val="center"/>
              <w:spacing w:after="0"/>
              <w:rPr>
                <w:sz w:val="20"/>
                <w:szCs w:val="20"/>
                <w:color w:val="auto"/>
              </w:rPr>
            </w:pPr>
            <w:r>
              <w:rPr>
                <w:rFonts w:ascii="Arial" w:cs="Arial" w:eastAsia="Arial" w:hAnsi="Arial"/>
                <w:sz w:val="15"/>
                <w:szCs w:val="15"/>
                <w:color w:val="auto"/>
                <w:w w:val="95"/>
              </w:rPr>
              <w:t>(Zip Code)</w:t>
            </w:r>
          </w:p>
        </w:tc>
      </w:tr>
    </w:tbl>
    <w:p>
      <w:pPr>
        <w:spacing w:after="0" w:line="11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(212) 609-4200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49" w:lineRule="exact"/>
        <w:rPr>
          <w:sz w:val="24"/>
          <w:szCs w:val="24"/>
          <w:color w:val="auto"/>
        </w:rPr>
      </w:pPr>
    </w:p>
    <w:p>
      <w:pPr>
        <w:ind w:left="10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71494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56" w:lineRule="exact"/>
        <w:rPr>
          <w:sz w:val="24"/>
          <w:szCs w:val="24"/>
          <w:color w:val="auto"/>
        </w:rPr>
      </w:pPr>
    </w:p>
    <w:tbl>
      <w:tblPr>
        <w:tblLayout w:type="fixed"/>
        <w:tblInd w:w="100" w:type="dxa"/>
        <w:tblCellMar>
          <w:top w:w="0" w:type="dxa"/>
          <w:left w:w="0" w:type="dxa"/>
          <w:bottom w:w="0" w:type="dxa"/>
          <w:right w:w="0" w:type="dxa"/>
        </w:tblCellMar>
      </w:tblPr>
      <w:tr>
        <w:trPr>
          <w:trHeight w:val="194"/>
        </w:trPr>
        <w:tc>
          <w:tcPr>
            <w:tcW w:w="4240" w:type="dxa"/>
            <w:vAlign w:val="bottom"/>
          </w:tcPr>
          <w:p>
            <w:pPr>
              <w:jc w:val="center"/>
              <w:ind w:right="140"/>
              <w:spacing w:after="0"/>
              <w:rPr>
                <w:sz w:val="20"/>
                <w:szCs w:val="20"/>
                <w:color w:val="auto"/>
              </w:rPr>
            </w:pPr>
            <w:r>
              <w:rPr>
                <w:rFonts w:ascii="Arial" w:cs="Arial" w:eastAsia="Arial" w:hAnsi="Arial"/>
                <w:sz w:val="15"/>
                <w:szCs w:val="15"/>
                <w:color w:val="auto"/>
                <w:w w:val="91"/>
              </w:rPr>
              <w:t>Title of each class</w:t>
            </w:r>
          </w:p>
        </w:tc>
        <w:tc>
          <w:tcPr>
            <w:tcW w:w="2740" w:type="dxa"/>
            <w:vAlign w:val="bottom"/>
          </w:tcPr>
          <w:p>
            <w:pPr>
              <w:jc w:val="center"/>
              <w:ind w:right="20"/>
              <w:spacing w:after="0"/>
              <w:rPr>
                <w:sz w:val="20"/>
                <w:szCs w:val="20"/>
                <w:color w:val="auto"/>
              </w:rPr>
            </w:pPr>
            <w:r>
              <w:rPr>
                <w:rFonts w:ascii="Arial" w:cs="Arial" w:eastAsia="Arial" w:hAnsi="Arial"/>
                <w:sz w:val="15"/>
                <w:szCs w:val="15"/>
                <w:color w:val="auto"/>
                <w:w w:val="94"/>
              </w:rPr>
              <w:t>Trading Symbol(s)</w:t>
            </w:r>
          </w:p>
        </w:tc>
        <w:tc>
          <w:tcPr>
            <w:tcW w:w="4280" w:type="dxa"/>
            <w:vAlign w:val="bottom"/>
          </w:tcPr>
          <w:p>
            <w:pPr>
              <w:jc w:val="center"/>
              <w:ind w:left="20"/>
              <w:spacing w:after="0"/>
              <w:rPr>
                <w:sz w:val="20"/>
                <w:szCs w:val="20"/>
                <w:color w:val="auto"/>
              </w:rPr>
            </w:pPr>
            <w:r>
              <w:rPr>
                <w:rFonts w:ascii="Arial" w:cs="Arial" w:eastAsia="Arial" w:hAnsi="Arial"/>
                <w:sz w:val="15"/>
                <w:szCs w:val="15"/>
                <w:color w:val="auto"/>
                <w:w w:val="90"/>
              </w:rPr>
              <w:t>Name of each exchange on which registered</w:t>
            </w:r>
          </w:p>
        </w:tc>
      </w:tr>
      <w:tr>
        <w:trPr>
          <w:trHeight w:val="30"/>
        </w:trPr>
        <w:tc>
          <w:tcPr>
            <w:tcW w:w="4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21"/>
        </w:trPr>
        <w:tc>
          <w:tcPr>
            <w:tcW w:w="4240" w:type="dxa"/>
            <w:vAlign w:val="bottom"/>
          </w:tcPr>
          <w:p>
            <w:pPr>
              <w:jc w:val="center"/>
              <w:ind w:right="140"/>
              <w:spacing w:after="0"/>
              <w:rPr>
                <w:sz w:val="20"/>
                <w:szCs w:val="20"/>
                <w:color w:val="auto"/>
              </w:rPr>
            </w:pPr>
            <w:r>
              <w:rPr>
                <w:rFonts w:ascii="Arial" w:cs="Arial" w:eastAsia="Arial" w:hAnsi="Arial"/>
                <w:sz w:val="17"/>
                <w:szCs w:val="17"/>
                <w:color w:val="auto"/>
                <w:w w:val="89"/>
              </w:rPr>
              <w:t>Common Stock, par value $0.001 per share</w:t>
            </w:r>
          </w:p>
        </w:tc>
        <w:tc>
          <w:tcPr>
            <w:tcW w:w="2740" w:type="dxa"/>
            <w:vAlign w:val="bottom"/>
          </w:tcPr>
          <w:p>
            <w:pPr>
              <w:jc w:val="center"/>
              <w:spacing w:after="0"/>
              <w:rPr>
                <w:sz w:val="20"/>
                <w:szCs w:val="20"/>
                <w:color w:val="auto"/>
              </w:rPr>
            </w:pPr>
            <w:r>
              <w:rPr>
                <w:rFonts w:ascii="Arial" w:cs="Arial" w:eastAsia="Arial" w:hAnsi="Arial"/>
                <w:sz w:val="17"/>
                <w:szCs w:val="17"/>
                <w:color w:val="auto"/>
                <w:w w:val="94"/>
              </w:rPr>
              <w:t>LPSN</w:t>
            </w:r>
          </w:p>
        </w:tc>
        <w:tc>
          <w:tcPr>
            <w:tcW w:w="4280" w:type="dxa"/>
            <w:vAlign w:val="bottom"/>
          </w:tcPr>
          <w:p>
            <w:pPr>
              <w:jc w:val="center"/>
              <w:ind w:left="20"/>
              <w:spacing w:after="0"/>
              <w:rPr>
                <w:sz w:val="20"/>
                <w:szCs w:val="20"/>
                <w:color w:val="auto"/>
              </w:rPr>
            </w:pPr>
            <w:r>
              <w:rPr>
                <w:rFonts w:ascii="Arial" w:cs="Arial" w:eastAsia="Arial" w:hAnsi="Arial"/>
                <w:sz w:val="17"/>
                <w:szCs w:val="17"/>
                <w:color w:val="auto"/>
                <w:w w:val="92"/>
              </w:rPr>
              <w:t>The Nasdaq Stock Market LLC</w:t>
            </w:r>
          </w:p>
        </w:tc>
      </w:tr>
    </w:tbl>
    <w:p>
      <w:pPr>
        <w:spacing w:after="0" w:line="217" w:lineRule="exact"/>
        <w:rPr>
          <w:sz w:val="24"/>
          <w:szCs w:val="24"/>
          <w:color w:val="auto"/>
        </w:rPr>
      </w:pPr>
    </w:p>
    <w:p>
      <w:pPr>
        <w:ind w:right="8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1" w:lineRule="exact"/>
        <w:rPr>
          <w:sz w:val="24"/>
          <w:szCs w:val="24"/>
          <w:color w:val="auto"/>
        </w:rPr>
      </w:pPr>
    </w:p>
    <w:p>
      <w:pPr>
        <w:ind w:right="10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16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08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32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4"/>
        </w:trPr>
        <w:tc>
          <w:tcPr>
            <w:tcW w:w="2200" w:type="dxa"/>
            <w:vAlign w:val="bottom"/>
          </w:tcPr>
          <w:p>
            <w:pPr>
              <w:spacing w:after="0"/>
              <w:rPr>
                <w:sz w:val="20"/>
                <w:szCs w:val="20"/>
                <w:color w:val="auto"/>
              </w:rPr>
            </w:pPr>
            <w:r>
              <w:rPr>
                <w:rFonts w:ascii="Arial" w:cs="Arial" w:eastAsia="Arial" w:hAnsi="Arial"/>
                <w:sz w:val="17"/>
                <w:szCs w:val="17"/>
                <w:color w:val="auto"/>
              </w:rPr>
              <w:t>Non-accelerated Filer</w:t>
            </w:r>
          </w:p>
        </w:tc>
        <w:tc>
          <w:tcPr>
            <w:tcW w:w="208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132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7"/>
        </w:trPr>
        <w:tc>
          <w:tcPr>
            <w:tcW w:w="22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20" w:type="dxa"/>
            <w:vAlign w:val="bottom"/>
          </w:tcPr>
          <w:p>
            <w:pPr>
              <w:ind w:left="132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95" w:lineRule="exact"/>
        <w:rPr>
          <w:sz w:val="24"/>
          <w:szCs w:val="24"/>
          <w:color w:val="auto"/>
        </w:rPr>
      </w:pPr>
    </w:p>
    <w:p>
      <w:pPr>
        <w:ind w:right="28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8" w:lineRule="exact"/>
        <w:rPr>
          <w:sz w:val="24"/>
          <w:szCs w:val="24"/>
          <w:color w:val="auto"/>
        </w:rPr>
      </w:pPr>
    </w:p>
    <w:p>
      <w:pPr>
        <w:ind w:right="2800"/>
        <w:spacing w:after="0" w:line="27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On November 5, 2019, 66,198,311 shares of the registrant’s common stock were outstanding.</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5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LIVEPERSON,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7"/>
                <w:szCs w:val="17"/>
                <w:color w:val="auto"/>
              </w:rPr>
              <w:t>PAGE</w:t>
            </w:r>
          </w:p>
        </w:tc>
      </w:tr>
      <w:tr>
        <w:trPr>
          <w:trHeight w:val="26"/>
        </w:trPr>
        <w:tc>
          <w:tcPr>
            <w:tcW w:w="1020" w:type="dxa"/>
            <w:vAlign w:val="bottom"/>
            <w:tcBorders>
              <w:bottom w:val="single" w:sz="8" w:color="CCFFCC"/>
            </w:tcBorders>
          </w:tcPr>
          <w:p>
            <w:pPr>
              <w:spacing w:after="0"/>
              <w:rPr>
                <w:sz w:val="2"/>
                <w:szCs w:val="2"/>
                <w:color w:val="auto"/>
              </w:rPr>
            </w:pPr>
          </w:p>
        </w:tc>
        <w:tc>
          <w:tcPr>
            <w:tcW w:w="9380" w:type="dxa"/>
            <w:vAlign w:val="bottom"/>
            <w:tcBorders>
              <w:bottom w:val="single" w:sz="8" w:color="CCFFC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7"/>
        </w:trPr>
        <w:tc>
          <w:tcPr>
            <w:tcW w:w="1020" w:type="dxa"/>
            <w:vAlign w:val="bottom"/>
            <w:shd w:val="clear" w:color="auto" w:fill="CCFFCC"/>
          </w:tcPr>
          <w:p>
            <w:pPr>
              <w:ind w:left="20"/>
              <w:spacing w:after="0" w:line="184" w:lineRule="exact"/>
              <w:rPr>
                <w:sz w:val="20"/>
                <w:szCs w:val="20"/>
                <w:color w:val="auto"/>
              </w:rPr>
            </w:pPr>
            <w:r>
              <w:rPr>
                <w:rFonts w:ascii="Arial" w:cs="Arial" w:eastAsia="Arial" w:hAnsi="Arial"/>
                <w:sz w:val="17"/>
                <w:szCs w:val="17"/>
                <w:color w:val="auto"/>
              </w:rPr>
              <w:t>Part I.</w:t>
            </w:r>
          </w:p>
        </w:tc>
        <w:tc>
          <w:tcPr>
            <w:tcW w:w="9380" w:type="dxa"/>
            <w:vAlign w:val="bottom"/>
            <w:shd w:val="clear" w:color="auto" w:fill="CCFFCC"/>
          </w:tcPr>
          <w:p>
            <w:pPr>
              <w:ind w:left="260"/>
              <w:spacing w:after="0" w:line="184" w:lineRule="exact"/>
              <w:rPr>
                <w:sz w:val="20"/>
                <w:szCs w:val="20"/>
                <w:color w:val="auto"/>
              </w:rPr>
            </w:pPr>
            <w:r>
              <w:rPr>
                <w:rFonts w:ascii="Arial" w:cs="Arial" w:eastAsia="Arial" w:hAnsi="Arial"/>
                <w:sz w:val="17"/>
                <w:szCs w:val="17"/>
                <w:color w:val="auto"/>
              </w:rPr>
              <w:t>Financial Information</w:t>
            </w:r>
          </w:p>
        </w:tc>
        <w:tc>
          <w:tcPr>
            <w:tcW w:w="1020" w:type="dxa"/>
            <w:vAlign w:val="bottom"/>
            <w:gridSpan w:val="4"/>
            <w:shd w:val="clear" w:color="auto" w:fill="CCFFCC"/>
          </w:tcPr>
          <w:p>
            <w:pPr>
              <w:jc w:val="right"/>
              <w:ind w:right="100"/>
              <w:spacing w:after="0" w:line="184" w:lineRule="exact"/>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1.</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Financial Statements (Unaudited):</w:t>
            </w:r>
          </w:p>
        </w:tc>
        <w:tc>
          <w:tcPr>
            <w:tcW w:w="1020" w:type="dxa"/>
            <w:vAlign w:val="bottom"/>
            <w:gridSpan w:val="4"/>
            <w:shd w:val="clear" w:color="auto" w:fill="CCFFCC"/>
          </w:tcPr>
          <w:p>
            <w:pPr>
              <w:jc w:val="right"/>
              <w:ind w:right="100"/>
              <w:spacing w:after="0" w:line="191" w:lineRule="exact"/>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Arial" w:cs="Arial" w:eastAsia="Arial" w:hAnsi="Arial"/>
                <w:sz w:val="17"/>
                <w:szCs w:val="17"/>
                <w:color w:val="auto"/>
              </w:rPr>
              <w:t>Condensed Consolidated Balance Sheets as of September 30, 2019 and December 31, 2018</w:t>
            </w:r>
          </w:p>
        </w:tc>
        <w:tc>
          <w:tcPr>
            <w:tcW w:w="1020" w:type="dxa"/>
            <w:vAlign w:val="bottom"/>
            <w:gridSpan w:val="4"/>
            <w:shd w:val="clear" w:color="auto" w:fill="CCFFCC"/>
          </w:tcPr>
          <w:p>
            <w:pPr>
              <w:jc w:val="right"/>
              <w:ind w:right="100"/>
              <w:spacing w:after="0" w:line="191" w:lineRule="exact"/>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Arial" w:cs="Arial" w:eastAsia="Arial" w:hAnsi="Arial"/>
                <w:sz w:val="17"/>
                <w:szCs w:val="17"/>
                <w:color w:val="auto"/>
                <w:w w:val="95"/>
              </w:rPr>
              <w:t>Condensed Consolidated Statements of Operations for the Three And Nine Months Ended September 30, 2019 and 2018</w:t>
            </w:r>
          </w:p>
        </w:tc>
        <w:tc>
          <w:tcPr>
            <w:tcW w:w="1020" w:type="dxa"/>
            <w:vAlign w:val="bottom"/>
            <w:gridSpan w:val="4"/>
            <w:shd w:val="clear" w:color="auto" w:fill="CCFFCC"/>
          </w:tcPr>
          <w:p>
            <w:pPr>
              <w:jc w:val="right"/>
              <w:ind w:right="100"/>
              <w:spacing w:after="0" w:line="191" w:lineRule="exact"/>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16"/>
        </w:trPr>
        <w:tc>
          <w:tcPr>
            <w:tcW w:w="1020" w:type="dxa"/>
            <w:vAlign w:val="bottom"/>
            <w:shd w:val="clear" w:color="auto" w:fill="CCFFCC"/>
          </w:tcPr>
          <w:p>
            <w:pPr>
              <w:spacing w:after="0"/>
              <w:rPr>
                <w:sz w:val="18"/>
                <w:szCs w:val="18"/>
                <w:color w:val="auto"/>
              </w:rPr>
            </w:pPr>
          </w:p>
        </w:tc>
        <w:tc>
          <w:tcPr>
            <w:tcW w:w="9380" w:type="dxa"/>
            <w:vAlign w:val="bottom"/>
            <w:shd w:val="clear" w:color="auto" w:fill="CCFFCC"/>
          </w:tcPr>
          <w:p>
            <w:pPr>
              <w:ind w:left="600"/>
              <w:spacing w:after="0"/>
              <w:rPr>
                <w:sz w:val="20"/>
                <w:szCs w:val="20"/>
                <w:color w:val="auto"/>
              </w:rPr>
            </w:pPr>
            <w:r>
              <w:rPr>
                <w:rFonts w:ascii="Arial" w:cs="Arial" w:eastAsia="Arial" w:hAnsi="Arial"/>
                <w:sz w:val="17"/>
                <w:szCs w:val="17"/>
                <w:color w:val="auto"/>
                <w:w w:val="92"/>
              </w:rPr>
              <w:t>Condensed Consolidated Statements of Comprehensive Loss for the Three And Nine Months Ended September 30, 2019 and</w:t>
            </w: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21"/>
        </w:trPr>
        <w:tc>
          <w:tcPr>
            <w:tcW w:w="1020" w:type="dxa"/>
            <w:vAlign w:val="bottom"/>
            <w:shd w:val="clear" w:color="auto" w:fill="CCFFCC"/>
          </w:tcPr>
          <w:p>
            <w:pPr>
              <w:spacing w:after="0"/>
              <w:rPr>
                <w:sz w:val="19"/>
                <w:szCs w:val="19"/>
                <w:color w:val="auto"/>
              </w:rPr>
            </w:pPr>
          </w:p>
        </w:tc>
        <w:tc>
          <w:tcPr>
            <w:tcW w:w="9380" w:type="dxa"/>
            <w:vAlign w:val="bottom"/>
            <w:shd w:val="clear" w:color="auto" w:fill="CCFFCC"/>
          </w:tcPr>
          <w:p>
            <w:pPr>
              <w:ind w:left="600"/>
              <w:spacing w:after="0" w:line="178" w:lineRule="exact"/>
              <w:rPr>
                <w:sz w:val="20"/>
                <w:szCs w:val="20"/>
                <w:color w:val="auto"/>
              </w:rPr>
            </w:pPr>
            <w:r>
              <w:rPr>
                <w:rFonts w:ascii="Arial" w:cs="Arial" w:eastAsia="Arial" w:hAnsi="Arial"/>
                <w:sz w:val="17"/>
                <w:szCs w:val="17"/>
                <w:color w:val="auto"/>
              </w:rPr>
              <w:t>2018</w:t>
            </w:r>
          </w:p>
        </w:tc>
        <w:tc>
          <w:tcPr>
            <w:tcW w:w="1020" w:type="dxa"/>
            <w:vAlign w:val="bottom"/>
            <w:gridSpan w:val="4"/>
            <w:shd w:val="clear" w:color="auto" w:fill="CCFFCC"/>
          </w:tcPr>
          <w:p>
            <w:pPr>
              <w:jc w:val="right"/>
              <w:ind w:right="100"/>
              <w:spacing w:after="0" w:line="178" w:lineRule="exact"/>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16"/>
        </w:trPr>
        <w:tc>
          <w:tcPr>
            <w:tcW w:w="1020" w:type="dxa"/>
            <w:vAlign w:val="bottom"/>
            <w:shd w:val="clear" w:color="auto" w:fill="CCFFCC"/>
          </w:tcPr>
          <w:p>
            <w:pPr>
              <w:spacing w:after="0"/>
              <w:rPr>
                <w:sz w:val="18"/>
                <w:szCs w:val="18"/>
                <w:color w:val="auto"/>
              </w:rPr>
            </w:pPr>
          </w:p>
        </w:tc>
        <w:tc>
          <w:tcPr>
            <w:tcW w:w="9380" w:type="dxa"/>
            <w:vAlign w:val="bottom"/>
            <w:shd w:val="clear" w:color="auto" w:fill="CCFFCC"/>
          </w:tcPr>
          <w:p>
            <w:pPr>
              <w:ind w:left="600"/>
              <w:spacing w:after="0"/>
              <w:rPr>
                <w:sz w:val="20"/>
                <w:szCs w:val="20"/>
                <w:color w:val="auto"/>
              </w:rPr>
            </w:pPr>
            <w:r>
              <w:rPr>
                <w:rFonts w:ascii="Arial" w:cs="Arial" w:eastAsia="Arial" w:hAnsi="Arial"/>
                <w:sz w:val="17"/>
                <w:szCs w:val="17"/>
                <w:color w:val="auto"/>
                <w:w w:val="93"/>
              </w:rPr>
              <w:t>Condensed Consolidated Statements of Stockholder's Equity for the Three And Nine Months Ended September 30, 2019 and</w:t>
            </w: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21"/>
        </w:trPr>
        <w:tc>
          <w:tcPr>
            <w:tcW w:w="1020" w:type="dxa"/>
            <w:vAlign w:val="bottom"/>
            <w:shd w:val="clear" w:color="auto" w:fill="CCFFCC"/>
          </w:tcPr>
          <w:p>
            <w:pPr>
              <w:spacing w:after="0"/>
              <w:rPr>
                <w:sz w:val="19"/>
                <w:szCs w:val="19"/>
                <w:color w:val="auto"/>
              </w:rPr>
            </w:pPr>
          </w:p>
        </w:tc>
        <w:tc>
          <w:tcPr>
            <w:tcW w:w="9380" w:type="dxa"/>
            <w:vAlign w:val="bottom"/>
            <w:shd w:val="clear" w:color="auto" w:fill="CCFFCC"/>
          </w:tcPr>
          <w:p>
            <w:pPr>
              <w:ind w:left="600"/>
              <w:spacing w:after="0" w:line="178" w:lineRule="exact"/>
              <w:rPr>
                <w:sz w:val="20"/>
                <w:szCs w:val="20"/>
                <w:color w:val="auto"/>
              </w:rPr>
            </w:pPr>
            <w:r>
              <w:rPr>
                <w:rFonts w:ascii="Arial" w:cs="Arial" w:eastAsia="Arial" w:hAnsi="Arial"/>
                <w:sz w:val="17"/>
                <w:szCs w:val="17"/>
                <w:color w:val="auto"/>
              </w:rPr>
              <w:t>2018</w:t>
            </w:r>
          </w:p>
        </w:tc>
        <w:tc>
          <w:tcPr>
            <w:tcW w:w="1020" w:type="dxa"/>
            <w:vAlign w:val="bottom"/>
            <w:gridSpan w:val="4"/>
            <w:shd w:val="clear" w:color="auto" w:fill="CCFFCC"/>
          </w:tcPr>
          <w:p>
            <w:pPr>
              <w:jc w:val="right"/>
              <w:ind w:right="100"/>
              <w:spacing w:after="0" w:line="178" w:lineRule="exact"/>
              <w:rPr>
                <w:sz w:val="20"/>
                <w:szCs w:val="20"/>
                <w:color w:val="auto"/>
              </w:rPr>
            </w:pPr>
            <w:r>
              <w:rPr>
                <w:rFonts w:ascii="Arial" w:cs="Arial" w:eastAsia="Arial" w:hAnsi="Arial"/>
                <w:sz w:val="17"/>
                <w:szCs w:val="17"/>
                <w:color w:val="0000FF"/>
              </w:rPr>
              <w:t>7</w:t>
            </w: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Arial" w:cs="Arial" w:eastAsia="Arial" w:hAnsi="Arial"/>
                <w:sz w:val="17"/>
                <w:szCs w:val="17"/>
                <w:color w:val="auto"/>
                <w:w w:val="98"/>
              </w:rPr>
              <w:t>Condensed Consolidated Statements of Cash Flows for the for the Nine Months Ended September 30, 2019 and 2018</w:t>
            </w:r>
          </w:p>
        </w:tc>
        <w:tc>
          <w:tcPr>
            <w:tcW w:w="1020" w:type="dxa"/>
            <w:vAlign w:val="bottom"/>
            <w:gridSpan w:val="4"/>
            <w:shd w:val="clear" w:color="auto" w:fill="CCFFCC"/>
          </w:tcPr>
          <w:p>
            <w:pPr>
              <w:jc w:val="right"/>
              <w:ind w:right="100"/>
              <w:spacing w:after="0" w:line="191" w:lineRule="exact"/>
              <w:rPr>
                <w:rFonts w:ascii="Arial" w:cs="Arial" w:eastAsia="Arial" w:hAnsi="Arial"/>
                <w:sz w:val="17"/>
                <w:szCs w:val="17"/>
                <w:color w:val="0000FF"/>
              </w:rPr>
            </w:pPr>
            <w:hyperlink w:anchor="page9">
              <w:r>
                <w:rPr>
                  <w:rFonts w:ascii="Arial" w:cs="Arial" w:eastAsia="Arial" w:hAnsi="Arial"/>
                  <w:sz w:val="17"/>
                  <w:szCs w:val="17"/>
                  <w:color w:val="0000FF"/>
                </w:rPr>
                <w:t>9</w:t>
              </w:r>
            </w:hyperlink>
          </w:p>
        </w:tc>
      </w:tr>
      <w:tr>
        <w:trPr>
          <w:trHeight w:val="305"/>
        </w:trPr>
        <w:tc>
          <w:tcPr>
            <w:tcW w:w="1020" w:type="dxa"/>
            <w:vAlign w:val="bottom"/>
            <w:tcBorders>
              <w:top w:val="single" w:sz="8" w:color="CCFFCC"/>
            </w:tcBorders>
          </w:tcPr>
          <w:p>
            <w:pPr>
              <w:spacing w:after="0"/>
              <w:rPr>
                <w:sz w:val="24"/>
                <w:szCs w:val="24"/>
                <w:color w:val="auto"/>
              </w:rPr>
            </w:pPr>
          </w:p>
        </w:tc>
        <w:tc>
          <w:tcPr>
            <w:tcW w:w="9380" w:type="dxa"/>
            <w:vAlign w:val="bottom"/>
            <w:tcBorders>
              <w:top w:val="single" w:sz="8" w:color="CCFFCC"/>
            </w:tcBorders>
          </w:tcPr>
          <w:p>
            <w:pPr>
              <w:spacing w:after="0"/>
              <w:rPr>
                <w:sz w:val="24"/>
                <w:szCs w:val="24"/>
                <w:color w:val="auto"/>
              </w:rPr>
            </w:pPr>
          </w:p>
        </w:tc>
        <w:tc>
          <w:tcPr>
            <w:tcW w:w="7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4"/>
        </w:trPr>
        <w:tc>
          <w:tcPr>
            <w:tcW w:w="1020" w:type="dxa"/>
            <w:vAlign w:val="bottom"/>
            <w:shd w:val="clear" w:color="auto" w:fill="CCFFCC"/>
          </w:tcPr>
          <w:p>
            <w:pPr>
              <w:spacing w:after="0"/>
              <w:rPr>
                <w:sz w:val="20"/>
                <w:szCs w:val="20"/>
                <w:color w:val="auto"/>
              </w:rPr>
            </w:pPr>
          </w:p>
        </w:tc>
        <w:tc>
          <w:tcPr>
            <w:tcW w:w="9380" w:type="dxa"/>
            <w:vAlign w:val="bottom"/>
            <w:shd w:val="clear" w:color="auto" w:fill="CCFFCC"/>
          </w:tcPr>
          <w:p>
            <w:pPr>
              <w:ind w:left="600"/>
              <w:spacing w:after="0" w:line="191" w:lineRule="exact"/>
              <w:rPr>
                <w:sz w:val="20"/>
                <w:szCs w:val="20"/>
                <w:color w:val="auto"/>
              </w:rPr>
            </w:pPr>
            <w:r>
              <w:rPr>
                <w:rFonts w:ascii="Arial" w:cs="Arial" w:eastAsia="Arial" w:hAnsi="Arial"/>
                <w:sz w:val="17"/>
                <w:szCs w:val="17"/>
                <w:color w:val="auto"/>
              </w:rPr>
              <w:t>Notes to Condensed Consolidated Financial Statements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10">
              <w:r>
                <w:rPr>
                  <w:rFonts w:ascii="Arial" w:cs="Arial" w:eastAsia="Arial" w:hAnsi="Arial"/>
                  <w:sz w:val="17"/>
                  <w:szCs w:val="17"/>
                  <w:color w:val="0000FF"/>
                </w:rPr>
                <w:t>10</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2.</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3.</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Quantitative and Qualitative Disclosures about Market Risk</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4.</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Controls and Procedures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0">
              <w:r>
                <w:rPr>
                  <w:rFonts w:ascii="Arial" w:cs="Arial" w:eastAsia="Arial" w:hAnsi="Arial"/>
                  <w:sz w:val="17"/>
                  <w:szCs w:val="17"/>
                  <w:color w:val="0000FF"/>
                </w:rPr>
                <w:t>50</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Part II.</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Other Information</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0">
              <w:r>
                <w:rPr>
                  <w:rFonts w:ascii="Arial" w:cs="Arial" w:eastAsia="Arial" w:hAnsi="Arial"/>
                  <w:sz w:val="17"/>
                  <w:szCs w:val="17"/>
                  <w:color w:val="0000FF"/>
                </w:rPr>
                <w:t>50</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1.</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Legal Proceedings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0">
              <w:r>
                <w:rPr>
                  <w:rFonts w:ascii="Arial" w:cs="Arial" w:eastAsia="Arial" w:hAnsi="Arial"/>
                  <w:sz w:val="17"/>
                  <w:szCs w:val="17"/>
                  <w:color w:val="0000FF"/>
                </w:rPr>
                <w:t>50</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1A.</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Risk Factors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1">
              <w:r>
                <w:rPr>
                  <w:rFonts w:ascii="Arial" w:cs="Arial" w:eastAsia="Arial" w:hAnsi="Arial"/>
                  <w:sz w:val="17"/>
                  <w:szCs w:val="17"/>
                  <w:color w:val="0000FF"/>
                </w:rPr>
                <w:t>51</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2.</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Unregistered Sales of Equity Securities and Use of Proceeds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3">
              <w:r>
                <w:rPr>
                  <w:rFonts w:ascii="Arial" w:cs="Arial" w:eastAsia="Arial" w:hAnsi="Arial"/>
                  <w:sz w:val="17"/>
                  <w:szCs w:val="17"/>
                  <w:color w:val="0000FF"/>
                </w:rPr>
                <w:t>53</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3.</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Defaults Upon Senior Securities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3">
              <w:r>
                <w:rPr>
                  <w:rFonts w:ascii="Arial" w:cs="Arial" w:eastAsia="Arial" w:hAnsi="Arial"/>
                  <w:sz w:val="17"/>
                  <w:szCs w:val="17"/>
                  <w:color w:val="0000FF"/>
                </w:rPr>
                <w:t>53</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4.</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Mine Safety Disclosures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3">
              <w:r>
                <w:rPr>
                  <w:rFonts w:ascii="Arial" w:cs="Arial" w:eastAsia="Arial" w:hAnsi="Arial"/>
                  <w:sz w:val="17"/>
                  <w:szCs w:val="17"/>
                  <w:color w:val="0000FF"/>
                </w:rPr>
                <w:t>53</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5.</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Other Information</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3">
              <w:r>
                <w:rPr>
                  <w:rFonts w:ascii="Arial" w:cs="Arial" w:eastAsia="Arial" w:hAnsi="Arial"/>
                  <w:sz w:val="17"/>
                  <w:szCs w:val="17"/>
                  <w:color w:val="0000FF"/>
                </w:rPr>
                <w:t>53</w:t>
              </w:r>
            </w:hyperlink>
          </w:p>
        </w:tc>
        <w:tc>
          <w:tcPr>
            <w:tcW w:w="100" w:type="dxa"/>
            <w:vAlign w:val="bottom"/>
            <w:shd w:val="clear" w:color="auto" w:fill="CCFFCC"/>
          </w:tcPr>
          <w:p>
            <w:pPr>
              <w:spacing w:after="0"/>
              <w:rPr>
                <w:sz w:val="20"/>
                <w:szCs w:val="20"/>
                <w:color w:val="auto"/>
              </w:rPr>
            </w:pPr>
          </w:p>
        </w:tc>
      </w:tr>
      <w:tr>
        <w:trPr>
          <w:trHeight w:val="254"/>
        </w:trPr>
        <w:tc>
          <w:tcPr>
            <w:tcW w:w="1020" w:type="dxa"/>
            <w:vAlign w:val="bottom"/>
            <w:tcBorders>
              <w:top w:val="single" w:sz="8" w:color="CCFFCC"/>
            </w:tcBorders>
          </w:tcPr>
          <w:p>
            <w:pPr>
              <w:spacing w:after="0"/>
              <w:rPr>
                <w:sz w:val="22"/>
                <w:szCs w:val="22"/>
                <w:color w:val="auto"/>
              </w:rPr>
            </w:pPr>
          </w:p>
        </w:tc>
        <w:tc>
          <w:tcPr>
            <w:tcW w:w="9380" w:type="dxa"/>
            <w:vAlign w:val="bottom"/>
            <w:tcBorders>
              <w:top w:val="single" w:sz="8" w:color="CCFFCC"/>
            </w:tcBorders>
          </w:tcPr>
          <w:p>
            <w:pPr>
              <w:spacing w:after="0"/>
              <w:rPr>
                <w:sz w:val="22"/>
                <w:szCs w:val="22"/>
                <w:color w:val="auto"/>
              </w:rPr>
            </w:pPr>
          </w:p>
        </w:tc>
        <w:tc>
          <w:tcPr>
            <w:tcW w:w="760" w:type="dxa"/>
            <w:vAlign w:val="bottom"/>
            <w:tcBorders>
              <w:top w:val="single" w:sz="8" w:color="CCFFCC"/>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Item 6.</w:t>
            </w:r>
          </w:p>
        </w:tc>
        <w:tc>
          <w:tcPr>
            <w:tcW w:w="9380" w:type="dxa"/>
            <w:vAlign w:val="bottom"/>
            <w:shd w:val="clear" w:color="auto" w:fill="CCFFCC"/>
          </w:tcPr>
          <w:p>
            <w:pPr>
              <w:ind w:left="260"/>
              <w:spacing w:after="0" w:line="191" w:lineRule="exact"/>
              <w:rPr>
                <w:sz w:val="20"/>
                <w:szCs w:val="20"/>
                <w:color w:val="auto"/>
              </w:rPr>
            </w:pPr>
            <w:r>
              <w:rPr>
                <w:rFonts w:ascii="Arial" w:cs="Arial" w:eastAsia="Arial" w:hAnsi="Arial"/>
                <w:sz w:val="17"/>
                <w:szCs w:val="17"/>
                <w:color w:val="auto"/>
              </w:rPr>
              <w:t>Exhibits</w:t>
            </w: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FF"/>
              </w:rPr>
            </w:pPr>
            <w:hyperlink w:anchor="page54">
              <w:r>
                <w:rPr>
                  <w:rFonts w:ascii="Arial" w:cs="Arial" w:eastAsia="Arial" w:hAnsi="Arial"/>
                  <w:sz w:val="17"/>
                  <w:szCs w:val="17"/>
                  <w:color w:val="0000FF"/>
                </w:rPr>
                <w:t>54</w:t>
              </w:r>
            </w:hyperlink>
          </w:p>
        </w:tc>
        <w:tc>
          <w:tcPr>
            <w:tcW w:w="100" w:type="dxa"/>
            <w:vAlign w:val="bottom"/>
            <w:shd w:val="clear" w:color="auto" w:fill="CCFFCC"/>
          </w:tcPr>
          <w:p>
            <w:pPr>
              <w:spacing w:after="0"/>
              <w:rPr>
                <w:sz w:val="20"/>
                <w:szCs w:val="20"/>
                <w:color w:val="auto"/>
              </w:rPr>
            </w:pPr>
          </w:p>
        </w:tc>
      </w:tr>
      <w:tr>
        <w:trPr>
          <w:trHeight w:val="305"/>
        </w:trPr>
        <w:tc>
          <w:tcPr>
            <w:tcW w:w="1020" w:type="dxa"/>
            <w:vAlign w:val="bottom"/>
            <w:tcBorders>
              <w:top w:val="single" w:sz="8" w:color="CCFFCC"/>
            </w:tcBorders>
          </w:tcPr>
          <w:p>
            <w:pPr>
              <w:spacing w:after="0"/>
              <w:rPr>
                <w:sz w:val="24"/>
                <w:szCs w:val="24"/>
                <w:color w:val="auto"/>
              </w:rPr>
            </w:pPr>
          </w:p>
        </w:tc>
        <w:tc>
          <w:tcPr>
            <w:tcW w:w="9380" w:type="dxa"/>
            <w:vAlign w:val="bottom"/>
            <w:tcBorders>
              <w:top w:val="single" w:sz="8" w:color="CCFFCC"/>
            </w:tcBorders>
          </w:tcPr>
          <w:p>
            <w:pPr>
              <w:spacing w:after="0"/>
              <w:rPr>
                <w:sz w:val="24"/>
                <w:szCs w:val="24"/>
                <w:color w:val="auto"/>
              </w:rPr>
            </w:pPr>
          </w:p>
        </w:tc>
        <w:tc>
          <w:tcPr>
            <w:tcW w:w="76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34"/>
        </w:trPr>
        <w:tc>
          <w:tcPr>
            <w:tcW w:w="1020" w:type="dxa"/>
            <w:vAlign w:val="bottom"/>
            <w:shd w:val="clear" w:color="auto" w:fill="CCFFCC"/>
          </w:tcPr>
          <w:p>
            <w:pPr>
              <w:ind w:left="20"/>
              <w:spacing w:after="0" w:line="191" w:lineRule="exact"/>
              <w:rPr>
                <w:sz w:val="20"/>
                <w:szCs w:val="20"/>
                <w:color w:val="auto"/>
              </w:rPr>
            </w:pPr>
            <w:r>
              <w:rPr>
                <w:rFonts w:ascii="Arial" w:cs="Arial" w:eastAsia="Arial" w:hAnsi="Arial"/>
                <w:sz w:val="17"/>
                <w:szCs w:val="17"/>
                <w:color w:val="auto"/>
              </w:rPr>
              <w:t>Signatures</w:t>
            </w:r>
          </w:p>
        </w:tc>
        <w:tc>
          <w:tcPr>
            <w:tcW w:w="9380" w:type="dxa"/>
            <w:vAlign w:val="bottom"/>
            <w:shd w:val="clear" w:color="auto" w:fill="CCFFCC"/>
          </w:tcPr>
          <w:p>
            <w:pPr>
              <w:spacing w:after="0"/>
              <w:rPr>
                <w:sz w:val="20"/>
                <w:szCs w:val="20"/>
                <w:color w:val="auto"/>
              </w:rPr>
            </w:pPr>
          </w:p>
        </w:tc>
        <w:tc>
          <w:tcPr>
            <w:tcW w:w="920" w:type="dxa"/>
            <w:vAlign w:val="bottom"/>
            <w:gridSpan w:val="3"/>
            <w:shd w:val="clear" w:color="auto" w:fill="CCFFCC"/>
          </w:tcPr>
          <w:p>
            <w:pPr>
              <w:jc w:val="right"/>
              <w:spacing w:after="0" w:line="191" w:lineRule="exact"/>
              <w:rPr>
                <w:rFonts w:ascii="Arial" w:cs="Arial" w:eastAsia="Arial" w:hAnsi="Arial"/>
                <w:sz w:val="17"/>
                <w:szCs w:val="17"/>
                <w:color w:val="0000EE"/>
              </w:rPr>
            </w:pPr>
            <w:hyperlink w:anchor="page55">
              <w:r>
                <w:rPr>
                  <w:rFonts w:ascii="Arial" w:cs="Arial" w:eastAsia="Arial" w:hAnsi="Arial"/>
                  <w:sz w:val="17"/>
                  <w:szCs w:val="17"/>
                  <w:color w:val="0000EE"/>
                </w:rPr>
                <w:t>55</w:t>
              </w:r>
            </w:hyperlink>
          </w:p>
        </w:tc>
        <w:tc>
          <w:tcPr>
            <w:tcW w:w="100" w:type="dxa"/>
            <w:vAlign w:val="bottom"/>
            <w:shd w:val="clear" w:color="auto" w:fill="CCFFCC"/>
          </w:tcPr>
          <w:p>
            <w:pPr>
              <w:spacing w:after="0"/>
              <w:rPr>
                <w:sz w:val="20"/>
                <w:szCs w:val="20"/>
                <w:color w:val="auto"/>
              </w:rPr>
            </w:pPr>
          </w:p>
        </w:tc>
      </w:tr>
      <w:tr>
        <w:trPr>
          <w:trHeight w:val="431"/>
        </w:trPr>
        <w:tc>
          <w:tcPr>
            <w:tcW w:w="1020" w:type="dxa"/>
            <w:vAlign w:val="bottom"/>
            <w:tcBorders>
              <w:top w:val="single" w:sz="8" w:color="CCFFCC"/>
            </w:tcBorders>
          </w:tcPr>
          <w:p>
            <w:pPr>
              <w:spacing w:after="0"/>
              <w:rPr>
                <w:sz w:val="24"/>
                <w:szCs w:val="24"/>
                <w:color w:val="auto"/>
              </w:rPr>
            </w:pPr>
          </w:p>
        </w:tc>
        <w:tc>
          <w:tcPr>
            <w:tcW w:w="9380" w:type="dxa"/>
            <w:vAlign w:val="bottom"/>
            <w:tcBorders>
              <w:top w:val="single" w:sz="8" w:color="CCFFCC"/>
            </w:tcBorders>
          </w:tcPr>
          <w:p>
            <w:pPr>
              <w:ind w:left="4660"/>
              <w:spacing w:after="0"/>
              <w:rPr>
                <w:sz w:val="20"/>
                <w:szCs w:val="20"/>
                <w:color w:val="auto"/>
              </w:rPr>
            </w:pPr>
            <w:r>
              <w:rPr>
                <w:rFonts w:ascii="Arial" w:cs="Arial" w:eastAsia="Arial" w:hAnsi="Arial"/>
                <w:sz w:val="17"/>
                <w:szCs w:val="17"/>
                <w:color w:val="auto"/>
              </w:rPr>
              <w:t>2</w:t>
            </w:r>
          </w:p>
        </w:tc>
        <w:tc>
          <w:tcPr>
            <w:tcW w:w="76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3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STATEMENTS IN THIS QUARTERLY REPORT ON FORM 10-Q ABOUT LIVEPERSON, INC. (“LIVEPERSON”)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5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Part I. Financial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1"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LIVEPERSON, INC.</w:t>
      </w:r>
    </w:p>
    <w:p>
      <w:pPr>
        <w:spacing w:after="0" w:line="110"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center"/>
              <w:ind w:right="165"/>
              <w:spacing w:after="0"/>
              <w:rPr>
                <w:sz w:val="20"/>
                <w:szCs w:val="20"/>
                <w:color w:val="auto"/>
              </w:rPr>
            </w:pPr>
            <w:r>
              <w:rPr>
                <w:rFonts w:ascii="Arial" w:cs="Arial" w:eastAsia="Arial" w:hAnsi="Arial"/>
                <w:sz w:val="14"/>
                <w:szCs w:val="14"/>
                <w:b w:val="1"/>
                <w:bCs w:val="1"/>
                <w:color w:val="auto"/>
                <w:w w:val="85"/>
              </w:rPr>
              <w:t>December 31,</w:t>
            </w:r>
          </w:p>
        </w:tc>
      </w:tr>
      <w:tr>
        <w:trPr>
          <w:trHeight w:val="180"/>
        </w:trPr>
        <w:tc>
          <w:tcPr>
            <w:tcW w:w="8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3"/>
              </w:rPr>
              <w:t>2018</w:t>
            </w:r>
          </w:p>
        </w:tc>
      </w:tr>
      <w:tr>
        <w:trPr>
          <w:trHeight w:val="247"/>
        </w:trPr>
        <w:tc>
          <w:tcPr>
            <w:tcW w:w="8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25"/>
              <w:spacing w:after="0"/>
              <w:rPr>
                <w:sz w:val="20"/>
                <w:szCs w:val="20"/>
                <w:color w:val="auto"/>
              </w:rPr>
            </w:pPr>
            <w:r>
              <w:rPr>
                <w:rFonts w:ascii="Arial" w:cs="Arial" w:eastAsia="Arial" w:hAnsi="Arial"/>
                <w:sz w:val="14"/>
                <w:szCs w:val="14"/>
                <w:b w:val="1"/>
                <w:bCs w:val="1"/>
                <w:color w:val="auto"/>
                <w:w w:val="88"/>
              </w:rPr>
              <w:t>(Note 1)</w:t>
            </w:r>
          </w:p>
        </w:tc>
      </w:tr>
      <w:tr>
        <w:trPr>
          <w:trHeight w:val="240"/>
        </w:trPr>
        <w:tc>
          <w:tcPr>
            <w:tcW w:w="8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r>
      <w:tr>
        <w:trPr>
          <w:trHeight w:val="224"/>
        </w:trPr>
        <w:tc>
          <w:tcPr>
            <w:tcW w:w="83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Cash and cash equivalents</w:t>
            </w: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205,153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66,449</w:t>
            </w:r>
          </w:p>
        </w:tc>
      </w:tr>
      <w:tr>
        <w:trPr>
          <w:trHeight w:val="208"/>
        </w:trPr>
        <w:tc>
          <w:tcPr>
            <w:tcW w:w="8360" w:type="dxa"/>
            <w:vAlign w:val="bottom"/>
          </w:tcPr>
          <w:p>
            <w:pPr>
              <w:ind w:left="160"/>
              <w:spacing w:after="0"/>
              <w:rPr>
                <w:sz w:val="20"/>
                <w:szCs w:val="20"/>
                <w:color w:val="auto"/>
              </w:rPr>
            </w:pPr>
            <w:r>
              <w:rPr>
                <w:rFonts w:ascii="Arial" w:cs="Arial" w:eastAsia="Arial" w:hAnsi="Arial"/>
                <w:sz w:val="15"/>
                <w:szCs w:val="15"/>
                <w:color w:val="auto"/>
                <w:w w:val="92"/>
              </w:rPr>
              <w:t>Accounts receivable, net of allowance for doubtful accounts of $2,894 and $2,276 as of September 30, 2019 and December 31, 2018,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4"/>
        </w:trPr>
        <w:tc>
          <w:tcPr>
            <w:tcW w:w="8360" w:type="dxa"/>
            <w:vAlign w:val="bottom"/>
          </w:tcPr>
          <w:p>
            <w:pPr>
              <w:ind w:left="160"/>
              <w:spacing w:after="0"/>
              <w:rPr>
                <w:sz w:val="20"/>
                <w:szCs w:val="20"/>
                <w:color w:val="auto"/>
              </w:rPr>
            </w:pPr>
            <w:r>
              <w:rPr>
                <w:rFonts w:ascii="Arial" w:cs="Arial" w:eastAsia="Arial" w:hAnsi="Arial"/>
                <w:sz w:val="15"/>
                <w:szCs w:val="15"/>
                <w:color w:val="auto"/>
              </w:rPr>
              <w:t>respectively</w:t>
            </w:r>
          </w:p>
        </w:tc>
        <w:tc>
          <w:tcPr>
            <w:tcW w:w="200" w:type="dxa"/>
            <w:vAlign w:val="bottom"/>
          </w:tcPr>
          <w:p>
            <w:pPr>
              <w:spacing w:after="0"/>
              <w:rPr>
                <w:sz w:val="16"/>
                <w:szCs w:val="16"/>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53,787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46,023</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41,806</w:t>
            </w: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22,613</w:t>
            </w:r>
          </w:p>
        </w:tc>
      </w:tr>
      <w:tr>
        <w:trPr>
          <w:trHeight w:val="204"/>
        </w:trPr>
        <w:tc>
          <w:tcPr>
            <w:tcW w:w="8360" w:type="dxa"/>
            <w:vAlign w:val="bottom"/>
          </w:tcPr>
          <w:p>
            <w:pPr>
              <w:ind w:left="260"/>
              <w:spacing w:after="0"/>
              <w:rPr>
                <w:sz w:val="20"/>
                <w:szCs w:val="20"/>
                <w:color w:val="auto"/>
              </w:rPr>
            </w:pPr>
            <w:r>
              <w:rPr>
                <w:rFonts w:ascii="Arial" w:cs="Arial" w:eastAsia="Arial" w:hAnsi="Arial"/>
                <w:sz w:val="15"/>
                <w:szCs w:val="15"/>
                <w:color w:val="auto"/>
              </w:rPr>
              <w:t>Total current assets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300,746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135,085</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Operating lease right of use asset</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14,521</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w:t>
            </w:r>
          </w:p>
        </w:tc>
      </w:tr>
      <w:tr>
        <w:trPr>
          <w:trHeight w:val="224"/>
        </w:trPr>
        <w:tc>
          <w:tcPr>
            <w:tcW w:w="836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66,859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43,735</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Intangibles, net</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12,303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13,832</w:t>
            </w:r>
          </w:p>
        </w:tc>
      </w:tr>
      <w:tr>
        <w:trPr>
          <w:trHeight w:val="224"/>
        </w:trPr>
        <w:tc>
          <w:tcPr>
            <w:tcW w:w="836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94,928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95,031</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Deferred tax assets</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717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713</w:t>
            </w:r>
          </w:p>
        </w:tc>
      </w:tr>
      <w:tr>
        <w:trPr>
          <w:trHeight w:val="224"/>
        </w:trPr>
        <w:tc>
          <w:tcPr>
            <w:tcW w:w="836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1,855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1,707</w:t>
            </w:r>
          </w:p>
        </w:tc>
      </w:tr>
      <w:tr>
        <w:trPr>
          <w:trHeight w:val="30"/>
        </w:trPr>
        <w:tc>
          <w:tcPr>
            <w:tcW w:w="8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83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491,929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rPr>
              <w:t>290,103</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0"/>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r>
      <w:tr>
        <w:trPr>
          <w:trHeight w:val="224"/>
        </w:trPr>
        <w:tc>
          <w:tcPr>
            <w:tcW w:w="83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Accounts payable</w:t>
            </w: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9,152</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8,174</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Accrued expenses and other current liabilities</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50,290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50,662</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Deferred revenue</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72,115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55,015</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Operating lease liability</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6,015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30"/>
        </w:trPr>
        <w:tc>
          <w:tcPr>
            <w:tcW w:w="8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83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current liabilities</w:t>
            </w:r>
          </w:p>
        </w:tc>
        <w:tc>
          <w:tcPr>
            <w:tcW w:w="200" w:type="dxa"/>
            <w:vAlign w:val="bottom"/>
            <w:tcBorders>
              <w:bottom w:val="single" w:sz="8" w:color="CCFFCC"/>
            </w:tcBorders>
            <w:shd w:val="clear" w:color="auto" w:fill="CCFFCC"/>
          </w:tcPr>
          <w:p>
            <w:pPr>
              <w:spacing w:after="0"/>
              <w:rPr>
                <w:sz w:val="18"/>
                <w:szCs w:val="18"/>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137,572</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113,851</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222</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Convertible senior notes, net</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176,392</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Other liabilities</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217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4,205</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Operating lease liability, net of current portion</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12,323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Deferred tax liability</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1,299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1,096</w:t>
            </w:r>
          </w:p>
        </w:tc>
      </w:tr>
      <w:tr>
        <w:trPr>
          <w:trHeight w:val="30"/>
        </w:trPr>
        <w:tc>
          <w:tcPr>
            <w:tcW w:w="8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328,867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119,374</w:t>
            </w:r>
          </w:p>
        </w:tc>
      </w:tr>
      <w:tr>
        <w:trPr>
          <w:trHeight w:val="298"/>
        </w:trPr>
        <w:tc>
          <w:tcPr>
            <w:tcW w:w="8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34"/>
        </w:trPr>
        <w:tc>
          <w:tcPr>
            <w:tcW w:w="8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Commitments and contingencies (see note 11 in the notes to the Condensed Consolidated Financial Statement)</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spacing w:after="0"/>
              <w:rPr>
                <w:sz w:val="20"/>
                <w:szCs w:val="20"/>
                <w:color w:val="auto"/>
              </w:rPr>
            </w:pPr>
          </w:p>
        </w:tc>
      </w:tr>
      <w:tr>
        <w:trPr>
          <w:trHeight w:val="224"/>
        </w:trPr>
        <w:tc>
          <w:tcPr>
            <w:tcW w:w="836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8"/>
        </w:trPr>
        <w:tc>
          <w:tcPr>
            <w:tcW w:w="8360" w:type="dxa"/>
            <w:vAlign w:val="bottom"/>
            <w:shd w:val="clear" w:color="auto" w:fill="CCFFCC"/>
          </w:tcPr>
          <w:p>
            <w:pPr>
              <w:ind w:left="160"/>
              <w:spacing w:after="0"/>
              <w:rPr>
                <w:sz w:val="20"/>
                <w:szCs w:val="20"/>
                <w:color w:val="auto"/>
              </w:rPr>
            </w:pPr>
            <w:r>
              <w:rPr>
                <w:rFonts w:ascii="Arial" w:cs="Arial" w:eastAsia="Arial" w:hAnsi="Arial"/>
                <w:sz w:val="15"/>
                <w:szCs w:val="15"/>
                <w:color w:val="auto"/>
                <w:w w:val="92"/>
              </w:rPr>
              <w:t>Common stock, $0.001 par value - 100,000,000 shares authorized, 66,035,099 shares issued and outstanding and 63,676,229 shares</w:t>
            </w:r>
          </w:p>
        </w:tc>
        <w:tc>
          <w:tcPr>
            <w:tcW w:w="20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r>
      <w:tr>
        <w:trPr>
          <w:trHeight w:val="20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issued and outstanding, respectively</w:t>
            </w:r>
          </w:p>
        </w:tc>
        <w:tc>
          <w:tcPr>
            <w:tcW w:w="200" w:type="dxa"/>
            <w:vAlign w:val="bottom"/>
            <w:tcBorders>
              <w:bottom w:val="single" w:sz="8" w:color="CCFFCC"/>
            </w:tcBorders>
            <w:shd w:val="clear" w:color="auto" w:fill="CCFFCC"/>
          </w:tcPr>
          <w:p>
            <w:pPr>
              <w:spacing w:after="0"/>
              <w:rPr>
                <w:sz w:val="17"/>
                <w:szCs w:val="17"/>
                <w:color w:val="auto"/>
              </w:rPr>
            </w:pPr>
          </w:p>
        </w:tc>
        <w:tc>
          <w:tcPr>
            <w:tcW w:w="1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66</w:t>
            </w:r>
          </w:p>
        </w:tc>
        <w:tc>
          <w:tcPr>
            <w:tcW w:w="1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64</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9"/>
                <w:szCs w:val="19"/>
                <w:color w:val="auto"/>
              </w:rPr>
            </w:pP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425,546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362,590</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Treasury stock, at cost; 2,704,706 and 2,681,285 shares, respectively</w:t>
            </w:r>
          </w:p>
        </w:tc>
        <w:tc>
          <w:tcPr>
            <w:tcW w:w="20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(3)</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Accumulated deficit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(256,240)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(187,491)</w:t>
            </w:r>
          </w:p>
        </w:tc>
      </w:tr>
      <w:tr>
        <w:trPr>
          <w:trHeight w:val="30"/>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Accumulated other comprehensive loss</w:t>
            </w:r>
          </w:p>
        </w:tc>
        <w:tc>
          <w:tcPr>
            <w:tcW w:w="20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(6,307)</w:t>
            </w: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(4,431)</w:t>
            </w:r>
          </w:p>
        </w:tc>
      </w:tr>
      <w:tr>
        <w:trPr>
          <w:trHeight w:val="204"/>
        </w:trPr>
        <w:tc>
          <w:tcPr>
            <w:tcW w:w="8360" w:type="dxa"/>
            <w:vAlign w:val="bottom"/>
          </w:tcPr>
          <w:p>
            <w:pPr>
              <w:ind w:left="26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163,062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170,729</w:t>
            </w:r>
          </w:p>
        </w:tc>
      </w:tr>
      <w:tr>
        <w:trPr>
          <w:trHeight w:val="30"/>
        </w:trPr>
        <w:tc>
          <w:tcPr>
            <w:tcW w:w="8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83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491,929</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rPr>
              <w:t>290,103</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 (unaudited).</w:t>
      </w:r>
    </w:p>
    <w:p>
      <w:pPr>
        <w:sectPr>
          <w:pgSz w:w="11900" w:h="16838" w:orient="portrait"/>
          <w:cols w:equalWidth="0" w:num="1">
            <w:col w:w="11420"/>
          </w:cols>
          <w:pgMar w:left="240" w:top="559" w:right="2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59"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5"/>
                <w:szCs w:val="15"/>
                <w:color w:val="auto"/>
              </w:rPr>
            </w:pPr>
          </w:p>
        </w:tc>
        <w:tc>
          <w:tcPr>
            <w:tcW w:w="1980" w:type="dxa"/>
            <w:vAlign w:val="bottom"/>
            <w:gridSpan w:val="4"/>
          </w:tcPr>
          <w:p>
            <w:pPr>
              <w:jc w:val="right"/>
              <w:ind w:right="407"/>
              <w:spacing w:after="0"/>
              <w:rPr>
                <w:sz w:val="20"/>
                <w:szCs w:val="20"/>
                <w:color w:val="auto"/>
              </w:rPr>
            </w:pPr>
            <w:r>
              <w:rPr>
                <w:rFonts w:ascii="Arial" w:cs="Arial" w:eastAsia="Arial" w:hAnsi="Arial"/>
                <w:sz w:val="14"/>
                <w:szCs w:val="14"/>
                <w:b w:val="1"/>
                <w:bCs w:val="1"/>
                <w:color w:val="auto"/>
              </w:rPr>
              <w:t>Nine Months Ended</w:t>
            </w:r>
          </w:p>
        </w:tc>
      </w:tr>
      <w:tr>
        <w:trPr>
          <w:trHeight w:val="260"/>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22"/>
                <w:szCs w:val="22"/>
                <w:color w:val="auto"/>
              </w:rPr>
            </w:pPr>
          </w:p>
        </w:tc>
        <w:tc>
          <w:tcPr>
            <w:tcW w:w="1980" w:type="dxa"/>
            <w:vAlign w:val="bottom"/>
            <w:gridSpan w:val="4"/>
          </w:tcPr>
          <w:p>
            <w:pPr>
              <w:jc w:val="right"/>
              <w:ind w:right="567"/>
              <w:spacing w:after="0"/>
              <w:rPr>
                <w:sz w:val="20"/>
                <w:szCs w:val="20"/>
                <w:color w:val="auto"/>
              </w:rPr>
            </w:pPr>
            <w:r>
              <w:rPr>
                <w:rFonts w:ascii="Arial" w:cs="Arial" w:eastAsia="Arial" w:hAnsi="Arial"/>
                <w:sz w:val="14"/>
                <w:szCs w:val="14"/>
                <w:b w:val="1"/>
                <w:bCs w:val="1"/>
                <w:color w:val="auto"/>
              </w:rPr>
              <w:t>September 30,</w:t>
            </w:r>
          </w:p>
        </w:tc>
      </w:tr>
      <w:tr>
        <w:trPr>
          <w:trHeight w:val="247"/>
        </w:trPr>
        <w:tc>
          <w:tcPr>
            <w:tcW w:w="6980" w:type="dxa"/>
            <w:vAlign w:val="bottom"/>
            <w:tcBorders>
              <w:bottom w:val="single" w:sz="8" w:color="CCFFC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FFC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2018</w:t>
            </w:r>
          </w:p>
        </w:tc>
      </w:tr>
      <w:tr>
        <w:trPr>
          <w:trHeight w:val="240"/>
        </w:trPr>
        <w:tc>
          <w:tcPr>
            <w:tcW w:w="6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Revenue</w:t>
            </w:r>
          </w:p>
        </w:tc>
        <w:tc>
          <w:tcPr>
            <w:tcW w:w="1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75,175</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64,213</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212,536</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184,114</w:t>
            </w:r>
          </w:p>
        </w:tc>
      </w:tr>
      <w:tr>
        <w:trPr>
          <w:trHeight w:val="247"/>
        </w:trPr>
        <w:tc>
          <w:tcPr>
            <w:tcW w:w="6980" w:type="dxa"/>
            <w:vAlign w:val="bottom"/>
          </w:tcPr>
          <w:p>
            <w:pPr>
              <w:ind w:left="20"/>
              <w:spacing w:after="0"/>
              <w:rPr>
                <w:sz w:val="20"/>
                <w:szCs w:val="20"/>
                <w:color w:val="auto"/>
              </w:rPr>
            </w:pPr>
            <w:r>
              <w:rPr>
                <w:rFonts w:ascii="Arial" w:cs="Arial" w:eastAsia="Arial" w:hAnsi="Arial"/>
                <w:sz w:val="15"/>
                <w:szCs w:val="15"/>
                <w:color w:val="auto"/>
              </w:rPr>
              <w:t xml:space="preserve">Costs and expenses </w:t>
            </w:r>
            <w:r>
              <w:rPr>
                <w:rFonts w:ascii="Arial" w:cs="Arial" w:eastAsia="Arial" w:hAnsi="Arial"/>
                <w:sz w:val="20"/>
                <w:szCs w:val="20"/>
                <w:color w:val="auto"/>
                <w:vertAlign w:val="superscript"/>
              </w:rPr>
              <w:t>(1) (2)</w:t>
            </w: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54"/>
        </w:trPr>
        <w:tc>
          <w:tcPr>
            <w:tcW w:w="6980" w:type="dxa"/>
            <w:vAlign w:val="bottom"/>
            <w:shd w:val="clear" w:color="auto" w:fill="CCFFCC"/>
          </w:tcPr>
          <w:p>
            <w:pPr>
              <w:ind w:left="160"/>
              <w:spacing w:after="0"/>
              <w:rPr>
                <w:sz w:val="20"/>
                <w:szCs w:val="20"/>
                <w:color w:val="auto"/>
              </w:rPr>
            </w:pPr>
            <w:r>
              <w:rPr>
                <w:rFonts w:ascii="Arial" w:cs="Arial" w:eastAsia="Arial" w:hAnsi="Arial"/>
                <w:sz w:val="15"/>
                <w:szCs w:val="15"/>
                <w:color w:val="auto"/>
              </w:rPr>
              <w:t xml:space="preserve">Cost of revenue </w:t>
            </w:r>
            <w:r>
              <w:rPr>
                <w:rFonts w:ascii="Arial" w:cs="Arial" w:eastAsia="Arial" w:hAnsi="Arial"/>
                <w:sz w:val="20"/>
                <w:szCs w:val="20"/>
                <w:color w:val="auto"/>
                <w:vertAlign w:val="superscript"/>
              </w:rPr>
              <w:t>(3)</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rPr>
              <w:t>20,120</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47"/>
              <w:spacing w:after="0"/>
              <w:rPr>
                <w:sz w:val="20"/>
                <w:szCs w:val="20"/>
                <w:color w:val="auto"/>
              </w:rPr>
            </w:pPr>
            <w:r>
              <w:rPr>
                <w:rFonts w:ascii="Arial" w:cs="Arial" w:eastAsia="Arial" w:hAnsi="Arial"/>
                <w:sz w:val="15"/>
                <w:szCs w:val="15"/>
                <w:color w:val="auto"/>
              </w:rPr>
              <w:t>15,689</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Arial" w:cs="Arial" w:eastAsia="Arial" w:hAnsi="Arial"/>
                <w:sz w:val="15"/>
                <w:szCs w:val="15"/>
                <w:color w:val="auto"/>
              </w:rPr>
              <w:t>56,818</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4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rPr>
              <w:t>45,679</w:t>
            </w:r>
          </w:p>
        </w:tc>
      </w:tr>
      <w:tr>
        <w:trPr>
          <w:trHeight w:val="224"/>
        </w:trPr>
        <w:tc>
          <w:tcPr>
            <w:tcW w:w="6980" w:type="dxa"/>
            <w:vAlign w:val="bottom"/>
          </w:tcPr>
          <w:p>
            <w:pPr>
              <w:ind w:left="160"/>
              <w:spacing w:after="0"/>
              <w:rPr>
                <w:sz w:val="20"/>
                <w:szCs w:val="20"/>
                <w:color w:val="auto"/>
              </w:rPr>
            </w:pPr>
            <w:r>
              <w:rPr>
                <w:rFonts w:ascii="Arial" w:cs="Arial" w:eastAsia="Arial" w:hAnsi="Arial"/>
                <w:sz w:val="15"/>
                <w:szCs w:val="15"/>
                <w:color w:val="auto"/>
              </w:rPr>
              <w:t>Sales and marketing</w:t>
            </w:r>
          </w:p>
        </w:tc>
        <w:tc>
          <w:tcPr>
            <w:tcW w:w="16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41,774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26,748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114,153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76,271</w:t>
            </w: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General and administrative</w:t>
            </w:r>
          </w:p>
        </w:tc>
        <w:tc>
          <w:tcPr>
            <w:tcW w:w="1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13,958</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11,972</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41,889</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33,594</w:t>
            </w:r>
          </w:p>
        </w:tc>
      </w:tr>
      <w:tr>
        <w:trPr>
          <w:trHeight w:val="224"/>
        </w:trPr>
        <w:tc>
          <w:tcPr>
            <w:tcW w:w="6980" w:type="dxa"/>
            <w:vAlign w:val="bottom"/>
          </w:tcPr>
          <w:p>
            <w:pPr>
              <w:ind w:left="160"/>
              <w:spacing w:after="0"/>
              <w:rPr>
                <w:sz w:val="20"/>
                <w:szCs w:val="20"/>
                <w:color w:val="auto"/>
              </w:rPr>
            </w:pPr>
            <w:r>
              <w:rPr>
                <w:rFonts w:ascii="Arial" w:cs="Arial" w:eastAsia="Arial" w:hAnsi="Arial"/>
                <w:sz w:val="15"/>
                <w:szCs w:val="15"/>
                <w:color w:val="auto"/>
              </w:rPr>
              <w:t>Product development</w:t>
            </w:r>
          </w:p>
        </w:tc>
        <w:tc>
          <w:tcPr>
            <w:tcW w:w="16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20,577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13,484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58,932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40,955</w:t>
            </w: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Restructuring costs</w:t>
            </w:r>
          </w:p>
        </w:tc>
        <w:tc>
          <w:tcPr>
            <w:tcW w:w="1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1,425</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722</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1,909</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2,806</w:t>
            </w:r>
          </w:p>
        </w:tc>
      </w:tr>
      <w:tr>
        <w:trPr>
          <w:trHeight w:val="224"/>
        </w:trPr>
        <w:tc>
          <w:tcPr>
            <w:tcW w:w="6980" w:type="dxa"/>
            <w:vAlign w:val="bottom"/>
          </w:tcPr>
          <w:p>
            <w:pPr>
              <w:ind w:left="160"/>
              <w:spacing w:after="0"/>
              <w:rPr>
                <w:sz w:val="20"/>
                <w:szCs w:val="20"/>
                <w:color w:val="auto"/>
              </w:rPr>
            </w:pPr>
            <w:r>
              <w:rPr>
                <w:rFonts w:ascii="Arial" w:cs="Arial" w:eastAsia="Arial" w:hAnsi="Arial"/>
                <w:sz w:val="15"/>
                <w:szCs w:val="15"/>
                <w:color w:val="auto"/>
              </w:rPr>
              <w:t>Amortization of purchased intangibles</w:t>
            </w:r>
          </w:p>
        </w:tc>
        <w:tc>
          <w:tcPr>
            <w:tcW w:w="160" w:type="dxa"/>
            <w:vAlign w:val="bottom"/>
          </w:tcPr>
          <w:p>
            <w:pPr>
              <w:spacing w:after="0"/>
              <w:rPr>
                <w:sz w:val="19"/>
                <w:szCs w:val="19"/>
                <w:color w:val="auto"/>
              </w:rPr>
            </w:pP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447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47"/>
              <w:spacing w:after="0"/>
              <w:rPr>
                <w:sz w:val="20"/>
                <w:szCs w:val="20"/>
                <w:color w:val="auto"/>
              </w:rPr>
            </w:pPr>
            <w:r>
              <w:rPr>
                <w:rFonts w:ascii="Arial" w:cs="Arial" w:eastAsia="Arial" w:hAnsi="Arial"/>
                <w:sz w:val="15"/>
                <w:szCs w:val="15"/>
                <w:color w:val="auto"/>
              </w:rPr>
              <w:t>1,346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1,272</w:t>
            </w:r>
          </w:p>
        </w:tc>
      </w:tr>
      <w:tr>
        <w:trPr>
          <w:trHeight w:val="30"/>
        </w:trPr>
        <w:tc>
          <w:tcPr>
            <w:tcW w:w="698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costs and expenses</w:t>
            </w:r>
          </w:p>
        </w:tc>
        <w:tc>
          <w:tcPr>
            <w:tcW w:w="1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98,301</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69,039</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275,047</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200,577</w:t>
            </w:r>
          </w:p>
        </w:tc>
      </w:tr>
      <w:tr>
        <w:trPr>
          <w:trHeight w:val="204"/>
        </w:trPr>
        <w:tc>
          <w:tcPr>
            <w:tcW w:w="6980" w:type="dxa"/>
            <w:vAlign w:val="bottom"/>
          </w:tcPr>
          <w:p>
            <w:pPr>
              <w:ind w:left="20"/>
              <w:spacing w:after="0"/>
              <w:rPr>
                <w:sz w:val="20"/>
                <w:szCs w:val="20"/>
                <w:color w:val="auto"/>
              </w:rPr>
            </w:pPr>
            <w:r>
              <w:rPr>
                <w:rFonts w:ascii="Arial" w:cs="Arial" w:eastAsia="Arial" w:hAnsi="Arial"/>
                <w:sz w:val="15"/>
                <w:szCs w:val="15"/>
                <w:color w:val="auto"/>
              </w:rPr>
              <w:t>Loss from operations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(23,126)</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(4,826)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(62,511)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(16,463)</w:t>
            </w: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4"/>
        </w:trPr>
        <w:tc>
          <w:tcPr>
            <w:tcW w:w="6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Other expense, net</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(1,810)</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CCFFCC"/>
            </w:tcBorders>
            <w:shd w:val="clear" w:color="auto" w:fill="CCFFCC"/>
          </w:tcPr>
          <w:p>
            <w:pPr>
              <w:jc w:val="right"/>
              <w:ind w:right="7"/>
              <w:spacing w:after="0"/>
              <w:rPr>
                <w:sz w:val="20"/>
                <w:szCs w:val="20"/>
                <w:color w:val="auto"/>
              </w:rPr>
            </w:pPr>
            <w:r>
              <w:rPr>
                <w:rFonts w:ascii="Arial" w:cs="Arial" w:eastAsia="Arial" w:hAnsi="Arial"/>
                <w:sz w:val="15"/>
                <w:szCs w:val="15"/>
                <w:color w:val="auto"/>
              </w:rPr>
              <w:t>(213)</w:t>
            </w:r>
          </w:p>
        </w:tc>
        <w:tc>
          <w:tcPr>
            <w:tcW w:w="10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(4,011)</w:t>
            </w:r>
          </w:p>
        </w:tc>
        <w:tc>
          <w:tcPr>
            <w:tcW w:w="10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(53)</w:t>
            </w:r>
          </w:p>
        </w:tc>
      </w:tr>
      <w:tr>
        <w:trPr>
          <w:trHeight w:val="204"/>
        </w:trPr>
        <w:tc>
          <w:tcPr>
            <w:tcW w:w="6980" w:type="dxa"/>
            <w:vAlign w:val="bottom"/>
          </w:tcPr>
          <w:p>
            <w:pPr>
              <w:ind w:left="20"/>
              <w:spacing w:after="0"/>
              <w:rPr>
                <w:sz w:val="20"/>
                <w:szCs w:val="20"/>
                <w:color w:val="auto"/>
              </w:rPr>
            </w:pPr>
            <w:r>
              <w:rPr>
                <w:rFonts w:ascii="Arial" w:cs="Arial" w:eastAsia="Arial" w:hAnsi="Arial"/>
                <w:sz w:val="15"/>
                <w:szCs w:val="15"/>
                <w:color w:val="auto"/>
              </w:rPr>
              <w:t>Loss before provision for income taxes</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(24,936)</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(5,039)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(66,522)</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(16,516)</w:t>
            </w: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4"/>
        </w:trPr>
        <w:tc>
          <w:tcPr>
            <w:tcW w:w="6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Provision for income taxes</w:t>
            </w:r>
          </w:p>
        </w:tc>
        <w:tc>
          <w:tcPr>
            <w:tcW w:w="16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936</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2,004</w:t>
            </w:r>
          </w:p>
        </w:tc>
        <w:tc>
          <w:tcPr>
            <w:tcW w:w="10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2,227</w:t>
            </w:r>
          </w:p>
        </w:tc>
        <w:tc>
          <w:tcPr>
            <w:tcW w:w="10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84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2,051</w:t>
            </w:r>
          </w:p>
        </w:tc>
      </w:tr>
      <w:tr>
        <w:trPr>
          <w:trHeight w:val="267"/>
        </w:trPr>
        <w:tc>
          <w:tcPr>
            <w:tcW w:w="6980" w:type="dxa"/>
            <w:vAlign w:val="bottom"/>
            <w:tcBorders>
              <w:bottom w:val="single" w:sz="8" w:color="CCFFCC"/>
            </w:tcBorders>
          </w:tcPr>
          <w:p>
            <w:pPr>
              <w:ind w:left="20"/>
              <w:spacing w:after="0"/>
              <w:rPr>
                <w:sz w:val="20"/>
                <w:szCs w:val="20"/>
                <w:color w:val="auto"/>
              </w:rPr>
            </w:pPr>
            <w:r>
              <w:rPr>
                <w:rFonts w:ascii="Arial" w:cs="Arial" w:eastAsia="Arial" w:hAnsi="Arial"/>
                <w:sz w:val="15"/>
                <w:szCs w:val="15"/>
                <w:color w:val="auto"/>
              </w:rPr>
              <w:t>Net loss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(25,872)</w:t>
            </w:r>
          </w:p>
        </w:tc>
        <w:tc>
          <w:tcPr>
            <w:tcW w:w="120" w:type="dxa"/>
            <w:vAlign w:val="bottom"/>
            <w:tcBorders>
              <w:bottom w:val="single" w:sz="8" w:color="CCFFCC"/>
            </w:tcBorders>
          </w:tcPr>
          <w:p>
            <w:pPr>
              <w:spacing w:after="0"/>
              <w:rPr>
                <w:sz w:val="23"/>
                <w:szCs w:val="2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(7,043)</w:t>
            </w:r>
          </w:p>
        </w:tc>
        <w:tc>
          <w:tcPr>
            <w:tcW w:w="100" w:type="dxa"/>
            <w:vAlign w:val="bottom"/>
            <w:tcBorders>
              <w:bottom w:val="single" w:sz="8" w:color="CCFFCC"/>
            </w:tcBorders>
          </w:tcPr>
          <w:p>
            <w:pPr>
              <w:spacing w:after="0"/>
              <w:rPr>
                <w:sz w:val="23"/>
                <w:szCs w:val="23"/>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(68,749)</w:t>
            </w:r>
          </w:p>
        </w:tc>
        <w:tc>
          <w:tcPr>
            <w:tcW w:w="100" w:type="dxa"/>
            <w:vAlign w:val="bottom"/>
            <w:tcBorders>
              <w:bottom w:val="single" w:sz="8" w:color="CCFFCC"/>
            </w:tcBorders>
          </w:tcPr>
          <w:p>
            <w:pPr>
              <w:spacing w:after="0"/>
              <w:rPr>
                <w:sz w:val="23"/>
                <w:szCs w:val="23"/>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(18,567)</w:t>
            </w:r>
          </w:p>
        </w:tc>
      </w:tr>
      <w:tr>
        <w:trPr>
          <w:trHeight w:val="265"/>
        </w:trPr>
        <w:tc>
          <w:tcPr>
            <w:tcW w:w="69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r>
      <w:tr>
        <w:trPr>
          <w:trHeight w:val="224"/>
        </w:trPr>
        <w:tc>
          <w:tcPr>
            <w:tcW w:w="6980" w:type="dxa"/>
            <w:vAlign w:val="bottom"/>
          </w:tcPr>
          <w:p>
            <w:pPr>
              <w:ind w:left="20"/>
              <w:spacing w:after="0"/>
              <w:rPr>
                <w:sz w:val="20"/>
                <w:szCs w:val="20"/>
                <w:color w:val="auto"/>
              </w:rPr>
            </w:pPr>
            <w:r>
              <w:rPr>
                <w:rFonts w:ascii="Arial" w:cs="Arial" w:eastAsia="Arial" w:hAnsi="Arial"/>
                <w:sz w:val="15"/>
                <w:szCs w:val="15"/>
                <w:color w:val="auto"/>
              </w:rPr>
              <w:t>Net loss per share of common stock:</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Basic</w:t>
            </w:r>
          </w:p>
        </w:tc>
        <w:tc>
          <w:tcPr>
            <w:tcW w:w="1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(0.41)</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FFCC"/>
          </w:tcPr>
          <w:p>
            <w:pPr>
              <w:jc w:val="right"/>
              <w:ind w:right="7"/>
              <w:spacing w:after="0"/>
              <w:rPr>
                <w:sz w:val="20"/>
                <w:szCs w:val="20"/>
                <w:color w:val="auto"/>
              </w:rPr>
            </w:pPr>
            <w:r>
              <w:rPr>
                <w:rFonts w:ascii="Arial" w:cs="Arial" w:eastAsia="Arial" w:hAnsi="Arial"/>
                <w:sz w:val="15"/>
                <w:szCs w:val="15"/>
                <w:color w:val="auto"/>
              </w:rPr>
              <w:t>(0.12)</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(0.32)</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0"/>
        </w:trPr>
        <w:tc>
          <w:tcPr>
            <w:tcW w:w="6980" w:type="dxa"/>
            <w:vAlign w:val="bottom"/>
            <w:tcBorders>
              <w:bottom w:val="single" w:sz="8" w:color="CCFFCC"/>
            </w:tcBorders>
          </w:tcPr>
          <w:p>
            <w:pPr>
              <w:ind w:left="160"/>
              <w:spacing w:after="0"/>
              <w:rPr>
                <w:sz w:val="20"/>
                <w:szCs w:val="20"/>
                <w:color w:val="auto"/>
              </w:rPr>
            </w:pPr>
            <w:r>
              <w:rPr>
                <w:rFonts w:ascii="Arial" w:cs="Arial" w:eastAsia="Arial" w:hAnsi="Arial"/>
                <w:sz w:val="15"/>
                <w:szCs w:val="15"/>
                <w:color w:val="auto"/>
              </w:rPr>
              <w:t>Diluted</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(0.41)</w:t>
            </w:r>
          </w:p>
        </w:tc>
        <w:tc>
          <w:tcPr>
            <w:tcW w:w="120" w:type="dxa"/>
            <w:vAlign w:val="bottom"/>
            <w:tcBorders>
              <w:bottom w:val="single" w:sz="8" w:color="CCFFCC"/>
            </w:tcBorders>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(0.12)</w:t>
            </w:r>
          </w:p>
        </w:tc>
        <w:tc>
          <w:tcPr>
            <w:tcW w:w="10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(0.32)</w:t>
            </w:r>
          </w:p>
        </w:tc>
      </w:tr>
      <w:tr>
        <w:trPr>
          <w:trHeight w:val="265"/>
        </w:trPr>
        <w:tc>
          <w:tcPr>
            <w:tcW w:w="69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r>
      <w:tr>
        <w:trPr>
          <w:trHeight w:val="224"/>
        </w:trPr>
        <w:tc>
          <w:tcPr>
            <w:tcW w:w="6980" w:type="dxa"/>
            <w:vAlign w:val="bottom"/>
          </w:tcPr>
          <w:p>
            <w:pPr>
              <w:ind w:left="20"/>
              <w:spacing w:after="0"/>
              <w:rPr>
                <w:sz w:val="20"/>
                <w:szCs w:val="20"/>
                <w:color w:val="auto"/>
              </w:rPr>
            </w:pPr>
            <w:r>
              <w:rPr>
                <w:rFonts w:ascii="Arial" w:cs="Arial" w:eastAsia="Arial" w:hAnsi="Arial"/>
                <w:sz w:val="15"/>
                <w:szCs w:val="15"/>
                <w:color w:val="auto"/>
              </w:rPr>
              <w:t>Weighted-average shares used to compute net loss per share: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0"/>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69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Basic</w:t>
            </w:r>
          </w:p>
        </w:tc>
        <w:tc>
          <w:tcPr>
            <w:tcW w:w="160" w:type="dxa"/>
            <w:vAlign w:val="bottom"/>
            <w:tcBorders>
              <w:bottom w:val="single" w:sz="8" w:color="auto"/>
            </w:tcBorders>
            <w:shd w:val="clear" w:color="auto" w:fill="CCFFCC"/>
          </w:tcPr>
          <w:p>
            <w:pPr>
              <w:spacing w:after="0"/>
              <w:rPr>
                <w:sz w:val="20"/>
                <w:szCs w:val="20"/>
                <w:color w:val="auto"/>
              </w:rPr>
            </w:pPr>
          </w:p>
        </w:tc>
        <w:tc>
          <w:tcPr>
            <w:tcW w:w="860" w:type="dxa"/>
            <w:vAlign w:val="bottom"/>
            <w:tcBorders>
              <w:bottom w:val="single" w:sz="8" w:color="auto"/>
            </w:tcBorders>
            <w:shd w:val="clear" w:color="auto" w:fill="CCFFCC"/>
          </w:tcPr>
          <w:p>
            <w:pPr>
              <w:jc w:val="right"/>
              <w:ind w:right="27"/>
              <w:spacing w:after="0"/>
              <w:rPr>
                <w:sz w:val="20"/>
                <w:szCs w:val="20"/>
                <w:color w:val="auto"/>
              </w:rPr>
            </w:pPr>
            <w:r>
              <w:rPr>
                <w:rFonts w:ascii="Arial" w:cs="Arial" w:eastAsia="Arial" w:hAnsi="Arial"/>
                <w:sz w:val="15"/>
                <w:szCs w:val="15"/>
                <w:color w:val="auto"/>
                <w:w w:val="98"/>
              </w:rPr>
              <w:t>63,014,802</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47"/>
              <w:spacing w:after="0"/>
              <w:rPr>
                <w:sz w:val="20"/>
                <w:szCs w:val="20"/>
                <w:color w:val="auto"/>
              </w:rPr>
            </w:pPr>
            <w:r>
              <w:rPr>
                <w:rFonts w:ascii="Arial" w:cs="Arial" w:eastAsia="Arial" w:hAnsi="Arial"/>
                <w:sz w:val="15"/>
                <w:szCs w:val="15"/>
                <w:color w:val="auto"/>
                <w:w w:val="98"/>
              </w:rPr>
              <w:t>60,014,246</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spacing w:after="0"/>
              <w:rPr>
                <w:sz w:val="20"/>
                <w:szCs w:val="20"/>
                <w:color w:val="auto"/>
              </w:rPr>
            </w:pPr>
          </w:p>
        </w:tc>
        <w:tc>
          <w:tcPr>
            <w:tcW w:w="860" w:type="dxa"/>
            <w:vAlign w:val="bottom"/>
            <w:tcBorders>
              <w:bottom w:val="single" w:sz="8" w:color="auto"/>
            </w:tcBorders>
            <w:shd w:val="clear" w:color="auto" w:fill="CCFFCC"/>
          </w:tcPr>
          <w:p>
            <w:pPr>
              <w:jc w:val="right"/>
              <w:ind w:right="47"/>
              <w:spacing w:after="0"/>
              <w:rPr>
                <w:sz w:val="20"/>
                <w:szCs w:val="20"/>
                <w:color w:val="auto"/>
              </w:rPr>
            </w:pPr>
            <w:r>
              <w:rPr>
                <w:rFonts w:ascii="Arial" w:cs="Arial" w:eastAsia="Arial" w:hAnsi="Arial"/>
                <w:sz w:val="15"/>
                <w:szCs w:val="15"/>
                <w:color w:val="auto"/>
                <w:w w:val="95"/>
              </w:rPr>
              <w:t>62,268,439</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spacing w:after="0"/>
              <w:rPr>
                <w:sz w:val="20"/>
                <w:szCs w:val="20"/>
                <w:color w:val="auto"/>
              </w:rPr>
            </w:pPr>
          </w:p>
        </w:tc>
        <w:tc>
          <w:tcPr>
            <w:tcW w:w="840" w:type="dxa"/>
            <w:vAlign w:val="bottom"/>
            <w:tcBorders>
              <w:bottom w:val="single" w:sz="8" w:color="auto"/>
            </w:tcBorders>
            <w:shd w:val="clear" w:color="auto" w:fill="CCFFCC"/>
          </w:tcPr>
          <w:p>
            <w:pPr>
              <w:jc w:val="right"/>
              <w:ind w:right="27"/>
              <w:spacing w:after="0"/>
              <w:rPr>
                <w:sz w:val="20"/>
                <w:szCs w:val="20"/>
                <w:color w:val="auto"/>
              </w:rPr>
            </w:pPr>
            <w:r>
              <w:rPr>
                <w:rFonts w:ascii="Arial" w:cs="Arial" w:eastAsia="Arial" w:hAnsi="Arial"/>
                <w:sz w:val="15"/>
                <w:szCs w:val="15"/>
                <w:color w:val="auto"/>
                <w:w w:val="95"/>
              </w:rPr>
              <w:t>58,667,289</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0"/>
        </w:trPr>
        <w:tc>
          <w:tcPr>
            <w:tcW w:w="6980" w:type="dxa"/>
            <w:vAlign w:val="bottom"/>
            <w:tcBorders>
              <w:bottom w:val="single" w:sz="8" w:color="CCFFCC"/>
            </w:tcBorders>
          </w:tcPr>
          <w:p>
            <w:pPr>
              <w:ind w:left="160"/>
              <w:spacing w:after="0"/>
              <w:rPr>
                <w:sz w:val="20"/>
                <w:szCs w:val="20"/>
                <w:color w:val="auto"/>
              </w:rPr>
            </w:pPr>
            <w:r>
              <w:rPr>
                <w:rFonts w:ascii="Arial" w:cs="Arial" w:eastAsia="Arial" w:hAnsi="Arial"/>
                <w:sz w:val="15"/>
                <w:szCs w:val="15"/>
                <w:color w:val="auto"/>
              </w:rPr>
              <w:t>Diluted</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98"/>
              </w:rPr>
              <w:t>63,014,802</w:t>
            </w:r>
          </w:p>
        </w:tc>
        <w:tc>
          <w:tcPr>
            <w:tcW w:w="120" w:type="dxa"/>
            <w:vAlign w:val="bottom"/>
            <w:tcBorders>
              <w:bottom w:val="single" w:sz="8" w:color="CCFFC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8"/>
              </w:rPr>
              <w:t>60,014,246</w:t>
            </w:r>
          </w:p>
        </w:tc>
        <w:tc>
          <w:tcPr>
            <w:tcW w:w="10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62,268,439</w:t>
            </w:r>
          </w:p>
        </w:tc>
        <w:tc>
          <w:tcPr>
            <w:tcW w:w="10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95"/>
              </w:rPr>
              <w:t>58,667,289</w:t>
            </w:r>
          </w:p>
        </w:tc>
      </w:tr>
      <w:tr>
        <w:trPr>
          <w:trHeight w:val="265"/>
        </w:trPr>
        <w:tc>
          <w:tcPr>
            <w:tcW w:w="69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40" w:type="dxa"/>
            <w:vAlign w:val="bottom"/>
            <w:shd w:val="clear" w:color="auto" w:fill="CCFFCC"/>
          </w:tcPr>
          <w:p>
            <w:pPr>
              <w:spacing w:after="0"/>
              <w:rPr>
                <w:sz w:val="23"/>
                <w:szCs w:val="23"/>
                <w:color w:val="auto"/>
              </w:rPr>
            </w:pPr>
          </w:p>
        </w:tc>
      </w:tr>
      <w:tr>
        <w:trPr>
          <w:trHeight w:val="280"/>
        </w:trPr>
        <w:tc>
          <w:tcPr>
            <w:tcW w:w="6980" w:type="dxa"/>
            <w:vAlign w:val="bottom"/>
            <w:tcBorders>
              <w:bottom w:val="single" w:sz="8" w:color="auto"/>
            </w:tcBorders>
          </w:tcPr>
          <w:p>
            <w:pPr>
              <w:spacing w:after="0"/>
              <w:rPr>
                <w:sz w:val="24"/>
                <w:szCs w:val="24"/>
                <w:color w:val="auto"/>
              </w:rPr>
            </w:pPr>
          </w:p>
        </w:tc>
        <w:tc>
          <w:tcPr>
            <w:tcW w:w="160" w:type="dxa"/>
            <w:vAlign w:val="bottom"/>
            <w:tcBorders>
              <w:bottom w:val="single" w:sz="8" w:color="CCFFCC"/>
            </w:tcBorders>
          </w:tcPr>
          <w:p>
            <w:pPr>
              <w:spacing w:after="0"/>
              <w:rPr>
                <w:sz w:val="24"/>
                <w:szCs w:val="24"/>
                <w:color w:val="auto"/>
              </w:rPr>
            </w:pPr>
          </w:p>
        </w:tc>
        <w:tc>
          <w:tcPr>
            <w:tcW w:w="86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16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80" w:type="dxa"/>
            <w:vAlign w:val="bottom"/>
            <w:tcBorders>
              <w:bottom w:val="single" w:sz="8" w:color="CCFFCC"/>
            </w:tcBorders>
          </w:tcPr>
          <w:p>
            <w:pPr>
              <w:spacing w:after="0"/>
              <w:rPr>
                <w:sz w:val="24"/>
                <w:szCs w:val="24"/>
                <w:color w:val="auto"/>
              </w:rPr>
            </w:pPr>
          </w:p>
        </w:tc>
        <w:tc>
          <w:tcPr>
            <w:tcW w:w="86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180" w:type="dxa"/>
            <w:vAlign w:val="bottom"/>
            <w:tcBorders>
              <w:bottom w:val="single" w:sz="8" w:color="CCFFCC"/>
            </w:tcBorders>
          </w:tcPr>
          <w:p>
            <w:pPr>
              <w:spacing w:after="0"/>
              <w:rPr>
                <w:sz w:val="24"/>
                <w:szCs w:val="24"/>
                <w:color w:val="auto"/>
              </w:rPr>
            </w:pPr>
          </w:p>
        </w:tc>
        <w:tc>
          <w:tcPr>
            <w:tcW w:w="840" w:type="dxa"/>
            <w:vAlign w:val="bottom"/>
            <w:tcBorders>
              <w:bottom w:val="single" w:sz="8" w:color="CCFFCC"/>
            </w:tcBorders>
          </w:tcPr>
          <w:p>
            <w:pPr>
              <w:spacing w:after="0"/>
              <w:rPr>
                <w:sz w:val="24"/>
                <w:szCs w:val="24"/>
                <w:color w:val="auto"/>
              </w:rPr>
            </w:pPr>
          </w:p>
        </w:tc>
      </w:tr>
      <w:tr>
        <w:trPr>
          <w:trHeight w:val="234"/>
        </w:trPr>
        <w:tc>
          <w:tcPr>
            <w:tcW w:w="6980" w:type="dxa"/>
            <w:vAlign w:val="bottom"/>
            <w:shd w:val="clear" w:color="auto" w:fill="CCFFCC"/>
          </w:tcPr>
          <w:p>
            <w:pPr>
              <w:ind w:left="160"/>
              <w:spacing w:after="0"/>
              <w:rPr>
                <w:sz w:val="20"/>
                <w:szCs w:val="20"/>
                <w:color w:val="auto"/>
              </w:rPr>
            </w:pPr>
            <w:r>
              <w:rPr>
                <w:rFonts w:ascii="Arial" w:cs="Arial" w:eastAsia="Arial" w:hAnsi="Arial"/>
                <w:sz w:val="8"/>
                <w:szCs w:val="8"/>
                <w:color w:val="auto"/>
              </w:rPr>
              <w:t xml:space="preserve">(1) </w:t>
            </w:r>
            <w:r>
              <w:rPr>
                <w:rFonts w:ascii="Arial" w:cs="Arial" w:eastAsia="Arial" w:hAnsi="Arial"/>
                <w:sz w:val="13"/>
                <w:szCs w:val="13"/>
                <w:color w:val="auto"/>
              </w:rPr>
              <w:t>Amounts include stock-based compensation expense, as follows:</w:t>
            </w: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r>
      <w:tr>
        <w:trPr>
          <w:trHeight w:val="249"/>
        </w:trPr>
        <w:tc>
          <w:tcPr>
            <w:tcW w:w="6980" w:type="dxa"/>
            <w:vAlign w:val="bottom"/>
          </w:tcPr>
          <w:p>
            <w:pPr>
              <w:ind w:left="360"/>
              <w:spacing w:after="0"/>
              <w:rPr>
                <w:sz w:val="20"/>
                <w:szCs w:val="20"/>
                <w:color w:val="auto"/>
              </w:rPr>
            </w:pPr>
            <w:r>
              <w:rPr>
                <w:rFonts w:ascii="Arial" w:cs="Arial" w:eastAsia="Arial" w:hAnsi="Arial"/>
                <w:sz w:val="14"/>
                <w:szCs w:val="14"/>
                <w:color w:val="auto"/>
              </w:rPr>
              <w:t>Cost of revenue</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604</w:t>
            </w:r>
          </w:p>
        </w:tc>
      </w:tr>
      <w:tr>
        <w:trPr>
          <w:trHeight w:val="260"/>
        </w:trPr>
        <w:tc>
          <w:tcPr>
            <w:tcW w:w="69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2,050</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1,472</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5,744</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4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3,731</w:t>
            </w:r>
          </w:p>
        </w:tc>
      </w:tr>
      <w:tr>
        <w:trPr>
          <w:trHeight w:val="249"/>
        </w:trPr>
        <w:tc>
          <w:tcPr>
            <w:tcW w:w="698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1"/>
                <w:szCs w:val="21"/>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2,605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7,995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3,390</w:t>
            </w:r>
          </w:p>
        </w:tc>
      </w:tr>
      <w:tr>
        <w:trPr>
          <w:trHeight w:val="260"/>
        </w:trPr>
        <w:tc>
          <w:tcPr>
            <w:tcW w:w="69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Product development</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3,650</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9,889</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4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2,613</w:t>
            </w:r>
          </w:p>
        </w:tc>
      </w:tr>
      <w:tr>
        <w:trPr>
          <w:trHeight w:val="254"/>
        </w:trPr>
        <w:tc>
          <w:tcPr>
            <w:tcW w:w="6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6980" w:type="dxa"/>
            <w:vAlign w:val="bottom"/>
            <w:shd w:val="clear" w:color="auto" w:fill="CCFFCC"/>
          </w:tcPr>
          <w:p>
            <w:pPr>
              <w:ind w:left="160"/>
              <w:spacing w:after="0"/>
              <w:rPr>
                <w:sz w:val="20"/>
                <w:szCs w:val="20"/>
                <w:color w:val="auto"/>
              </w:rPr>
            </w:pPr>
            <w:r>
              <w:rPr>
                <w:rFonts w:ascii="Arial" w:cs="Arial" w:eastAsia="Arial" w:hAnsi="Arial"/>
                <w:sz w:val="8"/>
                <w:szCs w:val="8"/>
                <w:color w:val="auto"/>
              </w:rPr>
              <w:t xml:space="preserve">(2) </w:t>
            </w:r>
            <w:r>
              <w:rPr>
                <w:rFonts w:ascii="Arial" w:cs="Arial" w:eastAsia="Arial" w:hAnsi="Arial"/>
                <w:sz w:val="13"/>
                <w:szCs w:val="13"/>
                <w:color w:val="auto"/>
              </w:rPr>
              <w:t>Amounts include depreciation expense, as follows:</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40" w:type="dxa"/>
            <w:vAlign w:val="bottom"/>
            <w:shd w:val="clear" w:color="auto" w:fill="CCFFCC"/>
          </w:tcPr>
          <w:p>
            <w:pPr>
              <w:spacing w:after="0"/>
              <w:rPr>
                <w:sz w:val="22"/>
                <w:szCs w:val="22"/>
                <w:color w:val="auto"/>
              </w:rPr>
            </w:pPr>
          </w:p>
        </w:tc>
      </w:tr>
      <w:tr>
        <w:trPr>
          <w:trHeight w:val="249"/>
        </w:trPr>
        <w:tc>
          <w:tcPr>
            <w:tcW w:w="6980" w:type="dxa"/>
            <w:vAlign w:val="bottom"/>
          </w:tcPr>
          <w:p>
            <w:pPr>
              <w:ind w:left="360"/>
              <w:spacing w:after="0"/>
              <w:rPr>
                <w:sz w:val="20"/>
                <w:szCs w:val="20"/>
                <w:color w:val="auto"/>
              </w:rPr>
            </w:pPr>
            <w:r>
              <w:rPr>
                <w:rFonts w:ascii="Arial" w:cs="Arial" w:eastAsia="Arial" w:hAnsi="Arial"/>
                <w:sz w:val="14"/>
                <w:szCs w:val="14"/>
                <w:color w:val="auto"/>
              </w:rPr>
              <w:t>Cost of revenue</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2,208</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1,934</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6,192</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5,781</w:t>
            </w:r>
          </w:p>
        </w:tc>
      </w:tr>
      <w:tr>
        <w:trPr>
          <w:trHeight w:val="260"/>
        </w:trPr>
        <w:tc>
          <w:tcPr>
            <w:tcW w:w="69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4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1,115</w:t>
            </w:r>
          </w:p>
        </w:tc>
      </w:tr>
      <w:tr>
        <w:trPr>
          <w:trHeight w:val="249"/>
        </w:trPr>
        <w:tc>
          <w:tcPr>
            <w:tcW w:w="698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1"/>
                <w:szCs w:val="21"/>
                <w:color w:val="auto"/>
              </w:rPr>
            </w:pPr>
          </w:p>
        </w:tc>
        <w:tc>
          <w:tcPr>
            <w:tcW w:w="860" w:type="dxa"/>
            <w:vAlign w:val="bottom"/>
          </w:tcPr>
          <w:p>
            <w:pPr>
              <w:jc w:val="right"/>
              <w:ind w:right="27"/>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7"/>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4"/>
                <w:szCs w:val="14"/>
                <w:color w:val="auto"/>
              </w:rPr>
              <w:t>795</w:t>
            </w:r>
          </w:p>
        </w:tc>
      </w:tr>
      <w:tr>
        <w:trPr>
          <w:trHeight w:val="260"/>
        </w:trPr>
        <w:tc>
          <w:tcPr>
            <w:tcW w:w="69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Product development</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1,305</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3,726</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4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2,652</w:t>
            </w:r>
          </w:p>
        </w:tc>
      </w:tr>
      <w:tr>
        <w:trPr>
          <w:trHeight w:val="249"/>
        </w:trPr>
        <w:tc>
          <w:tcPr>
            <w:tcW w:w="6980" w:type="dxa"/>
            <w:vAlign w:val="bottom"/>
          </w:tcPr>
          <w:p>
            <w:pPr>
              <w:ind w:left="160"/>
              <w:spacing w:after="0"/>
              <w:rPr>
                <w:sz w:val="20"/>
                <w:szCs w:val="20"/>
                <w:color w:val="auto"/>
              </w:rPr>
            </w:pPr>
            <w:r>
              <w:rPr>
                <w:rFonts w:ascii="Arial" w:cs="Arial" w:eastAsia="Arial" w:hAnsi="Arial"/>
                <w:sz w:val="8"/>
                <w:szCs w:val="8"/>
                <w:color w:val="auto"/>
              </w:rPr>
              <w:t xml:space="preserve">(3) </w:t>
            </w:r>
            <w:r>
              <w:rPr>
                <w:rFonts w:ascii="Arial" w:cs="Arial" w:eastAsia="Arial" w:hAnsi="Arial"/>
                <w:sz w:val="13"/>
                <w:szCs w:val="13"/>
                <w:color w:val="auto"/>
              </w:rPr>
              <w:t>Amounts include amortization of purchased intangibles, as follows: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0"/>
        </w:trPr>
        <w:tc>
          <w:tcPr>
            <w:tcW w:w="6980" w:type="dxa"/>
            <w:vAlign w:val="bottom"/>
            <w:shd w:val="clear" w:color="auto" w:fill="CCFFCC"/>
          </w:tcPr>
          <w:p>
            <w:pPr>
              <w:ind w:left="360"/>
              <w:spacing w:after="0"/>
              <w:rPr>
                <w:sz w:val="20"/>
                <w:szCs w:val="20"/>
                <w:color w:val="auto"/>
              </w:rPr>
            </w:pPr>
            <w:r>
              <w:rPr>
                <w:rFonts w:ascii="Arial" w:cs="Arial" w:eastAsia="Arial" w:hAnsi="Arial"/>
                <w:sz w:val="14"/>
                <w:szCs w:val="14"/>
                <w:color w:val="auto"/>
              </w:rPr>
              <w:t>Cost of revenue</w:t>
            </w:r>
          </w:p>
        </w:tc>
        <w:tc>
          <w:tcPr>
            <w:tcW w:w="16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FFCC"/>
          </w:tcPr>
          <w:p>
            <w:pPr>
              <w:spacing w:after="0"/>
              <w:rPr>
                <w:sz w:val="22"/>
                <w:szCs w:val="22"/>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ind w:lef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47"/>
              <w:spacing w:after="0"/>
              <w:rPr>
                <w:sz w:val="20"/>
                <w:szCs w:val="20"/>
                <w:color w:val="auto"/>
              </w:rPr>
            </w:pPr>
            <w:r>
              <w:rPr>
                <w:rFonts w:ascii="Arial" w:cs="Arial" w:eastAsia="Arial" w:hAnsi="Arial"/>
                <w:sz w:val="14"/>
                <w:szCs w:val="14"/>
                <w:color w:val="auto"/>
              </w:rPr>
              <w:t>854</w:t>
            </w:r>
          </w:p>
        </w:tc>
        <w:tc>
          <w:tcPr>
            <w:tcW w:w="100" w:type="dxa"/>
            <w:vAlign w:val="bottom"/>
            <w:shd w:val="clear" w:color="auto" w:fill="CCFFCC"/>
          </w:tcPr>
          <w:p>
            <w:pPr>
              <w:spacing w:after="0"/>
              <w:rPr>
                <w:sz w:val="22"/>
                <w:szCs w:val="22"/>
                <w:color w:val="auto"/>
              </w:rPr>
            </w:pPr>
          </w:p>
        </w:tc>
        <w:tc>
          <w:tcPr>
            <w:tcW w:w="180" w:type="dxa"/>
            <w:vAlign w:val="bottom"/>
            <w:shd w:val="clear" w:color="auto" w:fill="CCFFCC"/>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ind w:right="27"/>
              <w:spacing w:after="0"/>
              <w:rPr>
                <w:sz w:val="20"/>
                <w:szCs w:val="20"/>
                <w:color w:val="auto"/>
              </w:rPr>
            </w:pPr>
            <w:r>
              <w:rPr>
                <w:rFonts w:ascii="Arial" w:cs="Arial" w:eastAsia="Arial" w:hAnsi="Arial"/>
                <w:sz w:val="14"/>
                <w:szCs w:val="14"/>
                <w:color w:val="auto"/>
              </w:rPr>
              <w:t>859</w:t>
            </w: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33" w:right="239" w:bottom="1440" w:gutter="0" w:footer="0" w:header="0"/>
        </w:sectPr>
      </w:pPr>
    </w:p>
    <w:bookmarkStart w:id="5" w:name="page6"/>
    <w:bookmarkEnd w:id="5"/>
    <w:p>
      <w:pPr>
        <w:ind w:left="4940"/>
        <w:spacing w:after="0"/>
        <w:rPr>
          <w:sz w:val="20"/>
          <w:szCs w:val="20"/>
          <w:color w:val="auto"/>
        </w:rPr>
      </w:pPr>
      <w:r>
        <w:rPr>
          <w:rFonts w:ascii="Arial" w:cs="Arial" w:eastAsia="Arial" w:hAnsi="Arial"/>
          <w:sz w:val="17"/>
          <w:szCs w:val="17"/>
          <w:b w:val="1"/>
          <w:bCs w:val="1"/>
          <w:color w:val="auto"/>
        </w:rPr>
        <w:t>LIVEPERSON, INC.</w:t>
      </w:r>
    </w:p>
    <w:p>
      <w:pPr>
        <w:spacing w:after="0" w:line="110"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720" w:type="dxa"/>
            <w:vAlign w:val="bottom"/>
            <w:gridSpan w:val="4"/>
          </w:tcPr>
          <w:p>
            <w:pPr>
              <w:jc w:val="right"/>
              <w:ind w:right="286"/>
              <w:spacing w:after="0"/>
              <w:rPr>
                <w:sz w:val="20"/>
                <w:szCs w:val="20"/>
                <w:color w:val="auto"/>
              </w:rPr>
            </w:pPr>
            <w:r>
              <w:rPr>
                <w:rFonts w:ascii="Arial" w:cs="Arial" w:eastAsia="Arial" w:hAnsi="Arial"/>
                <w:sz w:val="14"/>
                <w:szCs w:val="14"/>
                <w:b w:val="1"/>
                <w:bCs w:val="1"/>
                <w:color w:val="auto"/>
              </w:rPr>
              <w:t>Nine Months Ended</w:t>
            </w:r>
          </w:p>
        </w:tc>
      </w:tr>
      <w:tr>
        <w:trPr>
          <w:trHeight w:val="260"/>
        </w:trPr>
        <w:tc>
          <w:tcPr>
            <w:tcW w:w="7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right"/>
              <w:ind w:right="466"/>
              <w:spacing w:after="0"/>
              <w:rPr>
                <w:sz w:val="20"/>
                <w:szCs w:val="20"/>
                <w:color w:val="auto"/>
              </w:rPr>
            </w:pPr>
            <w:r>
              <w:rPr>
                <w:rFonts w:ascii="Arial" w:cs="Arial" w:eastAsia="Arial" w:hAnsi="Arial"/>
                <w:sz w:val="14"/>
                <w:szCs w:val="14"/>
                <w:b w:val="1"/>
                <w:bCs w:val="1"/>
                <w:color w:val="auto"/>
              </w:rPr>
              <w:t>September 30,</w:t>
            </w:r>
          </w:p>
        </w:tc>
      </w:tr>
      <w:tr>
        <w:trPr>
          <w:trHeight w:val="247"/>
        </w:trPr>
        <w:tc>
          <w:tcPr>
            <w:tcW w:w="7200" w:type="dxa"/>
            <w:vAlign w:val="bottom"/>
            <w:tcBorders>
              <w:bottom w:val="single" w:sz="8" w:color="CCFFC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FFC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w w:val="83"/>
              </w:rPr>
              <w:t>2018</w:t>
            </w:r>
          </w:p>
        </w:tc>
        <w:tc>
          <w:tcPr>
            <w:tcW w:w="240" w:type="dxa"/>
            <w:vAlign w:val="bottom"/>
            <w:tcBorders>
              <w:bottom w:val="single" w:sz="8" w:color="CCFFC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2018</w:t>
            </w:r>
          </w:p>
        </w:tc>
      </w:tr>
      <w:tr>
        <w:trPr>
          <w:trHeight w:val="220"/>
        </w:trPr>
        <w:tc>
          <w:tcPr>
            <w:tcW w:w="7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Net loss</w:t>
            </w:r>
          </w:p>
        </w:tc>
        <w:tc>
          <w:tcPr>
            <w:tcW w:w="240" w:type="dxa"/>
            <w:vAlign w:val="bottom"/>
            <w:tcBorders>
              <w:bottom w:val="single" w:sz="8" w:color="CCFFCC"/>
            </w:tcBorders>
            <w:shd w:val="clear" w:color="auto" w:fill="CCFFCC"/>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(25,872)</w:t>
            </w:r>
          </w:p>
        </w:tc>
        <w:tc>
          <w:tcPr>
            <w:tcW w:w="1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(7,043)</w:t>
            </w:r>
          </w:p>
        </w:tc>
        <w:tc>
          <w:tcPr>
            <w:tcW w:w="2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(68,749)</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(18,567)</w:t>
            </w:r>
          </w:p>
        </w:tc>
      </w:tr>
      <w:tr>
        <w:trPr>
          <w:trHeight w:val="224"/>
        </w:trPr>
        <w:tc>
          <w:tcPr>
            <w:tcW w:w="7200" w:type="dxa"/>
            <w:vAlign w:val="bottom"/>
          </w:tcPr>
          <w:p>
            <w:pPr>
              <w:ind w:left="20"/>
              <w:spacing w:after="0"/>
              <w:rPr>
                <w:sz w:val="20"/>
                <w:szCs w:val="20"/>
                <w:color w:val="auto"/>
              </w:rPr>
            </w:pPr>
            <w:r>
              <w:rPr>
                <w:rFonts w:ascii="Arial" w:cs="Arial" w:eastAsia="Arial" w:hAnsi="Arial"/>
                <w:sz w:val="15"/>
                <w:szCs w:val="15"/>
                <w:color w:val="auto"/>
              </w:rPr>
              <w:t>Foreign currency translation adjustment</w:t>
            </w:r>
          </w:p>
        </w:tc>
        <w:tc>
          <w:tcPr>
            <w:tcW w:w="240" w:type="dxa"/>
            <w:vAlign w:val="bottom"/>
          </w:tcPr>
          <w:p>
            <w:pPr>
              <w:spacing w:after="0"/>
              <w:rPr>
                <w:sz w:val="19"/>
                <w:szCs w:val="19"/>
                <w:color w:val="auto"/>
              </w:rPr>
            </w:pPr>
          </w:p>
        </w:tc>
        <w:tc>
          <w:tcPr>
            <w:tcW w:w="800" w:type="dxa"/>
            <w:vAlign w:val="bottom"/>
          </w:tcPr>
          <w:p>
            <w:pPr>
              <w:jc w:val="right"/>
              <w:ind w:right="48"/>
              <w:spacing w:after="0"/>
              <w:rPr>
                <w:sz w:val="20"/>
                <w:szCs w:val="20"/>
                <w:color w:val="auto"/>
              </w:rPr>
            </w:pPr>
            <w:r>
              <w:rPr>
                <w:rFonts w:ascii="Arial" w:cs="Arial" w:eastAsia="Arial" w:hAnsi="Arial"/>
                <w:sz w:val="15"/>
                <w:szCs w:val="15"/>
                <w:color w:val="auto"/>
              </w:rPr>
              <w:t>1,676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ind w:right="26"/>
              <w:spacing w:after="0"/>
              <w:rPr>
                <w:sz w:val="20"/>
                <w:szCs w:val="20"/>
                <w:color w:val="auto"/>
              </w:rPr>
            </w:pPr>
            <w:r>
              <w:rPr>
                <w:rFonts w:ascii="Arial" w:cs="Arial" w:eastAsia="Arial" w:hAnsi="Arial"/>
                <w:sz w:val="15"/>
                <w:szCs w:val="15"/>
                <w:color w:val="auto"/>
              </w:rPr>
              <w:t>376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8"/>
              <w:spacing w:after="0"/>
              <w:rPr>
                <w:sz w:val="20"/>
                <w:szCs w:val="20"/>
                <w:color w:val="auto"/>
              </w:rPr>
            </w:pPr>
            <w:r>
              <w:rPr>
                <w:rFonts w:ascii="Arial" w:cs="Arial" w:eastAsia="Arial" w:hAnsi="Arial"/>
                <w:sz w:val="15"/>
                <w:szCs w:val="15"/>
                <w:color w:val="auto"/>
              </w:rPr>
              <w:t>1,876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1,303</w:t>
            </w:r>
          </w:p>
        </w:tc>
      </w:tr>
      <w:tr>
        <w:trPr>
          <w:trHeight w:val="30"/>
        </w:trPr>
        <w:tc>
          <w:tcPr>
            <w:tcW w:w="72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7"/>
        </w:trPr>
        <w:tc>
          <w:tcPr>
            <w:tcW w:w="7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Comprehensive loss</w:t>
            </w:r>
          </w:p>
        </w:tc>
        <w:tc>
          <w:tcPr>
            <w:tcW w:w="240" w:type="dxa"/>
            <w:vAlign w:val="bottom"/>
            <w:tcBorders>
              <w:bottom w:val="single" w:sz="8" w:color="auto"/>
            </w:tcBorders>
            <w:shd w:val="clear" w:color="auto" w:fill="CCFFCC"/>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(24,196)</w:t>
            </w:r>
          </w:p>
        </w:tc>
        <w:tc>
          <w:tcPr>
            <w:tcW w:w="1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jc w:val="right"/>
              <w:ind w:right="1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(6,667)</w:t>
            </w:r>
          </w:p>
        </w:tc>
        <w:tc>
          <w:tcPr>
            <w:tcW w:w="2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(66,873)</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(17,264)</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33" w:right="239" w:bottom="1440" w:gutter="0" w:footer="0" w:header="0"/>
        </w:sectPr>
      </w:pPr>
    </w:p>
    <w:bookmarkStart w:id="6" w:name="page7"/>
    <w:bookmarkEnd w:id="6"/>
    <w:p>
      <w:pPr>
        <w:ind w:left="4940"/>
        <w:spacing w:after="0"/>
        <w:rPr>
          <w:sz w:val="20"/>
          <w:szCs w:val="20"/>
          <w:color w:val="auto"/>
        </w:rPr>
      </w:pPr>
      <w:r>
        <w:rPr>
          <w:rFonts w:ascii="Arial" w:cs="Arial" w:eastAsia="Arial" w:hAnsi="Arial"/>
          <w:sz w:val="17"/>
          <w:szCs w:val="17"/>
          <w:b w:val="1"/>
          <w:bCs w:val="1"/>
          <w:color w:val="auto"/>
        </w:rPr>
        <w:t>LIVEPERSON, INC.</w:t>
      </w:r>
    </w:p>
    <w:p>
      <w:pPr>
        <w:spacing w:after="0" w:line="110"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313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3930"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000" w:type="dxa"/>
            <w:vAlign w:val="bottom"/>
          </w:tcPr>
          <w:p>
            <w:pPr>
              <w:spacing w:after="0"/>
              <w:rPr>
                <w:sz w:val="11"/>
                <w:szCs w:val="11"/>
                <w:color w:val="auto"/>
              </w:rPr>
            </w:pPr>
          </w:p>
        </w:tc>
        <w:tc>
          <w:tcPr>
            <w:tcW w:w="1120" w:type="dxa"/>
            <w:vAlign w:val="bottom"/>
            <w:gridSpan w:val="5"/>
            <w:vMerge w:val="restart"/>
          </w:tcPr>
          <w:p>
            <w:pPr>
              <w:ind w:left="140"/>
              <w:spacing w:after="0"/>
              <w:rPr>
                <w:sz w:val="20"/>
                <w:szCs w:val="20"/>
                <w:color w:val="auto"/>
              </w:rPr>
            </w:pPr>
            <w:r>
              <w:rPr>
                <w:rFonts w:ascii="Arial" w:cs="Arial" w:eastAsia="Arial" w:hAnsi="Arial"/>
                <w:sz w:val="12"/>
                <w:szCs w:val="12"/>
                <w:b w:val="1"/>
                <w:bCs w:val="1"/>
                <w:color w:val="auto"/>
              </w:rPr>
              <w:t>Common Stock</w:t>
            </w:r>
          </w:p>
        </w:tc>
        <w:tc>
          <w:tcPr>
            <w:tcW w:w="108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37" w:lineRule="exact"/>
              <w:rPr>
                <w:sz w:val="20"/>
                <w:szCs w:val="20"/>
                <w:color w:val="auto"/>
              </w:rPr>
            </w:pPr>
            <w:r>
              <w:rPr>
                <w:rFonts w:ascii="Arial" w:cs="Arial" w:eastAsia="Arial" w:hAnsi="Arial"/>
                <w:sz w:val="12"/>
                <w:szCs w:val="12"/>
                <w:b w:val="1"/>
                <w:bCs w:val="1"/>
                <w:color w:val="auto"/>
                <w:w w:val="90"/>
              </w:rPr>
              <w:t>Accumulated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rPr>
              <w:t>Common Stock</w:t>
            </w:r>
          </w:p>
        </w:tc>
        <w:tc>
          <w:tcPr>
            <w:tcW w:w="108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80"/>
              <w:spacing w:after="0" w:line="137" w:lineRule="exact"/>
              <w:rPr>
                <w:sz w:val="20"/>
                <w:szCs w:val="20"/>
                <w:color w:val="auto"/>
              </w:rPr>
            </w:pPr>
            <w:r>
              <w:rPr>
                <w:rFonts w:ascii="Arial" w:cs="Arial" w:eastAsia="Arial" w:hAnsi="Arial"/>
                <w:sz w:val="12"/>
                <w:szCs w:val="12"/>
                <w:b w:val="1"/>
                <w:bCs w:val="1"/>
                <w:color w:val="auto"/>
                <w:w w:val="90"/>
              </w:rPr>
              <w:t>Accumulated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00" w:type="dxa"/>
            <w:vAlign w:val="bottom"/>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2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3"/>
              </w:rPr>
              <w:t>Other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2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3"/>
              </w:rPr>
              <w:t>Other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0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120"/>
              <w:spacing w:after="0" w:line="104" w:lineRule="exact"/>
              <w:rPr>
                <w:sz w:val="20"/>
                <w:szCs w:val="20"/>
                <w:color w:val="auto"/>
              </w:rPr>
            </w:pPr>
            <w:r>
              <w:rPr>
                <w:rFonts w:ascii="Arial" w:cs="Arial" w:eastAsia="Arial" w:hAnsi="Arial"/>
                <w:sz w:val="12"/>
                <w:szCs w:val="12"/>
                <w:b w:val="1"/>
                <w:bCs w:val="1"/>
                <w:color w:val="auto"/>
                <w:w w:val="89"/>
              </w:rPr>
              <w:t>Paid-in</w:t>
            </w:r>
          </w:p>
        </w:tc>
        <w:tc>
          <w:tcPr>
            <w:tcW w:w="800" w:type="dxa"/>
            <w:vAlign w:val="bottom"/>
            <w:gridSpan w:val="3"/>
          </w:tcPr>
          <w:p>
            <w:pPr>
              <w:ind w:left="20"/>
              <w:spacing w:after="0" w:line="104" w:lineRule="exact"/>
              <w:rPr>
                <w:sz w:val="20"/>
                <w:szCs w:val="20"/>
                <w:color w:val="auto"/>
              </w:rPr>
            </w:pPr>
            <w:r>
              <w:rPr>
                <w:rFonts w:ascii="Arial" w:cs="Arial" w:eastAsia="Arial" w:hAnsi="Arial"/>
                <w:sz w:val="12"/>
                <w:szCs w:val="12"/>
                <w:b w:val="1"/>
                <w:bCs w:val="1"/>
                <w:color w:val="auto"/>
              </w:rPr>
              <w:t>Accumulated</w:t>
            </w:r>
          </w:p>
        </w:tc>
        <w:tc>
          <w:tcPr>
            <w:tcW w:w="94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w w:val="86"/>
              </w:rPr>
              <w:t>Comprehensive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80"/>
              <w:spacing w:after="0" w:line="104" w:lineRule="exact"/>
              <w:rPr>
                <w:sz w:val="20"/>
                <w:szCs w:val="20"/>
                <w:color w:val="auto"/>
              </w:rPr>
            </w:pPr>
            <w:r>
              <w:rPr>
                <w:rFonts w:ascii="Arial" w:cs="Arial" w:eastAsia="Arial" w:hAnsi="Arial"/>
                <w:sz w:val="12"/>
                <w:szCs w:val="12"/>
                <w:b w:val="1"/>
                <w:bCs w:val="1"/>
                <w:color w:val="auto"/>
                <w:w w:val="89"/>
              </w:rPr>
              <w:t>Paid-in</w:t>
            </w:r>
          </w:p>
        </w:tc>
        <w:tc>
          <w:tcPr>
            <w:tcW w:w="820" w:type="dxa"/>
            <w:vAlign w:val="bottom"/>
            <w:gridSpan w:val="3"/>
          </w:tcPr>
          <w:p>
            <w:pPr>
              <w:ind w:left="40"/>
              <w:spacing w:after="0" w:line="104" w:lineRule="exact"/>
              <w:rPr>
                <w:sz w:val="20"/>
                <w:szCs w:val="20"/>
                <w:color w:val="auto"/>
              </w:rPr>
            </w:pPr>
            <w:r>
              <w:rPr>
                <w:rFonts w:ascii="Arial" w:cs="Arial" w:eastAsia="Arial" w:hAnsi="Arial"/>
                <w:sz w:val="12"/>
                <w:szCs w:val="12"/>
                <w:b w:val="1"/>
                <w:bCs w:val="1"/>
                <w:color w:val="auto"/>
              </w:rPr>
              <w:t>Accumulated</w:t>
            </w:r>
          </w:p>
        </w:tc>
        <w:tc>
          <w:tcPr>
            <w:tcW w:w="92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w w:val="88"/>
              </w:rPr>
              <w:t>Comprehensive</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Loss</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8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560" w:type="dxa"/>
            <w:vAlign w:val="bottom"/>
          </w:tcPr>
          <w:p>
            <w:pPr>
              <w:jc w:val="right"/>
              <w:ind w:right="8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41"/>
        </w:trPr>
        <w:tc>
          <w:tcPr>
            <w:tcW w:w="1000" w:type="dxa"/>
            <w:vAlign w:val="bottom"/>
            <w:tcBorders>
              <w:top w:val="single" w:sz="8" w:color="CCFFCC"/>
            </w:tcBorders>
            <w:shd w:val="clear" w:color="auto" w:fill="CCFFCC"/>
          </w:tcPr>
          <w:p>
            <w:pPr>
              <w:ind w:left="20"/>
              <w:spacing w:after="0"/>
              <w:rPr>
                <w:sz w:val="20"/>
                <w:szCs w:val="20"/>
                <w:color w:val="auto"/>
              </w:rPr>
            </w:pPr>
            <w:r>
              <w:rPr>
                <w:rFonts w:ascii="Arial" w:cs="Arial" w:eastAsia="Arial" w:hAnsi="Arial"/>
                <w:sz w:val="12"/>
                <w:szCs w:val="12"/>
                <w:color w:val="auto"/>
                <w:w w:val="93"/>
              </w:rPr>
              <w:t>Balance at June 30</w:t>
            </w:r>
          </w:p>
        </w:tc>
        <w:tc>
          <w:tcPr>
            <w:tcW w:w="460" w:type="dxa"/>
            <w:vAlign w:val="bottom"/>
            <w:tcBorders>
              <w:top w:val="single" w:sz="8" w:color="auto"/>
            </w:tcBorders>
            <w:shd w:val="clear" w:color="auto" w:fill="CCFFCC"/>
          </w:tcPr>
          <w:p>
            <w:pPr>
              <w:jc w:val="right"/>
              <w:ind w:right="41"/>
              <w:spacing w:after="0"/>
              <w:rPr>
                <w:sz w:val="20"/>
                <w:szCs w:val="20"/>
                <w:color w:val="auto"/>
              </w:rPr>
            </w:pPr>
            <w:r>
              <w:rPr>
                <w:rFonts w:ascii="Arial" w:cs="Arial" w:eastAsia="Arial" w:hAnsi="Arial"/>
                <w:sz w:val="12"/>
                <w:szCs w:val="12"/>
                <w:color w:val="auto"/>
                <w:w w:val="92"/>
              </w:rPr>
              <w:t>65,399</w:t>
            </w:r>
          </w:p>
        </w:tc>
        <w:tc>
          <w:tcPr>
            <w:tcW w:w="100" w:type="dxa"/>
            <w:vAlign w:val="bottom"/>
            <w:tcBorders>
              <w:top w:val="single" w:sz="8" w:color="CCFFCC"/>
            </w:tcBorders>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shd w:val="clear" w:color="auto" w:fill="CCFFCC"/>
          </w:tcPr>
          <w:p>
            <w:pPr>
              <w:jc w:val="right"/>
              <w:ind w:right="41"/>
              <w:spacing w:after="0"/>
              <w:rPr>
                <w:sz w:val="20"/>
                <w:szCs w:val="20"/>
                <w:color w:val="auto"/>
              </w:rPr>
            </w:pPr>
            <w:r>
              <w:rPr>
                <w:rFonts w:ascii="Arial" w:cs="Arial" w:eastAsia="Arial" w:hAnsi="Arial"/>
                <w:sz w:val="12"/>
                <w:szCs w:val="12"/>
                <w:color w:val="auto"/>
              </w:rPr>
              <w:t>66</w:t>
            </w:r>
          </w:p>
        </w:tc>
        <w:tc>
          <w:tcPr>
            <w:tcW w:w="120" w:type="dxa"/>
            <w:vAlign w:val="bottom"/>
            <w:tcBorders>
              <w:top w:val="single" w:sz="8" w:color="CCFFCC"/>
            </w:tcBorders>
            <w:shd w:val="clear" w:color="auto" w:fill="CCFFCC"/>
          </w:tcPr>
          <w:p>
            <w:pPr>
              <w:spacing w:after="0"/>
              <w:rPr>
                <w:sz w:val="20"/>
                <w:szCs w:val="20"/>
                <w:color w:val="auto"/>
              </w:rPr>
            </w:pPr>
          </w:p>
        </w:tc>
        <w:tc>
          <w:tcPr>
            <w:tcW w:w="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w w:val="94"/>
              </w:rPr>
              <w:t>(2,704)</w:t>
            </w:r>
          </w:p>
        </w:tc>
        <w:tc>
          <w:tcPr>
            <w:tcW w:w="100" w:type="dxa"/>
            <w:vAlign w:val="bottom"/>
            <w:tcBorders>
              <w:top w:val="single" w:sz="8" w:color="CCFFCC"/>
            </w:tcBorders>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shd w:val="clear" w:color="auto" w:fill="CCFFCC"/>
          </w:tcPr>
          <w:p>
            <w:pPr>
              <w:jc w:val="right"/>
              <w:ind w:right="1"/>
              <w:spacing w:after="0"/>
              <w:rPr>
                <w:sz w:val="20"/>
                <w:szCs w:val="20"/>
                <w:color w:val="auto"/>
              </w:rPr>
            </w:pPr>
            <w:r>
              <w:rPr>
                <w:rFonts w:ascii="Arial" w:cs="Arial" w:eastAsia="Arial" w:hAnsi="Arial"/>
                <w:sz w:val="12"/>
                <w:szCs w:val="12"/>
                <w:color w:val="auto"/>
              </w:rPr>
              <w:t>(3)</w:t>
            </w:r>
          </w:p>
        </w:tc>
        <w:tc>
          <w:tcPr>
            <w:tcW w:w="120" w:type="dxa"/>
            <w:vAlign w:val="bottom"/>
            <w:tcBorders>
              <w:top w:val="single" w:sz="8" w:color="CCFFCC"/>
            </w:tcBorders>
            <w:shd w:val="clear" w:color="auto" w:fill="CCFFCC"/>
          </w:tcPr>
          <w:p>
            <w:pPr>
              <w:spacing w:after="0"/>
              <w:rPr>
                <w:sz w:val="20"/>
                <w:szCs w:val="20"/>
                <w:color w:val="auto"/>
              </w:rPr>
            </w:pPr>
          </w:p>
        </w:tc>
        <w:tc>
          <w:tcPr>
            <w:tcW w:w="620" w:type="dxa"/>
            <w:vAlign w:val="bottom"/>
            <w:tcBorders>
              <w:top w:val="single" w:sz="8" w:color="auto"/>
            </w:tcBorders>
            <w:shd w:val="clear" w:color="auto" w:fill="CCFFCC"/>
          </w:tcPr>
          <w:p>
            <w:pPr>
              <w:jc w:val="right"/>
              <w:ind w:right="61"/>
              <w:spacing w:after="0"/>
              <w:rPr>
                <w:sz w:val="20"/>
                <w:szCs w:val="20"/>
                <w:color w:val="auto"/>
              </w:rPr>
            </w:pPr>
            <w:r>
              <w:rPr>
                <w:rFonts w:ascii="Arial" w:cs="Arial" w:eastAsia="Arial" w:hAnsi="Arial"/>
                <w:sz w:val="12"/>
                <w:szCs w:val="12"/>
                <w:color w:val="auto"/>
                <w:w w:val="89"/>
              </w:rPr>
              <w:t>$ 412,253</w:t>
            </w:r>
          </w:p>
        </w:tc>
        <w:tc>
          <w:tcPr>
            <w:tcW w:w="100" w:type="dxa"/>
            <w:vAlign w:val="bottom"/>
            <w:tcBorders>
              <w:top w:val="single" w:sz="8" w:color="CCFFCC"/>
            </w:tcBorders>
            <w:shd w:val="clear" w:color="auto" w:fill="CCFFCC"/>
          </w:tcPr>
          <w:p>
            <w:pPr>
              <w:spacing w:after="0"/>
              <w:rPr>
                <w:sz w:val="20"/>
                <w:szCs w:val="20"/>
                <w:color w:val="auto"/>
              </w:rPr>
            </w:pPr>
          </w:p>
        </w:tc>
        <w:tc>
          <w:tcPr>
            <w:tcW w:w="12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FFCC"/>
          </w:tcPr>
          <w:p>
            <w:pPr>
              <w:jc w:val="right"/>
              <w:ind w:right="1"/>
              <w:spacing w:after="0"/>
              <w:rPr>
                <w:sz w:val="20"/>
                <w:szCs w:val="20"/>
                <w:color w:val="auto"/>
              </w:rPr>
            </w:pPr>
            <w:r>
              <w:rPr>
                <w:rFonts w:ascii="Arial" w:cs="Arial" w:eastAsia="Arial" w:hAnsi="Arial"/>
                <w:sz w:val="12"/>
                <w:szCs w:val="12"/>
                <w:color w:val="auto"/>
                <w:w w:val="97"/>
              </w:rPr>
              <w:t>(230,368)</w:t>
            </w:r>
          </w:p>
        </w:tc>
        <w:tc>
          <w:tcPr>
            <w:tcW w:w="100" w:type="dxa"/>
            <w:vAlign w:val="bottom"/>
            <w:tcBorders>
              <w:top w:val="single" w:sz="8" w:color="CCFFCC"/>
            </w:tcBorders>
            <w:shd w:val="clear" w:color="auto" w:fill="CCFFCC"/>
          </w:tcPr>
          <w:p>
            <w:pPr>
              <w:spacing w:after="0"/>
              <w:rPr>
                <w:sz w:val="20"/>
                <w:szCs w:val="20"/>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FFCC"/>
          </w:tcPr>
          <w:p>
            <w:pPr>
              <w:jc w:val="right"/>
              <w:ind w:right="21"/>
              <w:spacing w:after="0"/>
              <w:rPr>
                <w:sz w:val="20"/>
                <w:szCs w:val="20"/>
                <w:color w:val="auto"/>
              </w:rPr>
            </w:pPr>
            <w:r>
              <w:rPr>
                <w:rFonts w:ascii="Arial" w:cs="Arial" w:eastAsia="Arial" w:hAnsi="Arial"/>
                <w:sz w:val="12"/>
                <w:szCs w:val="12"/>
                <w:color w:val="auto"/>
              </w:rPr>
              <w:t>(4,631)</w:t>
            </w:r>
          </w:p>
        </w:tc>
        <w:tc>
          <w:tcPr>
            <w:tcW w:w="100" w:type="dxa"/>
            <w:vAlign w:val="bottom"/>
            <w:tcBorders>
              <w:top w:val="single" w:sz="8" w:color="CCFFCC"/>
            </w:tcBorders>
            <w:shd w:val="clear" w:color="auto" w:fill="CCFFCC"/>
          </w:tcPr>
          <w:p>
            <w:pPr>
              <w:spacing w:after="0"/>
              <w:rPr>
                <w:sz w:val="20"/>
                <w:szCs w:val="20"/>
                <w:color w:val="auto"/>
              </w:rPr>
            </w:pPr>
          </w:p>
        </w:tc>
        <w:tc>
          <w:tcPr>
            <w:tcW w:w="560" w:type="dxa"/>
            <w:vAlign w:val="bottom"/>
            <w:tcBorders>
              <w:top w:val="single" w:sz="8" w:color="auto"/>
            </w:tcBorders>
            <w:shd w:val="clear" w:color="auto" w:fill="CCFFCC"/>
          </w:tcPr>
          <w:p>
            <w:pPr>
              <w:jc w:val="right"/>
              <w:ind w:right="21"/>
              <w:spacing w:after="0"/>
              <w:rPr>
                <w:sz w:val="20"/>
                <w:szCs w:val="20"/>
                <w:color w:val="auto"/>
              </w:rPr>
            </w:pPr>
            <w:r>
              <w:rPr>
                <w:rFonts w:ascii="Arial" w:cs="Arial" w:eastAsia="Arial" w:hAnsi="Arial"/>
                <w:sz w:val="12"/>
                <w:szCs w:val="12"/>
                <w:color w:val="auto"/>
                <w:w w:val="86"/>
              </w:rPr>
              <w:t>$ 177,317</w:t>
            </w:r>
          </w:p>
        </w:tc>
        <w:tc>
          <w:tcPr>
            <w:tcW w:w="100" w:type="dxa"/>
            <w:vAlign w:val="bottom"/>
            <w:tcBorders>
              <w:top w:val="single" w:sz="8" w:color="CCFFCC"/>
            </w:tcBorders>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jc w:val="right"/>
              <w:ind w:right="21"/>
              <w:spacing w:after="0"/>
              <w:rPr>
                <w:sz w:val="20"/>
                <w:szCs w:val="20"/>
                <w:color w:val="auto"/>
              </w:rPr>
            </w:pPr>
            <w:r>
              <w:rPr>
                <w:rFonts w:ascii="Arial" w:cs="Arial" w:eastAsia="Arial" w:hAnsi="Arial"/>
                <w:sz w:val="12"/>
                <w:szCs w:val="12"/>
                <w:color w:val="auto"/>
                <w:w w:val="92"/>
              </w:rPr>
              <w:t>62,367</w:t>
            </w:r>
          </w:p>
        </w:tc>
        <w:tc>
          <w:tcPr>
            <w:tcW w:w="100" w:type="dxa"/>
            <w:vAlign w:val="bottom"/>
            <w:tcBorders>
              <w:top w:val="single" w:sz="8" w:color="CCFFCC"/>
            </w:tcBorders>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shd w:val="clear" w:color="auto" w:fill="CCFFCC"/>
          </w:tcPr>
          <w:p>
            <w:pPr>
              <w:jc w:val="right"/>
              <w:ind w:right="61"/>
              <w:spacing w:after="0"/>
              <w:rPr>
                <w:sz w:val="20"/>
                <w:szCs w:val="20"/>
                <w:color w:val="auto"/>
              </w:rPr>
            </w:pPr>
            <w:r>
              <w:rPr>
                <w:rFonts w:ascii="Arial" w:cs="Arial" w:eastAsia="Arial" w:hAnsi="Arial"/>
                <w:sz w:val="12"/>
                <w:szCs w:val="12"/>
                <w:color w:val="auto"/>
              </w:rPr>
              <w:t>62</w:t>
            </w:r>
          </w:p>
        </w:tc>
        <w:tc>
          <w:tcPr>
            <w:tcW w:w="100" w:type="dxa"/>
            <w:vAlign w:val="bottom"/>
            <w:tcBorders>
              <w:top w:val="single" w:sz="8" w:color="CCFFCC"/>
            </w:tcBorders>
            <w:shd w:val="clear" w:color="auto" w:fill="CCFFCC"/>
          </w:tcPr>
          <w:p>
            <w:pPr>
              <w:spacing w:after="0"/>
              <w:rPr>
                <w:sz w:val="20"/>
                <w:szCs w:val="20"/>
                <w:color w:val="auto"/>
              </w:rPr>
            </w:pPr>
          </w:p>
        </w:tc>
        <w:tc>
          <w:tcPr>
            <w:tcW w:w="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w w:val="94"/>
              </w:rPr>
              <w:t>(2,682)</w:t>
            </w:r>
          </w:p>
        </w:tc>
        <w:tc>
          <w:tcPr>
            <w:tcW w:w="100" w:type="dxa"/>
            <w:vAlign w:val="bottom"/>
            <w:tcBorders>
              <w:top w:val="single" w:sz="8" w:color="CCFFCC"/>
            </w:tcBorders>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shd w:val="clear" w:color="auto" w:fill="CCFFCC"/>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FFCC"/>
            </w:tcBorders>
            <w:shd w:val="clear" w:color="auto" w:fill="CCFFCC"/>
          </w:tcPr>
          <w:p>
            <w:pPr>
              <w:spacing w:after="0"/>
              <w:rPr>
                <w:sz w:val="20"/>
                <w:szCs w:val="20"/>
                <w:color w:val="auto"/>
              </w:rPr>
            </w:pPr>
          </w:p>
        </w:tc>
        <w:tc>
          <w:tcPr>
            <w:tcW w:w="620" w:type="dxa"/>
            <w:vAlign w:val="bottom"/>
            <w:tcBorders>
              <w:top w:val="single" w:sz="8" w:color="auto"/>
            </w:tcBorders>
            <w:shd w:val="clear" w:color="auto" w:fill="CCFFCC"/>
          </w:tcPr>
          <w:p>
            <w:pPr>
              <w:jc w:val="right"/>
              <w:ind w:right="41"/>
              <w:spacing w:after="0"/>
              <w:rPr>
                <w:sz w:val="20"/>
                <w:szCs w:val="20"/>
                <w:color w:val="auto"/>
              </w:rPr>
            </w:pPr>
            <w:r>
              <w:rPr>
                <w:rFonts w:ascii="Arial" w:cs="Arial" w:eastAsia="Arial" w:hAnsi="Arial"/>
                <w:sz w:val="12"/>
                <w:szCs w:val="12"/>
                <w:color w:val="auto"/>
                <w:w w:val="93"/>
              </w:rPr>
              <w:t>$ 337,238</w:t>
            </w:r>
          </w:p>
        </w:tc>
        <w:tc>
          <w:tcPr>
            <w:tcW w:w="100" w:type="dxa"/>
            <w:vAlign w:val="bottom"/>
            <w:tcBorders>
              <w:top w:val="single" w:sz="8" w:color="CCFFCC"/>
            </w:tcBorders>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ind w:left="4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FFCC"/>
          </w:tcPr>
          <w:p>
            <w:pPr>
              <w:jc w:val="right"/>
              <w:ind w:right="21"/>
              <w:spacing w:after="0"/>
              <w:rPr>
                <w:sz w:val="20"/>
                <w:szCs w:val="20"/>
                <w:color w:val="auto"/>
              </w:rPr>
            </w:pPr>
            <w:r>
              <w:rPr>
                <w:rFonts w:ascii="Arial" w:cs="Arial" w:eastAsia="Arial" w:hAnsi="Arial"/>
                <w:sz w:val="12"/>
                <w:szCs w:val="12"/>
                <w:color w:val="auto"/>
                <w:w w:val="93"/>
              </w:rPr>
              <w:t>(173,983)</w:t>
            </w:r>
          </w:p>
        </w:tc>
        <w:tc>
          <w:tcPr>
            <w:tcW w:w="100" w:type="dxa"/>
            <w:vAlign w:val="bottom"/>
            <w:tcBorders>
              <w:top w:val="single" w:sz="8" w:color="CCFFCC"/>
            </w:tcBorders>
            <w:shd w:val="clear" w:color="auto" w:fill="CCFFCC"/>
          </w:tcPr>
          <w:p>
            <w:pPr>
              <w:spacing w:after="0"/>
              <w:rPr>
                <w:sz w:val="20"/>
                <w:szCs w:val="20"/>
                <w:color w:val="auto"/>
              </w:rPr>
            </w:pPr>
          </w:p>
        </w:tc>
        <w:tc>
          <w:tcPr>
            <w:tcW w:w="180" w:type="dxa"/>
            <w:vAlign w:val="bottom"/>
            <w:tcBorders>
              <w:top w:val="single" w:sz="8" w:color="auto"/>
            </w:tcBorders>
            <w:shd w:val="clear" w:color="auto" w:fill="CCFFCC"/>
          </w:tcPr>
          <w:p>
            <w:pPr>
              <w:jc w:val="right"/>
              <w:ind w:right="41"/>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FFCC"/>
          </w:tcPr>
          <w:p>
            <w:pPr>
              <w:jc w:val="right"/>
              <w:ind w:right="1"/>
              <w:spacing w:after="0"/>
              <w:rPr>
                <w:sz w:val="20"/>
                <w:szCs w:val="20"/>
                <w:color w:val="auto"/>
              </w:rPr>
            </w:pPr>
            <w:r>
              <w:rPr>
                <w:rFonts w:ascii="Arial" w:cs="Arial" w:eastAsia="Arial" w:hAnsi="Arial"/>
                <w:sz w:val="12"/>
                <w:szCs w:val="12"/>
                <w:color w:val="auto"/>
              </w:rPr>
              <w:t>(3,462)</w:t>
            </w:r>
          </w:p>
        </w:tc>
        <w:tc>
          <w:tcPr>
            <w:tcW w:w="100" w:type="dxa"/>
            <w:vAlign w:val="bottom"/>
            <w:tcBorders>
              <w:top w:val="single" w:sz="8" w:color="CCFFCC"/>
            </w:tcBorders>
            <w:shd w:val="clear" w:color="auto" w:fill="CCFFCC"/>
          </w:tcPr>
          <w:p>
            <w:pPr>
              <w:spacing w:after="0"/>
              <w:rPr>
                <w:sz w:val="20"/>
                <w:szCs w:val="20"/>
                <w:color w:val="auto"/>
              </w:rPr>
            </w:pPr>
          </w:p>
        </w:tc>
        <w:tc>
          <w:tcPr>
            <w:tcW w:w="560" w:type="dxa"/>
            <w:vAlign w:val="bottom"/>
            <w:tcBorders>
              <w:top w:val="single" w:sz="8" w:color="auto"/>
            </w:tcBorders>
            <w:shd w:val="clear" w:color="auto" w:fill="CCFFCC"/>
          </w:tcPr>
          <w:p>
            <w:pPr>
              <w:jc w:val="right"/>
              <w:ind w:right="1"/>
              <w:spacing w:after="0"/>
              <w:rPr>
                <w:sz w:val="20"/>
                <w:szCs w:val="20"/>
                <w:color w:val="auto"/>
              </w:rPr>
            </w:pPr>
            <w:r>
              <w:rPr>
                <w:rFonts w:ascii="Arial" w:cs="Arial" w:eastAsia="Arial" w:hAnsi="Arial"/>
                <w:sz w:val="12"/>
                <w:szCs w:val="12"/>
                <w:color w:val="auto"/>
                <w:w w:val="89"/>
              </w:rPr>
              <w:t>$ 159,852</w:t>
            </w:r>
          </w:p>
        </w:tc>
        <w:tc>
          <w:tcPr>
            <w:tcW w:w="0" w:type="dxa"/>
            <w:vAlign w:val="bottom"/>
          </w:tcPr>
          <w:p>
            <w:pPr>
              <w:spacing w:after="0"/>
              <w:rPr>
                <w:sz w:val="1"/>
                <w:szCs w:val="1"/>
                <w:color w:val="auto"/>
              </w:rPr>
            </w:pPr>
          </w:p>
        </w:tc>
      </w:tr>
      <w:tr>
        <w:trPr>
          <w:trHeight w:val="139"/>
        </w:trPr>
        <w:tc>
          <w:tcPr>
            <w:tcW w:w="1000" w:type="dxa"/>
            <w:vAlign w:val="bottom"/>
          </w:tcPr>
          <w:p>
            <w:pPr>
              <w:ind w:left="260"/>
              <w:spacing w:after="0"/>
              <w:rPr>
                <w:sz w:val="20"/>
                <w:szCs w:val="20"/>
                <w:color w:val="auto"/>
              </w:rPr>
            </w:pPr>
            <w:r>
              <w:rPr>
                <w:rFonts w:ascii="Arial" w:cs="Arial" w:eastAsia="Arial" w:hAnsi="Arial"/>
                <w:sz w:val="12"/>
                <w:szCs w:val="12"/>
                <w:color w:val="auto"/>
                <w:w w:val="89"/>
              </w:rPr>
              <w:t>Common stock</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issued upon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exercise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460" w:type="dxa"/>
            <w:vAlign w:val="bottom"/>
          </w:tcPr>
          <w:p>
            <w:pPr>
              <w:jc w:val="right"/>
              <w:ind w:right="41"/>
              <w:spacing w:after="0"/>
              <w:rPr>
                <w:sz w:val="20"/>
                <w:szCs w:val="20"/>
                <w:color w:val="auto"/>
              </w:rPr>
            </w:pPr>
            <w:r>
              <w:rPr>
                <w:rFonts w:ascii="Arial" w:cs="Arial" w:eastAsia="Arial" w:hAnsi="Arial"/>
                <w:sz w:val="12"/>
                <w:szCs w:val="12"/>
                <w:color w:val="auto"/>
              </w:rPr>
              <w:t>461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5,647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5,647</w:t>
            </w:r>
          </w:p>
        </w:tc>
        <w:tc>
          <w:tcPr>
            <w:tcW w:w="100" w:type="dxa"/>
            <w:vAlign w:val="bottom"/>
          </w:tcPr>
          <w:p>
            <w:pPr>
              <w:spacing w:after="0"/>
              <w:rPr>
                <w:sz w:val="13"/>
                <w:szCs w:val="13"/>
                <w:color w:val="auto"/>
              </w:rPr>
            </w:pPr>
          </w:p>
        </w:tc>
        <w:tc>
          <w:tcPr>
            <w:tcW w:w="440" w:type="dxa"/>
            <w:vAlign w:val="bottom"/>
          </w:tcPr>
          <w:p>
            <w:pPr>
              <w:jc w:val="right"/>
              <w:ind w:right="21"/>
              <w:spacing w:after="0"/>
              <w:rPr>
                <w:sz w:val="20"/>
                <w:szCs w:val="20"/>
                <w:color w:val="auto"/>
              </w:rPr>
            </w:pPr>
            <w:r>
              <w:rPr>
                <w:rFonts w:ascii="Arial" w:cs="Arial" w:eastAsia="Arial" w:hAnsi="Arial"/>
                <w:sz w:val="12"/>
                <w:szCs w:val="12"/>
                <w:color w:val="auto"/>
              </w:rPr>
              <w:t>566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9,754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9,755</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w w:val="89"/>
              </w:rPr>
              <w:t>Common stock</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issued upon</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vesting of</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w w:val="89"/>
              </w:rPr>
              <w:t>restricted stock</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units</w:t>
            </w:r>
          </w:p>
        </w:tc>
        <w:tc>
          <w:tcPr>
            <w:tcW w:w="46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rPr>
              <w:t>142</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000" w:type="dxa"/>
            <w:vAlign w:val="bottom"/>
          </w:tcPr>
          <w:p>
            <w:pPr>
              <w:ind w:left="260"/>
              <w:spacing w:after="0"/>
              <w:rPr>
                <w:sz w:val="20"/>
                <w:szCs w:val="20"/>
                <w:color w:val="auto"/>
              </w:rPr>
            </w:pPr>
            <w:r>
              <w:rPr>
                <w:rFonts w:ascii="Arial" w:cs="Arial" w:eastAsia="Arial" w:hAnsi="Arial"/>
                <w:sz w:val="12"/>
                <w:szCs w:val="12"/>
                <w:color w:val="auto"/>
              </w:rPr>
              <w:t>Stock-based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Pr>
          <w:p>
            <w:pPr>
              <w:ind w:left="260"/>
              <w:spacing w:after="0"/>
              <w:rPr>
                <w:sz w:val="20"/>
                <w:szCs w:val="20"/>
                <w:color w:val="auto"/>
              </w:rPr>
            </w:pPr>
            <w:r>
              <w:rPr>
                <w:rFonts w:ascii="Arial" w:cs="Arial" w:eastAsia="Arial" w:hAnsi="Arial"/>
                <w:sz w:val="12"/>
                <w:szCs w:val="12"/>
                <w:color w:val="auto"/>
                <w:w w:val="96"/>
              </w:rPr>
              <w:t>compensation</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6,486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6,486</w:t>
            </w:r>
          </w:p>
        </w:tc>
        <w:tc>
          <w:tcPr>
            <w:tcW w:w="1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4,074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4,074</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w w:val="89"/>
              </w:rPr>
              <w:t>Common stock</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issued under</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Employee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Stock</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w w:val="92"/>
              </w:rPr>
              <w:t>Purchase Plan</w:t>
            </w:r>
          </w:p>
        </w:tc>
        <w:tc>
          <w:tcPr>
            <w:tcW w:w="46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ind w:right="61"/>
              <w:spacing w:after="0"/>
              <w:rPr>
                <w:sz w:val="20"/>
                <w:szCs w:val="20"/>
                <w:color w:val="auto"/>
              </w:rPr>
            </w:pPr>
            <w:r>
              <w:rPr>
                <w:rFonts w:ascii="Arial" w:cs="Arial" w:eastAsia="Arial" w:hAnsi="Arial"/>
                <w:sz w:val="12"/>
                <w:szCs w:val="12"/>
                <w:color w:val="auto"/>
              </w:rPr>
              <w:t>1,160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1,160</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rPr>
              <w:t>636</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636</w:t>
            </w:r>
          </w:p>
        </w:tc>
        <w:tc>
          <w:tcPr>
            <w:tcW w:w="0" w:type="dxa"/>
            <w:vAlign w:val="bottom"/>
          </w:tcPr>
          <w:p>
            <w:pPr>
              <w:spacing w:after="0"/>
              <w:rPr>
                <w:sz w:val="1"/>
                <w:szCs w:val="1"/>
                <w:color w:val="auto"/>
              </w:rPr>
            </w:pPr>
          </w:p>
        </w:tc>
      </w:tr>
      <w:tr>
        <w:trPr>
          <w:trHeight w:val="246"/>
        </w:trPr>
        <w:tc>
          <w:tcPr>
            <w:tcW w:w="1000" w:type="dxa"/>
            <w:vAlign w:val="bottom"/>
          </w:tcPr>
          <w:p>
            <w:pPr>
              <w:ind w:left="260"/>
              <w:spacing w:after="0"/>
              <w:rPr>
                <w:sz w:val="20"/>
                <w:szCs w:val="20"/>
                <w:color w:val="auto"/>
              </w:rPr>
            </w:pPr>
            <w:r>
              <w:rPr>
                <w:rFonts w:ascii="Arial" w:cs="Arial" w:eastAsia="Arial" w:hAnsi="Arial"/>
                <w:sz w:val="12"/>
                <w:szCs w:val="12"/>
                <w:color w:val="auto"/>
              </w:rPr>
              <w:t>Net loss</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(25,872)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(25,872)</w:t>
            </w:r>
          </w:p>
        </w:tc>
        <w:tc>
          <w:tcPr>
            <w:tcW w:w="10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(7,043)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(7,043)</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Other</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w w:val="88"/>
              </w:rPr>
              <w:t>comprehensive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income (loss)</w:t>
            </w:r>
          </w:p>
        </w:tc>
        <w:tc>
          <w:tcPr>
            <w:tcW w:w="4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(1,676)</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(1,676)</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64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(376)</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19"/>
        </w:trPr>
        <w:tc>
          <w:tcPr>
            <w:tcW w:w="1000" w:type="dxa"/>
            <w:vAlign w:val="bottom"/>
          </w:tcPr>
          <w:p>
            <w:pPr>
              <w:ind w:left="20"/>
              <w:spacing w:after="0" w:line="119" w:lineRule="exact"/>
              <w:rPr>
                <w:sz w:val="20"/>
                <w:szCs w:val="20"/>
                <w:color w:val="auto"/>
              </w:rPr>
            </w:pPr>
            <w:r>
              <w:rPr>
                <w:rFonts w:ascii="Arial" w:cs="Arial" w:eastAsia="Arial" w:hAnsi="Arial"/>
                <w:sz w:val="12"/>
                <w:szCs w:val="12"/>
                <w:color w:val="auto"/>
              </w:rPr>
              <w:t>Balance at</w:t>
            </w:r>
          </w:p>
        </w:tc>
        <w:tc>
          <w:tcPr>
            <w:tcW w:w="4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color w:val="auto"/>
                <w:w w:val="92"/>
              </w:rPr>
              <w:t>66,035</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0"/>
                <w:szCs w:val="10"/>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94"/>
              </w:rPr>
              <w:t>(2,704)</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color w:val="auto"/>
                <w:w w:val="89"/>
              </w:rPr>
              <w:t>$ 425,546</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w w:val="97"/>
              </w:rPr>
              <w:t>(256,240)</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rPr>
              <w:t>(6,307)</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w w:val="86"/>
              </w:rPr>
              <w:t>$ 163,062</w:t>
            </w:r>
          </w:p>
        </w:tc>
        <w:tc>
          <w:tcPr>
            <w:tcW w:w="100" w:type="dxa"/>
            <w:vAlign w:val="bottom"/>
          </w:tcPr>
          <w:p>
            <w:pPr>
              <w:spacing w:after="0"/>
              <w:rPr>
                <w:sz w:val="10"/>
                <w:szCs w:val="10"/>
                <w:color w:val="auto"/>
              </w:rPr>
            </w:pPr>
          </w:p>
        </w:tc>
        <w:tc>
          <w:tcPr>
            <w:tcW w:w="44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w w:val="92"/>
              </w:rPr>
              <w:t>63,071</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0"/>
                <w:szCs w:val="10"/>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94"/>
              </w:rPr>
              <w:t>(2,682)</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color w:val="auto"/>
                <w:w w:val="93"/>
              </w:rPr>
              <w:t>$ 351,702</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w w:val="93"/>
              </w:rPr>
              <w:t>(181,026)</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rPr>
              <w:t>(3,838)</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w w:val="89"/>
              </w:rPr>
              <w:t>$ 166,898</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Arial" w:cs="Arial" w:eastAsia="Arial" w:hAnsi="Arial"/>
                <w:sz w:val="12"/>
                <w:szCs w:val="12"/>
                <w:color w:val="auto"/>
              </w:rPr>
              <w:t>September 30</w:t>
            </w:r>
          </w:p>
        </w:tc>
        <w:tc>
          <w:tcPr>
            <w:tcW w:w="4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ind w:left="40"/>
              <w:spacing w:after="0"/>
              <w:rPr>
                <w:sz w:val="20"/>
                <w:szCs w:val="20"/>
                <w:color w:val="auto"/>
              </w:rPr>
            </w:pPr>
            <w:r>
              <w:rPr>
                <w:rFonts w:ascii="Arial" w:cs="Arial" w:eastAsia="Arial" w:hAnsi="Arial"/>
                <w:sz w:val="12"/>
                <w:szCs w:val="12"/>
                <w:b w:val="1"/>
                <w:bCs w:val="1"/>
                <w:color w:val="auto"/>
                <w:w w:val="99"/>
              </w:rPr>
              <w:t>Nine Months Ended September 30,</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1000" w:type="dxa"/>
            <w:vAlign w:val="bottom"/>
          </w:tcPr>
          <w:p>
            <w:pPr>
              <w:spacing w:after="0"/>
              <w:rPr>
                <w:sz w:val="11"/>
                <w:szCs w:val="11"/>
                <w:color w:val="auto"/>
              </w:rPr>
            </w:pPr>
          </w:p>
        </w:tc>
        <w:tc>
          <w:tcPr>
            <w:tcW w:w="1120" w:type="dxa"/>
            <w:vAlign w:val="bottom"/>
            <w:gridSpan w:val="5"/>
            <w:vMerge w:val="restart"/>
          </w:tcPr>
          <w:p>
            <w:pPr>
              <w:ind w:left="140"/>
              <w:spacing w:after="0"/>
              <w:rPr>
                <w:sz w:val="20"/>
                <w:szCs w:val="20"/>
                <w:color w:val="auto"/>
              </w:rPr>
            </w:pPr>
            <w:r>
              <w:rPr>
                <w:rFonts w:ascii="Arial" w:cs="Arial" w:eastAsia="Arial" w:hAnsi="Arial"/>
                <w:sz w:val="12"/>
                <w:szCs w:val="12"/>
                <w:b w:val="1"/>
                <w:bCs w:val="1"/>
                <w:color w:val="auto"/>
              </w:rPr>
              <w:t>Common Stock</w:t>
            </w:r>
          </w:p>
        </w:tc>
        <w:tc>
          <w:tcPr>
            <w:tcW w:w="108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line="137" w:lineRule="exact"/>
              <w:rPr>
                <w:sz w:val="20"/>
                <w:szCs w:val="20"/>
                <w:color w:val="auto"/>
              </w:rPr>
            </w:pPr>
            <w:r>
              <w:rPr>
                <w:rFonts w:ascii="Arial" w:cs="Arial" w:eastAsia="Arial" w:hAnsi="Arial"/>
                <w:sz w:val="12"/>
                <w:szCs w:val="12"/>
                <w:b w:val="1"/>
                <w:bCs w:val="1"/>
                <w:color w:val="auto"/>
                <w:w w:val="90"/>
              </w:rPr>
              <w:t>Accumulated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rPr>
              <w:t>Common Stock</w:t>
            </w:r>
          </w:p>
        </w:tc>
        <w:tc>
          <w:tcPr>
            <w:tcW w:w="108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80"/>
              <w:spacing w:after="0" w:line="137" w:lineRule="exact"/>
              <w:rPr>
                <w:sz w:val="20"/>
                <w:szCs w:val="20"/>
                <w:color w:val="auto"/>
              </w:rPr>
            </w:pPr>
            <w:r>
              <w:rPr>
                <w:rFonts w:ascii="Arial" w:cs="Arial" w:eastAsia="Arial" w:hAnsi="Arial"/>
                <w:sz w:val="12"/>
                <w:szCs w:val="12"/>
                <w:b w:val="1"/>
                <w:bCs w:val="1"/>
                <w:color w:val="auto"/>
                <w:w w:val="90"/>
              </w:rPr>
              <w:t>Accumulated</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00" w:type="dxa"/>
            <w:vAlign w:val="bottom"/>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2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3"/>
              </w:rPr>
              <w:t>Other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72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3"/>
              </w:rPr>
              <w:t>Other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00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120"/>
              <w:spacing w:after="0" w:line="104" w:lineRule="exact"/>
              <w:rPr>
                <w:sz w:val="20"/>
                <w:szCs w:val="20"/>
                <w:color w:val="auto"/>
              </w:rPr>
            </w:pPr>
            <w:r>
              <w:rPr>
                <w:rFonts w:ascii="Arial" w:cs="Arial" w:eastAsia="Arial" w:hAnsi="Arial"/>
                <w:sz w:val="12"/>
                <w:szCs w:val="12"/>
                <w:b w:val="1"/>
                <w:bCs w:val="1"/>
                <w:color w:val="auto"/>
                <w:w w:val="89"/>
              </w:rPr>
              <w:t>Paid-in</w:t>
            </w:r>
          </w:p>
        </w:tc>
        <w:tc>
          <w:tcPr>
            <w:tcW w:w="800" w:type="dxa"/>
            <w:vAlign w:val="bottom"/>
            <w:gridSpan w:val="3"/>
          </w:tcPr>
          <w:p>
            <w:pPr>
              <w:ind w:left="20"/>
              <w:spacing w:after="0" w:line="104" w:lineRule="exact"/>
              <w:rPr>
                <w:sz w:val="20"/>
                <w:szCs w:val="20"/>
                <w:color w:val="auto"/>
              </w:rPr>
            </w:pPr>
            <w:r>
              <w:rPr>
                <w:rFonts w:ascii="Arial" w:cs="Arial" w:eastAsia="Arial" w:hAnsi="Arial"/>
                <w:sz w:val="12"/>
                <w:szCs w:val="12"/>
                <w:b w:val="1"/>
                <w:bCs w:val="1"/>
                <w:color w:val="auto"/>
              </w:rPr>
              <w:t>Accumulated</w:t>
            </w:r>
          </w:p>
        </w:tc>
        <w:tc>
          <w:tcPr>
            <w:tcW w:w="94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w w:val="86"/>
              </w:rPr>
              <w:t>Comprehensive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80"/>
              <w:spacing w:after="0" w:line="104" w:lineRule="exact"/>
              <w:rPr>
                <w:sz w:val="20"/>
                <w:szCs w:val="20"/>
                <w:color w:val="auto"/>
              </w:rPr>
            </w:pPr>
            <w:r>
              <w:rPr>
                <w:rFonts w:ascii="Arial" w:cs="Arial" w:eastAsia="Arial" w:hAnsi="Arial"/>
                <w:sz w:val="12"/>
                <w:szCs w:val="12"/>
                <w:b w:val="1"/>
                <w:bCs w:val="1"/>
                <w:color w:val="auto"/>
                <w:w w:val="89"/>
              </w:rPr>
              <w:t>Paid-in</w:t>
            </w:r>
          </w:p>
        </w:tc>
        <w:tc>
          <w:tcPr>
            <w:tcW w:w="820" w:type="dxa"/>
            <w:vAlign w:val="bottom"/>
            <w:gridSpan w:val="3"/>
          </w:tcPr>
          <w:p>
            <w:pPr>
              <w:ind w:left="40"/>
              <w:spacing w:after="0" w:line="104" w:lineRule="exact"/>
              <w:rPr>
                <w:sz w:val="20"/>
                <w:szCs w:val="20"/>
                <w:color w:val="auto"/>
              </w:rPr>
            </w:pPr>
            <w:r>
              <w:rPr>
                <w:rFonts w:ascii="Arial" w:cs="Arial" w:eastAsia="Arial" w:hAnsi="Arial"/>
                <w:sz w:val="12"/>
                <w:szCs w:val="12"/>
                <w:b w:val="1"/>
                <w:bCs w:val="1"/>
                <w:color w:val="auto"/>
              </w:rPr>
              <w:t>Accumulated</w:t>
            </w:r>
          </w:p>
        </w:tc>
        <w:tc>
          <w:tcPr>
            <w:tcW w:w="92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w w:val="88"/>
              </w:rPr>
              <w:t>Comprehensive</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Loss</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Deficit</w:t>
            </w:r>
          </w:p>
        </w:tc>
        <w:tc>
          <w:tcPr>
            <w:tcW w:w="18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560" w:type="dxa"/>
            <w:vAlign w:val="bottom"/>
          </w:tcPr>
          <w:p>
            <w:pPr>
              <w:jc w:val="right"/>
              <w:ind w:right="8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6"/>
        </w:trPr>
        <w:tc>
          <w:tcPr>
            <w:tcW w:w="1000" w:type="dxa"/>
            <w:vAlign w:val="bottom"/>
            <w:tcBorders>
              <w:top w:val="single" w:sz="8" w:color="CCFFCC"/>
            </w:tcBorders>
            <w:shd w:val="clear" w:color="auto" w:fill="CCFFCC"/>
          </w:tcPr>
          <w:p>
            <w:pPr>
              <w:ind w:left="20"/>
              <w:spacing w:after="0" w:line="126" w:lineRule="exact"/>
              <w:rPr>
                <w:sz w:val="20"/>
                <w:szCs w:val="20"/>
                <w:color w:val="auto"/>
              </w:rPr>
            </w:pPr>
            <w:r>
              <w:rPr>
                <w:rFonts w:ascii="Arial" w:cs="Arial" w:eastAsia="Arial" w:hAnsi="Arial"/>
                <w:sz w:val="12"/>
                <w:szCs w:val="12"/>
                <w:color w:val="auto"/>
              </w:rPr>
              <w:t>Balance at</w:t>
            </w:r>
          </w:p>
        </w:tc>
        <w:tc>
          <w:tcPr>
            <w:tcW w:w="4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20" w:type="dxa"/>
            <w:vAlign w:val="bottom"/>
            <w:tcBorders>
              <w:top w:val="single" w:sz="8" w:color="CCFFCC"/>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20" w:type="dxa"/>
            <w:vAlign w:val="bottom"/>
            <w:tcBorders>
              <w:top w:val="single" w:sz="8" w:color="auto"/>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4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6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4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0" w:type="dxa"/>
            <w:vAlign w:val="bottom"/>
            <w:tcBorders>
              <w:top w:val="single" w:sz="8" w:color="auto"/>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0"/>
              <w:spacing w:after="0" w:line="128" w:lineRule="exact"/>
              <w:rPr>
                <w:sz w:val="20"/>
                <w:szCs w:val="20"/>
                <w:color w:val="auto"/>
              </w:rPr>
            </w:pPr>
            <w:r>
              <w:rPr>
                <w:rFonts w:ascii="Arial" w:cs="Arial" w:eastAsia="Arial" w:hAnsi="Arial"/>
                <w:sz w:val="12"/>
                <w:szCs w:val="12"/>
                <w:color w:val="auto"/>
                <w:w w:val="91"/>
              </w:rPr>
              <w:t>December 31, 2018</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0"/>
              <w:spacing w:after="0"/>
              <w:rPr>
                <w:sz w:val="20"/>
                <w:szCs w:val="20"/>
                <w:color w:val="auto"/>
              </w:rPr>
            </w:pPr>
            <w:r>
              <w:rPr>
                <w:rFonts w:ascii="Arial" w:cs="Arial" w:eastAsia="Arial" w:hAnsi="Arial"/>
                <w:sz w:val="12"/>
                <w:szCs w:val="12"/>
                <w:color w:val="auto"/>
              </w:rPr>
              <w:t>and 2017</w:t>
            </w:r>
          </w:p>
        </w:tc>
        <w:tc>
          <w:tcPr>
            <w:tcW w:w="46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w w:val="92"/>
              </w:rPr>
              <w:t>63,676</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rPr>
              <w:t>64</w:t>
            </w: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4"/>
              </w:rPr>
              <w:t>(2,681)</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FFCC"/>
          </w:tcPr>
          <w:p>
            <w:pPr>
              <w:spacing w:after="0"/>
              <w:rPr>
                <w:sz w:val="14"/>
                <w:szCs w:val="14"/>
                <w:color w:val="auto"/>
              </w:rPr>
            </w:pPr>
          </w:p>
        </w:tc>
        <w:tc>
          <w:tcPr>
            <w:tcW w:w="620" w:type="dxa"/>
            <w:vAlign w:val="bottom"/>
            <w:shd w:val="clear" w:color="auto" w:fill="CCFFCC"/>
          </w:tcPr>
          <w:p>
            <w:pPr>
              <w:jc w:val="right"/>
              <w:ind w:right="61"/>
              <w:spacing w:after="0"/>
              <w:rPr>
                <w:sz w:val="20"/>
                <w:szCs w:val="20"/>
                <w:color w:val="auto"/>
              </w:rPr>
            </w:pPr>
            <w:r>
              <w:rPr>
                <w:rFonts w:ascii="Arial" w:cs="Arial" w:eastAsia="Arial" w:hAnsi="Arial"/>
                <w:sz w:val="12"/>
                <w:szCs w:val="12"/>
                <w:color w:val="auto"/>
                <w:w w:val="89"/>
              </w:rPr>
              <w:t>$ 362,590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ind w:lef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w w:val="97"/>
              </w:rPr>
              <w:t>(187,491)</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(4,431)</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w w:val="86"/>
              </w:rPr>
              <w:t>$ 170,729</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w w:val="92"/>
              </w:rPr>
              <w:t>59,664</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ind w:right="61"/>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FFCC"/>
          </w:tcPr>
          <w:p>
            <w:pPr>
              <w:spacing w:after="0"/>
              <w:rPr>
                <w:sz w:val="14"/>
                <w:szCs w:val="14"/>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4"/>
              </w:rPr>
              <w:t>(2,588)</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ind w:left="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FFCC"/>
          </w:tcPr>
          <w:p>
            <w:pPr>
              <w:spacing w:after="0"/>
              <w:rPr>
                <w:sz w:val="14"/>
                <w:szCs w:val="14"/>
                <w:color w:val="auto"/>
              </w:rPr>
            </w:pPr>
          </w:p>
        </w:tc>
        <w:tc>
          <w:tcPr>
            <w:tcW w:w="62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w w:val="93"/>
              </w:rPr>
              <w:t>$ 305,676</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ind w:lef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w w:val="93"/>
              </w:rPr>
              <w:t>(163,135)</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(2,535)</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w w:val="89"/>
              </w:rPr>
              <w:t>$ 140,063</w:t>
            </w:r>
          </w:p>
        </w:tc>
        <w:tc>
          <w:tcPr>
            <w:tcW w:w="0" w:type="dxa"/>
            <w:vAlign w:val="bottom"/>
          </w:tcPr>
          <w:p>
            <w:pPr>
              <w:spacing w:after="0"/>
              <w:rPr>
                <w:sz w:val="1"/>
                <w:szCs w:val="1"/>
                <w:color w:val="auto"/>
              </w:rPr>
            </w:pPr>
          </w:p>
        </w:tc>
      </w:tr>
      <w:tr>
        <w:trPr>
          <w:trHeight w:val="139"/>
        </w:trPr>
        <w:tc>
          <w:tcPr>
            <w:tcW w:w="1000" w:type="dxa"/>
            <w:vAlign w:val="bottom"/>
          </w:tcPr>
          <w:p>
            <w:pPr>
              <w:ind w:left="260"/>
              <w:spacing w:after="0"/>
              <w:rPr>
                <w:sz w:val="20"/>
                <w:szCs w:val="20"/>
                <w:color w:val="auto"/>
              </w:rPr>
            </w:pPr>
            <w:r>
              <w:rPr>
                <w:rFonts w:ascii="Arial" w:cs="Arial" w:eastAsia="Arial" w:hAnsi="Arial"/>
                <w:sz w:val="12"/>
                <w:szCs w:val="12"/>
                <w:color w:val="auto"/>
                <w:w w:val="89"/>
              </w:rPr>
              <w:t>Common stock</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issued upon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exercise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0" w:type="dxa"/>
            <w:vAlign w:val="bottom"/>
          </w:tcPr>
          <w:p>
            <w:pPr>
              <w:ind w:left="260"/>
              <w:spacing w:after="0"/>
              <w:rPr>
                <w:sz w:val="20"/>
                <w:szCs w:val="20"/>
                <w:color w:val="auto"/>
              </w:rPr>
            </w:pPr>
            <w:r>
              <w:rPr>
                <w:rFonts w:ascii="Arial" w:cs="Arial" w:eastAsia="Arial" w:hAnsi="Arial"/>
                <w:sz w:val="12"/>
                <w:szCs w:val="12"/>
                <w:color w:val="auto"/>
              </w:rPr>
              <w:t>stock options</w:t>
            </w:r>
          </w:p>
        </w:tc>
        <w:tc>
          <w:tcPr>
            <w:tcW w:w="460" w:type="dxa"/>
            <w:vAlign w:val="bottom"/>
          </w:tcPr>
          <w:p>
            <w:pPr>
              <w:jc w:val="right"/>
              <w:ind w:right="41"/>
              <w:spacing w:after="0"/>
              <w:rPr>
                <w:sz w:val="20"/>
                <w:szCs w:val="20"/>
                <w:color w:val="auto"/>
              </w:rPr>
            </w:pPr>
            <w:r>
              <w:rPr>
                <w:rFonts w:ascii="Arial" w:cs="Arial" w:eastAsia="Arial" w:hAnsi="Arial"/>
                <w:sz w:val="12"/>
                <w:szCs w:val="12"/>
                <w:color w:val="auto"/>
              </w:rPr>
              <w:t>1,351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14,727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14,728</w:t>
            </w:r>
          </w:p>
        </w:tc>
        <w:tc>
          <w:tcPr>
            <w:tcW w:w="100" w:type="dxa"/>
            <w:vAlign w:val="bottom"/>
          </w:tcPr>
          <w:p>
            <w:pPr>
              <w:spacing w:after="0"/>
              <w:rPr>
                <w:sz w:val="13"/>
                <w:szCs w:val="13"/>
                <w:color w:val="auto"/>
              </w:rPr>
            </w:pPr>
          </w:p>
        </w:tc>
        <w:tc>
          <w:tcPr>
            <w:tcW w:w="440" w:type="dxa"/>
            <w:vAlign w:val="bottom"/>
          </w:tcPr>
          <w:p>
            <w:pPr>
              <w:jc w:val="right"/>
              <w:ind w:right="21"/>
              <w:spacing w:after="0"/>
              <w:rPr>
                <w:sz w:val="20"/>
                <w:szCs w:val="20"/>
                <w:color w:val="auto"/>
              </w:rPr>
            </w:pPr>
            <w:r>
              <w:rPr>
                <w:rFonts w:ascii="Arial" w:cs="Arial" w:eastAsia="Arial" w:hAnsi="Arial"/>
                <w:sz w:val="12"/>
                <w:szCs w:val="12"/>
                <w:color w:val="auto"/>
              </w:rPr>
              <w:t>2,874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34,168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34,171</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w w:val="89"/>
              </w:rPr>
              <w:t>Common stock</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issued upon</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vesting of</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w w:val="89"/>
              </w:rPr>
              <w:t>restricted stock</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units</w:t>
            </w:r>
          </w:p>
        </w:tc>
        <w:tc>
          <w:tcPr>
            <w:tcW w:w="46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rPr>
              <w:t>896</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30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FFCC"/>
          </w:tcPr>
          <w:p>
            <w:pPr>
              <w:spacing w:after="0"/>
              <w:rPr>
                <w:sz w:val="14"/>
                <w:szCs w:val="14"/>
                <w:color w:val="auto"/>
              </w:rPr>
            </w:pP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334</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000" w:type="dxa"/>
            <w:vAlign w:val="bottom"/>
          </w:tcPr>
          <w:p>
            <w:pPr>
              <w:ind w:left="260"/>
              <w:spacing w:after="0"/>
              <w:rPr>
                <w:sz w:val="20"/>
                <w:szCs w:val="20"/>
                <w:color w:val="auto"/>
              </w:rPr>
            </w:pPr>
            <w:r>
              <w:rPr>
                <w:rFonts w:ascii="Arial" w:cs="Arial" w:eastAsia="Arial" w:hAnsi="Arial"/>
                <w:sz w:val="12"/>
                <w:szCs w:val="12"/>
                <w:color w:val="auto"/>
              </w:rPr>
              <w:t>Stock-based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Pr>
          <w:p>
            <w:pPr>
              <w:ind w:left="260"/>
              <w:spacing w:after="0"/>
              <w:rPr>
                <w:sz w:val="20"/>
                <w:szCs w:val="20"/>
                <w:color w:val="auto"/>
              </w:rPr>
            </w:pPr>
            <w:r>
              <w:rPr>
                <w:rFonts w:ascii="Arial" w:cs="Arial" w:eastAsia="Arial" w:hAnsi="Arial"/>
                <w:sz w:val="12"/>
                <w:szCs w:val="12"/>
                <w:color w:val="auto"/>
                <w:w w:val="96"/>
              </w:rPr>
              <w:t>compensation</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18,175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18,175</w:t>
            </w:r>
          </w:p>
        </w:tc>
        <w:tc>
          <w:tcPr>
            <w:tcW w:w="1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10,338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10,338</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w w:val="89"/>
              </w:rPr>
              <w:t>Common stock</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issued under</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Employee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Stock</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w w:val="92"/>
              </w:rPr>
              <w:t>Purchase Plan</w:t>
            </w:r>
          </w:p>
        </w:tc>
        <w:tc>
          <w:tcPr>
            <w:tcW w:w="46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rPr>
              <w:t>112</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ind w:right="61"/>
              <w:spacing w:after="0"/>
              <w:rPr>
                <w:sz w:val="20"/>
                <w:szCs w:val="20"/>
                <w:color w:val="auto"/>
              </w:rPr>
            </w:pPr>
            <w:r>
              <w:rPr>
                <w:rFonts w:ascii="Arial" w:cs="Arial" w:eastAsia="Arial" w:hAnsi="Arial"/>
                <w:sz w:val="12"/>
                <w:szCs w:val="12"/>
                <w:color w:val="auto"/>
              </w:rPr>
              <w:t>3,033</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3,033</w:t>
            </w: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ind w:right="41"/>
              <w:spacing w:after="0"/>
              <w:rPr>
                <w:sz w:val="20"/>
                <w:szCs w:val="20"/>
                <w:color w:val="auto"/>
              </w:rPr>
            </w:pPr>
            <w:r>
              <w:rPr>
                <w:rFonts w:ascii="Arial" w:cs="Arial" w:eastAsia="Arial" w:hAnsi="Arial"/>
                <w:sz w:val="12"/>
                <w:szCs w:val="12"/>
                <w:color w:val="auto"/>
              </w:rPr>
              <w:t>1,865</w:t>
            </w:r>
          </w:p>
        </w:tc>
        <w:tc>
          <w:tcPr>
            <w:tcW w:w="1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1,865</w:t>
            </w:r>
          </w:p>
        </w:tc>
        <w:tc>
          <w:tcPr>
            <w:tcW w:w="0" w:type="dxa"/>
            <w:vAlign w:val="bottom"/>
          </w:tcPr>
          <w:p>
            <w:pPr>
              <w:spacing w:after="0"/>
              <w:rPr>
                <w:sz w:val="1"/>
                <w:szCs w:val="1"/>
                <w:color w:val="auto"/>
              </w:rPr>
            </w:pPr>
          </w:p>
        </w:tc>
      </w:tr>
      <w:tr>
        <w:trPr>
          <w:trHeight w:val="139"/>
        </w:trPr>
        <w:tc>
          <w:tcPr>
            <w:tcW w:w="1000" w:type="dxa"/>
            <w:vAlign w:val="bottom"/>
          </w:tcPr>
          <w:p>
            <w:pPr>
              <w:ind w:left="260"/>
              <w:spacing w:after="0"/>
              <w:rPr>
                <w:sz w:val="20"/>
                <w:szCs w:val="20"/>
                <w:color w:val="auto"/>
              </w:rPr>
            </w:pPr>
            <w:r>
              <w:rPr>
                <w:rFonts w:ascii="Arial" w:cs="Arial" w:eastAsia="Arial" w:hAnsi="Arial"/>
                <w:sz w:val="12"/>
                <w:szCs w:val="12"/>
                <w:color w:val="auto"/>
                <w:w w:val="89"/>
              </w:rPr>
              <w:t>Common stock</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Pr>
          <w:p>
            <w:pPr>
              <w:ind w:left="260"/>
              <w:spacing w:after="0"/>
              <w:rPr>
                <w:sz w:val="20"/>
                <w:szCs w:val="20"/>
                <w:color w:val="auto"/>
              </w:rPr>
            </w:pPr>
            <w:r>
              <w:rPr>
                <w:rFonts w:ascii="Arial" w:cs="Arial" w:eastAsia="Arial" w:hAnsi="Arial"/>
                <w:sz w:val="12"/>
                <w:szCs w:val="12"/>
                <w:color w:val="auto"/>
              </w:rPr>
              <w:t>repurchase</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(709)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(709)</w:t>
            </w:r>
          </w:p>
        </w:tc>
        <w:tc>
          <w:tcPr>
            <w:tcW w:w="1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rPr>
              <w:t>(1,345)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(1,345)</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w w:val="95"/>
              </w:rPr>
              <w:t>ASC 606 prior</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period</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adjustment</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(see note 1)</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580" w:type="dxa"/>
            <w:vAlign w:val="bottom"/>
            <w:shd w:val="clear" w:color="auto" w:fill="CCFFCC"/>
          </w:tcPr>
          <w:p>
            <w:pPr>
              <w:jc w:val="right"/>
              <w:ind w:right="61"/>
              <w:spacing w:after="0"/>
              <w:rPr>
                <w:sz w:val="20"/>
                <w:szCs w:val="20"/>
                <w:color w:val="auto"/>
              </w:rPr>
            </w:pPr>
            <w:r>
              <w:rPr>
                <w:rFonts w:ascii="Arial" w:cs="Arial" w:eastAsia="Arial" w:hAnsi="Arial"/>
                <w:sz w:val="12"/>
                <w:szCs w:val="12"/>
                <w:color w:val="auto"/>
              </w:rPr>
              <w:t>676</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676</w:t>
            </w:r>
          </w:p>
        </w:tc>
        <w:tc>
          <w:tcPr>
            <w:tcW w:w="0" w:type="dxa"/>
            <w:vAlign w:val="bottom"/>
          </w:tcPr>
          <w:p>
            <w:pPr>
              <w:spacing w:after="0"/>
              <w:rPr>
                <w:sz w:val="1"/>
                <w:szCs w:val="1"/>
                <w:color w:val="auto"/>
              </w:rPr>
            </w:pPr>
          </w:p>
        </w:tc>
      </w:tr>
      <w:tr>
        <w:trPr>
          <w:trHeight w:val="139"/>
        </w:trPr>
        <w:tc>
          <w:tcPr>
            <w:tcW w:w="1000" w:type="dxa"/>
            <w:vAlign w:val="bottom"/>
          </w:tcPr>
          <w:p>
            <w:pPr>
              <w:ind w:left="260"/>
              <w:spacing w:after="0"/>
              <w:rPr>
                <w:sz w:val="20"/>
                <w:szCs w:val="20"/>
                <w:color w:val="auto"/>
              </w:rPr>
            </w:pPr>
            <w:r>
              <w:rPr>
                <w:rFonts w:ascii="Arial" w:cs="Arial" w:eastAsia="Arial" w:hAnsi="Arial"/>
                <w:sz w:val="12"/>
                <w:szCs w:val="12"/>
                <w:color w:val="auto"/>
              </w:rPr>
              <w:t>Issuance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w w:val="93"/>
              </w:rPr>
              <w:t>common stock</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in connection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with</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acquisitions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0" w:type="dxa"/>
            <w:vAlign w:val="bottom"/>
          </w:tcPr>
          <w:p>
            <w:pPr>
              <w:ind w:left="260"/>
              <w:spacing w:after="0"/>
              <w:rPr>
                <w:sz w:val="20"/>
                <w:szCs w:val="20"/>
                <w:color w:val="auto"/>
              </w:rPr>
            </w:pPr>
            <w:r>
              <w:rPr>
                <w:rFonts w:ascii="Arial" w:cs="Arial" w:eastAsia="Arial" w:hAnsi="Arial"/>
                <w:sz w:val="12"/>
                <w:szCs w:val="12"/>
                <w:color w:val="auto"/>
              </w:rPr>
              <w:t>(see note 9)</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21"/>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1"/>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Equity</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w w:val="98"/>
              </w:rPr>
              <w:t>component of</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convertible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senior notes</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ind w:right="61"/>
              <w:spacing w:after="0"/>
              <w:rPr>
                <w:sz w:val="20"/>
                <w:szCs w:val="20"/>
                <w:color w:val="auto"/>
              </w:rPr>
            </w:pPr>
            <w:r>
              <w:rPr>
                <w:rFonts w:ascii="Arial" w:cs="Arial" w:eastAsia="Arial" w:hAnsi="Arial"/>
                <w:sz w:val="12"/>
                <w:szCs w:val="12"/>
                <w:color w:val="auto"/>
              </w:rPr>
              <w:t>52,900</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52,900</w:t>
            </w:r>
          </w:p>
        </w:tc>
        <w:tc>
          <w:tcPr>
            <w:tcW w:w="100" w:type="dxa"/>
            <w:vAlign w:val="bottom"/>
            <w:shd w:val="clear" w:color="auto" w:fill="CCFFCC"/>
          </w:tcPr>
          <w:p>
            <w:pPr>
              <w:spacing w:after="0"/>
              <w:rPr>
                <w:sz w:val="14"/>
                <w:szCs w:val="14"/>
                <w:color w:val="auto"/>
              </w:rPr>
            </w:pPr>
          </w:p>
        </w:tc>
        <w:tc>
          <w:tcPr>
            <w:tcW w:w="54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000" w:type="dxa"/>
            <w:vAlign w:val="bottom"/>
          </w:tcPr>
          <w:p>
            <w:pPr>
              <w:ind w:left="260"/>
              <w:spacing w:after="0"/>
              <w:rPr>
                <w:sz w:val="20"/>
                <w:szCs w:val="20"/>
                <w:color w:val="auto"/>
              </w:rPr>
            </w:pPr>
            <w:r>
              <w:rPr>
                <w:rFonts w:ascii="Arial" w:cs="Arial" w:eastAsia="Arial" w:hAnsi="Arial"/>
                <w:sz w:val="12"/>
                <w:szCs w:val="12"/>
                <w:color w:val="auto"/>
              </w:rPr>
              <w:t>Equity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w w:val="98"/>
              </w:rPr>
              <w:t>component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convertible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ind w:left="260"/>
              <w:spacing w:after="0" w:line="128" w:lineRule="exact"/>
              <w:rPr>
                <w:sz w:val="20"/>
                <w:szCs w:val="20"/>
                <w:color w:val="auto"/>
              </w:rPr>
            </w:pPr>
            <w:r>
              <w:rPr>
                <w:rFonts w:ascii="Arial" w:cs="Arial" w:eastAsia="Arial" w:hAnsi="Arial"/>
                <w:sz w:val="12"/>
                <w:szCs w:val="12"/>
                <w:color w:val="auto"/>
              </w:rPr>
              <w:t>senior notes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0" w:type="dxa"/>
            <w:vAlign w:val="bottom"/>
          </w:tcPr>
          <w:p>
            <w:pPr>
              <w:ind w:left="260"/>
              <w:spacing w:after="0"/>
              <w:rPr>
                <w:sz w:val="20"/>
                <w:szCs w:val="20"/>
                <w:color w:val="auto"/>
              </w:rPr>
            </w:pPr>
            <w:r>
              <w:rPr>
                <w:rFonts w:ascii="Arial" w:cs="Arial" w:eastAsia="Arial" w:hAnsi="Arial"/>
                <w:sz w:val="12"/>
                <w:szCs w:val="12"/>
                <w:color w:val="auto"/>
                <w:w w:val="91"/>
              </w:rPr>
              <w:t>issuance costs</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(1,986)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(1,986)</w:t>
            </w:r>
          </w:p>
        </w:tc>
        <w:tc>
          <w:tcPr>
            <w:tcW w:w="10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Purchase of</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rPr>
              <w:t>capped call</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option</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(23,184)</w:t>
            </w:r>
          </w:p>
        </w:tc>
        <w:tc>
          <w:tcPr>
            <w:tcW w:w="1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(23,184)</w:t>
            </w:r>
          </w:p>
        </w:tc>
        <w:tc>
          <w:tcPr>
            <w:tcW w:w="100" w:type="dxa"/>
            <w:vAlign w:val="bottom"/>
            <w:shd w:val="clear" w:color="auto" w:fill="CCFFCC"/>
          </w:tcPr>
          <w:p>
            <w:pPr>
              <w:spacing w:after="0"/>
              <w:rPr>
                <w:sz w:val="14"/>
                <w:szCs w:val="14"/>
                <w:color w:val="auto"/>
              </w:rPr>
            </w:pPr>
          </w:p>
        </w:tc>
        <w:tc>
          <w:tcPr>
            <w:tcW w:w="54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6"/>
        </w:trPr>
        <w:tc>
          <w:tcPr>
            <w:tcW w:w="1000" w:type="dxa"/>
            <w:vAlign w:val="bottom"/>
          </w:tcPr>
          <w:p>
            <w:pPr>
              <w:ind w:left="260"/>
              <w:spacing w:after="0"/>
              <w:rPr>
                <w:sz w:val="20"/>
                <w:szCs w:val="20"/>
                <w:color w:val="auto"/>
              </w:rPr>
            </w:pPr>
            <w:r>
              <w:rPr>
                <w:rFonts w:ascii="Arial" w:cs="Arial" w:eastAsia="Arial" w:hAnsi="Arial"/>
                <w:sz w:val="12"/>
                <w:szCs w:val="12"/>
                <w:color w:val="auto"/>
              </w:rPr>
              <w:t>Net loss</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(68,749)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(68,749)</w:t>
            </w:r>
          </w:p>
        </w:tc>
        <w:tc>
          <w:tcPr>
            <w:tcW w:w="10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(18,567)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(18,567)</w:t>
            </w:r>
          </w:p>
        </w:tc>
        <w:tc>
          <w:tcPr>
            <w:tcW w:w="0" w:type="dxa"/>
            <w:vAlign w:val="bottom"/>
          </w:tcPr>
          <w:p>
            <w:pPr>
              <w:spacing w:after="0"/>
              <w:rPr>
                <w:sz w:val="1"/>
                <w:szCs w:val="1"/>
                <w:color w:val="auto"/>
              </w:rPr>
            </w:pPr>
          </w:p>
        </w:tc>
      </w:tr>
      <w:tr>
        <w:trPr>
          <w:trHeight w:val="147"/>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Other</w:t>
            </w:r>
          </w:p>
        </w:tc>
        <w:tc>
          <w:tcPr>
            <w:tcW w:w="4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0" w:type="dxa"/>
            <w:vAlign w:val="bottom"/>
            <w:shd w:val="clear" w:color="auto" w:fill="CCFFCC"/>
          </w:tcPr>
          <w:p>
            <w:pPr>
              <w:ind w:left="260"/>
              <w:spacing w:after="0" w:line="128" w:lineRule="exact"/>
              <w:rPr>
                <w:sz w:val="20"/>
                <w:szCs w:val="20"/>
                <w:color w:val="auto"/>
              </w:rPr>
            </w:pPr>
            <w:r>
              <w:rPr>
                <w:rFonts w:ascii="Arial" w:cs="Arial" w:eastAsia="Arial" w:hAnsi="Arial"/>
                <w:sz w:val="12"/>
                <w:szCs w:val="12"/>
                <w:color w:val="auto"/>
                <w:w w:val="88"/>
              </w:rPr>
              <w:t>comprehensive</w:t>
            </w: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0" w:type="dxa"/>
            <w:vAlign w:val="bottom"/>
            <w:shd w:val="clear" w:color="auto" w:fill="CCFFCC"/>
          </w:tcPr>
          <w:p>
            <w:pPr>
              <w:ind w:left="260"/>
              <w:spacing w:after="0"/>
              <w:rPr>
                <w:sz w:val="20"/>
                <w:szCs w:val="20"/>
                <w:color w:val="auto"/>
              </w:rPr>
            </w:pPr>
            <w:r>
              <w:rPr>
                <w:rFonts w:ascii="Arial" w:cs="Arial" w:eastAsia="Arial" w:hAnsi="Arial"/>
                <w:sz w:val="12"/>
                <w:szCs w:val="12"/>
                <w:color w:val="auto"/>
              </w:rPr>
              <w:t>loss</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4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4"/>
                <w:szCs w:val="14"/>
                <w:color w:val="auto"/>
              </w:rPr>
            </w:pPr>
          </w:p>
        </w:tc>
        <w:tc>
          <w:tcPr>
            <w:tcW w:w="720" w:type="dxa"/>
            <w:vAlign w:val="bottom"/>
            <w:shd w:val="clear" w:color="auto" w:fill="CCFFCC"/>
          </w:tcPr>
          <w:p>
            <w:pPr>
              <w:jc w:val="right"/>
              <w:ind w:right="21"/>
              <w:spacing w:after="0"/>
              <w:rPr>
                <w:sz w:val="20"/>
                <w:szCs w:val="20"/>
                <w:color w:val="auto"/>
              </w:rPr>
            </w:pPr>
            <w:r>
              <w:rPr>
                <w:rFonts w:ascii="Arial" w:cs="Arial" w:eastAsia="Arial" w:hAnsi="Arial"/>
                <w:sz w:val="12"/>
                <w:szCs w:val="12"/>
                <w:color w:val="auto"/>
              </w:rPr>
              <w:t>(1,876)</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(1,876)</w:t>
            </w:r>
          </w:p>
        </w:tc>
        <w:tc>
          <w:tcPr>
            <w:tcW w:w="100" w:type="dxa"/>
            <w:vAlign w:val="bottom"/>
            <w:shd w:val="clear" w:color="auto" w:fill="CCFFCC"/>
          </w:tcPr>
          <w:p>
            <w:pPr>
              <w:spacing w:after="0"/>
              <w:rPr>
                <w:sz w:val="14"/>
                <w:szCs w:val="14"/>
                <w:color w:val="auto"/>
              </w:rPr>
            </w:pPr>
          </w:p>
        </w:tc>
        <w:tc>
          <w:tcPr>
            <w:tcW w:w="54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4"/>
                <w:szCs w:val="14"/>
                <w:color w:val="auto"/>
              </w:rPr>
            </w:pPr>
          </w:p>
        </w:tc>
        <w:tc>
          <w:tcPr>
            <w:tcW w:w="640" w:type="dxa"/>
            <w:vAlign w:val="bottom"/>
            <w:shd w:val="clear" w:color="auto" w:fill="CCFFCC"/>
          </w:tcPr>
          <w:p>
            <w:pPr>
              <w:jc w:val="right"/>
              <w:ind w:right="1"/>
              <w:spacing w:after="0"/>
              <w:rPr>
                <w:sz w:val="20"/>
                <w:szCs w:val="20"/>
                <w:color w:val="auto"/>
              </w:rPr>
            </w:pPr>
            <w:r>
              <w:rPr>
                <w:rFonts w:ascii="Arial" w:cs="Arial" w:eastAsia="Arial" w:hAnsi="Arial"/>
                <w:sz w:val="12"/>
                <w:szCs w:val="12"/>
                <w:color w:val="auto"/>
              </w:rPr>
              <w:t>(1,303)</w:t>
            </w:r>
          </w:p>
        </w:tc>
        <w:tc>
          <w:tcPr>
            <w:tcW w:w="100" w:type="dxa"/>
            <w:vAlign w:val="bottom"/>
            <w:shd w:val="clear" w:color="auto" w:fill="CCFFCC"/>
          </w:tcPr>
          <w:p>
            <w:pPr>
              <w:spacing w:after="0"/>
              <w:rPr>
                <w:sz w:val="14"/>
                <w:szCs w:val="14"/>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119"/>
        </w:trPr>
        <w:tc>
          <w:tcPr>
            <w:tcW w:w="1000" w:type="dxa"/>
            <w:vAlign w:val="bottom"/>
          </w:tcPr>
          <w:p>
            <w:pPr>
              <w:ind w:left="20"/>
              <w:spacing w:after="0" w:line="119" w:lineRule="exact"/>
              <w:rPr>
                <w:sz w:val="20"/>
                <w:szCs w:val="20"/>
                <w:color w:val="auto"/>
              </w:rPr>
            </w:pPr>
            <w:r>
              <w:rPr>
                <w:rFonts w:ascii="Arial" w:cs="Arial" w:eastAsia="Arial" w:hAnsi="Arial"/>
                <w:sz w:val="12"/>
                <w:szCs w:val="12"/>
                <w:color w:val="auto"/>
              </w:rPr>
              <w:t>Balance at</w:t>
            </w:r>
          </w:p>
        </w:tc>
        <w:tc>
          <w:tcPr>
            <w:tcW w:w="4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color w:val="auto"/>
                <w:w w:val="92"/>
              </w:rPr>
              <w:t>66,035</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0"/>
                <w:szCs w:val="10"/>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94"/>
              </w:rPr>
              <w:t>(2,704)</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color w:val="auto"/>
                <w:w w:val="89"/>
              </w:rPr>
              <w:t>$ 425,546</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w w:val="97"/>
              </w:rPr>
              <w:t>(256,240)</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rPr>
              <w:t>(6,307)</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w w:val="86"/>
              </w:rPr>
              <w:t>$ 163,062</w:t>
            </w:r>
          </w:p>
        </w:tc>
        <w:tc>
          <w:tcPr>
            <w:tcW w:w="100" w:type="dxa"/>
            <w:vAlign w:val="bottom"/>
          </w:tcPr>
          <w:p>
            <w:pPr>
              <w:spacing w:after="0"/>
              <w:rPr>
                <w:sz w:val="10"/>
                <w:szCs w:val="10"/>
                <w:color w:val="auto"/>
              </w:rPr>
            </w:pPr>
          </w:p>
        </w:tc>
        <w:tc>
          <w:tcPr>
            <w:tcW w:w="44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w w:val="92"/>
              </w:rPr>
              <w:t>63,071</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0"/>
                <w:szCs w:val="10"/>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w w:val="94"/>
              </w:rPr>
              <w:t>(2,682)</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color w:val="auto"/>
                <w:w w:val="93"/>
              </w:rPr>
              <w:t>$ 351,702</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2"/>
                <w:szCs w:val="12"/>
                <w:color w:val="auto"/>
                <w:w w:val="93"/>
              </w:rPr>
              <w:t>(181,026)</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rPr>
              <w:t>(3,838)</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w w:val="89"/>
              </w:rPr>
              <w:t>$ 166,898</w:t>
            </w:r>
          </w:p>
        </w:tc>
        <w:tc>
          <w:tcPr>
            <w:tcW w:w="0" w:type="dxa"/>
            <w:vAlign w:val="bottom"/>
          </w:tcPr>
          <w:p>
            <w:pPr>
              <w:spacing w:after="0"/>
              <w:rPr>
                <w:sz w:val="1"/>
                <w:szCs w:val="1"/>
                <w:color w:val="auto"/>
              </w:rPr>
            </w:pPr>
          </w:p>
        </w:tc>
      </w:tr>
      <w:tr>
        <w:trPr>
          <w:trHeight w:val="157"/>
        </w:trPr>
        <w:tc>
          <w:tcPr>
            <w:tcW w:w="1000" w:type="dxa"/>
            <w:vAlign w:val="bottom"/>
          </w:tcPr>
          <w:p>
            <w:pPr>
              <w:ind w:left="20"/>
              <w:spacing w:after="0"/>
              <w:rPr>
                <w:sz w:val="20"/>
                <w:szCs w:val="20"/>
                <w:color w:val="auto"/>
              </w:rPr>
            </w:pPr>
            <w:r>
              <w:rPr>
                <w:rFonts w:ascii="Arial" w:cs="Arial" w:eastAsia="Arial" w:hAnsi="Arial"/>
                <w:sz w:val="12"/>
                <w:szCs w:val="12"/>
                <w:color w:val="auto"/>
              </w:rPr>
              <w:t>September 30</w:t>
            </w:r>
          </w:p>
        </w:tc>
        <w:tc>
          <w:tcPr>
            <w:tcW w:w="4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555" w:right="139" w:bottom="1440" w:gutter="0" w:footer="0" w:header="0"/>
        </w:sectPr>
      </w:pP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520"/>
          </w:cols>
          <w:pgMar w:left="240" w:top="555" w:right="1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5"/>
          <w:szCs w:val="15"/>
          <w:color w:val="auto"/>
        </w:rPr>
        <w:t>See Notes to Condensed Consolidated Financial Statements (unaudited).</w:t>
      </w:r>
    </w:p>
    <w:p>
      <w:pPr>
        <w:sectPr>
          <w:pgSz w:w="11900" w:h="16838" w:orient="portrait"/>
          <w:cols w:equalWidth="0" w:num="1">
            <w:col w:w="9019"/>
          </w:cols>
          <w:pgMar w:left="1440" w:top="661" w:right="1440" w:bottom="1440" w:gutter="0" w:footer="0" w:header="0"/>
        </w:sect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661"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LIVEPERSON,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8"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Nine Months Ended</w:t>
      </w:r>
    </w:p>
    <w:p>
      <w:pPr>
        <w:spacing w:after="0" w:line="101" w:lineRule="exact"/>
        <w:rPr>
          <w:sz w:val="20"/>
          <w:szCs w:val="20"/>
          <w:color w:val="auto"/>
        </w:rPr>
      </w:pPr>
    </w:p>
    <w:p>
      <w:pPr>
        <w:ind w:left="952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18415</wp:posOffset>
            </wp:positionV>
            <wp:extent cx="1952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60" w:type="dxa"/>
            <w:vAlign w:val="bottom"/>
            <w:tcBorders>
              <w:bottom w:val="single" w:sz="8" w:color="CCFFC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FFC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3"/>
                <w:szCs w:val="13"/>
                <w:b w:val="1"/>
                <w:bCs w:val="1"/>
                <w:color w:val="auto"/>
              </w:rPr>
              <w:t>2018</w:t>
            </w:r>
          </w:p>
        </w:tc>
      </w:tr>
      <w:tr>
        <w:trPr>
          <w:trHeight w:val="241"/>
        </w:trPr>
        <w:tc>
          <w:tcPr>
            <w:tcW w:w="8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OPERATING ACTIVITIES:</w:t>
            </w:r>
          </w:p>
        </w:tc>
        <w:tc>
          <w:tcPr>
            <w:tcW w:w="90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r>
      <w:tr>
        <w:trPr>
          <w:trHeight w:val="249"/>
        </w:trPr>
        <w:tc>
          <w:tcPr>
            <w:tcW w:w="8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5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w w:val="91"/>
              </w:rPr>
              <w:t>(68,749)</w:t>
            </w:r>
          </w:p>
        </w:tc>
        <w:tc>
          <w:tcPr>
            <w:tcW w:w="120" w:type="dxa"/>
            <w:vAlign w:val="bottom"/>
          </w:tcPr>
          <w:p>
            <w:pPr>
              <w:spacing w:after="0"/>
              <w:rPr>
                <w:sz w:val="21"/>
                <w:szCs w:val="21"/>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(18,567)</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25,539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10,338</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Depreciation</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Arial" w:cs="Arial" w:eastAsia="Arial" w:hAnsi="Arial"/>
                <w:sz w:val="14"/>
                <w:szCs w:val="14"/>
                <w:color w:val="auto"/>
              </w:rPr>
              <w:t>11,805</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10,343</w:t>
            </w: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Amortization of purchased intangibles</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2,200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2,131</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Amortization of debt issuance costs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w:t>
            </w: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Accretion of debt discount on convertible senior notes</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5,278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Amortization of tenant allowance</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(204)</w:t>
            </w: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Changes in fair value of contingent consideration</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Deferred income taxes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179</w:t>
            </w: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Provision for doubtful accounts</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1,570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1,326</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49"/>
        </w:trPr>
        <w:tc>
          <w:tcPr>
            <w:tcW w:w="836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(9,334)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(15,127)</w:t>
            </w:r>
          </w:p>
        </w:tc>
      </w:tr>
      <w:tr>
        <w:trPr>
          <w:trHeight w:val="260"/>
        </w:trPr>
        <w:tc>
          <w:tcPr>
            <w:tcW w:w="8360" w:type="dxa"/>
            <w:vAlign w:val="bottom"/>
            <w:shd w:val="clear" w:color="auto" w:fill="CCFFCC"/>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Arial" w:cs="Arial" w:eastAsia="Arial" w:hAnsi="Arial"/>
                <w:sz w:val="14"/>
                <w:szCs w:val="14"/>
                <w:color w:val="auto"/>
                <w:w w:val="91"/>
              </w:rPr>
              <w:t>(19,192)</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(11,370)</w:t>
            </w:r>
          </w:p>
        </w:tc>
      </w:tr>
      <w:tr>
        <w:trPr>
          <w:trHeight w:val="249"/>
        </w:trPr>
        <w:tc>
          <w:tcPr>
            <w:tcW w:w="836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260"/>
        </w:trPr>
        <w:tc>
          <w:tcPr>
            <w:tcW w:w="8360" w:type="dxa"/>
            <w:vAlign w:val="bottom"/>
            <w:shd w:val="clear" w:color="auto" w:fill="CCFFCC"/>
          </w:tcPr>
          <w:p>
            <w:pPr>
              <w:ind w:left="36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571</w:t>
            </w:r>
          </w:p>
        </w:tc>
      </w:tr>
      <w:tr>
        <w:trPr>
          <w:trHeight w:val="249"/>
        </w:trPr>
        <w:tc>
          <w:tcPr>
            <w:tcW w:w="8360" w:type="dxa"/>
            <w:vAlign w:val="bottom"/>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(7,300)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(8,849)</w:t>
            </w:r>
          </w:p>
        </w:tc>
      </w:tr>
      <w:tr>
        <w:trPr>
          <w:trHeight w:val="260"/>
        </w:trPr>
        <w:tc>
          <w:tcPr>
            <w:tcW w:w="8360" w:type="dxa"/>
            <w:vAlign w:val="bottom"/>
            <w:shd w:val="clear" w:color="auto" w:fill="CCFFCC"/>
          </w:tcPr>
          <w:p>
            <w:pPr>
              <w:ind w:left="360"/>
              <w:spacing w:after="0"/>
              <w:rPr>
                <w:sz w:val="20"/>
                <w:szCs w:val="20"/>
                <w:color w:val="auto"/>
              </w:rPr>
            </w:pPr>
            <w:r>
              <w:rPr>
                <w:rFonts w:ascii="Arial" w:cs="Arial" w:eastAsia="Arial" w:hAnsi="Arial"/>
                <w:sz w:val="14"/>
                <w:szCs w:val="14"/>
                <w:color w:val="auto"/>
              </w:rPr>
              <w:t>Deferred revenue</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52"/>
              <w:spacing w:after="0"/>
              <w:rPr>
                <w:sz w:val="20"/>
                <w:szCs w:val="20"/>
                <w:color w:val="auto"/>
              </w:rPr>
            </w:pPr>
            <w:r>
              <w:rPr>
                <w:rFonts w:ascii="Arial" w:cs="Arial" w:eastAsia="Arial" w:hAnsi="Arial"/>
                <w:sz w:val="14"/>
                <w:szCs w:val="14"/>
                <w:color w:val="auto"/>
              </w:rPr>
              <w:t>17,942</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22,381</w:t>
            </w:r>
          </w:p>
        </w:tc>
      </w:tr>
      <w:tr>
        <w:trPr>
          <w:trHeight w:val="249"/>
        </w:trPr>
        <w:tc>
          <w:tcPr>
            <w:tcW w:w="8360" w:type="dxa"/>
            <w:vAlign w:val="bottom"/>
            <w:tcBorders>
              <w:bottom w:val="single" w:sz="8" w:color="CCFFCC"/>
            </w:tcBorders>
          </w:tcPr>
          <w:p>
            <w:pPr>
              <w:ind w:left="360"/>
              <w:spacing w:after="0"/>
              <w:rPr>
                <w:sz w:val="20"/>
                <w:szCs w:val="20"/>
                <w:color w:val="auto"/>
              </w:rPr>
            </w:pPr>
            <w:r>
              <w:rPr>
                <w:rFonts w:ascii="Arial" w:cs="Arial" w:eastAsia="Arial" w:hAnsi="Arial"/>
                <w:sz w:val="14"/>
                <w:szCs w:val="14"/>
                <w:color w:val="auto"/>
              </w:rPr>
              <w:t>Other liabilities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34"/>
        </w:trPr>
        <w:tc>
          <w:tcPr>
            <w:tcW w:w="8360" w:type="dxa"/>
            <w:vAlign w:val="bottom"/>
            <w:shd w:val="clear" w:color="auto" w:fill="CCFFCC"/>
          </w:tcPr>
          <w:p>
            <w:pPr>
              <w:ind w:left="560"/>
              <w:spacing w:after="0"/>
              <w:rPr>
                <w:sz w:val="20"/>
                <w:szCs w:val="20"/>
                <w:color w:val="auto"/>
              </w:rPr>
            </w:pPr>
            <w:r>
              <w:rPr>
                <w:rFonts w:ascii="Arial" w:cs="Arial" w:eastAsia="Arial" w:hAnsi="Arial"/>
                <w:sz w:val="14"/>
                <w:szCs w:val="14"/>
                <w:color w:val="auto"/>
              </w:rPr>
              <w:t>Net cash used in operating activities</w:t>
            </w:r>
          </w:p>
        </w:tc>
        <w:tc>
          <w:tcPr>
            <w:tcW w:w="90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4"/>
                <w:szCs w:val="14"/>
                <w:color w:val="auto"/>
                <w:w w:val="91"/>
              </w:rPr>
              <w:t>(40,444)</w:t>
            </w:r>
          </w:p>
        </w:tc>
        <w:tc>
          <w:tcPr>
            <w:tcW w:w="120" w:type="dxa"/>
            <w:vAlign w:val="bottom"/>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(7,108)</w:t>
            </w:r>
          </w:p>
        </w:tc>
      </w:tr>
      <w:tr>
        <w:trPr>
          <w:trHeight w:val="112"/>
        </w:trPr>
        <w:tc>
          <w:tcPr>
            <w:tcW w:w="8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4"/>
        </w:trPr>
        <w:tc>
          <w:tcPr>
            <w:tcW w:w="8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INVESTING ACTIVITIES: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w w:val="91"/>
              </w:rPr>
              <w:t>(33,559)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(13,832)</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Cash held as collateral for foreign exchange forward contracts</w:t>
            </w:r>
          </w:p>
        </w:tc>
        <w:tc>
          <w:tcPr>
            <w:tcW w:w="900" w:type="dxa"/>
            <w:vAlign w:val="bottom"/>
            <w:shd w:val="clear" w:color="auto" w:fill="CCFFCC"/>
          </w:tcPr>
          <w:p>
            <w:pPr>
              <w:spacing w:after="0"/>
              <w:rPr>
                <w:sz w:val="22"/>
                <w:szCs w:val="22"/>
                <w:color w:val="auto"/>
              </w:rPr>
            </w:pP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1,451</w:t>
            </w:r>
          </w:p>
        </w:tc>
      </w:tr>
      <w:tr>
        <w:trPr>
          <w:trHeight w:val="249"/>
        </w:trPr>
        <w:tc>
          <w:tcPr>
            <w:tcW w:w="8360" w:type="dxa"/>
            <w:vAlign w:val="bottom"/>
            <w:tcBorders>
              <w:bottom w:val="single" w:sz="8" w:color="CCFFCC"/>
            </w:tcBorders>
          </w:tcPr>
          <w:p>
            <w:pPr>
              <w:ind w:left="16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(695)</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w:t>
            </w:r>
          </w:p>
        </w:tc>
      </w:tr>
      <w:tr>
        <w:trPr>
          <w:trHeight w:val="234"/>
        </w:trPr>
        <w:tc>
          <w:tcPr>
            <w:tcW w:w="8360" w:type="dxa"/>
            <w:vAlign w:val="bottom"/>
            <w:shd w:val="clear" w:color="auto" w:fill="CCFFCC"/>
          </w:tcPr>
          <w:p>
            <w:pPr>
              <w:ind w:left="56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4"/>
                <w:szCs w:val="14"/>
                <w:color w:val="auto"/>
                <w:w w:val="91"/>
              </w:rPr>
              <w:t>(34,254)</w:t>
            </w:r>
          </w:p>
        </w:tc>
        <w:tc>
          <w:tcPr>
            <w:tcW w:w="120" w:type="dxa"/>
            <w:vAlign w:val="bottom"/>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(13,883)</w:t>
            </w:r>
          </w:p>
        </w:tc>
      </w:tr>
      <w:tr>
        <w:trPr>
          <w:trHeight w:val="112"/>
        </w:trPr>
        <w:tc>
          <w:tcPr>
            <w:tcW w:w="8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4"/>
        </w:trPr>
        <w:tc>
          <w:tcPr>
            <w:tcW w:w="8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FINANCING ACTIVITIES: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Proceeds from issuance of convertible senior notes</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w w:val="86"/>
              </w:rPr>
              <w:t>230,000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Payment of issuance costs in connection with convertible senior notes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Arial" w:cs="Arial" w:eastAsia="Arial" w:hAnsi="Arial"/>
                <w:sz w:val="14"/>
                <w:szCs w:val="14"/>
                <w:color w:val="auto"/>
              </w:rPr>
              <w:t>(8,618)</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w:t>
            </w: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Purchase of capped call option</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w w:val="91"/>
              </w:rPr>
              <w:t>(23,184)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Payments related to contingent consideration</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jc w:val="right"/>
              <w:ind w:right="12"/>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w:t>
            </w: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0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17,761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32,712</w:t>
            </w:r>
          </w:p>
        </w:tc>
      </w:tr>
      <w:tr>
        <w:trPr>
          <w:trHeight w:val="254"/>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Repurchase of common stock</w:t>
            </w:r>
          </w:p>
        </w:tc>
        <w:tc>
          <w:tcPr>
            <w:tcW w:w="90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4"/>
                <w:szCs w:val="14"/>
                <w:color w:val="auto"/>
              </w:rPr>
              <w:t>(709)</w:t>
            </w:r>
          </w:p>
        </w:tc>
        <w:tc>
          <w:tcPr>
            <w:tcW w:w="120" w:type="dxa"/>
            <w:vAlign w:val="bottom"/>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(1,345)</w:t>
            </w:r>
          </w:p>
        </w:tc>
      </w:tr>
      <w:tr>
        <w:trPr>
          <w:trHeight w:val="234"/>
        </w:trPr>
        <w:tc>
          <w:tcPr>
            <w:tcW w:w="8360" w:type="dxa"/>
            <w:vAlign w:val="bottom"/>
            <w:tcBorders>
              <w:bottom w:val="single" w:sz="8" w:color="CCFFCC"/>
            </w:tcBorders>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6"/>
              </w:rPr>
              <w:t>214,763</w:t>
            </w:r>
          </w:p>
        </w:tc>
        <w:tc>
          <w:tcPr>
            <w:tcW w:w="12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31,367</w:t>
            </w:r>
          </w:p>
        </w:tc>
      </w:tr>
      <w:tr>
        <w:trPr>
          <w:trHeight w:val="234"/>
        </w:trPr>
        <w:tc>
          <w:tcPr>
            <w:tcW w:w="8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0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4"/>
                <w:szCs w:val="14"/>
                <w:color w:val="auto"/>
              </w:rPr>
              <w:t>(1,361)</w:t>
            </w:r>
          </w:p>
        </w:tc>
        <w:tc>
          <w:tcPr>
            <w:tcW w:w="120" w:type="dxa"/>
            <w:vAlign w:val="bottom"/>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(140)</w:t>
            </w:r>
          </w:p>
        </w:tc>
      </w:tr>
      <w:tr>
        <w:trPr>
          <w:trHeight w:val="234"/>
        </w:trPr>
        <w:tc>
          <w:tcPr>
            <w:tcW w:w="8360" w:type="dxa"/>
            <w:vAlign w:val="bottom"/>
          </w:tcPr>
          <w:p>
            <w:pPr>
              <w:ind w:left="20"/>
              <w:spacing w:after="0"/>
              <w:rPr>
                <w:sz w:val="20"/>
                <w:szCs w:val="20"/>
                <w:color w:val="auto"/>
              </w:rPr>
            </w:pPr>
            <w:r>
              <w:rPr>
                <w:rFonts w:ascii="Arial" w:cs="Arial" w:eastAsia="Arial" w:hAnsi="Arial"/>
                <w:sz w:val="14"/>
                <w:szCs w:val="14"/>
                <w:color w:val="auto"/>
              </w:rPr>
              <w:t>CHANGE IN CASH AND CASH EQUIVALENTS</w:t>
            </w:r>
          </w:p>
        </w:tc>
        <w:tc>
          <w:tcPr>
            <w:tcW w:w="900" w:type="dxa"/>
            <w:vAlign w:val="bottom"/>
          </w:tcPr>
          <w:p>
            <w:pPr>
              <w:spacing w:after="0"/>
              <w:rPr>
                <w:sz w:val="20"/>
                <w:szCs w:val="20"/>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w w:val="86"/>
              </w:rPr>
              <w:t>138,704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10,236</w:t>
            </w:r>
          </w:p>
        </w:tc>
      </w:tr>
      <w:tr>
        <w:trPr>
          <w:trHeight w:val="254"/>
        </w:trPr>
        <w:tc>
          <w:tcPr>
            <w:tcW w:w="8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AND CASH EQUIVALENTS - Beginning of the period</w:t>
            </w:r>
          </w:p>
        </w:tc>
        <w:tc>
          <w:tcPr>
            <w:tcW w:w="90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66,449</w:t>
            </w:r>
          </w:p>
        </w:tc>
        <w:tc>
          <w:tcPr>
            <w:tcW w:w="120" w:type="dxa"/>
            <w:vAlign w:val="bottom"/>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56,115</w:t>
            </w:r>
          </w:p>
        </w:tc>
      </w:tr>
      <w:tr>
        <w:trPr>
          <w:trHeight w:val="267"/>
        </w:trPr>
        <w:tc>
          <w:tcPr>
            <w:tcW w:w="8360" w:type="dxa"/>
            <w:vAlign w:val="bottom"/>
            <w:tcBorders>
              <w:bottom w:val="single" w:sz="8" w:color="CCFFCC"/>
            </w:tcBorders>
          </w:tcPr>
          <w:p>
            <w:pPr>
              <w:ind w:left="20"/>
              <w:spacing w:after="0"/>
              <w:rPr>
                <w:sz w:val="20"/>
                <w:szCs w:val="20"/>
                <w:color w:val="auto"/>
              </w:rPr>
            </w:pPr>
            <w:r>
              <w:rPr>
                <w:rFonts w:ascii="Arial" w:cs="Arial" w:eastAsia="Arial" w:hAnsi="Arial"/>
                <w:sz w:val="14"/>
                <w:szCs w:val="14"/>
                <w:color w:val="auto"/>
              </w:rPr>
              <w:t>CASH AND CASH EQUIVALENTS - End of the period</w:t>
            </w:r>
          </w:p>
        </w:tc>
        <w:tc>
          <w:tcPr>
            <w:tcW w:w="9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86"/>
              </w:rPr>
              <w:t>205,153</w:t>
            </w:r>
          </w:p>
        </w:tc>
        <w:tc>
          <w:tcPr>
            <w:tcW w:w="12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66,351</w:t>
            </w:r>
          </w:p>
        </w:tc>
      </w:tr>
      <w:tr>
        <w:trPr>
          <w:trHeight w:val="245"/>
        </w:trPr>
        <w:tc>
          <w:tcPr>
            <w:tcW w:w="83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r>
      <w:tr>
        <w:trPr>
          <w:trHeight w:val="249"/>
        </w:trPr>
        <w:tc>
          <w:tcPr>
            <w:tcW w:w="8360" w:type="dxa"/>
            <w:vAlign w:val="bottom"/>
          </w:tcPr>
          <w:p>
            <w:pPr>
              <w:ind w:left="20"/>
              <w:spacing w:after="0"/>
              <w:rPr>
                <w:sz w:val="20"/>
                <w:szCs w:val="20"/>
                <w:color w:val="auto"/>
              </w:rPr>
            </w:pPr>
            <w:r>
              <w:rPr>
                <w:rFonts w:ascii="Arial" w:cs="Arial" w:eastAsia="Arial" w:hAnsi="Arial"/>
                <w:sz w:val="14"/>
                <w:szCs w:val="14"/>
                <w:color w:val="auto"/>
              </w:rPr>
              <w:t>SUPPLEMENTAL DISCLOSURE OF OTHER CASH FLOW INFORMATION:</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7"/>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4"/>
                <w:szCs w:val="14"/>
                <w:color w:val="auto"/>
              </w:rPr>
              <w:t>Cash paid for income taxes</w:t>
            </w:r>
          </w:p>
        </w:tc>
        <w:tc>
          <w:tcPr>
            <w:tcW w:w="900" w:type="dxa"/>
            <w:vAlign w:val="bottom"/>
            <w:tcBorders>
              <w:bottom w:val="single" w:sz="8" w:color="auto"/>
            </w:tcBorders>
            <w:shd w:val="clear" w:color="auto" w:fill="CCFFCC"/>
          </w:tcPr>
          <w:p>
            <w:pPr>
              <w:jc w:val="right"/>
              <w:ind w:right="75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2,126</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5,524</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43"/>
        </w:trPr>
        <w:tc>
          <w:tcPr>
            <w:tcW w:w="8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54"/>
        </w:trPr>
        <w:tc>
          <w:tcPr>
            <w:tcW w:w="8360" w:type="dxa"/>
            <w:vAlign w:val="bottom"/>
            <w:shd w:val="clear" w:color="auto" w:fill="CCFFCC"/>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0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49"/>
        </w:trPr>
        <w:tc>
          <w:tcPr>
            <w:tcW w:w="8360" w:type="dxa"/>
            <w:vAlign w:val="bottom"/>
          </w:tcPr>
          <w:p>
            <w:pPr>
              <w:ind w:left="160"/>
              <w:spacing w:after="0"/>
              <w:rPr>
                <w:sz w:val="20"/>
                <w:szCs w:val="20"/>
                <w:color w:val="auto"/>
              </w:rPr>
            </w:pPr>
            <w:r>
              <w:rPr>
                <w:rFonts w:ascii="Arial" w:cs="Arial" w:eastAsia="Arial" w:hAnsi="Arial"/>
                <w:sz w:val="14"/>
                <w:szCs w:val="14"/>
                <w:color w:val="auto"/>
              </w:rPr>
              <w:t>Purchase of property and equipment recorded in accounts payable</w:t>
            </w:r>
          </w:p>
        </w:tc>
        <w:tc>
          <w:tcPr>
            <w:tcW w:w="900" w:type="dxa"/>
            <w:vAlign w:val="bottom"/>
          </w:tcPr>
          <w:p>
            <w:pPr>
              <w:jc w:val="right"/>
              <w:ind w:right="75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1,694</w:t>
            </w:r>
          </w:p>
        </w:tc>
        <w:tc>
          <w:tcPr>
            <w:tcW w:w="120" w:type="dxa"/>
            <w:vAlign w:val="bottom"/>
          </w:tcPr>
          <w:p>
            <w:pPr>
              <w:spacing w:after="0"/>
              <w:rPr>
                <w:sz w:val="21"/>
                <w:szCs w:val="21"/>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550</w:t>
            </w:r>
          </w:p>
        </w:tc>
      </w:tr>
      <w:tr>
        <w:trPr>
          <w:trHeight w:val="260"/>
        </w:trPr>
        <w:tc>
          <w:tcPr>
            <w:tcW w:w="83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Issuance of 85,861 shares of common stock in connection with the BotCentral transaction on January 22, 2018</w:t>
            </w:r>
          </w:p>
        </w:tc>
        <w:tc>
          <w:tcPr>
            <w:tcW w:w="900" w:type="dxa"/>
            <w:vAlign w:val="bottom"/>
            <w:shd w:val="clear" w:color="auto" w:fill="CCFFCC"/>
          </w:tcPr>
          <w:p>
            <w:pPr>
              <w:jc w:val="right"/>
              <w:ind w:right="753"/>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rPr>
              <w:t>1,000</w:t>
            </w:r>
          </w:p>
        </w:tc>
      </w:tr>
      <w:tr>
        <w:trPr>
          <w:trHeight w:val="243"/>
        </w:trPr>
        <w:tc>
          <w:tcPr>
            <w:tcW w:w="8360" w:type="dxa"/>
            <w:vAlign w:val="bottom"/>
          </w:tcPr>
          <w:p>
            <w:pPr>
              <w:ind w:left="160"/>
              <w:spacing w:after="0"/>
              <w:rPr>
                <w:sz w:val="20"/>
                <w:szCs w:val="20"/>
                <w:color w:val="auto"/>
              </w:rPr>
            </w:pPr>
            <w:r>
              <w:rPr>
                <w:rFonts w:ascii="Arial" w:cs="Arial" w:eastAsia="Arial" w:hAnsi="Arial"/>
                <w:sz w:val="14"/>
                <w:szCs w:val="14"/>
                <w:color w:val="auto"/>
              </w:rPr>
              <w:t>Debt offering costs, accrued but not paid</w:t>
            </w:r>
          </w:p>
        </w:tc>
        <w:tc>
          <w:tcPr>
            <w:tcW w:w="900" w:type="dxa"/>
            <w:vAlign w:val="bottom"/>
          </w:tcPr>
          <w:p>
            <w:pPr>
              <w:jc w:val="right"/>
              <w:ind w:right="75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420"/>
          </w:cols>
          <w:pgMar w:left="240" w:top="733" w:right="23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733"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hanging="298"/>
        <w:spacing w:after="0"/>
        <w:tabs>
          <w:tab w:leader="none" w:pos="3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215"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Austin (Texas), Mountain View (California) and Seattle (Washington), and international offices in Amsterdam (Netherlands), Berlin (Germany), London (United Kingdom), Mannheim (Germany), Melbourne (Australia), Milan (Italy), Paris (France), Ra'anana (Israel), Reading (United Kingdom), Sydney (Australia), Tel Aviv (Israel), and Tokyo (Japan).</w:t>
      </w:r>
    </w:p>
    <w:p>
      <w:pPr>
        <w:spacing w:after="0" w:line="64"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color w:val="auto"/>
        </w:rPr>
        <w:t>LivePerson makes life easier by transforming how people communicate with brands. During the past decade, consumers have made the mobile device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 appointments, apply for credit, approve repairs, make purchases or payments - all without ever leaving the messaging channel. LivePerson calls these AI and human-assisted conversational experiences over messaging Conversational Commerce.</w:t>
      </w:r>
    </w:p>
    <w:p>
      <w:pPr>
        <w:spacing w:after="0" w:line="66"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LiveEngage, the Company’s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8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6"/>
          <w:szCs w:val="16"/>
          <w:color w:val="auto"/>
        </w:rPr>
        <w:t>The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66"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the Company calls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71"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Complementing LiveEngage are teams of technical, solutions and consulting professionals that have developed deep domain expertise in Conversational Commerce across industries and messaging endpoints. The Company is positioned as an authority in Conversational Commerce, publishing a proprietary Conversational Quotient™ Index that measures each customer across multiple key indicators to ascertain the sophistication and breadth of their conversational commerce capabilities. Each business is then benchmarked against industry peers to determine their relative progression. The Company has developed a Transformation Model that is introduced to existing and prospective customers to help guide them on their journeys from legacy and often times inefficient legacy voice, email and chat solutions to modern conversational ones powered by messaging and AI. LivePerson’s products, coupled with our domain knowledge, industry expertise and professional services, have been proven to maximize the effectiveness of Conversational Commerce and deliver measurable return on investment.</w:t>
      </w:r>
    </w:p>
    <w:p>
      <w:pPr>
        <w:spacing w:after="0" w:line="56"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architecture that is maintained by LivePerson eliminate the majority of the time, server infrastructure costs, and IT resources required to implement, maintain, and support traditional on-premise software.</w:t>
      </w:r>
    </w:p>
    <w:p>
      <w:pPr>
        <w:spacing w:after="0" w:line="64"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Company's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Basis of Presentation</w:t>
      </w:r>
    </w:p>
    <w:p>
      <w:pPr>
        <w:spacing w:after="0" w:line="110"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The accompanying condensed consolidated financial statements as of September 30, 2019 and for the three and nine months ended September 30, 2019 and 2018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September 30, 2019, and the consolidated results of operations, comprehensive loss and cash flows for the interim periods ended September 30, 2019 and 2018.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2018 has been derived from audited consolidated financial statements at that date.</w:t>
      </w:r>
    </w:p>
    <w:p>
      <w:pPr>
        <w:spacing w:after="0" w:line="56" w:lineRule="exact"/>
        <w:rPr>
          <w:sz w:val="20"/>
          <w:szCs w:val="20"/>
          <w:color w:val="auto"/>
        </w:rPr>
      </w:pPr>
    </w:p>
    <w:p>
      <w:pPr>
        <w:jc w:val="both"/>
        <w:ind w:firstLine="610"/>
        <w:spacing w:after="0" w:line="302" w:lineRule="auto"/>
        <w:rPr>
          <w:sz w:val="20"/>
          <w:szCs w:val="20"/>
          <w:color w:val="auto"/>
        </w:rPr>
      </w:pPr>
      <w:r>
        <w:rPr>
          <w:rFonts w:ascii="Arial" w:cs="Arial" w:eastAsia="Arial" w:hAnsi="Arial"/>
          <w:sz w:val="15"/>
          <w:szCs w:val="15"/>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2018 included in the Company’s Annual Report on Form 10-K filed with the SEC on February 25, 2019.</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Principles of Consolidation</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The condensed consolidated financial statements include the Company and its wholly-owned subsidiaries. All intercompany balances and transactions have been eliminated.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Use of Estimates</w:t>
      </w:r>
    </w:p>
    <w:p>
      <w:pPr>
        <w:spacing w:after="0" w:line="110"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63"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Recently Issued Accounting Standards</w:t>
      </w:r>
    </w:p>
    <w:p>
      <w:pPr>
        <w:spacing w:after="0" w:line="121" w:lineRule="exact"/>
        <w:rPr>
          <w:sz w:val="20"/>
          <w:szCs w:val="20"/>
          <w:color w:val="auto"/>
        </w:rPr>
      </w:pPr>
    </w:p>
    <w:p>
      <w:pPr>
        <w:ind w:left="620"/>
        <w:spacing w:after="0" w:line="184" w:lineRule="exact"/>
        <w:rPr>
          <w:sz w:val="20"/>
          <w:szCs w:val="20"/>
          <w:color w:val="auto"/>
        </w:rPr>
      </w:pPr>
      <w:r>
        <w:rPr>
          <w:rFonts w:ascii="Arial" w:cs="Arial" w:eastAsia="Arial" w:hAnsi="Arial"/>
          <w:sz w:val="16"/>
          <w:szCs w:val="16"/>
          <w:color w:val="auto"/>
        </w:rPr>
        <w:t>In June 2016, the Financial Accounting Standards Board (“FASB”) issued Accounting Standards Update ("ASU") 2016</w:t>
      </w:r>
      <w:r>
        <w:rPr>
          <w:rFonts w:ascii="MS PGothic" w:cs="MS PGothic" w:eastAsia="MS PGothic" w:hAnsi="MS PGothic"/>
          <w:sz w:val="16"/>
          <w:szCs w:val="16"/>
          <w:color w:val="auto"/>
        </w:rPr>
        <w:t>‑</w:t>
      </w:r>
      <w:r>
        <w:rPr>
          <w:rFonts w:ascii="Arial" w:cs="Arial" w:eastAsia="Arial" w:hAnsi="Arial"/>
          <w:sz w:val="16"/>
          <w:szCs w:val="16"/>
          <w:color w:val="auto"/>
        </w:rPr>
        <w:t>13, “Financial Instruments-Credit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Losses: Measurement of Credit Losses on Financial Instruments” , which changes the impairment model for most financial assets. The new model uses a</w:t>
      </w:r>
    </w:p>
    <w:p>
      <w:pPr>
        <w:spacing w:after="0" w:line="1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forward</w:t>
      </w:r>
      <w:r>
        <w:rPr>
          <w:rFonts w:ascii="MS PGothic" w:cs="MS PGothic" w:eastAsia="MS PGothic" w:hAnsi="MS PGothic"/>
          <w:sz w:val="15"/>
          <w:szCs w:val="15"/>
          <w:color w:val="auto"/>
        </w:rPr>
        <w:t>‑</w:t>
      </w:r>
      <w:r>
        <w:rPr>
          <w:rFonts w:ascii="Arial" w:cs="Arial" w:eastAsia="Arial" w:hAnsi="Arial"/>
          <w:sz w:val="15"/>
          <w:szCs w:val="15"/>
          <w:color w:val="auto"/>
        </w:rPr>
        <w:t>looking expected loss method, which will generally result in earlier recognition of allowances for losses. In November 2018, the FASB issued ASU 2018</w:t>
      </w:r>
      <w:r>
        <w:rPr>
          <w:rFonts w:ascii="MS PGothic" w:cs="MS PGothic" w:eastAsia="MS PGothic" w:hAnsi="MS PGothic"/>
          <w:sz w:val="15"/>
          <w:szCs w:val="15"/>
          <w:color w:val="auto"/>
        </w:rPr>
        <w:t>‑</w:t>
      </w:r>
      <w:r>
        <w:rPr>
          <w:rFonts w:ascii="Arial" w:cs="Arial" w:eastAsia="Arial" w:hAnsi="Arial"/>
          <w:sz w:val="15"/>
          <w:szCs w:val="15"/>
          <w:color w:val="auto"/>
        </w:rPr>
        <w:t>19, “</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Codification Improvements to Topic 326, Financial Instruments- Credit Losses ”, which clarifies that receivables arising from operating leases are not within the scope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of Topic 326, Financial Instruments-Credit Losses . Instead, impairment of receivables arising from operating leases should be accounted for in accordance with Topic</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842, Leases . In April 2019, the FASB issued ASU 2019-04, "Codification Improvements to Topic 326, Financial Instruments-Credit Losses, Topic 815, Derivatives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Hedging, and Topic 825, Financial Instruments," which clarifies treatment of certain credit losses. In May 2019, the FASB issued ASU 2019-05, " Financial</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Instruments - Credit Losses (Topic 326): Targeted Transition Relief ", which permits an entity, upon adoption of ASU 2016-13, to irrevocably elect the fair value option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(on an instrument-by instrument basis) for eligible financial assets measured at amortized cost basis. These ASUs are effective for annual and interim periods beginning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after December 15, 2019, and early adoption is permitted. The Company is evaluating the impact of this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August 2018, the FASB issued ASU No. 2018-15, "Customer’s Accounting for Implementation Costs Incurred in a Cloud Computing Arrangement That Is a Service Contract; Disclosures for Implementation Costs Incurred for Internal-Use Software and Cloud Computing Arrangements" (“ASU 2018-15”). This standard aligns the accounting for implementation costs incurred in a hosting arrangement that is a service contract with the accounting for implementation costs incurred to develop or obtain internal-use software under Accounting Standards Codification ("ASC") 350-40, in order to determine which costs to capitalize and recognize as an asset. ASU 2018-15 is effective for annual reporting periods, and interim periods within those years, beginning after December 15, 2019, and can be applied either prospectively to implementation costs incurred after the date of adoption or retrospectively to all arrangements. The Company is currently in the process of evaluating the impact of the adoption of ASU 2018-230 on its consolidated financial statements.</w:t>
      </w:r>
    </w:p>
    <w:p>
      <w:pPr>
        <w:spacing w:after="0" w:line="71" w:lineRule="exact"/>
        <w:rPr>
          <w:sz w:val="20"/>
          <w:szCs w:val="20"/>
          <w:color w:val="auto"/>
        </w:rPr>
      </w:pPr>
    </w:p>
    <w:p>
      <w:pPr>
        <w:jc w:val="both"/>
        <w:ind w:firstLine="610"/>
        <w:spacing w:after="0" w:line="294" w:lineRule="auto"/>
        <w:rPr>
          <w:sz w:val="20"/>
          <w:szCs w:val="20"/>
          <w:color w:val="auto"/>
        </w:rPr>
      </w:pPr>
      <w:r>
        <w:rPr>
          <w:rFonts w:ascii="Arial" w:cs="Arial" w:eastAsia="Arial" w:hAnsi="Arial"/>
          <w:sz w:val="15"/>
          <w:szCs w:val="15"/>
          <w:color w:val="auto"/>
        </w:rPr>
        <w:t>In January 2017, FASB issued ASU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will have a material effect on its financial position, results of operations or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Recently Adopted Accounting Pronouncements</w:t>
      </w:r>
    </w:p>
    <w:p>
      <w:pPr>
        <w:spacing w:after="0" w:line="110"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In February 2016, the FASB issued ASU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Lessees (for capital and operating leases) and lessors (for sales-type, direct financing, and operating leases) may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w:t>
      </w:r>
    </w:p>
    <w:p>
      <w:pPr>
        <w:spacing w:after="0" w:line="184" w:lineRule="exact"/>
        <w:rPr>
          <w:sz w:val="20"/>
          <w:szCs w:val="20"/>
          <w:color w:val="auto"/>
        </w:rPr>
      </w:pPr>
    </w:p>
    <w:p>
      <w:pPr>
        <w:jc w:val="both"/>
        <w:ind w:firstLine="610"/>
        <w:spacing w:after="0" w:line="289" w:lineRule="auto"/>
        <w:rPr>
          <w:sz w:val="20"/>
          <w:szCs w:val="20"/>
          <w:color w:val="auto"/>
        </w:rPr>
      </w:pPr>
      <w:r>
        <w:rPr>
          <w:rFonts w:ascii="Arial" w:cs="Arial" w:eastAsia="Arial" w:hAnsi="Arial"/>
          <w:sz w:val="15"/>
          <w:szCs w:val="15"/>
          <w:color w:val="auto"/>
        </w:rPr>
        <w:t>The Company adopted ASU No. 2016-02, "Leases" (Topic 842), as of January 1, 2019 using the modified transition approach. The modified transition approach provides a method for recording existing leases at adoption. As a result, the Company was not required to adjust its comparative period financial information for effects of the standard or make the new required lease disclosures for periods before the date of adoption (i.e. January 1, 2019). For its long-term operating lease, the Company recognized a right-of-use asset and a lease liability on its balance sheet. The lease liability is determined as the present value of future lease payments using an estimated rate of interest that the Company would have to pay to borrow equivalent funds on a collateralized basis at the lease commencement date. The right-of-use asset is based on the liability adjusted for any prepaid or deferred rent. The lease term at the commencement date is determined by considering whether renewal options and termination options are reasonably assured of exercise. Rent expense for the operating lease is recognized on a straight-line basis over the lease term and is included in operating expenses on the statements of operations. Variable lease payments include lease operating expenses. Adoption of the new standard resulted in the recording of additional net lease assets and lease liabilities of approximately $14.5 million and $18.3 million, respectively, as of September 30, 2019. The standard did not materially impact the Company's consolidated net earnings and had no impact on cash flows.</w:t>
      </w:r>
    </w:p>
    <w:p>
      <w:pPr>
        <w:spacing w:after="0" w:line="160"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In June 2018, the FASB issued ASU No. 2018-07, "Compensation -Stock Compensation (Topic 718) - Improvements to Nonemployee Share-Based Payment Accounting" ("ASU 2018-07"). This new standard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is effective for public companies for fiscal years beginning after December 15, 2018, including interim periods within that fiscal year. The standard did not materially impact the Company's consolidated net earnings and had no impact on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0" w:hanging="298"/>
        <w:spacing w:after="0"/>
        <w:tabs>
          <w:tab w:leader="none" w:pos="3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215"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determines revenue recognition through the following steps:</w:t>
      </w:r>
    </w:p>
    <w:p>
      <w:pPr>
        <w:spacing w:after="0" w:line="135" w:lineRule="exact"/>
        <w:rPr>
          <w:sz w:val="20"/>
          <w:szCs w:val="20"/>
          <w:color w:val="auto"/>
        </w:rPr>
      </w:pPr>
    </w:p>
    <w:p>
      <w:pPr>
        <w:ind w:left="1260" w:hanging="178"/>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96" w:lineRule="exact"/>
        <w:rPr>
          <w:rFonts w:ascii="Arial" w:cs="Arial" w:eastAsia="Arial" w:hAnsi="Arial"/>
          <w:sz w:val="17"/>
          <w:szCs w:val="17"/>
          <w:color w:val="auto"/>
        </w:rPr>
      </w:pPr>
    </w:p>
    <w:p>
      <w:pPr>
        <w:ind w:left="1260" w:hanging="178"/>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96" w:lineRule="exact"/>
        <w:rPr>
          <w:rFonts w:ascii="Arial" w:cs="Arial" w:eastAsia="Arial" w:hAnsi="Arial"/>
          <w:sz w:val="17"/>
          <w:szCs w:val="17"/>
          <w:color w:val="auto"/>
        </w:rPr>
      </w:pPr>
    </w:p>
    <w:p>
      <w:pPr>
        <w:ind w:left="1260" w:hanging="178"/>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96" w:lineRule="exact"/>
        <w:rPr>
          <w:rFonts w:ascii="Arial" w:cs="Arial" w:eastAsia="Arial" w:hAnsi="Arial"/>
          <w:sz w:val="17"/>
          <w:szCs w:val="17"/>
          <w:color w:val="auto"/>
        </w:rPr>
      </w:pPr>
    </w:p>
    <w:p>
      <w:pPr>
        <w:ind w:left="1260" w:hanging="178"/>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and</w:t>
      </w:r>
    </w:p>
    <w:p>
      <w:pPr>
        <w:spacing w:after="0" w:line="96" w:lineRule="exact"/>
        <w:rPr>
          <w:rFonts w:ascii="Arial" w:cs="Arial" w:eastAsia="Arial" w:hAnsi="Arial"/>
          <w:sz w:val="17"/>
          <w:szCs w:val="17"/>
          <w:color w:val="auto"/>
        </w:rPr>
      </w:pPr>
    </w:p>
    <w:p>
      <w:pPr>
        <w:ind w:left="1260" w:hanging="178"/>
        <w:spacing w:after="0"/>
        <w:tabs>
          <w:tab w:leader="none" w:pos="1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24"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Total revenue of $75.2 million and $64.2 million recognized during the three months ended September 30, 2019 and 2018 and $212.5 million and $184.1 million recognized during the nine months ended September 30, 2019 and 2018,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Hosted Services- Business Revenue</w:t>
      </w:r>
    </w:p>
    <w:p>
      <w:pPr>
        <w:spacing w:after="0" w:line="211" w:lineRule="exact"/>
        <w:rPr>
          <w:sz w:val="20"/>
          <w:szCs w:val="20"/>
          <w:color w:val="auto"/>
        </w:rPr>
      </w:pPr>
    </w:p>
    <w:p>
      <w:pPr>
        <w:jc w:val="both"/>
        <w:ind w:firstLine="610"/>
        <w:spacing w:after="0" w:line="288" w:lineRule="auto"/>
        <w:rPr>
          <w:sz w:val="20"/>
          <w:szCs w:val="20"/>
          <w:color w:val="auto"/>
        </w:rPr>
      </w:pPr>
      <w:r>
        <w:rPr>
          <w:rFonts w:ascii="Arial" w:cs="Arial" w:eastAsia="Arial" w:hAnsi="Arial"/>
          <w:sz w:val="15"/>
          <w:szCs w:val="15"/>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(formerly Pay for Performance) arrangements in accordance with ASC-606, "Principal Agent Considerations", the Company acts as a principal in a transaction if it controls the specified goods or services before they are transferred to the customer.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 Revenues</w:t>
      </w:r>
    </w:p>
    <w:p>
      <w:pPr>
        <w:spacing w:after="0" w:line="211"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Contracts with Multiple Performance Obligations</w:t>
      </w:r>
    </w:p>
    <w:p>
      <w:pPr>
        <w:spacing w:after="0" w:line="211"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Hosted Services- Consumer Revenue</w:t>
      </w:r>
    </w:p>
    <w:p>
      <w:pPr>
        <w:spacing w:after="0" w:line="211"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Revenues</w:t>
      </w:r>
    </w:p>
    <w:p>
      <w:pPr>
        <w:spacing w:after="0" w:line="21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Company records deferred revenues when cash payments are received or due in advance of its performance. The increase in the deferred revenue balance as of September 30, 2019 is primarily driven by cash payments received or due in advance of satisfying its performance obligations, partially offset by $37.8 million of revenues recognized that were included in the deferred revenue balance as of December 31, 2018.</w:t>
      </w: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deferred revenue by revenue source (amounts in thousands):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4"/>
                <w:szCs w:val="14"/>
                <w:b w:val="1"/>
                <w:bCs w:val="1"/>
                <w:color w:val="auto"/>
              </w:rPr>
              <w:t>Deferred Revenue</w:t>
            </w:r>
          </w:p>
        </w:tc>
      </w:tr>
      <w:tr>
        <w:trPr>
          <w:trHeight w:val="143"/>
        </w:trPr>
        <w:tc>
          <w:tcPr>
            <w:tcW w:w="8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As of September 30,</w:t>
            </w:r>
          </w:p>
        </w:tc>
        <w:tc>
          <w:tcPr>
            <w:tcW w:w="100" w:type="dxa"/>
            <w:vAlign w:val="bottom"/>
          </w:tcPr>
          <w:p>
            <w:pPr>
              <w:spacing w:after="0"/>
              <w:rPr>
                <w:sz w:val="12"/>
                <w:szCs w:val="12"/>
                <w:color w:val="auto"/>
              </w:rPr>
            </w:pPr>
          </w:p>
        </w:tc>
        <w:tc>
          <w:tcPr>
            <w:tcW w:w="1260" w:type="dxa"/>
            <w:vAlign w:val="bottom"/>
          </w:tcPr>
          <w:p>
            <w:pPr>
              <w:jc w:val="right"/>
              <w:ind w:right="46"/>
              <w:spacing w:after="0" w:line="143" w:lineRule="exact"/>
              <w:rPr>
                <w:sz w:val="20"/>
                <w:szCs w:val="20"/>
                <w:color w:val="auto"/>
              </w:rPr>
            </w:pPr>
            <w:r>
              <w:rPr>
                <w:rFonts w:ascii="Arial" w:cs="Arial" w:eastAsia="Arial" w:hAnsi="Arial"/>
                <w:sz w:val="14"/>
                <w:szCs w:val="14"/>
                <w:b w:val="1"/>
                <w:bCs w:val="1"/>
                <w:color w:val="auto"/>
                <w:w w:val="86"/>
              </w:rPr>
              <w:t>As of December 31,</w:t>
            </w:r>
          </w:p>
        </w:tc>
      </w:tr>
      <w:tr>
        <w:trPr>
          <w:trHeight w:val="180"/>
        </w:trPr>
        <w:tc>
          <w:tcPr>
            <w:tcW w:w="8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2018</w:t>
            </w:r>
          </w:p>
        </w:tc>
      </w:tr>
      <w:tr>
        <w:trPr>
          <w:trHeight w:val="209"/>
        </w:trPr>
        <w:tc>
          <w:tcPr>
            <w:tcW w:w="8440" w:type="dxa"/>
            <w:vAlign w:val="bottom"/>
          </w:tcPr>
          <w:p>
            <w:pPr>
              <w:ind w:left="20"/>
              <w:spacing w:after="0"/>
              <w:rPr>
                <w:sz w:val="20"/>
                <w:szCs w:val="20"/>
                <w:color w:val="auto"/>
              </w:rPr>
            </w:pPr>
            <w:r>
              <w:rPr>
                <w:rFonts w:ascii="Arial" w:cs="Arial" w:eastAsia="Arial" w:hAnsi="Arial"/>
                <w:sz w:val="15"/>
                <w:szCs w:val="15"/>
                <w:color w:val="auto"/>
              </w:rPr>
              <w:t>Hosted services – Business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7"/>
              <w:spacing w:after="0"/>
              <w:rPr>
                <w:sz w:val="20"/>
                <w:szCs w:val="20"/>
                <w:color w:val="auto"/>
              </w:rPr>
            </w:pPr>
            <w:r>
              <w:rPr>
                <w:rFonts w:ascii="Arial" w:cs="Arial" w:eastAsia="Arial" w:hAnsi="Arial"/>
                <w:sz w:val="15"/>
                <w:szCs w:val="15"/>
                <w:color w:val="auto"/>
              </w:rPr>
              <w:t>67,010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52,232</w:t>
            </w:r>
          </w:p>
        </w:tc>
      </w:tr>
      <w:tr>
        <w:trPr>
          <w:trHeight w:val="30"/>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Professional services – Business</w:t>
            </w:r>
          </w:p>
        </w:tc>
        <w:tc>
          <w:tcPr>
            <w:tcW w:w="120" w:type="dxa"/>
            <w:vAlign w:val="bottom"/>
            <w:tcBorders>
              <w:bottom w:val="single" w:sz="8" w:color="CCFFCC"/>
            </w:tcBorders>
            <w:shd w:val="clear" w:color="auto" w:fill="CCFFCC"/>
          </w:tcPr>
          <w:p>
            <w:pPr>
              <w:spacing w:after="0"/>
              <w:rPr>
                <w:sz w:val="22"/>
                <w:szCs w:val="22"/>
                <w:color w:val="auto"/>
              </w:rPr>
            </w:pPr>
          </w:p>
        </w:tc>
        <w:tc>
          <w:tcPr>
            <w:tcW w:w="136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5,105</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2,783</w:t>
            </w:r>
          </w:p>
        </w:tc>
      </w:tr>
      <w:tr>
        <w:trPr>
          <w:trHeight w:val="267"/>
        </w:trPr>
        <w:tc>
          <w:tcPr>
            <w:tcW w:w="8440" w:type="dxa"/>
            <w:vAlign w:val="bottom"/>
            <w:tcBorders>
              <w:bottom w:val="single" w:sz="8" w:color="CCFFCC"/>
            </w:tcBorders>
          </w:tcPr>
          <w:p>
            <w:pPr>
              <w:ind w:left="240"/>
              <w:spacing w:after="0"/>
              <w:rPr>
                <w:sz w:val="20"/>
                <w:szCs w:val="20"/>
                <w:color w:val="auto"/>
              </w:rPr>
            </w:pPr>
            <w:r>
              <w:rPr>
                <w:rFonts w:ascii="Arial" w:cs="Arial" w:eastAsia="Arial" w:hAnsi="Arial"/>
                <w:sz w:val="15"/>
                <w:szCs w:val="15"/>
                <w:color w:val="auto"/>
              </w:rPr>
              <w:t>Total deferred revenue - short term</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72,115</w:t>
            </w:r>
          </w:p>
        </w:tc>
        <w:tc>
          <w:tcPr>
            <w:tcW w:w="120" w:type="dxa"/>
            <w:vAlign w:val="bottom"/>
            <w:tcBorders>
              <w:bottom w:val="single" w:sz="8" w:color="CCFFCC"/>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55,015</w:t>
            </w:r>
          </w:p>
        </w:tc>
      </w:tr>
      <w:tr>
        <w:trPr>
          <w:trHeight w:val="265"/>
        </w:trPr>
        <w:tc>
          <w:tcPr>
            <w:tcW w:w="844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3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60" w:type="dxa"/>
            <w:vAlign w:val="bottom"/>
            <w:shd w:val="clear" w:color="auto" w:fill="CCFFCC"/>
          </w:tcPr>
          <w:p>
            <w:pPr>
              <w:spacing w:after="0"/>
              <w:rPr>
                <w:sz w:val="23"/>
                <w:szCs w:val="23"/>
                <w:color w:val="auto"/>
              </w:rPr>
            </w:pPr>
          </w:p>
        </w:tc>
      </w:tr>
      <w:tr>
        <w:trPr>
          <w:trHeight w:val="224"/>
        </w:trPr>
        <w:tc>
          <w:tcPr>
            <w:tcW w:w="8440" w:type="dxa"/>
            <w:vAlign w:val="bottom"/>
          </w:tcPr>
          <w:p>
            <w:pPr>
              <w:ind w:left="20"/>
              <w:spacing w:after="0"/>
              <w:rPr>
                <w:sz w:val="20"/>
                <w:szCs w:val="20"/>
                <w:color w:val="auto"/>
              </w:rPr>
            </w:pPr>
            <w:r>
              <w:rPr>
                <w:rFonts w:ascii="Arial" w:cs="Arial" w:eastAsia="Arial" w:hAnsi="Arial"/>
                <w:sz w:val="15"/>
                <w:szCs w:val="15"/>
                <w:color w:val="auto"/>
              </w:rPr>
              <w:t>Hosted services – Business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7"/>
              <w:spacing w:after="0"/>
              <w:rPr>
                <w:sz w:val="20"/>
                <w:szCs w:val="20"/>
                <w:color w:val="auto"/>
              </w:rPr>
            </w:pPr>
            <w:r>
              <w:rPr>
                <w:rFonts w:ascii="Arial" w:cs="Arial" w:eastAsia="Arial" w:hAnsi="Arial"/>
                <w:sz w:val="15"/>
                <w:szCs w:val="15"/>
                <w:color w:val="auto"/>
              </w:rPr>
              <w:t>818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19</w:t>
            </w:r>
          </w:p>
        </w:tc>
      </w:tr>
      <w:tr>
        <w:trPr>
          <w:trHeight w:val="30"/>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Professional services – Business</w:t>
            </w:r>
          </w:p>
        </w:tc>
        <w:tc>
          <w:tcPr>
            <w:tcW w:w="120" w:type="dxa"/>
            <w:vAlign w:val="bottom"/>
            <w:tcBorders>
              <w:bottom w:val="single" w:sz="8" w:color="CCFFCC"/>
            </w:tcBorders>
            <w:shd w:val="clear" w:color="auto" w:fill="CCFFCC"/>
          </w:tcPr>
          <w:p>
            <w:pPr>
              <w:spacing w:after="0"/>
              <w:rPr>
                <w:sz w:val="22"/>
                <w:szCs w:val="22"/>
                <w:color w:val="auto"/>
              </w:rPr>
            </w:pPr>
          </w:p>
        </w:tc>
        <w:tc>
          <w:tcPr>
            <w:tcW w:w="136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246</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203</w:t>
            </w:r>
          </w:p>
        </w:tc>
      </w:tr>
      <w:tr>
        <w:trPr>
          <w:trHeight w:val="227"/>
        </w:trPr>
        <w:tc>
          <w:tcPr>
            <w:tcW w:w="8440" w:type="dxa"/>
            <w:vAlign w:val="bottom"/>
          </w:tcPr>
          <w:p>
            <w:pPr>
              <w:ind w:left="240"/>
              <w:spacing w:after="0"/>
              <w:rPr>
                <w:sz w:val="20"/>
                <w:szCs w:val="20"/>
                <w:color w:val="auto"/>
              </w:rPr>
            </w:pPr>
            <w:r>
              <w:rPr>
                <w:rFonts w:ascii="Arial" w:cs="Arial" w:eastAsia="Arial" w:hAnsi="Arial"/>
                <w:sz w:val="15"/>
                <w:szCs w:val="15"/>
                <w:color w:val="auto"/>
              </w:rPr>
              <w:t>Total deferred revenue - long term</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1,064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222</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Disaggregated Revenue</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Company's revenues disaggregated by revenue source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Three Months Ended September 30,</w:t>
            </w:r>
          </w:p>
        </w:tc>
        <w:tc>
          <w:tcPr>
            <w:tcW w:w="140" w:type="dxa"/>
            <w:vAlign w:val="bottom"/>
          </w:tcPr>
          <w:p>
            <w:pPr>
              <w:spacing w:after="0"/>
              <w:rPr>
                <w:sz w:val="15"/>
                <w:szCs w:val="15"/>
                <w:color w:val="auto"/>
              </w:rPr>
            </w:pPr>
          </w:p>
        </w:tc>
        <w:tc>
          <w:tcPr>
            <w:tcW w:w="224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w w:val="89"/>
              </w:rPr>
              <w:t>Nine Months Ended September 30,</w:t>
            </w:r>
          </w:p>
        </w:tc>
      </w:tr>
      <w:tr>
        <w:trPr>
          <w:trHeight w:val="247"/>
        </w:trPr>
        <w:tc>
          <w:tcPr>
            <w:tcW w:w="160" w:type="dxa"/>
            <w:vAlign w:val="bottom"/>
            <w:tcBorders>
              <w:bottom w:val="single" w:sz="8" w:color="CCFFCC"/>
            </w:tcBorders>
          </w:tcPr>
          <w:p>
            <w:pPr>
              <w:spacing w:after="0"/>
              <w:rPr>
                <w:sz w:val="21"/>
                <w:szCs w:val="21"/>
                <w:color w:val="auto"/>
              </w:rPr>
            </w:pPr>
          </w:p>
        </w:tc>
        <w:tc>
          <w:tcPr>
            <w:tcW w:w="6360" w:type="dxa"/>
            <w:vAlign w:val="bottom"/>
            <w:tcBorders>
              <w:bottom w:val="single" w:sz="8" w:color="CCFFC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2018</w:t>
            </w:r>
          </w:p>
        </w:tc>
      </w:tr>
      <w:tr>
        <w:trPr>
          <w:trHeight w:val="232"/>
        </w:trPr>
        <w:tc>
          <w:tcPr>
            <w:tcW w:w="160" w:type="dxa"/>
            <w:vAlign w:val="bottom"/>
            <w:tcBorders>
              <w:bottom w:val="single" w:sz="8" w:color="CCFFCC"/>
            </w:tcBorders>
            <w:shd w:val="clear" w:color="auto" w:fill="CCFFCC"/>
          </w:tcPr>
          <w:p>
            <w:pPr>
              <w:spacing w:after="0"/>
              <w:rPr>
                <w:sz w:val="20"/>
                <w:szCs w:val="20"/>
                <w:color w:val="auto"/>
              </w:rPr>
            </w:pPr>
          </w:p>
        </w:tc>
        <w:tc>
          <w:tcPr>
            <w:tcW w:w="6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5"/>
                <w:szCs w:val="15"/>
                <w:color w:val="auto"/>
                <w:shd w:val="clear" w:color="auto" w:fill="CCFFCC"/>
              </w:rPr>
              <w:t>Revenue:</w:t>
            </w:r>
          </w:p>
        </w:tc>
        <w:tc>
          <w:tcPr>
            <w:tcW w:w="14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spacing w:after="0"/>
              <w:rPr>
                <w:sz w:val="20"/>
                <w:szCs w:val="20"/>
                <w:color w:val="auto"/>
              </w:rPr>
            </w:pPr>
          </w:p>
        </w:tc>
      </w:tr>
      <w:tr>
        <w:trPr>
          <w:trHeight w:val="224"/>
        </w:trPr>
        <w:tc>
          <w:tcPr>
            <w:tcW w:w="1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Hosted services – Business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57,824</w:t>
            </w:r>
          </w:p>
        </w:tc>
        <w:tc>
          <w:tcPr>
            <w:tcW w:w="12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50,046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163,033</w:t>
            </w:r>
          </w:p>
        </w:tc>
        <w:tc>
          <w:tcPr>
            <w:tcW w:w="12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145,805</w:t>
            </w:r>
          </w:p>
        </w:tc>
      </w:tr>
      <w:tr>
        <w:trPr>
          <w:trHeight w:val="30"/>
        </w:trPr>
        <w:tc>
          <w:tcPr>
            <w:tcW w:w="1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4"/>
        </w:trPr>
        <w:tc>
          <w:tcPr>
            <w:tcW w:w="160" w:type="dxa"/>
            <w:vAlign w:val="bottom"/>
            <w:tcBorders>
              <w:bottom w:val="single" w:sz="8" w:color="CCFFCC"/>
            </w:tcBorders>
            <w:shd w:val="clear" w:color="auto" w:fill="CCFFCC"/>
          </w:tcPr>
          <w:p>
            <w:pPr>
              <w:spacing w:after="0"/>
              <w:rPr>
                <w:sz w:val="20"/>
                <w:szCs w:val="20"/>
                <w:color w:val="auto"/>
              </w:rPr>
            </w:pPr>
          </w:p>
        </w:tc>
        <w:tc>
          <w:tcPr>
            <w:tcW w:w="6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5"/>
                <w:szCs w:val="15"/>
                <w:color w:val="auto"/>
                <w:shd w:val="clear" w:color="auto" w:fill="CCFFCC"/>
              </w:rPr>
              <w:t>Hosted services – Consumer</w:t>
            </w:r>
          </w:p>
        </w:tc>
        <w:tc>
          <w:tcPr>
            <w:tcW w:w="14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6,704</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4,876</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18,235</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14,508</w:t>
            </w:r>
          </w:p>
        </w:tc>
      </w:tr>
      <w:tr>
        <w:trPr>
          <w:trHeight w:val="224"/>
        </w:trPr>
        <w:tc>
          <w:tcPr>
            <w:tcW w:w="1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5"/>
                <w:szCs w:val="15"/>
                <w:color w:val="auto"/>
              </w:rPr>
              <w:t>Professional services</w:t>
            </w:r>
          </w:p>
        </w:tc>
        <w:tc>
          <w:tcPr>
            <w:tcW w:w="140" w:type="dxa"/>
            <w:vAlign w:val="bottom"/>
          </w:tcPr>
          <w:p>
            <w:pPr>
              <w:spacing w:after="0"/>
              <w:rPr>
                <w:sz w:val="19"/>
                <w:szCs w:val="19"/>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10,647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color w:val="auto"/>
              </w:rPr>
              <w:t>9,291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31,268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23,801</w:t>
            </w:r>
          </w:p>
        </w:tc>
      </w:tr>
      <w:tr>
        <w:trPr>
          <w:trHeight w:val="30"/>
        </w:trPr>
        <w:tc>
          <w:tcPr>
            <w:tcW w:w="160" w:type="dxa"/>
            <w:vAlign w:val="bottom"/>
            <w:tcBorders>
              <w:bottom w:val="single" w:sz="8" w:color="CCFFCC"/>
            </w:tcBorders>
          </w:tcPr>
          <w:p>
            <w:pPr>
              <w:spacing w:after="0"/>
              <w:rPr>
                <w:sz w:val="2"/>
                <w:szCs w:val="2"/>
                <w:color w:val="auto"/>
              </w:rPr>
            </w:pPr>
          </w:p>
        </w:tc>
        <w:tc>
          <w:tcPr>
            <w:tcW w:w="636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9"/>
        </w:trPr>
        <w:tc>
          <w:tcPr>
            <w:tcW w:w="160" w:type="dxa"/>
            <w:vAlign w:val="bottom"/>
            <w:tcBorders>
              <w:bottom w:val="single" w:sz="8" w:color="CCFFCC"/>
            </w:tcBorders>
            <w:shd w:val="clear" w:color="auto" w:fill="CCFFCC"/>
          </w:tcPr>
          <w:p>
            <w:pPr>
              <w:spacing w:after="0"/>
              <w:rPr>
                <w:sz w:val="20"/>
                <w:szCs w:val="20"/>
                <w:color w:val="auto"/>
              </w:rPr>
            </w:pPr>
          </w:p>
        </w:tc>
        <w:tc>
          <w:tcPr>
            <w:tcW w:w="6360" w:type="dxa"/>
            <w:vAlign w:val="bottom"/>
            <w:tcBorders>
              <w:bottom w:val="single" w:sz="8" w:color="CCFFCC"/>
            </w:tcBorders>
            <w:shd w:val="clear" w:color="auto" w:fill="CCFFCC"/>
          </w:tcPr>
          <w:p>
            <w:pPr>
              <w:ind w:left="100"/>
              <w:spacing w:after="0"/>
              <w:rPr>
                <w:sz w:val="20"/>
                <w:szCs w:val="20"/>
                <w:color w:val="auto"/>
              </w:rPr>
            </w:pPr>
            <w:r>
              <w:rPr>
                <w:rFonts w:ascii="Arial" w:cs="Arial" w:eastAsia="Arial" w:hAnsi="Arial"/>
                <w:sz w:val="15"/>
                <w:szCs w:val="15"/>
                <w:color w:val="auto"/>
                <w:shd w:val="clear" w:color="auto" w:fill="CCFFCC"/>
              </w:rPr>
              <w:t>Total revenue</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75,175</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64,213</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212,536</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8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184,114</w:t>
            </w:r>
          </w:p>
        </w:tc>
      </w:tr>
      <w:tr>
        <w:trPr>
          <w:trHeight w:val="20"/>
        </w:trPr>
        <w:tc>
          <w:tcPr>
            <w:tcW w:w="160" w:type="dxa"/>
            <w:vAlign w:val="bottom"/>
            <w:tcBorders>
              <w:top w:val="single" w:sz="8" w:color="CCFFCC"/>
            </w:tcBorders>
          </w:tcPr>
          <w:p>
            <w:pPr>
              <w:spacing w:after="0" w:line="20" w:lineRule="exact"/>
              <w:rPr>
                <w:sz w:val="1"/>
                <w:szCs w:val="1"/>
                <w:color w:val="auto"/>
              </w:rPr>
            </w:pPr>
          </w:p>
        </w:tc>
        <w:tc>
          <w:tcPr>
            <w:tcW w:w="636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by Geographic Location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presents the Company’s revenues attributable to domestic and foreign operations for the periods presented (amounts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Three Months Ended September 30,</w:t>
            </w:r>
          </w:p>
        </w:tc>
        <w:tc>
          <w:tcPr>
            <w:tcW w:w="140" w:type="dxa"/>
            <w:vAlign w:val="bottom"/>
          </w:tcPr>
          <w:p>
            <w:pPr>
              <w:spacing w:after="0"/>
              <w:rPr>
                <w:sz w:val="15"/>
                <w:szCs w:val="15"/>
                <w:color w:val="auto"/>
              </w:rPr>
            </w:pPr>
          </w:p>
        </w:tc>
        <w:tc>
          <w:tcPr>
            <w:tcW w:w="2240" w:type="dxa"/>
            <w:vAlign w:val="bottom"/>
            <w:gridSpan w:val="4"/>
          </w:tcPr>
          <w:p>
            <w:pPr>
              <w:jc w:val="right"/>
              <w:ind w:right="84"/>
              <w:spacing w:after="0"/>
              <w:rPr>
                <w:sz w:val="20"/>
                <w:szCs w:val="20"/>
                <w:color w:val="auto"/>
              </w:rPr>
            </w:pPr>
            <w:r>
              <w:rPr>
                <w:rFonts w:ascii="Arial" w:cs="Arial" w:eastAsia="Arial" w:hAnsi="Arial"/>
                <w:sz w:val="14"/>
                <w:szCs w:val="14"/>
                <w:b w:val="1"/>
                <w:bCs w:val="1"/>
                <w:color w:val="auto"/>
                <w:w w:val="89"/>
              </w:rPr>
              <w:t>Nine Months Ended September 30,</w:t>
            </w:r>
          </w:p>
        </w:tc>
      </w:tr>
      <w:tr>
        <w:trPr>
          <w:trHeight w:val="222"/>
        </w:trPr>
        <w:tc>
          <w:tcPr>
            <w:tcW w:w="6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2018</w:t>
            </w:r>
          </w:p>
        </w:tc>
      </w:tr>
      <w:tr>
        <w:trPr>
          <w:trHeight w:val="30"/>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652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44,130</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37,033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124,034</w:t>
            </w:r>
          </w:p>
        </w:tc>
        <w:tc>
          <w:tcPr>
            <w:tcW w:w="1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106,676</w:t>
            </w:r>
          </w:p>
        </w:tc>
      </w:tr>
      <w:tr>
        <w:trPr>
          <w:trHeight w:val="30"/>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520" w:type="dxa"/>
            <w:vAlign w:val="bottom"/>
            <w:shd w:val="clear" w:color="auto" w:fill="CCFFCC"/>
          </w:tcPr>
          <w:p>
            <w:pPr>
              <w:ind w:left="20"/>
              <w:spacing w:after="0"/>
              <w:rPr>
                <w:sz w:val="20"/>
                <w:szCs w:val="20"/>
                <w:color w:val="auto"/>
              </w:rPr>
            </w:pPr>
            <w:r>
              <w:rPr>
                <w:rFonts w:ascii="Arial" w:cs="Arial" w:eastAsia="Arial" w:hAnsi="Arial"/>
                <w:sz w:val="15"/>
                <w:szCs w:val="15"/>
                <w:color w:val="auto"/>
              </w:rPr>
              <w:t xml:space="preserve">Other Americas </w:t>
            </w:r>
            <w:r>
              <w:rPr>
                <w:rFonts w:ascii="Arial" w:cs="Arial" w:eastAsia="Arial" w:hAnsi="Arial"/>
                <w:sz w:val="20"/>
                <w:szCs w:val="20"/>
                <w:color w:val="auto"/>
                <w:vertAlign w:val="superscript"/>
              </w:rPr>
              <w:t>(1)</w:t>
            </w:r>
          </w:p>
        </w:tc>
        <w:tc>
          <w:tcPr>
            <w:tcW w:w="140" w:type="dxa"/>
            <w:vAlign w:val="bottom"/>
            <w:tcBorders>
              <w:bottom w:val="single" w:sz="8" w:color="auto"/>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rPr>
              <w:t>3,814</w:t>
            </w:r>
          </w:p>
        </w:tc>
        <w:tc>
          <w:tcPr>
            <w:tcW w:w="120" w:type="dxa"/>
            <w:vAlign w:val="bottom"/>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88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2,402</w:t>
            </w:r>
          </w:p>
        </w:tc>
        <w:tc>
          <w:tcPr>
            <w:tcW w:w="120" w:type="dxa"/>
            <w:vAlign w:val="bottom"/>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rPr>
              <w:t>8,466</w:t>
            </w:r>
          </w:p>
        </w:tc>
        <w:tc>
          <w:tcPr>
            <w:tcW w:w="120" w:type="dxa"/>
            <w:vAlign w:val="bottom"/>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86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rPr>
              <w:t>6,208</w:t>
            </w:r>
          </w:p>
        </w:tc>
      </w:tr>
      <w:tr>
        <w:trPr>
          <w:trHeight w:val="204"/>
        </w:trPr>
        <w:tc>
          <w:tcPr>
            <w:tcW w:w="6520" w:type="dxa"/>
            <w:vAlign w:val="bottom"/>
          </w:tcPr>
          <w:p>
            <w:pPr>
              <w:ind w:left="260"/>
              <w:spacing w:after="0"/>
              <w:rPr>
                <w:sz w:val="20"/>
                <w:szCs w:val="20"/>
                <w:color w:val="auto"/>
              </w:rPr>
            </w:pPr>
            <w:r>
              <w:rPr>
                <w:rFonts w:ascii="Arial" w:cs="Arial" w:eastAsia="Arial" w:hAnsi="Arial"/>
                <w:sz w:val="15"/>
                <w:szCs w:val="15"/>
                <w:color w:val="auto"/>
              </w:rPr>
              <w:t>Total Americas</w:t>
            </w:r>
          </w:p>
        </w:tc>
        <w:tc>
          <w:tcPr>
            <w:tcW w:w="140" w:type="dxa"/>
            <w:vAlign w:val="bottom"/>
          </w:tcPr>
          <w:p>
            <w:pPr>
              <w:spacing w:after="0"/>
              <w:rPr>
                <w:sz w:val="17"/>
                <w:szCs w:val="17"/>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47,944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39,435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132,500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112,884</w:t>
            </w:r>
          </w:p>
        </w:tc>
      </w:tr>
      <w:tr>
        <w:trPr>
          <w:trHeight w:val="30"/>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520" w:type="dxa"/>
            <w:vAlign w:val="bottom"/>
            <w:shd w:val="clear" w:color="auto" w:fill="CCFFCC"/>
          </w:tcPr>
          <w:p>
            <w:pPr>
              <w:ind w:left="20"/>
              <w:spacing w:after="0" w:line="253" w:lineRule="exact"/>
              <w:rPr>
                <w:sz w:val="20"/>
                <w:szCs w:val="20"/>
                <w:color w:val="auto"/>
              </w:rPr>
            </w:pPr>
            <w:r>
              <w:rPr>
                <w:rFonts w:ascii="Arial" w:cs="Arial" w:eastAsia="Arial" w:hAnsi="Arial"/>
                <w:sz w:val="29"/>
                <w:szCs w:val="29"/>
                <w:color w:val="auto"/>
                <w:vertAlign w:val="subscript"/>
              </w:rPr>
              <w:t>EMEA</w:t>
            </w:r>
            <w:r>
              <w:rPr>
                <w:rFonts w:ascii="Arial" w:cs="Arial" w:eastAsia="Arial" w:hAnsi="Arial"/>
                <w:sz w:val="10"/>
                <w:szCs w:val="10"/>
                <w:color w:val="auto"/>
              </w:rPr>
              <w:t xml:space="preserve"> (2) (4)</w:t>
            </w:r>
          </w:p>
        </w:tc>
        <w:tc>
          <w:tcPr>
            <w:tcW w:w="140" w:type="dxa"/>
            <w:vAlign w:val="bottom"/>
            <w:shd w:val="clear" w:color="auto" w:fill="CCFFCC"/>
          </w:tcPr>
          <w:p>
            <w:pPr>
              <w:spacing w:after="0"/>
              <w:rPr>
                <w:sz w:val="22"/>
                <w:szCs w:val="22"/>
                <w:color w:val="auto"/>
              </w:rPr>
            </w:pPr>
          </w:p>
        </w:tc>
        <w:tc>
          <w:tcPr>
            <w:tcW w:w="100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rPr>
              <w:t>19,308</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44"/>
              <w:spacing w:after="0"/>
              <w:rPr>
                <w:sz w:val="20"/>
                <w:szCs w:val="20"/>
                <w:color w:val="auto"/>
              </w:rPr>
            </w:pPr>
            <w:r>
              <w:rPr>
                <w:rFonts w:ascii="Arial" w:cs="Arial" w:eastAsia="Arial" w:hAnsi="Arial"/>
                <w:sz w:val="15"/>
                <w:szCs w:val="15"/>
                <w:color w:val="auto"/>
              </w:rPr>
              <w:t>18,536</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0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rPr>
              <w:t>57,332</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24"/>
              <w:spacing w:after="0"/>
              <w:rPr>
                <w:sz w:val="20"/>
                <w:szCs w:val="20"/>
                <w:color w:val="auto"/>
              </w:rPr>
            </w:pPr>
            <w:r>
              <w:rPr>
                <w:rFonts w:ascii="Arial" w:cs="Arial" w:eastAsia="Arial" w:hAnsi="Arial"/>
                <w:sz w:val="15"/>
                <w:szCs w:val="15"/>
                <w:color w:val="auto"/>
              </w:rPr>
              <w:t>52,974</w:t>
            </w:r>
          </w:p>
        </w:tc>
      </w:tr>
      <w:tr>
        <w:trPr>
          <w:trHeight w:val="254"/>
        </w:trPr>
        <w:tc>
          <w:tcPr>
            <w:tcW w:w="6520" w:type="dxa"/>
            <w:vAlign w:val="bottom"/>
            <w:tcBorders>
              <w:bottom w:val="single" w:sz="8" w:color="CCFFCC"/>
            </w:tcBorders>
          </w:tcPr>
          <w:p>
            <w:pPr>
              <w:ind w:left="20"/>
              <w:spacing w:after="0"/>
              <w:rPr>
                <w:sz w:val="20"/>
                <w:szCs w:val="20"/>
                <w:color w:val="auto"/>
              </w:rPr>
            </w:pPr>
            <w:r>
              <w:rPr>
                <w:rFonts w:ascii="Arial" w:cs="Arial" w:eastAsia="Arial" w:hAnsi="Arial"/>
                <w:sz w:val="15"/>
                <w:szCs w:val="15"/>
                <w:color w:val="auto"/>
              </w:rPr>
              <w:t xml:space="preserve">APAC </w:t>
            </w:r>
            <w:r>
              <w:rPr>
                <w:rFonts w:ascii="Arial" w:cs="Arial" w:eastAsia="Arial" w:hAnsi="Arial"/>
                <w:sz w:val="20"/>
                <w:szCs w:val="20"/>
                <w:color w:val="auto"/>
                <w:vertAlign w:val="superscript"/>
              </w:rPr>
              <w:t>(3)</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7,923</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6,242</w:t>
            </w:r>
          </w:p>
        </w:tc>
        <w:tc>
          <w:tcPr>
            <w:tcW w:w="1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22,704</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18,256</w:t>
            </w:r>
          </w:p>
        </w:tc>
      </w:tr>
      <w:tr>
        <w:trPr>
          <w:trHeight w:val="227"/>
        </w:trPr>
        <w:tc>
          <w:tcPr>
            <w:tcW w:w="652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revenue</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rPr>
              <w:t>75,175</w:t>
            </w:r>
          </w:p>
        </w:tc>
        <w:tc>
          <w:tcPr>
            <w:tcW w:w="1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64,213</w:t>
            </w:r>
          </w:p>
        </w:tc>
        <w:tc>
          <w:tcPr>
            <w:tcW w:w="1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rPr>
              <w:t>212,536</w:t>
            </w:r>
          </w:p>
        </w:tc>
        <w:tc>
          <w:tcPr>
            <w:tcW w:w="12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jc w:val="right"/>
              <w:ind w:right="8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rPr>
              <w:t>184,114</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60" w:hanging="158"/>
        <w:spacing w:after="0"/>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Canada, Latin America and South America</w:t>
      </w:r>
    </w:p>
    <w:p>
      <w:pPr>
        <w:ind w:left="160" w:hanging="158"/>
        <w:spacing w:after="0" w:line="195" w:lineRule="auto"/>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Europe, the Middle East and Africa (“EMEA”)</w:t>
      </w:r>
    </w:p>
    <w:p>
      <w:pPr>
        <w:ind w:left="160" w:hanging="158"/>
        <w:spacing w:after="0" w:line="199" w:lineRule="auto"/>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Asia-Pacific (“APAC”)</w:t>
      </w:r>
    </w:p>
    <w:p>
      <w:pPr>
        <w:spacing w:after="0" w:line="9" w:lineRule="exact"/>
        <w:rPr>
          <w:rFonts w:ascii="Arial" w:cs="Arial" w:eastAsia="Arial" w:hAnsi="Arial"/>
          <w:sz w:val="19"/>
          <w:szCs w:val="19"/>
          <w:color w:val="auto"/>
          <w:vertAlign w:val="superscript"/>
        </w:rPr>
      </w:pPr>
    </w:p>
    <w:p>
      <w:pPr>
        <w:ind w:right="120" w:firstLine="2"/>
        <w:spacing w:after="0" w:line="255" w:lineRule="auto"/>
        <w:tabs>
          <w:tab w:leader="none" w:pos="15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Includes revenues from the United Kingdom of $12.3 million and $11.1 million for the three months ended September 30, 2019 and 2018, respectively, and $36.9 million and $34.7 million for the nine months ended September 30, 2019 and 2018, respectively, and from the Netherlands of $2.4 million and $2.2 million for the three months ended September 30, 2019 and 2018, respectively, and $7.5 million and $6.3 million for the nine months ended September 30, 2019 and 2018,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about Contract Balances</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7"/>
          <w:szCs w:val="17"/>
          <w:i w:val="1"/>
          <w:iCs w:val="1"/>
          <w:color w:val="auto"/>
        </w:rPr>
        <w:t>Hosted Services- Business Revenue.</w:t>
      </w:r>
    </w:p>
    <w:p>
      <w:pPr>
        <w:spacing w:after="0" w:line="6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 (amounts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Deferred Revenue</w:t>
            </w:r>
          </w:p>
        </w:tc>
        <w:tc>
          <w:tcPr>
            <w:tcW w:w="14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b w:val="1"/>
                <w:bCs w:val="1"/>
                <w:color w:val="auto"/>
                <w:w w:val="86"/>
              </w:rPr>
              <w:t>Deferred Revenue</w:t>
            </w:r>
          </w:p>
        </w:tc>
      </w:tr>
      <w:tr>
        <w:trPr>
          <w:trHeight w:val="180"/>
        </w:trPr>
        <w:tc>
          <w:tcPr>
            <w:tcW w:w="4120" w:type="dxa"/>
            <w:vAlign w:val="bottom"/>
          </w:tcPr>
          <w:p>
            <w:pPr>
              <w:spacing w:after="0"/>
              <w:rPr>
                <w:sz w:val="15"/>
                <w:szCs w:val="15"/>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Accounts Receivable</w:t>
            </w:r>
          </w:p>
        </w:tc>
        <w:tc>
          <w:tcPr>
            <w:tcW w:w="1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Unbilled Receivable</w:t>
            </w:r>
          </w:p>
        </w:tc>
        <w:tc>
          <w:tcPr>
            <w:tcW w:w="140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w w:val="87"/>
              </w:rPr>
              <w:t>Prepaid Commissions</w:t>
            </w:r>
          </w:p>
        </w:tc>
        <w:tc>
          <w:tcPr>
            <w:tcW w:w="2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(current)</w:t>
            </w:r>
          </w:p>
        </w:tc>
        <w:tc>
          <w:tcPr>
            <w:tcW w:w="140" w:type="dxa"/>
            <w:vAlign w:val="bottom"/>
          </w:tcPr>
          <w:p>
            <w:pPr>
              <w:spacing w:after="0"/>
              <w:rPr>
                <w:sz w:val="15"/>
                <w:szCs w:val="15"/>
                <w:color w:val="auto"/>
              </w:rPr>
            </w:pPr>
          </w:p>
        </w:tc>
        <w:tc>
          <w:tcPr>
            <w:tcW w:w="1220" w:type="dxa"/>
            <w:vAlign w:val="bottom"/>
          </w:tcPr>
          <w:p>
            <w:pPr>
              <w:jc w:val="right"/>
              <w:ind w:right="267"/>
              <w:spacing w:after="0"/>
              <w:rPr>
                <w:sz w:val="20"/>
                <w:szCs w:val="20"/>
                <w:color w:val="auto"/>
              </w:rPr>
            </w:pPr>
            <w:r>
              <w:rPr>
                <w:rFonts w:ascii="Arial" w:cs="Arial" w:eastAsia="Arial" w:hAnsi="Arial"/>
                <w:sz w:val="14"/>
                <w:szCs w:val="14"/>
                <w:b w:val="1"/>
                <w:bCs w:val="1"/>
                <w:color w:val="auto"/>
              </w:rPr>
              <w:t>(long term)</w:t>
            </w:r>
          </w:p>
        </w:tc>
      </w:tr>
      <w:tr>
        <w:trPr>
          <w:trHeight w:val="232"/>
        </w:trPr>
        <w:tc>
          <w:tcPr>
            <w:tcW w:w="41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Opening Balance as of December 31, 2018</w:t>
            </w:r>
          </w:p>
        </w:tc>
        <w:tc>
          <w:tcPr>
            <w:tcW w:w="460" w:type="dxa"/>
            <w:vAlign w:val="bottom"/>
            <w:tcBorders>
              <w:top w:val="single" w:sz="8" w:color="auto"/>
              <w:bottom w:val="single" w:sz="8" w:color="CCFFCC"/>
            </w:tcBorders>
            <w:shd w:val="clear" w:color="auto" w:fill="CCFFCC"/>
          </w:tcPr>
          <w:p>
            <w:pPr>
              <w:jc w:val="right"/>
              <w:ind w:right="287"/>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34,211</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CCFFCC"/>
            </w:tcBorders>
            <w:shd w:val="clear" w:color="auto" w:fill="CCFFCC"/>
          </w:tcPr>
          <w:p>
            <w:pPr>
              <w:jc w:val="right"/>
              <w:ind w:right="46"/>
              <w:spacing w:after="0"/>
              <w:rPr>
                <w:sz w:val="20"/>
                <w:szCs w:val="20"/>
                <w:color w:val="auto"/>
              </w:rPr>
            </w:pPr>
            <w:r>
              <w:rPr>
                <w:rFonts w:ascii="Arial" w:cs="Arial" w:eastAsia="Arial" w:hAnsi="Arial"/>
                <w:sz w:val="15"/>
                <w:szCs w:val="15"/>
                <w:color w:val="auto"/>
              </w:rPr>
              <w:t>11,812</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460" w:type="dxa"/>
            <w:vAlign w:val="bottom"/>
            <w:tcBorders>
              <w:top w:val="single" w:sz="8" w:color="auto"/>
              <w:bottom w:val="single" w:sz="8" w:color="CCFFCC"/>
            </w:tcBorders>
            <w:shd w:val="clear" w:color="auto" w:fill="CCFFCC"/>
          </w:tcPr>
          <w:p>
            <w:pPr>
              <w:jc w:val="right"/>
              <w:ind w:right="2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CCFFCC"/>
            </w:tcBorders>
            <w:shd w:val="clear" w:color="auto" w:fill="CCFFCC"/>
          </w:tcPr>
          <w:p>
            <w:pPr>
              <w:jc w:val="right"/>
              <w:ind w:right="64"/>
              <w:spacing w:after="0"/>
              <w:rPr>
                <w:sz w:val="20"/>
                <w:szCs w:val="20"/>
                <w:color w:val="auto"/>
              </w:rPr>
            </w:pPr>
            <w:r>
              <w:rPr>
                <w:rFonts w:ascii="Arial" w:cs="Arial" w:eastAsia="Arial" w:hAnsi="Arial"/>
                <w:sz w:val="15"/>
                <w:szCs w:val="15"/>
                <w:color w:val="auto"/>
              </w:rPr>
              <w:t>13,361</w:t>
            </w:r>
          </w:p>
        </w:tc>
        <w:tc>
          <w:tcPr>
            <w:tcW w:w="2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top w:val="single" w:sz="8" w:color="auto"/>
              <w:bottom w:val="single" w:sz="8" w:color="CCFFCC"/>
            </w:tcBorders>
            <w:shd w:val="clear" w:color="auto" w:fill="CCFFCC"/>
          </w:tcPr>
          <w:p>
            <w:pPr>
              <w:jc w:val="right"/>
              <w:ind w:right="47"/>
              <w:spacing w:after="0"/>
              <w:rPr>
                <w:sz w:val="20"/>
                <w:szCs w:val="20"/>
                <w:color w:val="auto"/>
              </w:rPr>
            </w:pPr>
            <w:r>
              <w:rPr>
                <w:rFonts w:ascii="Arial" w:cs="Arial" w:eastAsia="Arial" w:hAnsi="Arial"/>
                <w:sz w:val="15"/>
                <w:szCs w:val="15"/>
                <w:color w:val="auto"/>
              </w:rPr>
              <w:t>55,015</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222</w:t>
            </w:r>
          </w:p>
        </w:tc>
      </w:tr>
      <w:tr>
        <w:trPr>
          <w:trHeight w:val="224"/>
        </w:trPr>
        <w:tc>
          <w:tcPr>
            <w:tcW w:w="4120" w:type="dxa"/>
            <w:vAlign w:val="bottom"/>
          </w:tcPr>
          <w:p>
            <w:pPr>
              <w:ind w:left="160"/>
              <w:spacing w:after="0"/>
              <w:rPr>
                <w:sz w:val="20"/>
                <w:szCs w:val="20"/>
                <w:color w:val="auto"/>
              </w:rPr>
            </w:pPr>
            <w:r>
              <w:rPr>
                <w:rFonts w:ascii="Arial" w:cs="Arial" w:eastAsia="Arial" w:hAnsi="Arial"/>
                <w:sz w:val="15"/>
                <w:szCs w:val="15"/>
                <w:color w:val="auto"/>
              </w:rPr>
              <w:t>Increase, net</w:t>
            </w:r>
          </w:p>
        </w:tc>
        <w:tc>
          <w:tcPr>
            <w:tcW w:w="460" w:type="dxa"/>
            <w:vAlign w:val="bottom"/>
          </w:tcPr>
          <w:p>
            <w:pPr>
              <w:spacing w:after="0"/>
              <w:rPr>
                <w:sz w:val="19"/>
                <w:szCs w:val="19"/>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5,876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46"/>
              <w:spacing w:after="0"/>
              <w:rPr>
                <w:sz w:val="20"/>
                <w:szCs w:val="20"/>
                <w:color w:val="auto"/>
              </w:rPr>
            </w:pPr>
            <w:r>
              <w:rPr>
                <w:rFonts w:ascii="Arial" w:cs="Arial" w:eastAsia="Arial" w:hAnsi="Arial"/>
                <w:sz w:val="15"/>
                <w:szCs w:val="15"/>
                <w:color w:val="auto"/>
              </w:rPr>
              <w:t>1,888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11,033</w:t>
            </w:r>
          </w:p>
        </w:tc>
        <w:tc>
          <w:tcPr>
            <w:tcW w:w="220" w:type="dxa"/>
            <w:vAlign w:val="bottom"/>
          </w:tcPr>
          <w:p>
            <w:pPr>
              <w:spacing w:after="0"/>
              <w:rPr>
                <w:sz w:val="19"/>
                <w:szCs w:val="19"/>
                <w:color w:val="auto"/>
              </w:rPr>
            </w:pP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17,100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27"/>
              <w:spacing w:after="0"/>
              <w:rPr>
                <w:sz w:val="20"/>
                <w:szCs w:val="20"/>
                <w:color w:val="auto"/>
              </w:rPr>
            </w:pPr>
            <w:r>
              <w:rPr>
                <w:rFonts w:ascii="Arial" w:cs="Arial" w:eastAsia="Arial" w:hAnsi="Arial"/>
                <w:sz w:val="15"/>
                <w:szCs w:val="15"/>
                <w:color w:val="auto"/>
              </w:rPr>
              <w:t>842</w:t>
            </w:r>
          </w:p>
        </w:tc>
      </w:tr>
      <w:tr>
        <w:trPr>
          <w:trHeight w:val="30"/>
        </w:trPr>
        <w:tc>
          <w:tcPr>
            <w:tcW w:w="412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0"/>
        </w:trPr>
        <w:tc>
          <w:tcPr>
            <w:tcW w:w="41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Ending Balance as of September 30, 2019</w:t>
            </w:r>
          </w:p>
        </w:tc>
        <w:tc>
          <w:tcPr>
            <w:tcW w:w="460" w:type="dxa"/>
            <w:vAlign w:val="bottom"/>
            <w:tcBorders>
              <w:bottom w:val="single" w:sz="8" w:color="auto"/>
            </w:tcBorders>
            <w:shd w:val="clear" w:color="auto" w:fill="CCFFCC"/>
          </w:tcPr>
          <w:p>
            <w:pPr>
              <w:jc w:val="right"/>
              <w:ind w:right="287"/>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40,087</w:t>
            </w: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FFCC"/>
          </w:tcPr>
          <w:p>
            <w:pPr>
              <w:jc w:val="right"/>
              <w:ind w:right="46"/>
              <w:spacing w:after="0"/>
              <w:rPr>
                <w:sz w:val="20"/>
                <w:szCs w:val="20"/>
                <w:color w:val="auto"/>
              </w:rPr>
            </w:pPr>
            <w:r>
              <w:rPr>
                <w:rFonts w:ascii="Arial" w:cs="Arial" w:eastAsia="Arial" w:hAnsi="Arial"/>
                <w:sz w:val="15"/>
                <w:szCs w:val="15"/>
                <w:color w:val="auto"/>
              </w:rPr>
              <w:t>13,700</w:t>
            </w:r>
          </w:p>
        </w:tc>
        <w:tc>
          <w:tcPr>
            <w:tcW w:w="12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auto"/>
            </w:tcBorders>
            <w:shd w:val="clear" w:color="auto" w:fill="CCFFCC"/>
          </w:tcPr>
          <w:p>
            <w:pPr>
              <w:jc w:val="right"/>
              <w:ind w:right="287"/>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FFCC"/>
          </w:tcPr>
          <w:p>
            <w:pPr>
              <w:jc w:val="right"/>
              <w:ind w:right="64"/>
              <w:spacing w:after="0"/>
              <w:rPr>
                <w:sz w:val="20"/>
                <w:szCs w:val="20"/>
                <w:color w:val="auto"/>
              </w:rPr>
            </w:pPr>
            <w:r>
              <w:rPr>
                <w:rFonts w:ascii="Arial" w:cs="Arial" w:eastAsia="Arial" w:hAnsi="Arial"/>
                <w:sz w:val="15"/>
                <w:szCs w:val="15"/>
                <w:color w:val="auto"/>
              </w:rPr>
              <w:t>24,394</w:t>
            </w:r>
          </w:p>
        </w:tc>
        <w:tc>
          <w:tcPr>
            <w:tcW w:w="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FFCC"/>
          </w:tcPr>
          <w:p>
            <w:pPr>
              <w:jc w:val="right"/>
              <w:ind w:right="47"/>
              <w:spacing w:after="0"/>
              <w:rPr>
                <w:sz w:val="20"/>
                <w:szCs w:val="20"/>
                <w:color w:val="auto"/>
              </w:rPr>
            </w:pPr>
            <w:r>
              <w:rPr>
                <w:rFonts w:ascii="Arial" w:cs="Arial" w:eastAsia="Arial" w:hAnsi="Arial"/>
                <w:sz w:val="15"/>
                <w:szCs w:val="15"/>
                <w:color w:val="auto"/>
              </w:rPr>
              <w:t>72,115</w:t>
            </w: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FFCC"/>
          </w:tcPr>
          <w:p>
            <w:pPr>
              <w:jc w:val="right"/>
              <w:ind w:right="27"/>
              <w:spacing w:after="0"/>
              <w:rPr>
                <w:sz w:val="20"/>
                <w:szCs w:val="20"/>
                <w:color w:val="auto"/>
              </w:rPr>
            </w:pPr>
            <w:r>
              <w:rPr>
                <w:rFonts w:ascii="Arial" w:cs="Arial" w:eastAsia="Arial" w:hAnsi="Arial"/>
                <w:sz w:val="15"/>
                <w:szCs w:val="15"/>
                <w:color w:val="auto"/>
              </w:rPr>
              <w:t>1,064</w:t>
            </w:r>
          </w:p>
        </w:tc>
      </w:tr>
      <w:tr>
        <w:trPr>
          <w:trHeight w:val="20"/>
        </w:trPr>
        <w:tc>
          <w:tcPr>
            <w:tcW w:w="4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2019, the Company expects to recognize the long term performance obligations in 2020.</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Share</w:t>
      </w:r>
    </w:p>
    <w:p>
      <w:pPr>
        <w:spacing w:after="0" w:line="215"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The Company calculates earnings per share (“EPS”) in accordance with the provisions of ASC 260-10. Under the guidance,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Diluted net loss per common share for the three and nine months ended September 30, 2019 does not include the effect of 8,905,707 outstanding common stock awards, as the effect of their inclusion is anti-dilutive. Diluted net loss per common share for the three and nine months ended September 30, 2018 does not include the effect of 9,168,450 outstanding common stock awards, as the effect of their inclusion is anti-dilutive.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reconciliation of shares used in calculating basic and diluted net loss per share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20" w:type="dxa"/>
            <w:vAlign w:val="bottom"/>
          </w:tcPr>
          <w:p>
            <w:pPr>
              <w:spacing w:after="0"/>
              <w:rPr>
                <w:sz w:val="15"/>
                <w:szCs w:val="15"/>
                <w:color w:val="auto"/>
              </w:rPr>
            </w:pPr>
          </w:p>
        </w:tc>
        <w:tc>
          <w:tcPr>
            <w:tcW w:w="2520" w:type="dxa"/>
            <w:vAlign w:val="bottom"/>
            <w:gridSpan w:val="4"/>
          </w:tcPr>
          <w:p>
            <w:pPr>
              <w:ind w:left="160"/>
              <w:spacing w:after="0"/>
              <w:rPr>
                <w:sz w:val="20"/>
                <w:szCs w:val="20"/>
                <w:color w:val="auto"/>
              </w:rPr>
            </w:pPr>
            <w:r>
              <w:rPr>
                <w:rFonts w:ascii="Arial" w:cs="Arial" w:eastAsia="Arial" w:hAnsi="Arial"/>
                <w:sz w:val="14"/>
                <w:szCs w:val="14"/>
                <w:b w:val="1"/>
                <w:bCs w:val="1"/>
                <w:color w:val="auto"/>
                <w:w w:val="98"/>
              </w:rPr>
              <w:t>Three Months Ended September 30,</w:t>
            </w:r>
          </w:p>
        </w:tc>
        <w:tc>
          <w:tcPr>
            <w:tcW w:w="2380" w:type="dxa"/>
            <w:vAlign w:val="bottom"/>
            <w:gridSpan w:val="3"/>
          </w:tcPr>
          <w:p>
            <w:pPr>
              <w:jc w:val="right"/>
              <w:ind w:right="86"/>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47"/>
        </w:trPr>
        <w:tc>
          <w:tcPr>
            <w:tcW w:w="65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r>
      <w:tr>
        <w:trPr>
          <w:trHeight w:val="209"/>
        </w:trPr>
        <w:tc>
          <w:tcPr>
            <w:tcW w:w="6520" w:type="dxa"/>
            <w:vAlign w:val="bottom"/>
          </w:tcPr>
          <w:p>
            <w:pPr>
              <w:ind w:left="20"/>
              <w:spacing w:after="0"/>
              <w:rPr>
                <w:sz w:val="20"/>
                <w:szCs w:val="20"/>
                <w:color w:val="auto"/>
              </w:rPr>
            </w:pPr>
            <w:r>
              <w:rPr>
                <w:rFonts w:ascii="Arial" w:cs="Arial" w:eastAsia="Arial" w:hAnsi="Arial"/>
                <w:sz w:val="15"/>
                <w:szCs w:val="15"/>
                <w:color w:val="auto"/>
              </w:rPr>
              <w:t>Basic</w:t>
            </w: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63,014,802</w:t>
            </w:r>
          </w:p>
        </w:tc>
        <w:tc>
          <w:tcPr>
            <w:tcW w:w="120" w:type="dxa"/>
            <w:vAlign w:val="bottom"/>
          </w:tcPr>
          <w:p>
            <w:pPr>
              <w:spacing w:after="0"/>
              <w:rPr>
                <w:sz w:val="18"/>
                <w:szCs w:val="18"/>
                <w:color w:val="auto"/>
              </w:rPr>
            </w:pPr>
          </w:p>
        </w:tc>
        <w:tc>
          <w:tcPr>
            <w:tcW w:w="1140" w:type="dxa"/>
            <w:vAlign w:val="bottom"/>
          </w:tcPr>
          <w:p>
            <w:pPr>
              <w:jc w:val="right"/>
              <w:ind w:right="46"/>
              <w:spacing w:after="0"/>
              <w:rPr>
                <w:sz w:val="20"/>
                <w:szCs w:val="20"/>
                <w:color w:val="auto"/>
              </w:rPr>
            </w:pPr>
            <w:r>
              <w:rPr>
                <w:rFonts w:ascii="Arial" w:cs="Arial" w:eastAsia="Arial" w:hAnsi="Arial"/>
                <w:sz w:val="15"/>
                <w:szCs w:val="15"/>
                <w:color w:val="auto"/>
              </w:rPr>
              <w:t>60,014,246</w:t>
            </w:r>
          </w:p>
        </w:tc>
        <w:tc>
          <w:tcPr>
            <w:tcW w:w="120" w:type="dxa"/>
            <w:vAlign w:val="bottom"/>
          </w:tcPr>
          <w:p>
            <w:pPr>
              <w:spacing w:after="0"/>
              <w:rPr>
                <w:sz w:val="18"/>
                <w:szCs w:val="18"/>
                <w:color w:val="auto"/>
              </w:rPr>
            </w:pP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62,268,439</w:t>
            </w:r>
          </w:p>
        </w:tc>
        <w:tc>
          <w:tcPr>
            <w:tcW w:w="12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58,667,289</w:t>
            </w:r>
          </w:p>
        </w:tc>
      </w:tr>
      <w:tr>
        <w:trPr>
          <w:trHeight w:val="30"/>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4"/>
        </w:trPr>
        <w:tc>
          <w:tcPr>
            <w:tcW w:w="65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Effect of assumed exercised options</w:t>
            </w:r>
          </w:p>
        </w:tc>
        <w:tc>
          <w:tcPr>
            <w:tcW w:w="12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w:t>
            </w:r>
          </w:p>
        </w:tc>
      </w:tr>
      <w:tr>
        <w:trPr>
          <w:trHeight w:val="227"/>
        </w:trPr>
        <w:tc>
          <w:tcPr>
            <w:tcW w:w="6520" w:type="dxa"/>
            <w:vAlign w:val="bottom"/>
          </w:tcPr>
          <w:p>
            <w:pPr>
              <w:ind w:left="20"/>
              <w:spacing w:after="0"/>
              <w:rPr>
                <w:sz w:val="20"/>
                <w:szCs w:val="20"/>
                <w:color w:val="auto"/>
              </w:rPr>
            </w:pPr>
            <w:r>
              <w:rPr>
                <w:rFonts w:ascii="Arial" w:cs="Arial" w:eastAsia="Arial" w:hAnsi="Arial"/>
                <w:sz w:val="15"/>
                <w:szCs w:val="15"/>
                <w:color w:val="auto"/>
              </w:rPr>
              <w:t>Diluted</w:t>
            </w:r>
          </w:p>
        </w:tc>
        <w:tc>
          <w:tcPr>
            <w:tcW w:w="11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63,014,802</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60,014,246</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62,268,439</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58,667,289</w:t>
            </w:r>
          </w:p>
        </w:tc>
      </w:tr>
      <w:tr>
        <w:trPr>
          <w:trHeight w:val="20"/>
        </w:trPr>
        <w:tc>
          <w:tcPr>
            <w:tcW w:w="6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The Company expects to settle the principal amount of its outstanding Notes (as defined below) in cash and any excess in shares of the Company’s common stock. The Company uses the treasury stock method for calculating any potential dilutive effect of the conversion spread on diluted net income per share, if applicable. The conversion spread will have a dilutive impact on diluted net income per share of common stock when the average market price of the Company’s common stock for a given period exceeds the initial conversion price of $38.58 per share for the Notes. See Note 8 of the Notes to Condensed Consolidated Financial Statements for a full description of the Notes.</w:t>
      </w:r>
    </w:p>
    <w:p>
      <w:pPr>
        <w:spacing w:after="0" w:line="178" w:lineRule="exact"/>
        <w:rPr>
          <w:sz w:val="20"/>
          <w:szCs w:val="20"/>
          <w:color w:val="auto"/>
        </w:rPr>
      </w:pPr>
    </w:p>
    <w:p>
      <w:pPr>
        <w:ind w:left="300" w:hanging="298"/>
        <w:spacing w:after="0"/>
        <w:tabs>
          <w:tab w:leader="none" w:pos="3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215" w:lineRule="exact"/>
        <w:rPr>
          <w:sz w:val="20"/>
          <w:szCs w:val="20"/>
          <w:color w:val="auto"/>
        </w:rPr>
      </w:pPr>
    </w:p>
    <w:p>
      <w:pPr>
        <w:jc w:val="both"/>
        <w:ind w:firstLine="610"/>
        <w:spacing w:after="0" w:line="268" w:lineRule="auto"/>
        <w:rPr>
          <w:sz w:val="20"/>
          <w:szCs w:val="20"/>
          <w:color w:val="auto"/>
        </w:rPr>
      </w:pPr>
      <w:r>
        <w:rPr>
          <w:rFonts w:ascii="Arial" w:cs="Arial" w:eastAsia="Arial" w:hAnsi="Arial"/>
          <w:sz w:val="16"/>
          <w:szCs w:val="16"/>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76"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Summarized financial information by segment for the three months ended September 30, 2019, based on the Company’s internal financial reporting system utilized by the Company’s chief operating decision maker, follows (amounts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Arial" w:cs="Arial" w:eastAsia="Arial" w:hAnsi="Arial"/>
                <w:sz w:val="14"/>
                <w:szCs w:val="14"/>
                <w:b w:val="1"/>
                <w:bCs w:val="1"/>
                <w:color w:val="auto"/>
                <w:w w:val="87"/>
              </w:rPr>
              <w:t>Consolidated</w:t>
            </w:r>
          </w:p>
        </w:tc>
      </w:tr>
      <w:tr>
        <w:trPr>
          <w:trHeight w:val="232"/>
        </w:trPr>
        <w:tc>
          <w:tcPr>
            <w:tcW w:w="61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02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0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98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160" w:type="dxa"/>
            <w:vAlign w:val="bottom"/>
          </w:tcPr>
          <w:p>
            <w:pPr>
              <w:ind w:left="160"/>
              <w:spacing w:after="0"/>
              <w:rPr>
                <w:sz w:val="20"/>
                <w:szCs w:val="20"/>
                <w:color w:val="auto"/>
              </w:rPr>
            </w:pPr>
            <w:r>
              <w:rPr>
                <w:rFonts w:ascii="Arial" w:cs="Arial" w:eastAsia="Arial" w:hAnsi="Arial"/>
                <w:sz w:val="15"/>
                <w:szCs w:val="15"/>
                <w:color w:val="auto"/>
              </w:rPr>
              <w:t>Hosted services – Business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57,824</w:t>
            </w:r>
          </w:p>
        </w:tc>
        <w:tc>
          <w:tcPr>
            <w:tcW w:w="12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57,824</w:t>
            </w:r>
          </w:p>
        </w:tc>
      </w:tr>
      <w:tr>
        <w:trPr>
          <w:trHeight w:val="30"/>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61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Hosted services – Consumer</w:t>
            </w:r>
          </w:p>
        </w:tc>
        <w:tc>
          <w:tcPr>
            <w:tcW w:w="24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6,704</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6,704</w:t>
            </w:r>
          </w:p>
        </w:tc>
      </w:tr>
      <w:tr>
        <w:trPr>
          <w:trHeight w:val="224"/>
        </w:trPr>
        <w:tc>
          <w:tcPr>
            <w:tcW w:w="6160" w:type="dxa"/>
            <w:vAlign w:val="bottom"/>
          </w:tcPr>
          <w:p>
            <w:pPr>
              <w:ind w:left="160"/>
              <w:spacing w:after="0"/>
              <w:rPr>
                <w:sz w:val="20"/>
                <w:szCs w:val="20"/>
                <w:color w:val="auto"/>
              </w:rPr>
            </w:pPr>
            <w:r>
              <w:rPr>
                <w:rFonts w:ascii="Arial" w:cs="Arial" w:eastAsia="Arial" w:hAnsi="Arial"/>
                <w:sz w:val="15"/>
                <w:szCs w:val="15"/>
                <w:color w:val="auto"/>
              </w:rPr>
              <w:t>Professional services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10,647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10,647</w:t>
            </w:r>
          </w:p>
        </w:tc>
      </w:tr>
      <w:tr>
        <w:trPr>
          <w:trHeight w:val="30"/>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4"/>
        </w:trPr>
        <w:tc>
          <w:tcPr>
            <w:tcW w:w="61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68,471</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6,704</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75,175</w:t>
            </w:r>
          </w:p>
        </w:tc>
      </w:tr>
      <w:tr>
        <w:trPr>
          <w:trHeight w:val="204"/>
        </w:trPr>
        <w:tc>
          <w:tcPr>
            <w:tcW w:w="616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18,950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1,170</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20,120</w:t>
            </w:r>
          </w:p>
        </w:tc>
      </w:tr>
      <w:tr>
        <w:trPr>
          <w:trHeight w:val="30"/>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61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Sales and marketing</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37,512</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4,262</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41,774</w:t>
            </w:r>
          </w:p>
        </w:tc>
      </w:tr>
      <w:tr>
        <w:trPr>
          <w:trHeight w:val="224"/>
        </w:trPr>
        <w:tc>
          <w:tcPr>
            <w:tcW w:w="6160" w:type="dxa"/>
            <w:vAlign w:val="bottom"/>
          </w:tcPr>
          <w:p>
            <w:pPr>
              <w:ind w:left="20"/>
              <w:spacing w:after="0"/>
              <w:rPr>
                <w:sz w:val="20"/>
                <w:szCs w:val="20"/>
                <w:color w:val="auto"/>
              </w:rPr>
            </w:pPr>
            <w:r>
              <w:rPr>
                <w:rFonts w:ascii="Arial" w:cs="Arial" w:eastAsia="Arial" w:hAnsi="Arial"/>
                <w:sz w:val="15"/>
                <w:szCs w:val="15"/>
                <w:color w:val="auto"/>
              </w:rPr>
              <w:t>Amortization of purchased intangibles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447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447</w:t>
            </w:r>
          </w:p>
        </w:tc>
      </w:tr>
      <w:tr>
        <w:trPr>
          <w:trHeight w:val="30"/>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4"/>
        </w:trPr>
        <w:tc>
          <w:tcPr>
            <w:tcW w:w="61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Unallocated corporate expenses</w:t>
            </w:r>
          </w:p>
        </w:tc>
        <w:tc>
          <w:tcPr>
            <w:tcW w:w="2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35,960</w:t>
            </w:r>
          </w:p>
        </w:tc>
        <w:tc>
          <w:tcPr>
            <w:tcW w:w="1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35,960</w:t>
            </w:r>
          </w:p>
        </w:tc>
      </w:tr>
      <w:tr>
        <w:trPr>
          <w:trHeight w:val="227"/>
        </w:trPr>
        <w:tc>
          <w:tcPr>
            <w:tcW w:w="6160" w:type="dxa"/>
            <w:vAlign w:val="bottom"/>
          </w:tcPr>
          <w:p>
            <w:pPr>
              <w:ind w:left="260"/>
              <w:spacing w:after="0"/>
              <w:rPr>
                <w:sz w:val="20"/>
                <w:szCs w:val="20"/>
                <w:color w:val="auto"/>
              </w:rPr>
            </w:pPr>
            <w:r>
              <w:rPr>
                <w:rFonts w:ascii="Arial" w:cs="Arial" w:eastAsia="Arial" w:hAnsi="Arial"/>
                <w:sz w:val="15"/>
                <w:szCs w:val="15"/>
                <w:color w:val="auto"/>
              </w:rPr>
              <w:t>Operating income (loss)</w:t>
            </w: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11,562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1,272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(35,960)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(23,126)</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Summarized financial information by segment for the three months ended September 30, 2018, based on the Company’s internal financial reporting system utilized by the Company’s chief operating decision maker, follows (amounts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5"/>
                <w:szCs w:val="15"/>
                <w:color w:val="auto"/>
              </w:rPr>
            </w:pPr>
          </w:p>
        </w:tc>
        <w:tc>
          <w:tcPr>
            <w:tcW w:w="1060" w:type="dxa"/>
            <w:vAlign w:val="bottom"/>
          </w:tcPr>
          <w:p>
            <w:pPr>
              <w:jc w:val="right"/>
              <w:ind w:right="165"/>
              <w:spacing w:after="0"/>
              <w:rPr>
                <w:sz w:val="20"/>
                <w:szCs w:val="20"/>
                <w:color w:val="auto"/>
              </w:rPr>
            </w:pPr>
            <w:r>
              <w:rPr>
                <w:rFonts w:ascii="Arial" w:cs="Arial" w:eastAsia="Arial" w:hAnsi="Arial"/>
                <w:sz w:val="14"/>
                <w:szCs w:val="14"/>
                <w:b w:val="1"/>
                <w:bCs w:val="1"/>
                <w:color w:val="auto"/>
                <w:w w:val="90"/>
              </w:rPr>
              <w:t>Consolidated</w:t>
            </w:r>
          </w:p>
        </w:tc>
      </w:tr>
      <w:tr>
        <w:trPr>
          <w:trHeight w:val="232"/>
        </w:trPr>
        <w:tc>
          <w:tcPr>
            <w:tcW w:w="60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00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spacing w:after="0"/>
              <w:rPr>
                <w:sz w:val="20"/>
                <w:szCs w:val="20"/>
                <w:color w:val="auto"/>
              </w:rPr>
            </w:pPr>
          </w:p>
        </w:tc>
        <w:tc>
          <w:tcPr>
            <w:tcW w:w="106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060" w:type="dxa"/>
            <w:vAlign w:val="bottom"/>
          </w:tcPr>
          <w:p>
            <w:pPr>
              <w:ind w:left="160"/>
              <w:spacing w:after="0"/>
              <w:rPr>
                <w:sz w:val="20"/>
                <w:szCs w:val="20"/>
                <w:color w:val="auto"/>
              </w:rPr>
            </w:pPr>
            <w:r>
              <w:rPr>
                <w:rFonts w:ascii="Arial" w:cs="Arial" w:eastAsia="Arial" w:hAnsi="Arial"/>
                <w:sz w:val="15"/>
                <w:szCs w:val="15"/>
                <w:color w:val="auto"/>
              </w:rPr>
              <w:t>Hosted services – Business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50,046</w:t>
            </w:r>
          </w:p>
        </w:tc>
        <w:tc>
          <w:tcPr>
            <w:tcW w:w="12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50,046</w:t>
            </w:r>
          </w:p>
        </w:tc>
      </w:tr>
      <w:tr>
        <w:trPr>
          <w:trHeight w:val="30"/>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Hosted services – Consumer</w:t>
            </w:r>
          </w:p>
        </w:tc>
        <w:tc>
          <w:tcPr>
            <w:tcW w:w="24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4,876</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4,876</w:t>
            </w:r>
          </w:p>
        </w:tc>
      </w:tr>
      <w:tr>
        <w:trPr>
          <w:trHeight w:val="224"/>
        </w:trPr>
        <w:tc>
          <w:tcPr>
            <w:tcW w:w="6060" w:type="dxa"/>
            <w:vAlign w:val="bottom"/>
          </w:tcPr>
          <w:p>
            <w:pPr>
              <w:ind w:left="160"/>
              <w:spacing w:after="0"/>
              <w:rPr>
                <w:sz w:val="20"/>
                <w:szCs w:val="20"/>
                <w:color w:val="auto"/>
              </w:rPr>
            </w:pPr>
            <w:r>
              <w:rPr>
                <w:rFonts w:ascii="Arial" w:cs="Arial" w:eastAsia="Arial" w:hAnsi="Arial"/>
                <w:sz w:val="15"/>
                <w:szCs w:val="15"/>
                <w:color w:val="auto"/>
              </w:rPr>
              <w:t>Professional services</w:t>
            </w:r>
          </w:p>
        </w:tc>
        <w:tc>
          <w:tcPr>
            <w:tcW w:w="240" w:type="dxa"/>
            <w:vAlign w:val="bottom"/>
          </w:tcPr>
          <w:p>
            <w:pPr>
              <w:spacing w:after="0"/>
              <w:rPr>
                <w:sz w:val="19"/>
                <w:szCs w:val="19"/>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9,291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9,291</w:t>
            </w:r>
          </w:p>
        </w:tc>
      </w:tr>
      <w:tr>
        <w:trPr>
          <w:trHeight w:val="30"/>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59,337</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4,876</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64,213</w:t>
            </w:r>
          </w:p>
        </w:tc>
      </w:tr>
      <w:tr>
        <w:trPr>
          <w:trHeight w:val="204"/>
        </w:trPr>
        <w:tc>
          <w:tcPr>
            <w:tcW w:w="606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14,695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994</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15,689</w:t>
            </w:r>
          </w:p>
        </w:tc>
      </w:tr>
      <w:tr>
        <w:trPr>
          <w:trHeight w:val="30"/>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4"/>
        </w:trPr>
        <w:tc>
          <w:tcPr>
            <w:tcW w:w="6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Sales and marketing</w:t>
            </w:r>
          </w:p>
        </w:tc>
        <w:tc>
          <w:tcPr>
            <w:tcW w:w="24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24,391</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2,357</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26,748</w:t>
            </w:r>
          </w:p>
        </w:tc>
      </w:tr>
      <w:tr>
        <w:trPr>
          <w:trHeight w:val="224"/>
        </w:trPr>
        <w:tc>
          <w:tcPr>
            <w:tcW w:w="6060" w:type="dxa"/>
            <w:vAlign w:val="bottom"/>
          </w:tcPr>
          <w:p>
            <w:pPr>
              <w:ind w:left="20"/>
              <w:spacing w:after="0"/>
              <w:rPr>
                <w:sz w:val="20"/>
                <w:szCs w:val="20"/>
                <w:color w:val="auto"/>
              </w:rPr>
            </w:pPr>
            <w:r>
              <w:rPr>
                <w:rFonts w:ascii="Arial" w:cs="Arial" w:eastAsia="Arial" w:hAnsi="Arial"/>
                <w:sz w:val="15"/>
                <w:szCs w:val="15"/>
                <w:color w:val="auto"/>
              </w:rPr>
              <w:t>Amortization of purchased intangibles</w:t>
            </w:r>
          </w:p>
        </w:tc>
        <w:tc>
          <w:tcPr>
            <w:tcW w:w="240" w:type="dxa"/>
            <w:vAlign w:val="bottom"/>
          </w:tcPr>
          <w:p>
            <w:pPr>
              <w:spacing w:after="0"/>
              <w:rPr>
                <w:sz w:val="19"/>
                <w:szCs w:val="19"/>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424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424</w:t>
            </w:r>
          </w:p>
        </w:tc>
      </w:tr>
      <w:tr>
        <w:trPr>
          <w:trHeight w:val="30"/>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4"/>
        </w:trPr>
        <w:tc>
          <w:tcPr>
            <w:tcW w:w="6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Unallocated corporate expenses</w:t>
            </w:r>
          </w:p>
        </w:tc>
        <w:tc>
          <w:tcPr>
            <w:tcW w:w="24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26,178</w:t>
            </w:r>
          </w:p>
        </w:tc>
        <w:tc>
          <w:tcPr>
            <w:tcW w:w="10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26,178</w:t>
            </w:r>
          </w:p>
        </w:tc>
      </w:tr>
      <w:tr>
        <w:trPr>
          <w:trHeight w:val="227"/>
        </w:trPr>
        <w:tc>
          <w:tcPr>
            <w:tcW w:w="6060" w:type="dxa"/>
            <w:vAlign w:val="bottom"/>
          </w:tcPr>
          <w:p>
            <w:pPr>
              <w:ind w:left="260"/>
              <w:spacing w:after="0"/>
              <w:rPr>
                <w:sz w:val="20"/>
                <w:szCs w:val="20"/>
                <w:color w:val="auto"/>
              </w:rPr>
            </w:pPr>
            <w:r>
              <w:rPr>
                <w:rFonts w:ascii="Arial" w:cs="Arial" w:eastAsia="Arial" w:hAnsi="Arial"/>
                <w:sz w:val="15"/>
                <w:szCs w:val="15"/>
                <w:color w:val="auto"/>
              </w:rPr>
              <w:t>Operating income (loss)</w:t>
            </w: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19,827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1,525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(26,178)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(4,826)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Summarized financial information by segment for the nine months ended September 30, 2019, based on the Company’s internal financial reporting system utilized by the Company’s chief operating decision maker, follows (amounts in thousands):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5"/>
                <w:szCs w:val="15"/>
                <w:color w:val="auto"/>
              </w:rPr>
            </w:pPr>
          </w:p>
        </w:tc>
        <w:tc>
          <w:tcPr>
            <w:tcW w:w="960" w:type="dxa"/>
            <w:vAlign w:val="bottom"/>
          </w:tcPr>
          <w:p>
            <w:pPr>
              <w:jc w:val="right"/>
              <w:ind w:right="85"/>
              <w:spacing w:after="0"/>
              <w:rPr>
                <w:sz w:val="20"/>
                <w:szCs w:val="20"/>
                <w:color w:val="auto"/>
              </w:rPr>
            </w:pPr>
            <w:r>
              <w:rPr>
                <w:rFonts w:ascii="Arial" w:cs="Arial" w:eastAsia="Arial" w:hAnsi="Arial"/>
                <w:sz w:val="14"/>
                <w:szCs w:val="14"/>
                <w:b w:val="1"/>
                <w:bCs w:val="1"/>
                <w:color w:val="auto"/>
                <w:w w:val="87"/>
              </w:rPr>
              <w:t>Consolidated</w:t>
            </w:r>
          </w:p>
        </w:tc>
      </w:tr>
      <w:tr>
        <w:trPr>
          <w:trHeight w:val="232"/>
        </w:trPr>
        <w:tc>
          <w:tcPr>
            <w:tcW w:w="61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02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0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96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140" w:type="dxa"/>
            <w:vAlign w:val="bottom"/>
          </w:tcPr>
          <w:p>
            <w:pPr>
              <w:ind w:left="160"/>
              <w:spacing w:after="0"/>
              <w:rPr>
                <w:sz w:val="20"/>
                <w:szCs w:val="20"/>
                <w:color w:val="auto"/>
              </w:rPr>
            </w:pPr>
            <w:r>
              <w:rPr>
                <w:rFonts w:ascii="Arial" w:cs="Arial" w:eastAsia="Arial" w:hAnsi="Arial"/>
                <w:sz w:val="15"/>
                <w:szCs w:val="15"/>
                <w:color w:val="auto"/>
              </w:rPr>
              <w:t>Hosted services – Business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163,033</w:t>
            </w:r>
          </w:p>
        </w:tc>
        <w:tc>
          <w:tcPr>
            <w:tcW w:w="12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163,033</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Hosted services – Consumer</w:t>
            </w:r>
          </w:p>
        </w:tc>
        <w:tc>
          <w:tcPr>
            <w:tcW w:w="24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18,235</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18,235</w:t>
            </w:r>
          </w:p>
        </w:tc>
      </w:tr>
      <w:tr>
        <w:trPr>
          <w:trHeight w:val="224"/>
        </w:trPr>
        <w:tc>
          <w:tcPr>
            <w:tcW w:w="6140" w:type="dxa"/>
            <w:vAlign w:val="bottom"/>
          </w:tcPr>
          <w:p>
            <w:pPr>
              <w:ind w:left="160"/>
              <w:spacing w:after="0"/>
              <w:rPr>
                <w:sz w:val="20"/>
                <w:szCs w:val="20"/>
                <w:color w:val="auto"/>
              </w:rPr>
            </w:pPr>
            <w:r>
              <w:rPr>
                <w:rFonts w:ascii="Arial" w:cs="Arial" w:eastAsia="Arial" w:hAnsi="Arial"/>
                <w:sz w:val="15"/>
                <w:szCs w:val="15"/>
                <w:color w:val="auto"/>
              </w:rPr>
              <w:t>Professional services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31,268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31,268</w:t>
            </w:r>
          </w:p>
        </w:tc>
      </w:tr>
      <w:tr>
        <w:trPr>
          <w:trHeight w:val="30"/>
        </w:trPr>
        <w:tc>
          <w:tcPr>
            <w:tcW w:w="61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194,301</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18,235</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212,536</w:t>
            </w:r>
          </w:p>
        </w:tc>
      </w:tr>
      <w:tr>
        <w:trPr>
          <w:trHeight w:val="204"/>
        </w:trPr>
        <w:tc>
          <w:tcPr>
            <w:tcW w:w="614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53,572</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3,246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56,818</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Sales and marketing</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103,171</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10,982</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114,153</w:t>
            </w:r>
          </w:p>
        </w:tc>
      </w:tr>
      <w:tr>
        <w:trPr>
          <w:trHeight w:val="224"/>
        </w:trPr>
        <w:tc>
          <w:tcPr>
            <w:tcW w:w="6140" w:type="dxa"/>
            <w:vAlign w:val="bottom"/>
          </w:tcPr>
          <w:p>
            <w:pPr>
              <w:ind w:left="20"/>
              <w:spacing w:after="0"/>
              <w:rPr>
                <w:sz w:val="20"/>
                <w:szCs w:val="20"/>
                <w:color w:val="auto"/>
              </w:rPr>
            </w:pPr>
            <w:r>
              <w:rPr>
                <w:rFonts w:ascii="Arial" w:cs="Arial" w:eastAsia="Arial" w:hAnsi="Arial"/>
                <w:sz w:val="15"/>
                <w:szCs w:val="15"/>
                <w:color w:val="auto"/>
              </w:rPr>
              <w:t>Amortization of purchased intangibles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1,346</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4"/>
        </w:trPr>
        <w:tc>
          <w:tcPr>
            <w:tcW w:w="6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Unallocated corporate expenses</w:t>
            </w:r>
          </w:p>
        </w:tc>
        <w:tc>
          <w:tcPr>
            <w:tcW w:w="2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102,730</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102,730</w:t>
            </w:r>
          </w:p>
        </w:tc>
      </w:tr>
      <w:tr>
        <w:trPr>
          <w:trHeight w:val="227"/>
        </w:trPr>
        <w:tc>
          <w:tcPr>
            <w:tcW w:w="6140" w:type="dxa"/>
            <w:vAlign w:val="bottom"/>
          </w:tcPr>
          <w:p>
            <w:pPr>
              <w:ind w:left="260"/>
              <w:spacing w:after="0"/>
              <w:rPr>
                <w:sz w:val="20"/>
                <w:szCs w:val="20"/>
                <w:color w:val="auto"/>
              </w:rPr>
            </w:pPr>
            <w:r>
              <w:rPr>
                <w:rFonts w:ascii="Arial" w:cs="Arial" w:eastAsia="Arial" w:hAnsi="Arial"/>
                <w:sz w:val="15"/>
                <w:szCs w:val="15"/>
                <w:color w:val="auto"/>
              </w:rPr>
              <w:t>Operating income (loss)</w:t>
            </w: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36,212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4,007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(102,730)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(62,511)</w:t>
            </w: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610"/>
        <w:spacing w:after="0" w:line="273" w:lineRule="auto"/>
        <w:rPr>
          <w:sz w:val="20"/>
          <w:szCs w:val="20"/>
          <w:color w:val="auto"/>
        </w:rPr>
      </w:pPr>
      <w:r>
        <w:rPr>
          <w:rFonts w:ascii="Arial" w:cs="Arial" w:eastAsia="Arial" w:hAnsi="Arial"/>
          <w:sz w:val="17"/>
          <w:szCs w:val="17"/>
          <w:color w:val="auto"/>
        </w:rPr>
        <w:t>Summarized financial information by segment for the nine months ended September 30, 2018, based on the Company’s internal financial reporting system utilized by the Company’s chief operating decision maker, follows (amounts in thousands):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5"/>
                <w:szCs w:val="15"/>
                <w:color w:val="auto"/>
              </w:rPr>
            </w:pPr>
          </w:p>
        </w:tc>
        <w:tc>
          <w:tcPr>
            <w:tcW w:w="960" w:type="dxa"/>
            <w:vAlign w:val="bottom"/>
          </w:tcPr>
          <w:p>
            <w:pPr>
              <w:jc w:val="right"/>
              <w:ind w:right="85"/>
              <w:spacing w:after="0"/>
              <w:rPr>
                <w:sz w:val="20"/>
                <w:szCs w:val="20"/>
                <w:color w:val="auto"/>
              </w:rPr>
            </w:pPr>
            <w:r>
              <w:rPr>
                <w:rFonts w:ascii="Arial" w:cs="Arial" w:eastAsia="Arial" w:hAnsi="Arial"/>
                <w:sz w:val="14"/>
                <w:szCs w:val="14"/>
                <w:b w:val="1"/>
                <w:bCs w:val="1"/>
                <w:color w:val="auto"/>
                <w:w w:val="87"/>
              </w:rPr>
              <w:t>Consolidated</w:t>
            </w:r>
          </w:p>
        </w:tc>
      </w:tr>
      <w:tr>
        <w:trPr>
          <w:trHeight w:val="232"/>
        </w:trPr>
        <w:tc>
          <w:tcPr>
            <w:tcW w:w="61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Revenue:</w:t>
            </w:r>
          </w:p>
        </w:tc>
        <w:tc>
          <w:tcPr>
            <w:tcW w:w="240" w:type="dxa"/>
            <w:vAlign w:val="bottom"/>
            <w:tcBorders>
              <w:top w:val="single" w:sz="8" w:color="auto"/>
              <w:bottom w:val="single" w:sz="8" w:color="CCFFCC"/>
            </w:tcBorders>
            <w:shd w:val="clear" w:color="auto" w:fill="CCFFCC"/>
          </w:tcPr>
          <w:p>
            <w:pPr>
              <w:spacing w:after="0"/>
              <w:rPr>
                <w:sz w:val="20"/>
                <w:szCs w:val="20"/>
                <w:color w:val="auto"/>
              </w:rPr>
            </w:pPr>
          </w:p>
        </w:tc>
        <w:tc>
          <w:tcPr>
            <w:tcW w:w="102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0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96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140" w:type="dxa"/>
            <w:vAlign w:val="bottom"/>
          </w:tcPr>
          <w:p>
            <w:pPr>
              <w:ind w:left="160"/>
              <w:spacing w:after="0"/>
              <w:rPr>
                <w:sz w:val="20"/>
                <w:szCs w:val="20"/>
                <w:color w:val="auto"/>
              </w:rPr>
            </w:pPr>
            <w:r>
              <w:rPr>
                <w:rFonts w:ascii="Arial" w:cs="Arial" w:eastAsia="Arial" w:hAnsi="Arial"/>
                <w:sz w:val="15"/>
                <w:szCs w:val="15"/>
                <w:color w:val="auto"/>
              </w:rPr>
              <w:t>Hosted services – Business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145,805</w:t>
            </w:r>
          </w:p>
        </w:tc>
        <w:tc>
          <w:tcPr>
            <w:tcW w:w="12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145,805</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Hosted services – Consumer</w:t>
            </w:r>
          </w:p>
        </w:tc>
        <w:tc>
          <w:tcPr>
            <w:tcW w:w="24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14,508</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14,508</w:t>
            </w:r>
          </w:p>
        </w:tc>
      </w:tr>
      <w:tr>
        <w:trPr>
          <w:trHeight w:val="224"/>
        </w:trPr>
        <w:tc>
          <w:tcPr>
            <w:tcW w:w="6140" w:type="dxa"/>
            <w:vAlign w:val="bottom"/>
          </w:tcPr>
          <w:p>
            <w:pPr>
              <w:ind w:left="160"/>
              <w:spacing w:after="0"/>
              <w:rPr>
                <w:sz w:val="20"/>
                <w:szCs w:val="20"/>
                <w:color w:val="auto"/>
              </w:rPr>
            </w:pPr>
            <w:r>
              <w:rPr>
                <w:rFonts w:ascii="Arial" w:cs="Arial" w:eastAsia="Arial" w:hAnsi="Arial"/>
                <w:sz w:val="15"/>
                <w:szCs w:val="15"/>
                <w:color w:val="auto"/>
              </w:rPr>
              <w:t>Professional services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23,801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23,801</w:t>
            </w:r>
          </w:p>
        </w:tc>
      </w:tr>
      <w:tr>
        <w:trPr>
          <w:trHeight w:val="30"/>
        </w:trPr>
        <w:tc>
          <w:tcPr>
            <w:tcW w:w="614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169,606</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14,508</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184,114</w:t>
            </w:r>
          </w:p>
        </w:tc>
      </w:tr>
      <w:tr>
        <w:trPr>
          <w:trHeight w:val="204"/>
        </w:trPr>
        <w:tc>
          <w:tcPr>
            <w:tcW w:w="6140" w:type="dxa"/>
            <w:vAlign w:val="bottom"/>
          </w:tcPr>
          <w:p>
            <w:pPr>
              <w:ind w:left="20"/>
              <w:spacing w:after="0"/>
              <w:rPr>
                <w:sz w:val="20"/>
                <w:szCs w:val="20"/>
                <w:color w:val="auto"/>
              </w:rPr>
            </w:pPr>
            <w:r>
              <w:rPr>
                <w:rFonts w:ascii="Arial" w:cs="Arial" w:eastAsia="Arial" w:hAnsi="Arial"/>
                <w:sz w:val="15"/>
                <w:szCs w:val="15"/>
                <w:color w:val="auto"/>
              </w:rPr>
              <w:t>Cost of revenue</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42,699</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2,980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45,679</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6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Sales and marketing</w:t>
            </w: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69,453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6,818</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76,271</w:t>
            </w:r>
          </w:p>
        </w:tc>
      </w:tr>
      <w:tr>
        <w:trPr>
          <w:trHeight w:val="224"/>
        </w:trPr>
        <w:tc>
          <w:tcPr>
            <w:tcW w:w="6140" w:type="dxa"/>
            <w:vAlign w:val="bottom"/>
          </w:tcPr>
          <w:p>
            <w:pPr>
              <w:ind w:left="20"/>
              <w:spacing w:after="0"/>
              <w:rPr>
                <w:sz w:val="20"/>
                <w:szCs w:val="20"/>
                <w:color w:val="auto"/>
              </w:rPr>
            </w:pPr>
            <w:r>
              <w:rPr>
                <w:rFonts w:ascii="Arial" w:cs="Arial" w:eastAsia="Arial" w:hAnsi="Arial"/>
                <w:sz w:val="15"/>
                <w:szCs w:val="15"/>
                <w:color w:val="auto"/>
              </w:rPr>
              <w:t>Amortization of purchased intangibles</w:t>
            </w:r>
          </w:p>
        </w:tc>
        <w:tc>
          <w:tcPr>
            <w:tcW w:w="24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1,272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1,272</w:t>
            </w:r>
          </w:p>
        </w:tc>
      </w:tr>
      <w:tr>
        <w:trPr>
          <w:trHeight w:val="30"/>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4"/>
        </w:trPr>
        <w:tc>
          <w:tcPr>
            <w:tcW w:w="6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Unallocated corporate expenses</w:t>
            </w:r>
          </w:p>
        </w:tc>
        <w:tc>
          <w:tcPr>
            <w:tcW w:w="2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77,355</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77,355</w:t>
            </w:r>
          </w:p>
        </w:tc>
      </w:tr>
      <w:tr>
        <w:trPr>
          <w:trHeight w:val="227"/>
        </w:trPr>
        <w:tc>
          <w:tcPr>
            <w:tcW w:w="6140" w:type="dxa"/>
            <w:vAlign w:val="bottom"/>
          </w:tcPr>
          <w:p>
            <w:pPr>
              <w:ind w:left="260"/>
              <w:spacing w:after="0"/>
              <w:rPr>
                <w:sz w:val="20"/>
                <w:szCs w:val="20"/>
                <w:color w:val="auto"/>
              </w:rPr>
            </w:pPr>
            <w:r>
              <w:rPr>
                <w:rFonts w:ascii="Arial" w:cs="Arial" w:eastAsia="Arial" w:hAnsi="Arial"/>
                <w:sz w:val="15"/>
                <w:szCs w:val="15"/>
                <w:color w:val="auto"/>
              </w:rPr>
              <w:t>Operating income (loss)</w:t>
            </w: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56,182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4,710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(77,355)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(16,463)</w:t>
            </w: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Information</w:t>
      </w:r>
    </w:p>
    <w:p>
      <w:pPr>
        <w:spacing w:after="0" w:line="11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Company is domiciled in the United States and has international operations in Israel, the United Kingdom, Asia-Pacific and Australia, Latin America and Western Europe, particularly France, Germany and the Netherlands. The following table presents the Company’s long-lived assets by geographic region as of the dates presented (amounts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66"/>
              <w:spacing w:after="0"/>
              <w:rPr>
                <w:sz w:val="20"/>
                <w:szCs w:val="20"/>
                <w:color w:val="auto"/>
              </w:rPr>
            </w:pPr>
            <w:r>
              <w:rPr>
                <w:rFonts w:ascii="Arial" w:cs="Arial" w:eastAsia="Arial" w:hAnsi="Arial"/>
                <w:sz w:val="14"/>
                <w:szCs w:val="14"/>
                <w:b w:val="1"/>
                <w:bCs w:val="1"/>
                <w:color w:val="auto"/>
                <w:w w:val="98"/>
              </w:rPr>
              <w:t>December 31,</w:t>
            </w:r>
          </w:p>
        </w:tc>
      </w:tr>
      <w:tr>
        <w:trPr>
          <w:trHeight w:val="260"/>
        </w:trPr>
        <w:tc>
          <w:tcPr>
            <w:tcW w:w="83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2018</w:t>
            </w:r>
          </w:p>
        </w:tc>
      </w:tr>
      <w:tr>
        <w:trPr>
          <w:trHeight w:val="220"/>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United States</w:t>
            </w: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FFCC"/>
            </w:tcBorders>
            <w:shd w:val="clear" w:color="auto" w:fill="CCFFCC"/>
          </w:tcPr>
          <w:p>
            <w:pPr>
              <w:jc w:val="right"/>
              <w:ind w:right="46"/>
              <w:spacing w:after="0"/>
              <w:rPr>
                <w:sz w:val="20"/>
                <w:szCs w:val="20"/>
                <w:color w:val="auto"/>
              </w:rPr>
            </w:pPr>
            <w:r>
              <w:rPr>
                <w:rFonts w:ascii="Arial" w:cs="Arial" w:eastAsia="Arial" w:hAnsi="Arial"/>
                <w:sz w:val="15"/>
                <w:szCs w:val="15"/>
                <w:color w:val="auto"/>
              </w:rPr>
              <w:t>148,284</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122,019</w:t>
            </w:r>
          </w:p>
        </w:tc>
      </w:tr>
      <w:tr>
        <w:trPr>
          <w:trHeight w:val="224"/>
        </w:trPr>
        <w:tc>
          <w:tcPr>
            <w:tcW w:w="8320" w:type="dxa"/>
            <w:vAlign w:val="bottom"/>
          </w:tcPr>
          <w:p>
            <w:pPr>
              <w:ind w:left="20"/>
              <w:spacing w:after="0"/>
              <w:rPr>
                <w:sz w:val="20"/>
                <w:szCs w:val="20"/>
                <w:color w:val="auto"/>
              </w:rPr>
            </w:pPr>
            <w:r>
              <w:rPr>
                <w:rFonts w:ascii="Arial" w:cs="Arial" w:eastAsia="Arial" w:hAnsi="Arial"/>
                <w:sz w:val="15"/>
                <w:szCs w:val="15"/>
                <w:color w:val="auto"/>
              </w:rPr>
              <w:t>Israel</w:t>
            </w:r>
          </w:p>
        </w:tc>
        <w:tc>
          <w:tcPr>
            <w:tcW w:w="22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5"/>
                <w:szCs w:val="15"/>
                <w:color w:val="auto"/>
              </w:rPr>
              <w:t>16,276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13,598</w:t>
            </w:r>
          </w:p>
        </w:tc>
      </w:tr>
      <w:tr>
        <w:trPr>
          <w:trHeight w:val="30"/>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Australia</w:t>
            </w:r>
          </w:p>
        </w:tc>
        <w:tc>
          <w:tcPr>
            <w:tcW w:w="22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6"/>
              <w:spacing w:after="0"/>
              <w:rPr>
                <w:sz w:val="20"/>
                <w:szCs w:val="20"/>
                <w:color w:val="auto"/>
              </w:rPr>
            </w:pPr>
            <w:r>
              <w:rPr>
                <w:rFonts w:ascii="Arial" w:cs="Arial" w:eastAsia="Arial" w:hAnsi="Arial"/>
                <w:sz w:val="15"/>
                <w:szCs w:val="15"/>
                <w:color w:val="auto"/>
              </w:rPr>
              <w:t>9,992</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8,970</w:t>
            </w:r>
          </w:p>
        </w:tc>
      </w:tr>
      <w:tr>
        <w:trPr>
          <w:trHeight w:val="224"/>
        </w:trPr>
        <w:tc>
          <w:tcPr>
            <w:tcW w:w="8320" w:type="dxa"/>
            <w:vAlign w:val="bottom"/>
          </w:tcPr>
          <w:p>
            <w:pPr>
              <w:ind w:left="20"/>
              <w:spacing w:after="0"/>
              <w:rPr>
                <w:sz w:val="20"/>
                <w:szCs w:val="20"/>
                <w:color w:val="auto"/>
              </w:rPr>
            </w:pPr>
            <w:r>
              <w:rPr>
                <w:rFonts w:ascii="Arial" w:cs="Arial" w:eastAsia="Arial" w:hAnsi="Arial"/>
                <w:sz w:val="15"/>
                <w:szCs w:val="15"/>
                <w:color w:val="auto"/>
              </w:rPr>
              <w:t>Netherlands</w:t>
            </w:r>
          </w:p>
        </w:tc>
        <w:tc>
          <w:tcPr>
            <w:tcW w:w="22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5"/>
                <w:szCs w:val="15"/>
                <w:color w:val="auto"/>
              </w:rPr>
              <w:t>7,657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7,426</w:t>
            </w:r>
          </w:p>
        </w:tc>
      </w:tr>
      <w:tr>
        <w:trPr>
          <w:trHeight w:val="30"/>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20" w:type="dxa"/>
            <w:vAlign w:val="bottom"/>
            <w:shd w:val="clear" w:color="auto" w:fill="CCFFCC"/>
          </w:tcPr>
          <w:p>
            <w:pPr>
              <w:ind w:left="2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20"/>
                <w:szCs w:val="20"/>
                <w:color w:val="auto"/>
                <w:vertAlign w:val="superscript"/>
              </w:rPr>
              <w:t>(1)</w:t>
            </w:r>
          </w:p>
        </w:tc>
        <w:tc>
          <w:tcPr>
            <w:tcW w:w="220" w:type="dxa"/>
            <w:vAlign w:val="bottom"/>
            <w:tcBorders>
              <w:bottom w:val="single" w:sz="8" w:color="auto"/>
            </w:tcBorders>
            <w:shd w:val="clear" w:color="auto" w:fill="CCFFCC"/>
          </w:tcPr>
          <w:p>
            <w:pPr>
              <w:spacing w:after="0"/>
              <w:rPr>
                <w:sz w:val="22"/>
                <w:szCs w:val="22"/>
                <w:color w:val="auto"/>
              </w:rPr>
            </w:pPr>
          </w:p>
        </w:tc>
        <w:tc>
          <w:tcPr>
            <w:tcW w:w="1280" w:type="dxa"/>
            <w:vAlign w:val="bottom"/>
            <w:tcBorders>
              <w:bottom w:val="single" w:sz="8" w:color="auto"/>
            </w:tcBorders>
            <w:shd w:val="clear" w:color="auto" w:fill="CCFFCC"/>
          </w:tcPr>
          <w:p>
            <w:pPr>
              <w:jc w:val="right"/>
              <w:ind w:right="46"/>
              <w:spacing w:after="0"/>
              <w:rPr>
                <w:sz w:val="20"/>
                <w:szCs w:val="20"/>
                <w:color w:val="auto"/>
              </w:rPr>
            </w:pPr>
            <w:r>
              <w:rPr>
                <w:rFonts w:ascii="Arial" w:cs="Arial" w:eastAsia="Arial" w:hAnsi="Arial"/>
                <w:sz w:val="15"/>
                <w:szCs w:val="15"/>
                <w:color w:val="auto"/>
              </w:rPr>
              <w:t>8,975</w:t>
            </w:r>
          </w:p>
        </w:tc>
        <w:tc>
          <w:tcPr>
            <w:tcW w:w="100" w:type="dxa"/>
            <w:vAlign w:val="bottom"/>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spacing w:after="0"/>
              <w:rPr>
                <w:sz w:val="22"/>
                <w:szCs w:val="22"/>
                <w:color w:val="auto"/>
              </w:rPr>
            </w:pPr>
          </w:p>
        </w:tc>
        <w:tc>
          <w:tcPr>
            <w:tcW w:w="1260" w:type="dxa"/>
            <w:vAlign w:val="bottom"/>
            <w:tcBorders>
              <w:bottom w:val="single" w:sz="8" w:color="auto"/>
            </w:tcBorders>
            <w:shd w:val="clear" w:color="auto" w:fill="CCFFCC"/>
          </w:tcPr>
          <w:p>
            <w:pPr>
              <w:jc w:val="right"/>
              <w:ind w:right="26"/>
              <w:spacing w:after="0"/>
              <w:rPr>
                <w:sz w:val="20"/>
                <w:szCs w:val="20"/>
                <w:color w:val="auto"/>
              </w:rPr>
            </w:pPr>
            <w:r>
              <w:rPr>
                <w:rFonts w:ascii="Arial" w:cs="Arial" w:eastAsia="Arial" w:hAnsi="Arial"/>
                <w:sz w:val="15"/>
                <w:szCs w:val="15"/>
                <w:color w:val="auto"/>
              </w:rPr>
              <w:t>3,130</w:t>
            </w:r>
          </w:p>
        </w:tc>
      </w:tr>
      <w:tr>
        <w:trPr>
          <w:trHeight w:val="227"/>
        </w:trPr>
        <w:tc>
          <w:tcPr>
            <w:tcW w:w="8320" w:type="dxa"/>
            <w:vAlign w:val="bottom"/>
          </w:tcPr>
          <w:p>
            <w:pPr>
              <w:ind w:left="260"/>
              <w:spacing w:after="0"/>
              <w:rPr>
                <w:sz w:val="20"/>
                <w:szCs w:val="20"/>
                <w:color w:val="auto"/>
              </w:rPr>
            </w:pPr>
            <w:r>
              <w:rPr>
                <w:rFonts w:ascii="Arial" w:cs="Arial" w:eastAsia="Arial" w:hAnsi="Arial"/>
                <w:sz w:val="15"/>
                <w:szCs w:val="15"/>
                <w:color w:val="auto"/>
              </w:rPr>
              <w:t>Total long-lived assets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191,182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155,143</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160" w:hanging="158"/>
        <w:spacing w:after="0"/>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United Kingdom, Germany, Japan, France and Italy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Goodwill and Intangible Assets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the carrying amount of goodwill for the nine months ended September 30, 2019 are as follows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Business</w:t>
            </w:r>
          </w:p>
        </w:tc>
        <w:tc>
          <w:tcPr>
            <w:tcW w:w="28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5"/>
                <w:szCs w:val="15"/>
                <w:color w:val="auto"/>
              </w:rPr>
            </w:pPr>
          </w:p>
        </w:tc>
        <w:tc>
          <w:tcPr>
            <w:tcW w:w="1240" w:type="dxa"/>
            <w:vAlign w:val="bottom"/>
          </w:tcPr>
          <w:p>
            <w:pPr>
              <w:jc w:val="right"/>
              <w:ind w:right="266"/>
              <w:spacing w:after="0"/>
              <w:rPr>
                <w:sz w:val="20"/>
                <w:szCs w:val="20"/>
                <w:color w:val="auto"/>
              </w:rPr>
            </w:pPr>
            <w:r>
              <w:rPr>
                <w:rFonts w:ascii="Arial" w:cs="Arial" w:eastAsia="Arial" w:hAnsi="Arial"/>
                <w:sz w:val="14"/>
                <w:szCs w:val="14"/>
                <w:b w:val="1"/>
                <w:bCs w:val="1"/>
                <w:color w:val="auto"/>
                <w:w w:val="99"/>
              </w:rPr>
              <w:t>Consolidated</w:t>
            </w:r>
          </w:p>
        </w:tc>
      </w:tr>
      <w:tr>
        <w:trPr>
          <w:trHeight w:val="220"/>
        </w:trPr>
        <w:tc>
          <w:tcPr>
            <w:tcW w:w="674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Balance as of December 31, 2018</w:t>
            </w:r>
          </w:p>
        </w:tc>
        <w:tc>
          <w:tcPr>
            <w:tcW w:w="300" w:type="dxa"/>
            <w:vAlign w:val="bottom"/>
            <w:tcBorders>
              <w:top w:val="single" w:sz="8" w:color="auto"/>
              <w:bottom w:val="single" w:sz="8" w:color="CCFFCC"/>
            </w:tcBorders>
            <w:shd w:val="clear" w:color="auto" w:fill="CCFFCC"/>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CCFFCC"/>
            </w:tcBorders>
            <w:shd w:val="clear" w:color="auto" w:fill="CCFFCC"/>
          </w:tcPr>
          <w:p>
            <w:pPr>
              <w:jc w:val="right"/>
              <w:ind w:right="46"/>
              <w:spacing w:after="0"/>
              <w:rPr>
                <w:sz w:val="20"/>
                <w:szCs w:val="20"/>
                <w:color w:val="auto"/>
              </w:rPr>
            </w:pPr>
            <w:r>
              <w:rPr>
                <w:rFonts w:ascii="Arial" w:cs="Arial" w:eastAsia="Arial" w:hAnsi="Arial"/>
                <w:sz w:val="15"/>
                <w:szCs w:val="15"/>
                <w:color w:val="auto"/>
              </w:rPr>
              <w:t>87,007</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CCFFCC"/>
            </w:tcBorders>
            <w:shd w:val="clear" w:color="auto" w:fill="CCFFCC"/>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8,024</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95,031</w:t>
            </w:r>
          </w:p>
        </w:tc>
      </w:tr>
      <w:tr>
        <w:trPr>
          <w:trHeight w:val="224"/>
        </w:trPr>
        <w:tc>
          <w:tcPr>
            <w:tcW w:w="6740" w:type="dxa"/>
            <w:vAlign w:val="bottom"/>
          </w:tcPr>
          <w:p>
            <w:pPr>
              <w:ind w:left="160"/>
              <w:spacing w:after="0"/>
              <w:rPr>
                <w:sz w:val="20"/>
                <w:szCs w:val="20"/>
                <w:color w:val="auto"/>
              </w:rPr>
            </w:pPr>
            <w:r>
              <w:rPr>
                <w:rFonts w:ascii="Arial" w:cs="Arial" w:eastAsia="Arial" w:hAnsi="Arial"/>
                <w:sz w:val="15"/>
                <w:szCs w:val="15"/>
                <w:color w:val="auto"/>
              </w:rPr>
              <w:t>Adjustments to goodwill:</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4"/>
        </w:trPr>
        <w:tc>
          <w:tcPr>
            <w:tcW w:w="674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Foreign exchange adjustment</w:t>
            </w:r>
          </w:p>
        </w:tc>
        <w:tc>
          <w:tcPr>
            <w:tcW w:w="30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(103)</w:t>
            </w:r>
          </w:p>
        </w:tc>
        <w:tc>
          <w:tcPr>
            <w:tcW w:w="12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spacing w:after="0"/>
              <w:rPr>
                <w:sz w:val="22"/>
                <w:szCs w:val="22"/>
                <w:color w:val="auto"/>
              </w:rPr>
            </w:pPr>
          </w:p>
        </w:tc>
        <w:tc>
          <w:tcPr>
            <w:tcW w:w="13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(103)</w:t>
            </w:r>
          </w:p>
        </w:tc>
      </w:tr>
      <w:tr>
        <w:trPr>
          <w:trHeight w:val="227"/>
        </w:trPr>
        <w:tc>
          <w:tcPr>
            <w:tcW w:w="6740" w:type="dxa"/>
            <w:vAlign w:val="bottom"/>
          </w:tcPr>
          <w:p>
            <w:pPr>
              <w:ind w:left="20"/>
              <w:spacing w:after="0"/>
              <w:rPr>
                <w:sz w:val="20"/>
                <w:szCs w:val="20"/>
                <w:color w:val="auto"/>
              </w:rPr>
            </w:pPr>
            <w:r>
              <w:rPr>
                <w:rFonts w:ascii="Arial" w:cs="Arial" w:eastAsia="Arial" w:hAnsi="Arial"/>
                <w:sz w:val="15"/>
                <w:szCs w:val="15"/>
                <w:color w:val="auto"/>
              </w:rPr>
              <w:t>Balance as of September 30, 2019</w:t>
            </w: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86,904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8,024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94,928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are summarized as follows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As of September 30, 2019</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3"/>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Weighted</w:t>
            </w: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Average</w:t>
            </w: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120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Amortization</w:t>
            </w:r>
          </w:p>
        </w:tc>
      </w:tr>
      <w:tr>
        <w:trPr>
          <w:trHeight w:val="180"/>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740" w:type="dxa"/>
            <w:vAlign w:val="bottom"/>
          </w:tcPr>
          <w:p>
            <w:pPr>
              <w:jc w:val="right"/>
              <w:ind w:right="14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32"/>
        </w:trPr>
        <w:tc>
          <w:tcPr>
            <w:tcW w:w="68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76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spacing w:after="0"/>
              <w:rPr>
                <w:sz w:val="20"/>
                <w:szCs w:val="20"/>
                <w:color w:val="auto"/>
              </w:rPr>
            </w:pPr>
          </w:p>
        </w:tc>
        <w:tc>
          <w:tcPr>
            <w:tcW w:w="108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CCFFCC"/>
            </w:tcBorders>
            <w:shd w:val="clear" w:color="auto" w:fill="CCFFCC"/>
          </w:tcPr>
          <w:p>
            <w:pPr>
              <w:spacing w:after="0"/>
              <w:rPr>
                <w:sz w:val="20"/>
                <w:szCs w:val="20"/>
                <w:color w:val="auto"/>
              </w:rPr>
            </w:pPr>
          </w:p>
        </w:tc>
        <w:tc>
          <w:tcPr>
            <w:tcW w:w="7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14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860" w:type="dxa"/>
            <w:vAlign w:val="bottom"/>
          </w:tcPr>
          <w:p>
            <w:pPr>
              <w:ind w:left="160"/>
              <w:spacing w:after="0"/>
              <w:rPr>
                <w:sz w:val="20"/>
                <w:szCs w:val="20"/>
                <w:color w:val="auto"/>
              </w:rPr>
            </w:pPr>
            <w:r>
              <w:rPr>
                <w:rFonts w:ascii="Arial" w:cs="Arial" w:eastAsia="Arial" w:hAnsi="Arial"/>
                <w:sz w:val="15"/>
                <w:szCs w:val="15"/>
                <w:color w:val="auto"/>
              </w:rPr>
              <w:t>Technology</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30,389</w:t>
            </w:r>
          </w:p>
        </w:tc>
        <w:tc>
          <w:tcPr>
            <w:tcW w:w="12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(24,780)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5,609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 years</w:t>
            </w: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4"/>
        </w:trPr>
        <w:tc>
          <w:tcPr>
            <w:tcW w:w="6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Customer relationships</w:t>
            </w:r>
          </w:p>
        </w:tc>
        <w:tc>
          <w:tcPr>
            <w:tcW w:w="14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16,959</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(12,659)</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4,300</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8.4 years</w:t>
            </w:r>
          </w:p>
        </w:tc>
      </w:tr>
      <w:tr>
        <w:trPr>
          <w:trHeight w:val="224"/>
        </w:trPr>
        <w:tc>
          <w:tcPr>
            <w:tcW w:w="6860" w:type="dxa"/>
            <w:vAlign w:val="bottom"/>
          </w:tcPr>
          <w:p>
            <w:pPr>
              <w:ind w:left="160"/>
              <w:spacing w:after="0"/>
              <w:rPr>
                <w:sz w:val="20"/>
                <w:szCs w:val="20"/>
                <w:color w:val="auto"/>
              </w:rPr>
            </w:pPr>
            <w:r>
              <w:rPr>
                <w:rFonts w:ascii="Arial" w:cs="Arial" w:eastAsia="Arial" w:hAnsi="Arial"/>
                <w:sz w:val="15"/>
                <w:szCs w:val="15"/>
                <w:color w:val="auto"/>
              </w:rPr>
              <w:t>Patents</w:t>
            </w:r>
          </w:p>
        </w:tc>
        <w:tc>
          <w:tcPr>
            <w:tcW w:w="140" w:type="dxa"/>
            <w:vAlign w:val="bottom"/>
          </w:tcPr>
          <w:p>
            <w:pPr>
              <w:spacing w:after="0"/>
              <w:rPr>
                <w:sz w:val="19"/>
                <w:szCs w:val="19"/>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3,036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2,367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12.7 years</w:t>
            </w: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4"/>
        </w:trPr>
        <w:tc>
          <w:tcPr>
            <w:tcW w:w="6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CCFFCC"/>
            </w:tcBorders>
            <w:shd w:val="clear" w:color="auto" w:fill="CCFFCC"/>
          </w:tcPr>
          <w:p>
            <w:pPr>
              <w:spacing w:after="0"/>
              <w:rPr>
                <w:sz w:val="22"/>
                <w:szCs w:val="22"/>
                <w:color w:val="auto"/>
              </w:rPr>
            </w:pPr>
          </w:p>
        </w:tc>
        <w:tc>
          <w:tcPr>
            <w:tcW w:w="7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262</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(235)</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2.7 years</w:t>
            </w:r>
          </w:p>
        </w:tc>
      </w:tr>
      <w:tr>
        <w:trPr>
          <w:trHeight w:val="227"/>
        </w:trPr>
        <w:tc>
          <w:tcPr>
            <w:tcW w:w="6860" w:type="dxa"/>
            <w:vAlign w:val="bottom"/>
          </w:tcPr>
          <w:p>
            <w:pPr>
              <w:ind w:left="2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50,646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(38,343)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12,303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As of December 31, 2018</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3"/>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Weighted</w:t>
            </w: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6"/>
              </w:rPr>
              <w:t>Average</w:t>
            </w:r>
          </w:p>
        </w:tc>
      </w:tr>
      <w:tr>
        <w:trPr>
          <w:trHeight w:val="140"/>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120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1"/>
              </w:rPr>
              <w:t>Amortization</w:t>
            </w:r>
          </w:p>
        </w:tc>
      </w:tr>
      <w:tr>
        <w:trPr>
          <w:trHeight w:val="180"/>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740" w:type="dxa"/>
            <w:vAlign w:val="bottom"/>
          </w:tcPr>
          <w:p>
            <w:pPr>
              <w:jc w:val="right"/>
              <w:ind w:right="14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32"/>
        </w:trPr>
        <w:tc>
          <w:tcPr>
            <w:tcW w:w="68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0"/>
                <w:szCs w:val="20"/>
                <w:color w:val="auto"/>
              </w:rPr>
            </w:pPr>
          </w:p>
        </w:tc>
        <w:tc>
          <w:tcPr>
            <w:tcW w:w="76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spacing w:after="0"/>
              <w:rPr>
                <w:sz w:val="20"/>
                <w:szCs w:val="20"/>
                <w:color w:val="auto"/>
              </w:rPr>
            </w:pPr>
          </w:p>
        </w:tc>
        <w:tc>
          <w:tcPr>
            <w:tcW w:w="1080" w:type="dxa"/>
            <w:vAlign w:val="bottom"/>
            <w:tcBorders>
              <w:top w:val="single" w:sz="8" w:color="auto"/>
              <w:bottom w:val="single" w:sz="8" w:color="CCFFCC"/>
            </w:tcBorders>
            <w:shd w:val="clear" w:color="auto" w:fill="CCFFCC"/>
          </w:tcPr>
          <w:p>
            <w:pPr>
              <w:spacing w:after="0"/>
              <w:rPr>
                <w:sz w:val="20"/>
                <w:szCs w:val="20"/>
                <w:color w:val="auto"/>
              </w:rPr>
            </w:pP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CCFFCC"/>
            </w:tcBorders>
            <w:shd w:val="clear" w:color="auto" w:fill="CCFFCC"/>
          </w:tcPr>
          <w:p>
            <w:pPr>
              <w:spacing w:after="0"/>
              <w:rPr>
                <w:sz w:val="20"/>
                <w:szCs w:val="20"/>
                <w:color w:val="auto"/>
              </w:rPr>
            </w:pPr>
          </w:p>
        </w:tc>
        <w:tc>
          <w:tcPr>
            <w:tcW w:w="740" w:type="dxa"/>
            <w:vAlign w:val="bottom"/>
            <w:tcBorders>
              <w:top w:val="single" w:sz="8" w:color="auto"/>
              <w:bottom w:val="single" w:sz="8" w:color="CCFFCC"/>
            </w:tcBorders>
            <w:shd w:val="clear" w:color="auto" w:fill="CCFFCC"/>
          </w:tcPr>
          <w:p>
            <w:pPr>
              <w:spacing w:after="0"/>
              <w:rPr>
                <w:sz w:val="20"/>
                <w:szCs w:val="20"/>
                <w:color w:val="auto"/>
              </w:rPr>
            </w:pP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140" w:type="dxa"/>
            <w:vAlign w:val="bottom"/>
            <w:tcBorders>
              <w:top w:val="single" w:sz="8" w:color="auto"/>
              <w:bottom w:val="single" w:sz="8" w:color="CCFFCC"/>
            </w:tcBorders>
            <w:shd w:val="clear" w:color="auto" w:fill="CCFFCC"/>
          </w:tcPr>
          <w:p>
            <w:pPr>
              <w:spacing w:after="0"/>
              <w:rPr>
                <w:sz w:val="20"/>
                <w:szCs w:val="20"/>
                <w:color w:val="auto"/>
              </w:rPr>
            </w:pPr>
          </w:p>
        </w:tc>
      </w:tr>
      <w:tr>
        <w:trPr>
          <w:trHeight w:val="224"/>
        </w:trPr>
        <w:tc>
          <w:tcPr>
            <w:tcW w:w="6860" w:type="dxa"/>
            <w:vAlign w:val="bottom"/>
          </w:tcPr>
          <w:p>
            <w:pPr>
              <w:ind w:left="160"/>
              <w:spacing w:after="0"/>
              <w:rPr>
                <w:sz w:val="20"/>
                <w:szCs w:val="20"/>
                <w:color w:val="auto"/>
              </w:rPr>
            </w:pPr>
            <w:r>
              <w:rPr>
                <w:rFonts w:ascii="Arial" w:cs="Arial" w:eastAsia="Arial" w:hAnsi="Arial"/>
                <w:sz w:val="15"/>
                <w:szCs w:val="15"/>
                <w:color w:val="auto"/>
              </w:rPr>
              <w:t>Technology</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30,447</w:t>
            </w:r>
          </w:p>
        </w:tc>
        <w:tc>
          <w:tcPr>
            <w:tcW w:w="120" w:type="dxa"/>
            <w:vAlign w:val="bottom"/>
          </w:tcPr>
          <w:p>
            <w:pPr>
              <w:spacing w:after="0"/>
              <w:rPr>
                <w:sz w:val="19"/>
                <w:szCs w:val="19"/>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(23,615)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6,832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 years</w:t>
            </w: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4"/>
        </w:trPr>
        <w:tc>
          <w:tcPr>
            <w:tcW w:w="6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Customer relationships</w:t>
            </w:r>
          </w:p>
        </w:tc>
        <w:tc>
          <w:tcPr>
            <w:tcW w:w="14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17,219</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(11,786)</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5,433</w:t>
            </w:r>
          </w:p>
        </w:tc>
        <w:tc>
          <w:tcPr>
            <w:tcW w:w="100" w:type="dxa"/>
            <w:vAlign w:val="bottom"/>
            <w:tcBorders>
              <w:bottom w:val="single" w:sz="8" w:color="CCFFCC"/>
            </w:tcBorders>
            <w:shd w:val="clear" w:color="auto" w:fill="CCFFCC"/>
          </w:tcPr>
          <w:p>
            <w:pPr>
              <w:spacing w:after="0"/>
              <w:rPr>
                <w:sz w:val="20"/>
                <w:szCs w:val="20"/>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8.4 years</w:t>
            </w:r>
          </w:p>
        </w:tc>
      </w:tr>
      <w:tr>
        <w:trPr>
          <w:trHeight w:val="224"/>
        </w:trPr>
        <w:tc>
          <w:tcPr>
            <w:tcW w:w="6860" w:type="dxa"/>
            <w:vAlign w:val="bottom"/>
          </w:tcPr>
          <w:p>
            <w:pPr>
              <w:ind w:left="160"/>
              <w:spacing w:after="0"/>
              <w:rPr>
                <w:sz w:val="20"/>
                <w:szCs w:val="20"/>
                <w:color w:val="auto"/>
              </w:rPr>
            </w:pPr>
            <w:r>
              <w:rPr>
                <w:rFonts w:ascii="Arial" w:cs="Arial" w:eastAsia="Arial" w:hAnsi="Arial"/>
                <w:sz w:val="15"/>
                <w:szCs w:val="15"/>
                <w:color w:val="auto"/>
              </w:rPr>
              <w:t>Patents</w:t>
            </w:r>
          </w:p>
        </w:tc>
        <w:tc>
          <w:tcPr>
            <w:tcW w:w="140" w:type="dxa"/>
            <w:vAlign w:val="bottom"/>
          </w:tcPr>
          <w:p>
            <w:pPr>
              <w:spacing w:after="0"/>
              <w:rPr>
                <w:sz w:val="19"/>
                <w:szCs w:val="19"/>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2,074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5"/>
              <w:spacing w:after="0"/>
              <w:rPr>
                <w:sz w:val="20"/>
                <w:szCs w:val="20"/>
                <w:color w:val="auto"/>
              </w:rPr>
            </w:pPr>
            <w:r>
              <w:rPr>
                <w:rFonts w:ascii="Arial" w:cs="Arial" w:eastAsia="Arial" w:hAnsi="Arial"/>
                <w:sz w:val="15"/>
                <w:szCs w:val="15"/>
                <w:color w:val="auto"/>
              </w:rPr>
              <w:t>1,540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12.4 years</w:t>
            </w:r>
          </w:p>
        </w:tc>
      </w:tr>
      <w:tr>
        <w:trPr>
          <w:trHeight w:val="30"/>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4"/>
        </w:trPr>
        <w:tc>
          <w:tcPr>
            <w:tcW w:w="6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CCFFCC"/>
            </w:tcBorders>
            <w:shd w:val="clear" w:color="auto" w:fill="CCFFCC"/>
          </w:tcPr>
          <w:p>
            <w:pPr>
              <w:spacing w:after="0"/>
              <w:rPr>
                <w:sz w:val="22"/>
                <w:szCs w:val="22"/>
                <w:color w:val="auto"/>
              </w:rPr>
            </w:pPr>
          </w:p>
        </w:tc>
        <w:tc>
          <w:tcPr>
            <w:tcW w:w="760" w:type="dxa"/>
            <w:vAlign w:val="bottom"/>
            <w:tcBorders>
              <w:bottom w:val="single" w:sz="8" w:color="CCFFCC"/>
            </w:tcBorders>
            <w:shd w:val="clear" w:color="auto" w:fill="CCFFCC"/>
          </w:tcPr>
          <w:p>
            <w:pPr>
              <w:jc w:val="right"/>
              <w:ind w:right="27"/>
              <w:spacing w:after="0"/>
              <w:rPr>
                <w:sz w:val="20"/>
                <w:szCs w:val="20"/>
                <w:color w:val="auto"/>
              </w:rPr>
            </w:pPr>
            <w:r>
              <w:rPr>
                <w:rFonts w:ascii="Arial" w:cs="Arial" w:eastAsia="Arial" w:hAnsi="Arial"/>
                <w:sz w:val="15"/>
                <w:szCs w:val="15"/>
                <w:color w:val="auto"/>
              </w:rPr>
              <w:t>262</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(235)</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4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2.7 years</w:t>
            </w:r>
          </w:p>
        </w:tc>
      </w:tr>
      <w:tr>
        <w:trPr>
          <w:trHeight w:val="227"/>
        </w:trPr>
        <w:tc>
          <w:tcPr>
            <w:tcW w:w="6860" w:type="dxa"/>
            <w:vAlign w:val="bottom"/>
          </w:tcPr>
          <w:p>
            <w:pPr>
              <w:ind w:left="2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50,002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(36,170)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13,832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Amortization expense is calculated over the estimated useful life of the asset. Aggregate amortization expense for intangible assets was $0.7 million for the three months ended September 30, 2019 and 2018, respectively, and $2.2 million and $2.1 million for the nine months ended September 30, 2019 and 2018, respectively. For the three and nine months ended September 30, 2019 and 2018, respectively, a portion of this amortization is included in cost of revenue. Estimated amortization expense for the next five years is as follows (amounts in thousands):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9340" w:type="dxa"/>
            <w:vAlign w:val="bottom"/>
            <w:tcBorders>
              <w:bottom w:val="single" w:sz="8" w:color="CCFFCC"/>
            </w:tcBorders>
          </w:tcPr>
          <w:p>
            <w:pPr>
              <w:spacing w:after="0"/>
              <w:rPr>
                <w:sz w:val="15"/>
                <w:szCs w:val="15"/>
                <w:color w:val="auto"/>
              </w:rPr>
            </w:pPr>
          </w:p>
        </w:tc>
        <w:tc>
          <w:tcPr>
            <w:tcW w:w="20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w w:val="89"/>
              </w:rPr>
              <w:t>Estimated Amortization Expense</w:t>
            </w:r>
          </w:p>
        </w:tc>
      </w:tr>
      <w:tr>
        <w:trPr>
          <w:trHeight w:val="220"/>
        </w:trPr>
        <w:tc>
          <w:tcPr>
            <w:tcW w:w="9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Remaining 2019</w:t>
            </w:r>
          </w:p>
        </w:tc>
        <w:tc>
          <w:tcPr>
            <w:tcW w:w="820" w:type="dxa"/>
            <w:vAlign w:val="bottom"/>
            <w:tcBorders>
              <w:bottom w:val="single" w:sz="8" w:color="CCFFCC"/>
            </w:tcBorders>
            <w:shd w:val="clear" w:color="auto" w:fill="CCFFCC"/>
          </w:tcPr>
          <w:p>
            <w:pPr>
              <w:jc w:val="right"/>
              <w:ind w:right="64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1,211</w:t>
            </w:r>
          </w:p>
        </w:tc>
      </w:tr>
      <w:tr>
        <w:trPr>
          <w:trHeight w:val="211"/>
        </w:trPr>
        <w:tc>
          <w:tcPr>
            <w:tcW w:w="9340" w:type="dxa"/>
            <w:vAlign w:val="bottom"/>
          </w:tcPr>
          <w:p>
            <w:pPr>
              <w:ind w:left="20"/>
              <w:spacing w:after="0"/>
              <w:rPr>
                <w:sz w:val="20"/>
                <w:szCs w:val="20"/>
                <w:color w:val="auto"/>
              </w:rPr>
            </w:pPr>
            <w:r>
              <w:rPr>
                <w:rFonts w:ascii="Arial" w:cs="Arial" w:eastAsia="Arial" w:hAnsi="Arial"/>
                <w:sz w:val="15"/>
                <w:szCs w:val="15"/>
                <w:color w:val="auto"/>
              </w:rPr>
              <w:t>2020</w:t>
            </w:r>
          </w:p>
        </w:tc>
        <w:tc>
          <w:tcPr>
            <w:tcW w:w="8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2,716</w:t>
            </w:r>
          </w:p>
        </w:tc>
      </w:tr>
      <w:tr>
        <w:trPr>
          <w:trHeight w:val="30"/>
        </w:trPr>
        <w:tc>
          <w:tcPr>
            <w:tcW w:w="9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1"/>
        </w:trPr>
        <w:tc>
          <w:tcPr>
            <w:tcW w:w="9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2021</w:t>
            </w:r>
          </w:p>
        </w:tc>
        <w:tc>
          <w:tcPr>
            <w:tcW w:w="8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2,504</w:t>
            </w:r>
          </w:p>
        </w:tc>
      </w:tr>
      <w:tr>
        <w:trPr>
          <w:trHeight w:val="211"/>
        </w:trPr>
        <w:tc>
          <w:tcPr>
            <w:tcW w:w="9340" w:type="dxa"/>
            <w:vAlign w:val="bottom"/>
          </w:tcPr>
          <w:p>
            <w:pPr>
              <w:ind w:left="20"/>
              <w:spacing w:after="0"/>
              <w:rPr>
                <w:sz w:val="20"/>
                <w:szCs w:val="20"/>
                <w:color w:val="auto"/>
              </w:rPr>
            </w:pPr>
            <w:r>
              <w:rPr>
                <w:rFonts w:ascii="Arial" w:cs="Arial" w:eastAsia="Arial" w:hAnsi="Arial"/>
                <w:sz w:val="15"/>
                <w:szCs w:val="15"/>
                <w:color w:val="auto"/>
              </w:rPr>
              <w:t>2022</w:t>
            </w:r>
          </w:p>
        </w:tc>
        <w:tc>
          <w:tcPr>
            <w:tcW w:w="8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2,145</w:t>
            </w:r>
          </w:p>
        </w:tc>
      </w:tr>
      <w:tr>
        <w:trPr>
          <w:trHeight w:val="30"/>
        </w:trPr>
        <w:tc>
          <w:tcPr>
            <w:tcW w:w="9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1"/>
        </w:trPr>
        <w:tc>
          <w:tcPr>
            <w:tcW w:w="9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2023</w:t>
            </w:r>
          </w:p>
        </w:tc>
        <w:tc>
          <w:tcPr>
            <w:tcW w:w="82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898</w:t>
            </w:r>
          </w:p>
        </w:tc>
      </w:tr>
      <w:tr>
        <w:trPr>
          <w:trHeight w:val="211"/>
        </w:trPr>
        <w:tc>
          <w:tcPr>
            <w:tcW w:w="9340" w:type="dxa"/>
            <w:vAlign w:val="bottom"/>
          </w:tcPr>
          <w:p>
            <w:pPr>
              <w:ind w:left="20"/>
              <w:spacing w:after="0"/>
              <w:rPr>
                <w:sz w:val="20"/>
                <w:szCs w:val="20"/>
                <w:color w:val="auto"/>
              </w:rPr>
            </w:pPr>
            <w:r>
              <w:rPr>
                <w:rFonts w:ascii="Arial" w:cs="Arial" w:eastAsia="Arial" w:hAnsi="Arial"/>
                <w:sz w:val="15"/>
                <w:szCs w:val="15"/>
                <w:color w:val="auto"/>
              </w:rPr>
              <w:t>2024</w:t>
            </w:r>
          </w:p>
        </w:tc>
        <w:tc>
          <w:tcPr>
            <w:tcW w:w="82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Arial" w:cs="Arial" w:eastAsia="Arial" w:hAnsi="Arial"/>
                <w:sz w:val="15"/>
                <w:szCs w:val="15"/>
                <w:color w:val="auto"/>
              </w:rPr>
              <w:t>701</w:t>
            </w:r>
          </w:p>
        </w:tc>
      </w:tr>
      <w:tr>
        <w:trPr>
          <w:trHeight w:val="30"/>
        </w:trPr>
        <w:tc>
          <w:tcPr>
            <w:tcW w:w="9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9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Thereafter</w:t>
            </w:r>
          </w:p>
        </w:tc>
        <w:tc>
          <w:tcPr>
            <w:tcW w:w="82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2,128</w:t>
            </w:r>
          </w:p>
        </w:tc>
      </w:tr>
      <w:tr>
        <w:trPr>
          <w:trHeight w:val="227"/>
        </w:trPr>
        <w:tc>
          <w:tcPr>
            <w:tcW w:w="9340" w:type="dxa"/>
            <w:vAlign w:val="bottom"/>
          </w:tcPr>
          <w:p>
            <w:pPr>
              <w:ind w:left="240"/>
              <w:spacing w:after="0"/>
              <w:rPr>
                <w:sz w:val="20"/>
                <w:szCs w:val="20"/>
                <w:color w:val="auto"/>
              </w:rPr>
            </w:pPr>
            <w:r>
              <w:rPr>
                <w:rFonts w:ascii="Arial" w:cs="Arial" w:eastAsia="Arial" w:hAnsi="Arial"/>
                <w:sz w:val="15"/>
                <w:szCs w:val="15"/>
                <w:color w:val="auto"/>
              </w:rPr>
              <w:t>Total</w:t>
            </w:r>
          </w:p>
        </w:tc>
        <w:tc>
          <w:tcPr>
            <w:tcW w:w="82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12,303</w:t>
            </w:r>
          </w:p>
        </w:tc>
      </w:tr>
      <w:tr>
        <w:trPr>
          <w:trHeight w:val="20"/>
        </w:trPr>
        <w:tc>
          <w:tcPr>
            <w:tcW w:w="9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hanging="298"/>
        <w:spacing w:after="0"/>
        <w:tabs>
          <w:tab w:leader="none" w:pos="3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detail of property and equipment for the periods presented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86"/>
              <w:spacing w:after="0"/>
              <w:rPr>
                <w:sz w:val="20"/>
                <w:szCs w:val="20"/>
                <w:color w:val="auto"/>
              </w:rPr>
            </w:pPr>
            <w:r>
              <w:rPr>
                <w:rFonts w:ascii="Arial" w:cs="Arial" w:eastAsia="Arial" w:hAnsi="Arial"/>
                <w:sz w:val="14"/>
                <w:szCs w:val="14"/>
                <w:b w:val="1"/>
                <w:bCs w:val="1"/>
                <w:color w:val="auto"/>
                <w:w w:val="96"/>
              </w:rPr>
              <w:t>December 31,</w:t>
            </w:r>
          </w:p>
        </w:tc>
      </w:tr>
      <w:tr>
        <w:trPr>
          <w:trHeight w:val="180"/>
        </w:trPr>
        <w:tc>
          <w:tcPr>
            <w:tcW w:w="8320" w:type="dxa"/>
            <w:vAlign w:val="bottom"/>
            <w:tcBorders>
              <w:bottom w:val="single" w:sz="8" w:color="CCFFC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FFC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2018</w:t>
            </w:r>
          </w:p>
        </w:tc>
      </w:tr>
      <w:tr>
        <w:trPr>
          <w:trHeight w:val="220"/>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Computer equipment and software</w:t>
            </w: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FFCC"/>
            </w:tcBorders>
            <w:shd w:val="clear" w:color="auto" w:fill="CCFFCC"/>
          </w:tcPr>
          <w:p>
            <w:pPr>
              <w:jc w:val="right"/>
              <w:ind w:right="46"/>
              <w:spacing w:after="0"/>
              <w:rPr>
                <w:sz w:val="20"/>
                <w:szCs w:val="20"/>
                <w:color w:val="auto"/>
              </w:rPr>
            </w:pPr>
            <w:r>
              <w:rPr>
                <w:rFonts w:ascii="Arial" w:cs="Arial" w:eastAsia="Arial" w:hAnsi="Arial"/>
                <w:sz w:val="15"/>
                <w:szCs w:val="15"/>
                <w:color w:val="auto"/>
              </w:rPr>
              <w:t>86,676</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79,161</w:t>
            </w:r>
          </w:p>
        </w:tc>
      </w:tr>
      <w:tr>
        <w:trPr>
          <w:trHeight w:val="224"/>
        </w:trPr>
        <w:tc>
          <w:tcPr>
            <w:tcW w:w="8320" w:type="dxa"/>
            <w:vAlign w:val="bottom"/>
          </w:tcPr>
          <w:p>
            <w:pPr>
              <w:ind w:left="20"/>
              <w:spacing w:after="0"/>
              <w:rPr>
                <w:sz w:val="20"/>
                <w:szCs w:val="20"/>
                <w:color w:val="auto"/>
              </w:rPr>
            </w:pPr>
            <w:r>
              <w:rPr>
                <w:rFonts w:ascii="Arial" w:cs="Arial" w:eastAsia="Arial" w:hAnsi="Arial"/>
                <w:sz w:val="15"/>
                <w:szCs w:val="15"/>
                <w:color w:val="auto"/>
              </w:rPr>
              <w:t>Internal-use software development costs</w:t>
            </w:r>
          </w:p>
        </w:tc>
        <w:tc>
          <w:tcPr>
            <w:tcW w:w="22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Arial" w:cs="Arial" w:eastAsia="Arial" w:hAnsi="Arial"/>
                <w:sz w:val="15"/>
                <w:szCs w:val="15"/>
                <w:color w:val="auto"/>
              </w:rPr>
              <w:t>43,933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19,240</w:t>
            </w:r>
          </w:p>
        </w:tc>
      </w:tr>
      <w:tr>
        <w:trPr>
          <w:trHeight w:val="30"/>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Furniture, equipment and building improvements</w:t>
            </w:r>
          </w:p>
        </w:tc>
        <w:tc>
          <w:tcPr>
            <w:tcW w:w="22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jc w:val="right"/>
              <w:ind w:right="46"/>
              <w:spacing w:after="0"/>
              <w:rPr>
                <w:sz w:val="20"/>
                <w:szCs w:val="20"/>
                <w:color w:val="auto"/>
              </w:rPr>
            </w:pPr>
            <w:r>
              <w:rPr>
                <w:rFonts w:ascii="Arial" w:cs="Arial" w:eastAsia="Arial" w:hAnsi="Arial"/>
                <w:sz w:val="15"/>
                <w:szCs w:val="15"/>
                <w:color w:val="auto"/>
              </w:rPr>
              <w:t>16,246</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14,132</w:t>
            </w:r>
          </w:p>
        </w:tc>
      </w:tr>
      <w:tr>
        <w:trPr>
          <w:trHeight w:val="204"/>
        </w:trPr>
        <w:tc>
          <w:tcPr>
            <w:tcW w:w="8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146,855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112,533</w:t>
            </w:r>
          </w:p>
        </w:tc>
      </w:tr>
      <w:tr>
        <w:trPr>
          <w:trHeight w:val="30"/>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Less: accumulated depreciation</w:t>
            </w:r>
          </w:p>
        </w:tc>
        <w:tc>
          <w:tcPr>
            <w:tcW w:w="22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jc w:val="right"/>
              <w:ind w:right="6"/>
              <w:spacing w:after="0"/>
              <w:rPr>
                <w:sz w:val="20"/>
                <w:szCs w:val="20"/>
                <w:color w:val="auto"/>
              </w:rPr>
            </w:pPr>
            <w:r>
              <w:rPr>
                <w:rFonts w:ascii="Arial" w:cs="Arial" w:eastAsia="Arial" w:hAnsi="Arial"/>
                <w:sz w:val="15"/>
                <w:szCs w:val="15"/>
                <w:color w:val="auto"/>
              </w:rPr>
              <w:t>(79,996)</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(68,798)</w:t>
            </w:r>
          </w:p>
        </w:tc>
      </w:tr>
      <w:tr>
        <w:trPr>
          <w:trHeight w:val="227"/>
        </w:trPr>
        <w:tc>
          <w:tcPr>
            <w:tcW w:w="8320" w:type="dxa"/>
            <w:vAlign w:val="bottom"/>
          </w:tcPr>
          <w:p>
            <w:pPr>
              <w:ind w:left="26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66,859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43,735</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hanging="298"/>
        <w:spacing w:after="0"/>
        <w:tabs>
          <w:tab w:leader="none" w:pos="3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 and Other Current Liabilities</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Arial" w:cs="Arial" w:eastAsia="Arial" w:hAnsi="Arial"/>
                <w:sz w:val="14"/>
                <w:szCs w:val="14"/>
                <w:b w:val="1"/>
                <w:bCs w:val="1"/>
                <w:color w:val="auto"/>
                <w:w w:val="96"/>
              </w:rPr>
              <w:t>December 31,</w:t>
            </w:r>
          </w:p>
        </w:tc>
      </w:tr>
      <w:tr>
        <w:trPr>
          <w:trHeight w:val="180"/>
        </w:trPr>
        <w:tc>
          <w:tcPr>
            <w:tcW w:w="8320" w:type="dxa"/>
            <w:vAlign w:val="bottom"/>
            <w:tcBorders>
              <w:bottom w:val="single" w:sz="8" w:color="CCFFC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FFC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2018</w:t>
            </w:r>
          </w:p>
        </w:tc>
      </w:tr>
      <w:tr>
        <w:trPr>
          <w:trHeight w:val="220"/>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Payroll and other employee related costs</w:t>
            </w: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19,838</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19,014</w:t>
            </w:r>
          </w:p>
        </w:tc>
      </w:tr>
      <w:tr>
        <w:trPr>
          <w:trHeight w:val="224"/>
        </w:trPr>
        <w:tc>
          <w:tcPr>
            <w:tcW w:w="8320" w:type="dxa"/>
            <w:vAlign w:val="bottom"/>
          </w:tcPr>
          <w:p>
            <w:pPr>
              <w:ind w:left="20"/>
              <w:spacing w:after="0"/>
              <w:rPr>
                <w:sz w:val="20"/>
                <w:szCs w:val="20"/>
                <w:color w:val="auto"/>
              </w:rPr>
            </w:pPr>
            <w:r>
              <w:rPr>
                <w:rFonts w:ascii="Arial" w:cs="Arial" w:eastAsia="Arial" w:hAnsi="Arial"/>
                <w:sz w:val="15"/>
                <w:szCs w:val="15"/>
                <w:color w:val="auto"/>
              </w:rPr>
              <w:t>Professional services and consulting and other vendor fees</w:t>
            </w:r>
          </w:p>
        </w:tc>
        <w:tc>
          <w:tcPr>
            <w:tcW w:w="220" w:type="dxa"/>
            <w:vAlign w:val="bottom"/>
          </w:tcPr>
          <w:p>
            <w:pPr>
              <w:spacing w:after="0"/>
              <w:rPr>
                <w:sz w:val="19"/>
                <w:szCs w:val="19"/>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15,201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17,461</w:t>
            </w:r>
          </w:p>
        </w:tc>
      </w:tr>
      <w:tr>
        <w:trPr>
          <w:trHeight w:val="30"/>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Unrecognized tax benefits</w:t>
            </w:r>
          </w:p>
        </w:tc>
        <w:tc>
          <w:tcPr>
            <w:tcW w:w="22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1,472</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1,913</w:t>
            </w:r>
          </w:p>
        </w:tc>
      </w:tr>
      <w:tr>
        <w:trPr>
          <w:trHeight w:val="224"/>
        </w:trPr>
        <w:tc>
          <w:tcPr>
            <w:tcW w:w="8320" w:type="dxa"/>
            <w:vAlign w:val="bottom"/>
          </w:tcPr>
          <w:p>
            <w:pPr>
              <w:ind w:left="20"/>
              <w:spacing w:after="0"/>
              <w:rPr>
                <w:sz w:val="20"/>
                <w:szCs w:val="20"/>
                <w:color w:val="auto"/>
              </w:rPr>
            </w:pPr>
            <w:r>
              <w:rPr>
                <w:rFonts w:ascii="Arial" w:cs="Arial" w:eastAsia="Arial" w:hAnsi="Arial"/>
                <w:sz w:val="15"/>
                <w:szCs w:val="15"/>
                <w:color w:val="auto"/>
              </w:rPr>
              <w:t>Sales commissions</w:t>
            </w:r>
          </w:p>
        </w:tc>
        <w:tc>
          <w:tcPr>
            <w:tcW w:w="220" w:type="dxa"/>
            <w:vAlign w:val="bottom"/>
          </w:tcPr>
          <w:p>
            <w:pPr>
              <w:spacing w:after="0"/>
              <w:rPr>
                <w:sz w:val="19"/>
                <w:szCs w:val="19"/>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7,035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6,239</w:t>
            </w:r>
          </w:p>
        </w:tc>
      </w:tr>
      <w:tr>
        <w:trPr>
          <w:trHeight w:val="30"/>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4"/>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Contingent earn-out (see Note 9 and 10)</w:t>
            </w:r>
          </w:p>
        </w:tc>
        <w:tc>
          <w:tcPr>
            <w:tcW w:w="22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1,557</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2,372</w:t>
            </w:r>
          </w:p>
        </w:tc>
      </w:tr>
      <w:tr>
        <w:trPr>
          <w:trHeight w:val="224"/>
        </w:trPr>
        <w:tc>
          <w:tcPr>
            <w:tcW w:w="8320" w:type="dxa"/>
            <w:vAlign w:val="bottom"/>
          </w:tcPr>
          <w:p>
            <w:pPr>
              <w:ind w:left="20"/>
              <w:spacing w:after="0"/>
              <w:rPr>
                <w:sz w:val="20"/>
                <w:szCs w:val="20"/>
                <w:color w:val="auto"/>
              </w:rPr>
            </w:pPr>
            <w:r>
              <w:rPr>
                <w:rFonts w:ascii="Arial" w:cs="Arial" w:eastAsia="Arial" w:hAnsi="Arial"/>
                <w:sz w:val="15"/>
                <w:szCs w:val="15"/>
                <w:color w:val="auto"/>
              </w:rPr>
              <w:t>Restructuring (see Note 13)</w:t>
            </w:r>
          </w:p>
        </w:tc>
        <w:tc>
          <w:tcPr>
            <w:tcW w:w="220" w:type="dxa"/>
            <w:vAlign w:val="bottom"/>
          </w:tcPr>
          <w:p>
            <w:pPr>
              <w:spacing w:after="0"/>
              <w:rPr>
                <w:sz w:val="19"/>
                <w:szCs w:val="19"/>
                <w:color w:val="auto"/>
              </w:rPr>
            </w:pPr>
          </w:p>
        </w:tc>
        <w:tc>
          <w:tcPr>
            <w:tcW w:w="1280" w:type="dxa"/>
            <w:vAlign w:val="bottom"/>
          </w:tcPr>
          <w:p>
            <w:pPr>
              <w:jc w:val="right"/>
              <w:ind w:right="45"/>
              <w:spacing w:after="0"/>
              <w:rPr>
                <w:sz w:val="20"/>
                <w:szCs w:val="20"/>
                <w:color w:val="auto"/>
              </w:rPr>
            </w:pPr>
            <w:r>
              <w:rPr>
                <w:rFonts w:ascii="Arial" w:cs="Arial" w:eastAsia="Arial" w:hAnsi="Arial"/>
                <w:sz w:val="15"/>
                <w:szCs w:val="15"/>
                <w:color w:val="auto"/>
              </w:rPr>
              <w:t>727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color w:val="auto"/>
              </w:rPr>
              <w:t>977</w:t>
            </w:r>
          </w:p>
        </w:tc>
      </w:tr>
      <w:tr>
        <w:trPr>
          <w:trHeight w:val="30"/>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4"/>
        </w:trPr>
        <w:tc>
          <w:tcPr>
            <w:tcW w:w="8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4,460</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2,686</w:t>
            </w:r>
          </w:p>
        </w:tc>
      </w:tr>
      <w:tr>
        <w:trPr>
          <w:trHeight w:val="227"/>
        </w:trPr>
        <w:tc>
          <w:tcPr>
            <w:tcW w:w="8320" w:type="dxa"/>
            <w:vAlign w:val="bottom"/>
          </w:tcPr>
          <w:p>
            <w:pPr>
              <w:ind w:left="26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50,290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50,662</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hanging="298"/>
        <w:spacing w:after="0"/>
        <w:tabs>
          <w:tab w:leader="none" w:pos="3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Senior Notes and Capped Call Transactions</w:t>
      </w:r>
    </w:p>
    <w:p>
      <w:pPr>
        <w:spacing w:after="0" w:line="215" w:lineRule="exact"/>
        <w:rPr>
          <w:sz w:val="20"/>
          <w:szCs w:val="20"/>
          <w:color w:val="auto"/>
        </w:rPr>
      </w:pPr>
    </w:p>
    <w:p>
      <w:pPr>
        <w:jc w:val="both"/>
        <w:ind w:firstLine="610"/>
        <w:spacing w:after="0" w:line="312" w:lineRule="auto"/>
        <w:rPr>
          <w:sz w:val="20"/>
          <w:szCs w:val="20"/>
          <w:color w:val="auto"/>
        </w:rPr>
      </w:pPr>
      <w:r>
        <w:rPr>
          <w:rFonts w:ascii="Arial" w:cs="Arial" w:eastAsia="Arial" w:hAnsi="Arial"/>
          <w:sz w:val="15"/>
          <w:szCs w:val="15"/>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“Notes”). The interest on the Notes is payable semi-annually in arrears on March 1 and September 1 of each year, beginning on September 1, 2019.</w:t>
      </w:r>
    </w:p>
    <w:p>
      <w:pPr>
        <w:spacing w:after="0" w:line="39" w:lineRule="exact"/>
        <w:rPr>
          <w:sz w:val="20"/>
          <w:szCs w:val="20"/>
          <w:color w:val="auto"/>
        </w:rPr>
      </w:pPr>
    </w:p>
    <w:p>
      <w:pPr>
        <w:jc w:val="both"/>
        <w:ind w:firstLine="652"/>
        <w:spacing w:after="0" w:line="273" w:lineRule="auto"/>
        <w:rPr>
          <w:sz w:val="20"/>
          <w:szCs w:val="20"/>
          <w:color w:val="auto"/>
        </w:rPr>
      </w:pPr>
      <w:r>
        <w:rPr>
          <w:rFonts w:ascii="Arial" w:cs="Arial" w:eastAsia="Arial" w:hAnsi="Arial"/>
          <w:sz w:val="17"/>
          <w:szCs w:val="17"/>
          <w:color w:val="auto"/>
        </w:rPr>
        <w:t>The Notes will mature on March 1, 2024, unless earlier repurchased or redeemed by the Company or converted pursuant to their terms. The total net proceeds from the debt offering, after deducting debt issuance costs, paid or payable by us, was approximately $221.0 million.</w:t>
      </w:r>
    </w:p>
    <w:p>
      <w:pPr>
        <w:spacing w:after="0" w:line="64" w:lineRule="exact"/>
        <w:rPr>
          <w:sz w:val="20"/>
          <w:szCs w:val="20"/>
          <w:color w:val="auto"/>
        </w:rPr>
      </w:pPr>
    </w:p>
    <w:p>
      <w:pPr>
        <w:jc w:val="both"/>
        <w:ind w:firstLine="652"/>
        <w:spacing w:after="0" w:line="285" w:lineRule="auto"/>
        <w:rPr>
          <w:sz w:val="20"/>
          <w:szCs w:val="20"/>
          <w:color w:val="auto"/>
        </w:rPr>
      </w:pPr>
      <w:r>
        <w:rPr>
          <w:rFonts w:ascii="Arial" w:cs="Arial" w:eastAsia="Arial" w:hAnsi="Arial"/>
          <w:sz w:val="15"/>
          <w:szCs w:val="15"/>
          <w:color w:val="auto"/>
        </w:rPr>
        <w:t>Each $1,000 principal amount of the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The Notes are not redeemable prior to the maturity date of the Notes and no sinking fund is provided for the Notes. If we undergo a fundamental change (as defined in the indenture governing the Notes) prior to the maturity date, holders may require us to repurchase for cash all or any portion of their Notes in principal amounts of $1,000 or a multiple thereof at a fundamental change repurchase price equal to 100% of the principal amount of the Notes to be repurchased, plus accrued and unpaid interest to, but excluding, the fundamental change repurchase date.</w:t>
      </w:r>
    </w:p>
    <w:p>
      <w:pPr>
        <w:spacing w:after="0" w:line="1" w:lineRule="exact"/>
        <w:rPr>
          <w:sz w:val="20"/>
          <w:szCs w:val="20"/>
          <w:color w:val="auto"/>
        </w:rPr>
      </w:pPr>
    </w:p>
    <w:p>
      <w:pPr>
        <w:jc w:val="both"/>
        <w:ind w:firstLine="610"/>
        <w:spacing w:after="0" w:line="267" w:lineRule="auto"/>
        <w:rPr>
          <w:sz w:val="20"/>
          <w:szCs w:val="20"/>
          <w:color w:val="auto"/>
        </w:rPr>
      </w:pPr>
      <w:r>
        <w:rPr>
          <w:rFonts w:ascii="Arial" w:cs="Arial" w:eastAsia="Arial" w:hAnsi="Arial"/>
          <w:sz w:val="16"/>
          <w:szCs w:val="16"/>
          <w:color w:val="auto"/>
        </w:rPr>
        <w:t>Holders of the Notes may convert their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as determined by the Company; (2) during the five business day period after any five consecutive trading day period (the “measurement period”) in which the “trading price” (as defined in the indenture governing the Notes) per $1,000 principal amount of Notes for each trading day of the measurement period was less than 98% of the product of the last reported sale price of the Company’s common stock and the conversion rate for the Notes on each such trading day; or (3) upon the occurrence of specified corporate events. On or after November 1, 2023, holders may convert all or any portion of their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7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It is the Company’s current intent to settle the principal amount of its outstanding Notes in cash and any excess in shares of the Company’s common stock.</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nine months ended September 30, 2019, the conditions allowing holders of the Notes to convert were not met.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firstLine="660"/>
        <w:spacing w:after="0" w:line="257" w:lineRule="auto"/>
        <w:rPr>
          <w:sz w:val="20"/>
          <w:szCs w:val="20"/>
          <w:color w:val="auto"/>
        </w:rPr>
      </w:pPr>
      <w:r>
        <w:rPr>
          <w:rFonts w:ascii="Arial" w:cs="Arial" w:eastAsia="Arial" w:hAnsi="Arial"/>
          <w:sz w:val="17"/>
          <w:szCs w:val="17"/>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78" w:lineRule="exact"/>
        <w:rPr>
          <w:sz w:val="20"/>
          <w:szCs w:val="20"/>
          <w:color w:val="auto"/>
        </w:rPr>
      </w:pPr>
    </w:p>
    <w:p>
      <w:pPr>
        <w:jc w:val="both"/>
        <w:ind w:firstLine="671"/>
        <w:spacing w:after="0" w:line="297" w:lineRule="auto"/>
        <w:rPr>
          <w:sz w:val="20"/>
          <w:szCs w:val="20"/>
          <w:color w:val="auto"/>
        </w:rPr>
      </w:pPr>
      <w:r>
        <w:rPr>
          <w:rFonts w:ascii="Arial" w:cs="Arial" w:eastAsia="Arial" w:hAnsi="Arial"/>
          <w:sz w:val="15"/>
          <w:szCs w:val="15"/>
          <w:color w:val="auto"/>
        </w:rPr>
        <w:t>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Notes.</w:t>
      </w:r>
    </w:p>
    <w:p>
      <w:pPr>
        <w:spacing w:after="0" w:line="153"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In accounting for the transaction costs related to the Notes, the Company allocated the total amount incurred of approximately $8.6 million to the liability and equity components of the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terms of the Notes. Issuance costs attributable to the equity component were approximately $2.0 million and recorded as a reduction of additional paid in capital in stockholders’ equity.</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net carrying amount of the liability component of the Notes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5948680</wp:posOffset>
            </wp:positionH>
            <wp:positionV relativeFrom="paragraph">
              <wp:posOffset>93345</wp:posOffset>
            </wp:positionV>
            <wp:extent cx="129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760" w:type="dxa"/>
            <w:vAlign w:val="bottom"/>
            <w:tcBorders>
              <w:bottom w:val="single" w:sz="8" w:color="CCFFCC"/>
            </w:tcBorders>
          </w:tcPr>
          <w:p>
            <w:pPr>
              <w:spacing w:after="0"/>
              <w:rPr>
                <w:sz w:val="15"/>
                <w:szCs w:val="15"/>
                <w:color w:val="auto"/>
              </w:rPr>
            </w:pPr>
          </w:p>
        </w:tc>
        <w:tc>
          <w:tcPr>
            <w:tcW w:w="200" w:type="dxa"/>
            <w:vAlign w:val="bottom"/>
            <w:tcBorders>
              <w:bottom w:val="single" w:sz="8" w:color="CCFFCC"/>
            </w:tcBorders>
          </w:tcPr>
          <w:p>
            <w:pPr>
              <w:spacing w:after="0"/>
              <w:rPr>
                <w:sz w:val="15"/>
                <w:szCs w:val="15"/>
                <w:color w:val="auto"/>
              </w:rPr>
            </w:pPr>
          </w:p>
        </w:tc>
        <w:tc>
          <w:tcPr>
            <w:tcW w:w="1380" w:type="dxa"/>
            <w:vAlign w:val="bottom"/>
            <w:tcBorders>
              <w:bottom w:val="single" w:sz="8" w:color="CCFFC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w w:val="88"/>
              </w:rPr>
              <w:t>As of September 30, 2019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Principal</w:t>
            </w:r>
          </w:p>
        </w:tc>
        <w:tc>
          <w:tcPr>
            <w:tcW w:w="200" w:type="dxa"/>
            <w:vAlign w:val="bottom"/>
            <w:tcBorders>
              <w:bottom w:val="single" w:sz="8" w:color="CCFFCC"/>
            </w:tcBorders>
            <w:shd w:val="clear" w:color="auto" w:fill="CCFFCC"/>
          </w:tcPr>
          <w:p>
            <w:pPr>
              <w:spacing w:after="0"/>
              <w:rPr>
                <w:sz w:val="19"/>
                <w:szCs w:val="19"/>
                <w:color w:val="auto"/>
              </w:rPr>
            </w:pP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50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230,000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Arial" w:cs="Arial" w:eastAsia="Arial" w:hAnsi="Arial"/>
                <w:sz w:val="15"/>
                <w:szCs w:val="15"/>
                <w:color w:val="auto"/>
              </w:rPr>
              <w:t>Unamortized discount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(47,622)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7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Unamortized issuance costs</w:t>
            </w:r>
          </w:p>
        </w:tc>
        <w:tc>
          <w:tcPr>
            <w:tcW w:w="20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(5,986)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Arial" w:cs="Arial" w:eastAsia="Arial" w:hAnsi="Arial"/>
                <w:sz w:val="15"/>
                <w:szCs w:val="15"/>
                <w:color w:val="auto"/>
              </w:rPr>
              <w:t>Net carrying amount</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176,392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440"/>
              <w:spacing w:after="0"/>
              <w:rPr>
                <w:sz w:val="20"/>
                <w:szCs w:val="20"/>
                <w:color w:val="auto"/>
              </w:rPr>
            </w:pPr>
            <w:r>
              <w:rPr>
                <w:rFonts w:ascii="Arial" w:cs="Arial" w:eastAsia="Arial" w:hAnsi="Arial"/>
                <w:sz w:val="17"/>
                <w:szCs w:val="17"/>
                <w:color w:val="auto"/>
              </w:rPr>
              <w:t>The net carrying amount of the equity component of the Notes was as follows (in thousands):</w:t>
            </w: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tcBorders>
              <w:bottom w:val="single" w:sz="8" w:color="CCFFCC"/>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138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b w:val="1"/>
                <w:bCs w:val="1"/>
                <w:color w:val="auto"/>
                <w:w w:val="91"/>
              </w:rPr>
              <w:t>As of September 30, 2019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Proceeds allocated to the conversion options (debt discount)</w:t>
            </w:r>
          </w:p>
        </w:tc>
        <w:tc>
          <w:tcPr>
            <w:tcW w:w="200" w:type="dxa"/>
            <w:vAlign w:val="bottom"/>
            <w:tcBorders>
              <w:bottom w:val="single" w:sz="8" w:color="CCFFCC"/>
            </w:tcBorders>
            <w:shd w:val="clear" w:color="auto" w:fill="CCFFCC"/>
          </w:tcPr>
          <w:p>
            <w:pPr>
              <w:spacing w:after="0"/>
              <w:rPr>
                <w:sz w:val="19"/>
                <w:szCs w:val="19"/>
                <w:color w:val="auto"/>
              </w:rPr>
            </w:pPr>
          </w:p>
        </w:tc>
        <w:tc>
          <w:tcPr>
            <w:tcW w:w="13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50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52,900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Arial" w:cs="Arial" w:eastAsia="Arial" w:hAnsi="Arial"/>
                <w:sz w:val="15"/>
                <w:szCs w:val="15"/>
                <w:color w:val="auto"/>
              </w:rPr>
              <w:t>Issuance costs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(1,986)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760" w:type="dxa"/>
            <w:vAlign w:val="bottom"/>
            <w:tcBorders>
              <w:bottom w:val="single" w:sz="8" w:color="CCFFCC"/>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3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6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5"/>
                <w:szCs w:val="15"/>
                <w:color w:val="auto"/>
              </w:rPr>
              <w:t>Net carrying amount</w:t>
            </w:r>
          </w:p>
        </w:tc>
        <w:tc>
          <w:tcPr>
            <w:tcW w:w="200" w:type="dxa"/>
            <w:vAlign w:val="bottom"/>
            <w:tcBorders>
              <w:bottom w:val="single" w:sz="8" w:color="CCFFCC"/>
            </w:tcBorders>
            <w:shd w:val="clear" w:color="auto" w:fill="CCFFCC"/>
          </w:tcPr>
          <w:p>
            <w:pPr>
              <w:spacing w:after="0"/>
              <w:rPr>
                <w:sz w:val="19"/>
                <w:szCs w:val="19"/>
                <w:color w:val="auto"/>
              </w:rPr>
            </w:pPr>
          </w:p>
        </w:tc>
        <w:tc>
          <w:tcPr>
            <w:tcW w:w="13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2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50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rPr>
              <w:t>50,914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440"/>
              <w:spacing w:after="0"/>
              <w:rPr>
                <w:sz w:val="20"/>
                <w:szCs w:val="20"/>
                <w:color w:val="auto"/>
              </w:rPr>
            </w:pPr>
            <w:r>
              <w:rPr>
                <w:rFonts w:ascii="Arial" w:cs="Arial" w:eastAsia="Arial" w:hAnsi="Arial"/>
                <w:sz w:val="17"/>
                <w:szCs w:val="17"/>
                <w:color w:val="auto"/>
                <w:w w:val="99"/>
              </w:rPr>
              <w:t>The following table sets forth the interest expense recognized related to the Notes (in thousands):</w:t>
            </w: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right"/>
              <w:ind w:right="200"/>
              <w:spacing w:after="0" w:line="138" w:lineRule="exact"/>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jc w:val="right"/>
              <w:ind w:right="185"/>
              <w:spacing w:after="0" w:line="138"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FFCC"/>
            </w:tcBorders>
          </w:tcPr>
          <w:p>
            <w:pPr>
              <w:spacing w:after="0"/>
              <w:rPr>
                <w:sz w:val="15"/>
                <w:szCs w:val="15"/>
                <w:color w:val="auto"/>
              </w:rPr>
            </w:pPr>
          </w:p>
        </w:tc>
        <w:tc>
          <w:tcPr>
            <w:tcW w:w="7760" w:type="dxa"/>
            <w:vAlign w:val="bottom"/>
            <w:tcBorders>
              <w:bottom w:val="single" w:sz="8" w:color="CCFFC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September 30,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FFCC"/>
            </w:tcBorders>
            <w:shd w:val="clear" w:color="auto" w:fill="CCFFCC"/>
          </w:tcPr>
          <w:p>
            <w:pPr>
              <w:spacing w:after="0"/>
              <w:rPr>
                <w:sz w:val="19"/>
                <w:szCs w:val="19"/>
                <w:color w:val="auto"/>
              </w:rPr>
            </w:pPr>
          </w:p>
        </w:tc>
        <w:tc>
          <w:tcPr>
            <w:tcW w:w="7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5"/>
                <w:szCs w:val="15"/>
                <w:color w:val="auto"/>
              </w:rPr>
              <w:t>Contractual interest expense</w:t>
            </w: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CCFFCC"/>
            </w:tcBorders>
            <w:gridSpan w:val="3"/>
            <w:shd w:val="clear" w:color="auto" w:fill="CCFFCC"/>
          </w:tcPr>
          <w:p>
            <w:pPr>
              <w:jc w:val="right"/>
              <w:spacing w:after="0"/>
              <w:rPr>
                <w:sz w:val="20"/>
                <w:szCs w:val="20"/>
                <w:color w:val="auto"/>
              </w:rPr>
            </w:pPr>
            <w:r>
              <w:rPr>
                <w:rFonts w:ascii="Arial" w:cs="Arial" w:eastAsia="Arial" w:hAnsi="Arial"/>
                <w:sz w:val="15"/>
                <w:szCs w:val="15"/>
                <w:color w:val="auto"/>
              </w:rPr>
              <w:t>417</w:t>
            </w:r>
          </w:p>
        </w:tc>
        <w:tc>
          <w:tcPr>
            <w:tcW w:w="420" w:type="dxa"/>
            <w:vAlign w:val="bottom"/>
            <w:tcBorders>
              <w:bottom w:val="single" w:sz="8" w:color="CCFFCC"/>
            </w:tcBorders>
            <w:gridSpan w:val="3"/>
            <w:shd w:val="clear" w:color="auto" w:fill="CCFFCC"/>
          </w:tcPr>
          <w:p>
            <w:pPr>
              <w:jc w:val="right"/>
              <w:ind w:right="24"/>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992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5"/>
                <w:szCs w:val="15"/>
                <w:color w:val="auto"/>
              </w:rPr>
              <w:t>Amortization of issuance costs</w:t>
            </w: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5"/>
                <w:szCs w:val="15"/>
                <w:color w:val="auto"/>
              </w:rPr>
              <w:t>287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25"/>
              <w:spacing w:after="0"/>
              <w:rPr>
                <w:sz w:val="20"/>
                <w:szCs w:val="20"/>
                <w:color w:val="auto"/>
              </w:rPr>
            </w:pPr>
            <w:r>
              <w:rPr>
                <w:rFonts w:ascii="Arial" w:cs="Arial" w:eastAsia="Arial" w:hAnsi="Arial"/>
                <w:sz w:val="15"/>
                <w:szCs w:val="15"/>
                <w:color w:val="auto"/>
              </w:rPr>
              <w:t>663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Borders>
              <w:bottom w:val="single" w:sz="8" w:color="CCFFCC"/>
            </w:tcBorders>
            <w:shd w:val="clear" w:color="auto" w:fill="CCFFCC"/>
          </w:tcPr>
          <w:p>
            <w:pPr>
              <w:spacing w:after="0"/>
              <w:rPr>
                <w:sz w:val="22"/>
                <w:szCs w:val="22"/>
                <w:color w:val="auto"/>
              </w:rPr>
            </w:pPr>
          </w:p>
        </w:tc>
        <w:tc>
          <w:tcPr>
            <w:tcW w:w="7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5"/>
                <w:szCs w:val="15"/>
                <w:color w:val="auto"/>
              </w:rPr>
              <w:t>Amortization of debt discount</w:t>
            </w:r>
          </w:p>
        </w:tc>
        <w:tc>
          <w:tcPr>
            <w:tcW w:w="200" w:type="dxa"/>
            <w:vAlign w:val="bottom"/>
            <w:tcBorders>
              <w:bottom w:val="single" w:sz="8" w:color="CCFFCC"/>
            </w:tcBorders>
            <w:shd w:val="clear" w:color="auto" w:fill="CCFFCC"/>
          </w:tcPr>
          <w:p>
            <w:pPr>
              <w:spacing w:after="0"/>
              <w:rPr>
                <w:sz w:val="22"/>
                <w:szCs w:val="22"/>
                <w:color w:val="auto"/>
              </w:rPr>
            </w:pPr>
          </w:p>
        </w:tc>
        <w:tc>
          <w:tcPr>
            <w:tcW w:w="1520" w:type="dxa"/>
            <w:vAlign w:val="bottom"/>
            <w:tcBorders>
              <w:bottom w:val="single" w:sz="8" w:color="CCFFCC"/>
            </w:tcBorders>
            <w:gridSpan w:val="3"/>
            <w:shd w:val="clear" w:color="auto" w:fill="CCFFCC"/>
          </w:tcPr>
          <w:p>
            <w:pPr>
              <w:jc w:val="right"/>
              <w:spacing w:after="0"/>
              <w:rPr>
                <w:sz w:val="20"/>
                <w:szCs w:val="20"/>
                <w:color w:val="auto"/>
              </w:rPr>
            </w:pPr>
            <w:r>
              <w:rPr>
                <w:rFonts w:ascii="Arial" w:cs="Arial" w:eastAsia="Arial" w:hAnsi="Arial"/>
                <w:sz w:val="15"/>
                <w:szCs w:val="15"/>
                <w:color w:val="auto"/>
              </w:rPr>
              <w:t>2,288</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50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5,278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5"/>
                <w:szCs w:val="15"/>
                <w:color w:val="auto"/>
              </w:rPr>
              <w:t>Total interest expense</w:t>
            </w: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color w:val="auto"/>
              </w:rPr>
              <w:t>2,992</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6,933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remaining term over which the debt discount and debt issuance costs will be amortized is 4.4 years. The effective interest rate on the debt was 6.18% for the period ended September 30, 2019. Interest expense of $3.0 million and $6.9 million is reflected as a component of Other expense, net in the accompanying condensed consolidated statements of operations for the three and nine months ended September 30, 2019, respectively.</w:t>
      </w:r>
    </w:p>
    <w:p>
      <w:pPr>
        <w:spacing w:after="0" w:line="74"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In connection with the offering of the Notes, the Company entered into privately-negotiated capped call option transactions with certain counterparties (the “capped calls”). The capped calls each have an initial strike price of approximately $38.58 per share, subject to certain adjustments, which corresponds to the initial conversion price of the Notes. The capped calls have initial cap prices of $57.16 per share, subject to certain adjustment events. The capped calls cover, subject to anti-dilution adjustments, approximately 5.96 million shares of common stock. The capped calls are generally intended to reduce or offset the potential dilution to the common stock upon any conversion of the Notes with such reduction or offset, as the case may be, subject to a cap</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based on the cap price. The capped calls expire on March 1, 2024,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 derivatives. The net cost of $23.2 million incurred to purchase the capped calls was recorded as a reduction to additional paid-in capital in the accompanying condensed consolidated balance sheet.</w:t>
      </w:r>
    </w:p>
    <w:p>
      <w:pPr>
        <w:spacing w:after="0" w:line="280" w:lineRule="exact"/>
        <w:rPr>
          <w:sz w:val="20"/>
          <w:szCs w:val="20"/>
          <w:color w:val="auto"/>
        </w:rPr>
      </w:pPr>
    </w:p>
    <w:p>
      <w:pPr>
        <w:ind w:left="300" w:hanging="298"/>
        <w:spacing w:after="0"/>
        <w:tabs>
          <w:tab w:leader="none" w:pos="3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AdvantageTec Inc.</w:t>
      </w:r>
    </w:p>
    <w:p>
      <w:pPr>
        <w:spacing w:after="0" w:line="110"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6"/>
          <w:szCs w:val="16"/>
          <w:color w:val="auto"/>
        </w:rPr>
        <w:t>In October 2018, the Company entered into a stock purchase agreement to acquire the outstanding equity interest of AdvantageTec Inc. (“AdvantageTec”), a leading provider of texting solutions for service departments of automotive dealerships that helps enable Conversational Commerce across the entire dealership, including both front end/variable operations (new and used vehicle sales) and back end/fixed operations (parts and services). The purchase agreement was for total consideration of approximately $11.2 million, which includes approximately $6.0 million in cash, approximately $4.3 million in shares of common stock, and approximately $0.9 million of potential earn-out consideration in cash and shares of common stock. The earn-out is contingent upon achieving certain targeted financial, strategic and integration objectives and milestones and is included as part of the purchase price. During the nine months ended September 30, 2019, the company assessed this earn-out and recorded a $0.2 million fair value re-measurement adjustment, which was recorded in loss from operations as an increase in general and administrative expenses. During the nine months ended September 30, 2019, the Company made $0.5 million of payments in earn-out consideration, with potential future earn-out payments of $0.4 million at September 30, 2019.</w:t>
      </w:r>
    </w:p>
    <w:p>
      <w:pPr>
        <w:spacing w:after="0" w:line="69"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AdvantageTec Inc. enhances the Company’s messaging platform available for the automotive industry and is included in the Company's business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Conversable, Inc.</w:t>
      </w:r>
    </w:p>
    <w:p>
      <w:pPr>
        <w:spacing w:after="0" w:line="110"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In September 2018, the Company acquired the employees and technology assets of Conversable, Inc. a SaaS based Artificial Intelligence powered conversational platform, headquartered in Austin, Texas, for an aggregate estimated purchase price of $5.7 million. The estimated purchase price consisted of $1.3 million in cash, approximately $2.9 million in shares of common stock of the Company, and a potential earn-out consideration of $1.5 million in cash, which is based on achieving certain targeted financial, strategic, and integration objectives and milestones and is included as part of the purchase price. During the nine months ended September 30, 2019, the company assessed this earn-out and recorded a $0.5 million fair value re-measurement adjustment, which was recorded in loss from operations as a decrease in general and administrative expenses. The ending balance as of September 30, 2019 is $1.0 million. This transaction was accounted for under the purchase method of accounting and was based upon the estimated fair value of Conversable, Inc.'s net tangible and identifiable intangible assets as of the date of acquisition.</w:t>
      </w:r>
    </w:p>
    <w:p>
      <w:pPr>
        <w:spacing w:after="0" w:line="80"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of $0.3 million, which includes accounts receivable, property and equipment, accrued expenses, and deferred revenue. Transaction costs of $0.3 million were expensed during the nine months ended September 30, 2019.</w:t>
      </w:r>
    </w:p>
    <w:p>
      <w:pPr>
        <w:spacing w:after="0" w:line="78"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Conversable Inc.’s capabilities will accelerate the ongoing expansion of the Company's Conversational Commerce solutions and enhance the Company’s ability to deliver proactive and personalized content and services when and where the customer needs it, helping consumers find immediate service through messaging. Conversable, Inc. is included in the Company's business segment.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BotCentral, Inc.</w:t>
      </w:r>
    </w:p>
    <w:p>
      <w:pPr>
        <w:spacing w:after="0" w:line="313"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auto"/>
        </w:rPr>
        <w:t>In January 2018, the Company acquired the employees and technology assets of BotCentral, Inc., a Silicon Valley based startup, for a purchase price of approximately $1.0 million in common stock of the Company. The Company incurred an additional $0.2 million related to acquisition costs. This transaction was accounted for as an asset purchase. The aggregate amount of approximately $1.2 million is included in intangibles on the Company's consolidated balance sheet. With the BotCentral team's expertise and knowledge of the LiveEngage platform, the team is bringing valuable insight for the Company's customers and partners, and enabling the company to more rapidly optimize its bot deployment capabilities, and grow the ecosystem. BotCentral, Inc. is included in the Company's business segment.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Fair Value Measurements</w:t>
      </w:r>
    </w:p>
    <w:p>
      <w:pPr>
        <w:spacing w:after="0" w:line="215"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4" w:lineRule="exact"/>
        <w:rPr>
          <w:sz w:val="20"/>
          <w:szCs w:val="20"/>
          <w:color w:val="auto"/>
        </w:rPr>
      </w:pPr>
    </w:p>
    <w:p>
      <w:pPr>
        <w:ind w:left="1060" w:hanging="296"/>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1: Observable inputs that reflect quoted prices (unadjusted) for identical assets or liabilities in active markets.</w:t>
      </w:r>
    </w:p>
    <w:p>
      <w:pPr>
        <w:spacing w:after="0" w:line="109" w:lineRule="exact"/>
        <w:rPr>
          <w:rFonts w:ascii="Arial" w:cs="Arial" w:eastAsia="Arial" w:hAnsi="Arial"/>
          <w:sz w:val="17"/>
          <w:szCs w:val="17"/>
          <w:color w:val="auto"/>
        </w:rPr>
      </w:pPr>
    </w:p>
    <w:p>
      <w:pPr>
        <w:jc w:val="both"/>
        <w:ind w:left="1060" w:hanging="296"/>
        <w:spacing w:after="0" w:line="261"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7"/>
          <w:szCs w:val="17"/>
          <w:color w:val="auto"/>
        </w:rPr>
      </w:pPr>
    </w:p>
    <w:p>
      <w:pPr>
        <w:ind w:left="1060" w:hanging="296"/>
        <w:spacing w:after="0" w:line="273"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 and Liabilities</w:t>
      </w:r>
    </w:p>
    <w:p>
      <w:pPr>
        <w:spacing w:after="0" w:line="11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September 30, 2019 and December 31, 2018, are summarized as follows (amounts in thousands).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5"/>
          </w:tcPr>
          <w:p>
            <w:pPr>
              <w:ind w:left="200"/>
              <w:spacing w:after="0"/>
              <w:rPr>
                <w:sz w:val="20"/>
                <w:szCs w:val="20"/>
                <w:color w:val="auto"/>
              </w:rPr>
            </w:pPr>
            <w:r>
              <w:rPr>
                <w:rFonts w:ascii="Arial" w:cs="Arial" w:eastAsia="Arial" w:hAnsi="Arial"/>
                <w:sz w:val="15"/>
                <w:szCs w:val="15"/>
                <w:b w:val="1"/>
                <w:bCs w:val="1"/>
                <w:color w:val="auto"/>
              </w:rPr>
              <w:t>September 30, 2019</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5"/>
          </w:tcPr>
          <w:p>
            <w:pPr>
              <w:ind w:left="120"/>
              <w:spacing w:after="0"/>
              <w:rPr>
                <w:sz w:val="20"/>
                <w:szCs w:val="20"/>
                <w:color w:val="auto"/>
              </w:rPr>
            </w:pPr>
            <w:r>
              <w:rPr>
                <w:rFonts w:ascii="Arial" w:cs="Arial" w:eastAsia="Arial" w:hAnsi="Arial"/>
                <w:sz w:val="15"/>
                <w:szCs w:val="15"/>
                <w:b w:val="1"/>
                <w:bCs w:val="1"/>
                <w:color w:val="auto"/>
              </w:rPr>
              <w:t>December 31, 2018</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0"/>
        </w:trPr>
        <w:tc>
          <w:tcPr>
            <w:tcW w:w="3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Level 1</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5"/>
                <w:szCs w:val="15"/>
                <w:b w:val="1"/>
                <w:bCs w:val="1"/>
                <w:color w:val="auto"/>
              </w:rPr>
              <w:t>Level 2</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Level 3</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Level 1</w:t>
            </w:r>
          </w:p>
        </w:tc>
        <w:tc>
          <w:tcPr>
            <w:tcW w:w="14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Level 2</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5"/>
                <w:szCs w:val="15"/>
                <w:b w:val="1"/>
                <w:bCs w:val="1"/>
                <w:color w:val="auto"/>
              </w:rPr>
              <w:t>Level 3</w:t>
            </w:r>
          </w:p>
        </w:tc>
        <w:tc>
          <w:tcPr>
            <w:tcW w:w="160" w:type="dxa"/>
            <w:vAlign w:val="bottom"/>
          </w:tcPr>
          <w:p>
            <w:pPr>
              <w:spacing w:after="0"/>
              <w:rPr>
                <w:sz w:val="18"/>
                <w:szCs w:val="18"/>
                <w:color w:val="auto"/>
              </w:rPr>
            </w:pPr>
          </w:p>
        </w:tc>
        <w:tc>
          <w:tcPr>
            <w:tcW w:w="620" w:type="dxa"/>
            <w:vAlign w:val="bottom"/>
          </w:tcPr>
          <w:p>
            <w:pPr>
              <w:jc w:val="right"/>
              <w:ind w:right="144"/>
              <w:spacing w:after="0"/>
              <w:rPr>
                <w:sz w:val="20"/>
                <w:szCs w:val="20"/>
                <w:color w:val="auto"/>
              </w:rPr>
            </w:pPr>
            <w:r>
              <w:rPr>
                <w:rFonts w:ascii="Arial" w:cs="Arial" w:eastAsia="Arial" w:hAnsi="Arial"/>
                <w:sz w:val="15"/>
                <w:szCs w:val="15"/>
                <w:b w:val="1"/>
                <w:bCs w:val="1"/>
                <w:color w:val="auto"/>
              </w:rPr>
              <w:t>Total</w:t>
            </w:r>
          </w:p>
        </w:tc>
      </w:tr>
      <w:tr>
        <w:trPr>
          <w:trHeight w:val="30"/>
        </w:trPr>
        <w:tc>
          <w:tcPr>
            <w:tcW w:w="388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7"/>
        </w:trPr>
        <w:tc>
          <w:tcPr>
            <w:tcW w:w="38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Assets:</w:t>
            </w:r>
          </w:p>
        </w:tc>
        <w:tc>
          <w:tcPr>
            <w:tcW w:w="12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7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7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68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6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620" w:type="dxa"/>
            <w:vAlign w:val="bottom"/>
            <w:tcBorders>
              <w:bottom w:val="single" w:sz="8" w:color="CCFFCC"/>
            </w:tcBorders>
            <w:shd w:val="clear" w:color="auto" w:fill="CCFFCC"/>
          </w:tcPr>
          <w:p>
            <w:pPr>
              <w:spacing w:after="0"/>
              <w:rPr>
                <w:sz w:val="19"/>
                <w:szCs w:val="19"/>
                <w:color w:val="auto"/>
              </w:rPr>
            </w:pPr>
          </w:p>
        </w:tc>
      </w:tr>
      <w:tr>
        <w:trPr>
          <w:trHeight w:val="224"/>
        </w:trPr>
        <w:tc>
          <w:tcPr>
            <w:tcW w:w="3880" w:type="dxa"/>
            <w:vAlign w:val="bottom"/>
          </w:tcPr>
          <w:p>
            <w:pPr>
              <w:ind w:left="20"/>
              <w:spacing w:after="0"/>
              <w:rPr>
                <w:sz w:val="20"/>
                <w:szCs w:val="20"/>
                <w:color w:val="auto"/>
              </w:rPr>
            </w:pPr>
            <w:r>
              <w:rPr>
                <w:rFonts w:ascii="Arial" w:cs="Arial" w:eastAsia="Arial" w:hAnsi="Arial"/>
                <w:sz w:val="15"/>
                <w:szCs w:val="15"/>
                <w:color w:val="auto"/>
              </w:rPr>
              <w:t>Cash equivalents: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0"/>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4"/>
        </w:trPr>
        <w:tc>
          <w:tcPr>
            <w:tcW w:w="38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5"/>
                <w:szCs w:val="15"/>
                <w:color w:val="auto"/>
              </w:rPr>
              <w:t>Money market funds</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2,877</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2,877</w:t>
            </w:r>
          </w:p>
        </w:tc>
        <w:tc>
          <w:tcPr>
            <w:tcW w:w="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2,828</w:t>
            </w: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2,828</w:t>
            </w:r>
          </w:p>
        </w:tc>
      </w:tr>
      <w:tr>
        <w:trPr>
          <w:trHeight w:val="267"/>
        </w:trPr>
        <w:tc>
          <w:tcPr>
            <w:tcW w:w="3880" w:type="dxa"/>
            <w:vAlign w:val="bottom"/>
            <w:tcBorders>
              <w:bottom w:val="single" w:sz="8" w:color="CCFFCC"/>
            </w:tcBorders>
          </w:tcPr>
          <w:p>
            <w:pPr>
              <w:ind w:left="240"/>
              <w:spacing w:after="0"/>
              <w:rPr>
                <w:sz w:val="20"/>
                <w:szCs w:val="20"/>
                <w:color w:val="auto"/>
              </w:rPr>
            </w:pPr>
            <w:r>
              <w:rPr>
                <w:rFonts w:ascii="Arial" w:cs="Arial" w:eastAsia="Arial" w:hAnsi="Arial"/>
                <w:sz w:val="15"/>
                <w:szCs w:val="15"/>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2,877</w:t>
            </w:r>
          </w:p>
        </w:tc>
        <w:tc>
          <w:tcPr>
            <w:tcW w:w="100" w:type="dxa"/>
            <w:vAlign w:val="bottom"/>
            <w:tcBorders>
              <w:bottom w:val="single" w:sz="8" w:color="CCFFCC"/>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FFCC"/>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FFCC"/>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2,877</w:t>
            </w:r>
          </w:p>
        </w:tc>
        <w:tc>
          <w:tcPr>
            <w:tcW w:w="240" w:type="dxa"/>
            <w:vAlign w:val="bottom"/>
            <w:tcBorders>
              <w:bottom w:val="single" w:sz="8" w:color="CCFFCC"/>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2,828</w:t>
            </w:r>
          </w:p>
        </w:tc>
        <w:tc>
          <w:tcPr>
            <w:tcW w:w="100" w:type="dxa"/>
            <w:vAlign w:val="bottom"/>
            <w:tcBorders>
              <w:bottom w:val="single" w:sz="8" w:color="CCFFCC"/>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FFCC"/>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2,828</w:t>
            </w:r>
          </w:p>
        </w:tc>
      </w:tr>
      <w:tr>
        <w:trPr>
          <w:trHeight w:val="290"/>
        </w:trPr>
        <w:tc>
          <w:tcPr>
            <w:tcW w:w="38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7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620" w:type="dxa"/>
            <w:vAlign w:val="bottom"/>
            <w:shd w:val="clear" w:color="auto" w:fill="CCFFCC"/>
          </w:tcPr>
          <w:p>
            <w:pPr>
              <w:spacing w:after="0"/>
              <w:rPr>
                <w:sz w:val="24"/>
                <w:szCs w:val="24"/>
                <w:color w:val="auto"/>
              </w:rPr>
            </w:pPr>
          </w:p>
        </w:tc>
      </w:tr>
      <w:tr>
        <w:trPr>
          <w:trHeight w:val="224"/>
        </w:trPr>
        <w:tc>
          <w:tcPr>
            <w:tcW w:w="3880" w:type="dxa"/>
            <w:vAlign w:val="bottom"/>
          </w:tcPr>
          <w:p>
            <w:pPr>
              <w:ind w:left="20"/>
              <w:spacing w:after="0"/>
              <w:rPr>
                <w:sz w:val="20"/>
                <w:szCs w:val="20"/>
                <w:color w:val="auto"/>
              </w:rPr>
            </w:pPr>
            <w:r>
              <w:rPr>
                <w:rFonts w:ascii="Arial" w:cs="Arial" w:eastAsia="Arial" w:hAnsi="Arial"/>
                <w:sz w:val="15"/>
                <w:szCs w:val="15"/>
                <w:color w:val="auto"/>
              </w:rPr>
              <w:t>Liabilities: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0"/>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4"/>
        </w:trPr>
        <w:tc>
          <w:tcPr>
            <w:tcW w:w="388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5"/>
                <w:szCs w:val="15"/>
                <w:color w:val="auto"/>
              </w:rPr>
              <w:t>Contingent earn-out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FFCC"/>
            </w:tcBorders>
            <w:gridSpan w:val="2"/>
            <w:shd w:val="clear" w:color="auto" w:fill="CCFFCC"/>
          </w:tcPr>
          <w:p>
            <w:pPr>
              <w:ind w:left="5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1,557</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1,557</w:t>
            </w:r>
          </w:p>
        </w:tc>
        <w:tc>
          <w:tcPr>
            <w:tcW w:w="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2,372</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2,372</w:t>
            </w:r>
          </w:p>
        </w:tc>
      </w:tr>
      <w:tr>
        <w:trPr>
          <w:trHeight w:val="227"/>
        </w:trPr>
        <w:tc>
          <w:tcPr>
            <w:tcW w:w="3880" w:type="dxa"/>
            <w:vAlign w:val="bottom"/>
          </w:tcPr>
          <w:p>
            <w:pPr>
              <w:ind w:left="240"/>
              <w:spacing w:after="0"/>
              <w:rPr>
                <w:sz w:val="20"/>
                <w:szCs w:val="20"/>
                <w:color w:val="auto"/>
              </w:rPr>
            </w:pPr>
            <w:r>
              <w:rPr>
                <w:rFonts w:ascii="Arial" w:cs="Arial" w:eastAsia="Arial" w:hAnsi="Arial"/>
                <w:sz w:val="15"/>
                <w:szCs w:val="15"/>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1,557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1,557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2,372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2,372</w:t>
            </w: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56"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66" w:lineRule="exact"/>
        <w:rPr>
          <w:sz w:val="20"/>
          <w:szCs w:val="20"/>
          <w:color w:val="auto"/>
        </w:rPr>
      </w:pPr>
    </w:p>
    <w:p>
      <w:pPr>
        <w:jc w:val="both"/>
        <w:ind w:firstLine="610"/>
        <w:spacing w:after="0" w:line="305" w:lineRule="auto"/>
        <w:rPr>
          <w:sz w:val="20"/>
          <w:szCs w:val="20"/>
          <w:color w:val="auto"/>
        </w:rPr>
      </w:pPr>
      <w:r>
        <w:rPr>
          <w:rFonts w:ascii="Arial" w:cs="Arial" w:eastAsia="Arial" w:hAnsi="Arial"/>
          <w:sz w:val="16"/>
          <w:szCs w:val="16"/>
          <w:color w:val="auto"/>
        </w:rPr>
        <w:t>As of September 30, 2019, the fair value of the Notes, as further described in Note 8 above, was approximately $190.6 million. Management determines the fair value by utilizing an independent valuation specialist using the antithetic variable technique and is considered a Level 2 fair value measurement.</w:t>
      </w:r>
    </w:p>
    <w:p>
      <w:pPr>
        <w:spacing w:after="0" w:line="41"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The Company recorded a contingent earn-out of $2.4 million in December 2018 in connection with the acquisitions of Conversable, Inc. and AdvantageTec Inc. The contingent earn-out is based on achieving certain targeted financial, strategic, and integration objectives. The unobservable inputs considered are probability factors and the time value of money. During the nine months ended September 30, 2019, the contingent earn-out decreased by $0.8 million due to a decrease in re-measurement to fair value of Conversable, Inc. of $0.5 million and cash payments of $0.5 million, offset in part by an increase of re-measurement to fair value of Advantage, Inc. of $0.2 million.</w:t>
      </w:r>
    </w:p>
    <w:p>
      <w:pPr>
        <w:spacing w:after="0" w:line="8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As a result, the contingent earn-out balance was $1.6 million as of September 30, 2019. See Note 9 of the Notes to Condensed Consolidated Financial Statements for a full description of the acquisition.</w:t>
      </w:r>
    </w:p>
    <w:p>
      <w:pPr>
        <w:spacing w:after="0" w:line="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fair value of the Level 3 liabilities are as follows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center"/>
              <w:ind w:right="5"/>
              <w:spacing w:after="0"/>
              <w:rPr>
                <w:sz w:val="20"/>
                <w:szCs w:val="20"/>
                <w:color w:val="auto"/>
              </w:rPr>
            </w:pPr>
            <w:r>
              <w:rPr>
                <w:rFonts w:ascii="Arial" w:cs="Arial" w:eastAsia="Arial" w:hAnsi="Arial"/>
                <w:sz w:val="14"/>
                <w:szCs w:val="14"/>
                <w:b w:val="1"/>
                <w:bCs w:val="1"/>
                <w:color w:val="auto"/>
                <w:w w:val="90"/>
              </w:rPr>
              <w:t>Contingent Earn-Out</w:t>
            </w:r>
          </w:p>
        </w:tc>
      </w:tr>
      <w:tr>
        <w:trPr>
          <w:trHeight w:val="247"/>
        </w:trPr>
        <w:tc>
          <w:tcPr>
            <w:tcW w:w="8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1"/>
                <w:szCs w:val="21"/>
                <w:color w:val="auto"/>
              </w:rPr>
            </w:pPr>
          </w:p>
        </w:tc>
        <w:tc>
          <w:tcPr>
            <w:tcW w:w="1400" w:type="dxa"/>
            <w:vAlign w:val="bottom"/>
          </w:tcPr>
          <w:p>
            <w:pPr>
              <w:jc w:val="right"/>
              <w:ind w:right="165"/>
              <w:spacing w:after="0"/>
              <w:rPr>
                <w:sz w:val="20"/>
                <w:szCs w:val="20"/>
                <w:color w:val="auto"/>
              </w:rPr>
            </w:pPr>
            <w:r>
              <w:rPr>
                <w:rFonts w:ascii="Arial" w:cs="Arial" w:eastAsia="Arial" w:hAnsi="Arial"/>
                <w:sz w:val="14"/>
                <w:szCs w:val="14"/>
                <w:b w:val="1"/>
                <w:bCs w:val="1"/>
                <w:color w:val="auto"/>
                <w:w w:val="90"/>
              </w:rPr>
              <w:t>December 31, 2018</w:t>
            </w:r>
          </w:p>
        </w:tc>
      </w:tr>
      <w:tr>
        <w:trPr>
          <w:trHeight w:val="220"/>
        </w:trPr>
        <w:tc>
          <w:tcPr>
            <w:tcW w:w="836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Balance, Beginning of period</w:t>
            </w:r>
          </w:p>
        </w:tc>
        <w:tc>
          <w:tcPr>
            <w:tcW w:w="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CCFFCC"/>
            </w:tcBorders>
            <w:shd w:val="clear" w:color="auto" w:fill="CCFFCC"/>
          </w:tcPr>
          <w:p>
            <w:pPr>
              <w:jc w:val="right"/>
              <w:ind w:right="46"/>
              <w:spacing w:after="0"/>
              <w:rPr>
                <w:sz w:val="20"/>
                <w:szCs w:val="20"/>
                <w:color w:val="auto"/>
              </w:rPr>
            </w:pPr>
            <w:r>
              <w:rPr>
                <w:rFonts w:ascii="Arial" w:cs="Arial" w:eastAsia="Arial" w:hAnsi="Arial"/>
                <w:sz w:val="15"/>
                <w:szCs w:val="15"/>
                <w:color w:val="auto"/>
              </w:rPr>
              <w:t>2,372</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Conversable, Inc. fair value adjustment (see Note 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5"/>
              <w:spacing w:after="0"/>
              <w:rPr>
                <w:sz w:val="20"/>
                <w:szCs w:val="20"/>
                <w:color w:val="auto"/>
              </w:rPr>
            </w:pPr>
            <w:r>
              <w:rPr>
                <w:rFonts w:ascii="Arial" w:cs="Arial" w:eastAsia="Arial" w:hAnsi="Arial"/>
                <w:sz w:val="15"/>
                <w:szCs w:val="15"/>
                <w:color w:val="auto"/>
              </w:rPr>
              <w:t>1,496</w:t>
            </w:r>
          </w:p>
        </w:tc>
      </w:tr>
      <w:tr>
        <w:trPr>
          <w:trHeight w:val="30"/>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4"/>
        </w:trPr>
        <w:tc>
          <w:tcPr>
            <w:tcW w:w="83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AdvantageTec Inc. fair value adjustment (see Note 9)</w:t>
            </w:r>
          </w:p>
        </w:tc>
        <w:tc>
          <w:tcPr>
            <w:tcW w:w="1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46"/>
              <w:spacing w:after="0"/>
              <w:rPr>
                <w:sz w:val="20"/>
                <w:szCs w:val="20"/>
                <w:color w:val="auto"/>
              </w:rPr>
            </w:pPr>
            <w:r>
              <w:rPr>
                <w:rFonts w:ascii="Arial" w:cs="Arial" w:eastAsia="Arial" w:hAnsi="Arial"/>
                <w:sz w:val="15"/>
                <w:szCs w:val="15"/>
                <w:color w:val="auto"/>
              </w:rPr>
              <w:t>168</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40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876</w:t>
            </w:r>
          </w:p>
        </w:tc>
      </w:tr>
      <w:tr>
        <w:trPr>
          <w:trHeight w:val="224"/>
        </w:trPr>
        <w:tc>
          <w:tcPr>
            <w:tcW w:w="8360" w:type="dxa"/>
            <w:vAlign w:val="bottom"/>
          </w:tcPr>
          <w:p>
            <w:pPr>
              <w:ind w:left="160"/>
              <w:spacing w:after="0"/>
              <w:rPr>
                <w:sz w:val="20"/>
                <w:szCs w:val="20"/>
                <w:color w:val="auto"/>
              </w:rPr>
            </w:pPr>
            <w:r>
              <w:rPr>
                <w:rFonts w:ascii="Arial" w:cs="Arial" w:eastAsia="Arial" w:hAnsi="Arial"/>
                <w:sz w:val="15"/>
                <w:szCs w:val="15"/>
                <w:color w:val="auto"/>
              </w:rPr>
              <w:t>Cash payment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30"/>
        </w:trPr>
        <w:tc>
          <w:tcPr>
            <w:tcW w:w="836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7"/>
        </w:trPr>
        <w:tc>
          <w:tcPr>
            <w:tcW w:w="8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Balance, End of period</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FFCC"/>
          </w:tcPr>
          <w:p>
            <w:pPr>
              <w:jc w:val="right"/>
              <w:ind w:right="46"/>
              <w:spacing w:after="0"/>
              <w:rPr>
                <w:sz w:val="20"/>
                <w:szCs w:val="20"/>
                <w:color w:val="auto"/>
              </w:rPr>
            </w:pPr>
            <w:r>
              <w:rPr>
                <w:rFonts w:ascii="Arial" w:cs="Arial" w:eastAsia="Arial" w:hAnsi="Arial"/>
                <w:sz w:val="15"/>
                <w:szCs w:val="15"/>
                <w:color w:val="auto"/>
              </w:rPr>
              <w:t>1,557</w:t>
            </w:r>
          </w:p>
        </w:tc>
        <w:tc>
          <w:tcPr>
            <w:tcW w:w="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rPr>
              <w:t>2,372</w:t>
            </w: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6"/>
          <w:szCs w:val="16"/>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 As of September 30, 2019, the Company is not party to any foreign currency forward contracts and does not have any restricted cash balance.</w:t>
      </w:r>
    </w:p>
    <w:p>
      <w:pPr>
        <w:spacing w:after="0" w:line="6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The following summarizes certain information regarding the Company’s derivatives that are not designated or are not effective as hedges (in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86"/>
              </w:rPr>
              <w:t>Gain (losses) on Derivative Instruments Recognized in Statements of Operations</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21"/>
                <w:szCs w:val="21"/>
                <w:color w:val="auto"/>
              </w:rPr>
            </w:pPr>
          </w:p>
        </w:tc>
        <w:tc>
          <w:tcPr>
            <w:tcW w:w="31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7"/>
        </w:trPr>
        <w:tc>
          <w:tcPr>
            <w:tcW w:w="2400" w:type="dxa"/>
            <w:vAlign w:val="bottom"/>
            <w:tcBorders>
              <w:bottom w:val="single" w:sz="8" w:color="CCFFCC"/>
            </w:tcBorders>
          </w:tcPr>
          <w:p>
            <w:pPr>
              <w:spacing w:after="0"/>
              <w:rPr>
                <w:sz w:val="21"/>
                <w:szCs w:val="21"/>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FFCC"/>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FFCC"/>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3"/>
        </w:trPr>
        <w:tc>
          <w:tcPr>
            <w:tcW w:w="2400" w:type="dxa"/>
            <w:vAlign w:val="bottom"/>
            <w:shd w:val="clear" w:color="auto" w:fill="CCFFCC"/>
          </w:tcPr>
          <w:p>
            <w:pPr>
              <w:ind w:left="20"/>
              <w:spacing w:after="0"/>
              <w:rPr>
                <w:sz w:val="20"/>
                <w:szCs w:val="20"/>
                <w:color w:val="auto"/>
              </w:rPr>
            </w:pPr>
            <w:r>
              <w:rPr>
                <w:rFonts w:ascii="Arial" w:cs="Arial" w:eastAsia="Arial" w:hAnsi="Arial"/>
                <w:sz w:val="15"/>
                <w:szCs w:val="15"/>
                <w:color w:val="auto"/>
              </w:rPr>
              <w:t>Foreign currency derivatives</w:t>
            </w:r>
          </w:p>
        </w:tc>
        <w:tc>
          <w:tcPr>
            <w:tcW w:w="17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20" w:type="dxa"/>
            <w:vAlign w:val="bottom"/>
            <w:vMerge w:val="restart"/>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1600" w:type="dxa"/>
            <w:vAlign w:val="bottom"/>
            <w:gridSpan w:val="2"/>
            <w:vMerge w:val="restart"/>
            <w:shd w:val="clear" w:color="auto" w:fill="CCFFCC"/>
          </w:tcPr>
          <w:p>
            <w:pPr>
              <w:ind w:left="1220"/>
              <w:spacing w:after="0"/>
              <w:rPr>
                <w:sz w:val="20"/>
                <w:szCs w:val="20"/>
                <w:color w:val="auto"/>
              </w:rPr>
            </w:pPr>
            <w:r>
              <w:rPr>
                <w:rFonts w:ascii="Arial" w:cs="Arial" w:eastAsia="Arial" w:hAnsi="Arial"/>
                <w:sz w:val="15"/>
                <w:szCs w:val="15"/>
                <w:color w:val="auto"/>
              </w:rPr>
              <w:t>—</w:t>
            </w:r>
          </w:p>
        </w:tc>
        <w:tc>
          <w:tcPr>
            <w:tcW w:w="420" w:type="dxa"/>
            <w:vAlign w:val="bottom"/>
            <w:vMerge w:val="restart"/>
            <w:shd w:val="clear" w:color="auto" w:fill="CCFFCC"/>
          </w:tcPr>
          <w:p>
            <w:pPr>
              <w:jc w:val="right"/>
              <w:ind w:right="244"/>
              <w:spacing w:after="0"/>
              <w:rPr>
                <w:sz w:val="20"/>
                <w:szCs w:val="20"/>
                <w:color w:val="auto"/>
              </w:rPr>
            </w:pPr>
            <w:r>
              <w:rPr>
                <w:rFonts w:ascii="Arial" w:cs="Arial" w:eastAsia="Arial" w:hAnsi="Arial"/>
                <w:sz w:val="15"/>
                <w:szCs w:val="15"/>
                <w:color w:val="auto"/>
                <w:w w:val="95"/>
              </w:rPr>
              <w:t>$</w:t>
            </w:r>
          </w:p>
        </w:tc>
        <w:tc>
          <w:tcPr>
            <w:tcW w:w="1420" w:type="dxa"/>
            <w:vAlign w:val="bottom"/>
            <w:gridSpan w:val="2"/>
            <w:vMerge w:val="restart"/>
            <w:shd w:val="clear" w:color="auto" w:fill="CCFFCC"/>
          </w:tcPr>
          <w:p>
            <w:pPr>
              <w:ind w:left="1040"/>
              <w:spacing w:after="0"/>
              <w:rPr>
                <w:sz w:val="20"/>
                <w:szCs w:val="20"/>
                <w:color w:val="auto"/>
              </w:rPr>
            </w:pPr>
            <w:r>
              <w:rPr>
                <w:rFonts w:ascii="Arial" w:cs="Arial" w:eastAsia="Arial" w:hAnsi="Arial"/>
                <w:sz w:val="15"/>
                <w:szCs w:val="15"/>
                <w:color w:val="auto"/>
              </w:rPr>
              <w:t>—</w:t>
            </w:r>
          </w:p>
        </w:tc>
        <w:tc>
          <w:tcPr>
            <w:tcW w:w="400" w:type="dxa"/>
            <w:vAlign w:val="bottom"/>
            <w:vMerge w:val="restart"/>
            <w:shd w:val="clear" w:color="auto" w:fill="CCFFCC"/>
          </w:tcPr>
          <w:p>
            <w:pPr>
              <w:jc w:val="right"/>
              <w:ind w:right="224"/>
              <w:spacing w:after="0"/>
              <w:rPr>
                <w:sz w:val="20"/>
                <w:szCs w:val="20"/>
                <w:color w:val="auto"/>
              </w:rPr>
            </w:pPr>
            <w:r>
              <w:rPr>
                <w:rFonts w:ascii="Arial" w:cs="Arial" w:eastAsia="Arial" w:hAnsi="Arial"/>
                <w:sz w:val="15"/>
                <w:szCs w:val="15"/>
                <w:color w:val="auto"/>
                <w:w w:val="95"/>
              </w:rPr>
              <w:t>$</w:t>
            </w:r>
          </w:p>
        </w:tc>
        <w:tc>
          <w:tcPr>
            <w:tcW w:w="1420" w:type="dxa"/>
            <w:vAlign w:val="bottom"/>
            <w:gridSpan w:val="2"/>
            <w:vMerge w:val="restart"/>
            <w:shd w:val="clear" w:color="auto" w:fill="CCFFCC"/>
          </w:tcPr>
          <w:p>
            <w:pPr>
              <w:ind w:left="1040"/>
              <w:spacing w:after="0"/>
              <w:rPr>
                <w:sz w:val="20"/>
                <w:szCs w:val="20"/>
                <w:color w:val="auto"/>
              </w:rPr>
            </w:pPr>
            <w:r>
              <w:rPr>
                <w:rFonts w:ascii="Arial" w:cs="Arial" w:eastAsia="Arial" w:hAnsi="Arial"/>
                <w:sz w:val="15"/>
                <w:szCs w:val="15"/>
                <w:color w:val="auto"/>
              </w:rPr>
              <w:t>—</w:t>
            </w:r>
          </w:p>
        </w:tc>
        <w:tc>
          <w:tcPr>
            <w:tcW w:w="420" w:type="dxa"/>
            <w:vAlign w:val="bottom"/>
            <w:vMerge w:val="restart"/>
            <w:shd w:val="clear" w:color="auto" w:fill="CCFFCC"/>
          </w:tcPr>
          <w:p>
            <w:pPr>
              <w:jc w:val="right"/>
              <w:ind w:right="244"/>
              <w:spacing w:after="0"/>
              <w:rPr>
                <w:sz w:val="20"/>
                <w:szCs w:val="20"/>
                <w:color w:val="auto"/>
              </w:rPr>
            </w:pPr>
            <w:r>
              <w:rPr>
                <w:rFonts w:ascii="Arial" w:cs="Arial" w:eastAsia="Arial" w:hAnsi="Arial"/>
                <w:sz w:val="15"/>
                <w:szCs w:val="15"/>
                <w:color w:val="auto"/>
                <w:w w:val="95"/>
              </w:rPr>
              <w:t>$</w:t>
            </w:r>
          </w:p>
        </w:tc>
        <w:tc>
          <w:tcPr>
            <w:tcW w:w="1280" w:type="dxa"/>
            <w:vAlign w:val="bottom"/>
            <w:vMerge w:val="restart"/>
            <w:shd w:val="clear" w:color="auto" w:fill="CCFFCC"/>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4"/>
        </w:trPr>
        <w:tc>
          <w:tcPr>
            <w:tcW w:w="2400" w:type="dxa"/>
            <w:vAlign w:val="bottom"/>
            <w:shd w:val="clear" w:color="auto" w:fill="CCFFCC"/>
          </w:tcPr>
          <w:p>
            <w:pPr>
              <w:ind w:left="20"/>
              <w:spacing w:after="0"/>
              <w:rPr>
                <w:sz w:val="20"/>
                <w:szCs w:val="20"/>
                <w:color w:val="auto"/>
              </w:rPr>
            </w:pPr>
            <w:r>
              <w:rPr>
                <w:rFonts w:ascii="Arial" w:cs="Arial" w:eastAsia="Arial" w:hAnsi="Arial"/>
                <w:sz w:val="15"/>
                <w:szCs w:val="15"/>
                <w:color w:val="auto"/>
              </w:rPr>
              <w:t>contracts</w:t>
            </w:r>
          </w:p>
        </w:tc>
        <w:tc>
          <w:tcPr>
            <w:tcW w:w="1840" w:type="dxa"/>
            <w:vAlign w:val="bottom"/>
            <w:gridSpan w:val="2"/>
            <w:shd w:val="clear" w:color="auto" w:fill="CCFFCC"/>
          </w:tcPr>
          <w:p>
            <w:pPr>
              <w:ind w:left="20"/>
              <w:spacing w:after="0"/>
              <w:rPr>
                <w:sz w:val="20"/>
                <w:szCs w:val="20"/>
                <w:color w:val="auto"/>
              </w:rPr>
            </w:pPr>
            <w:r>
              <w:rPr>
                <w:rFonts w:ascii="Arial" w:cs="Arial" w:eastAsia="Arial" w:hAnsi="Arial"/>
                <w:sz w:val="15"/>
                <w:szCs w:val="15"/>
                <w:color w:val="auto"/>
              </w:rPr>
              <w:t>Other income, net</w:t>
            </w:r>
          </w:p>
        </w:tc>
        <w:tc>
          <w:tcPr>
            <w:tcW w:w="220" w:type="dxa"/>
            <w:vAlign w:val="bottom"/>
            <w:vMerge w:val="continue"/>
            <w:shd w:val="clear" w:color="auto" w:fill="CCFFCC"/>
          </w:tcPr>
          <w:p>
            <w:pPr>
              <w:spacing w:after="0"/>
              <w:rPr>
                <w:sz w:val="17"/>
                <w:szCs w:val="17"/>
                <w:color w:val="auto"/>
              </w:rPr>
            </w:pPr>
          </w:p>
        </w:tc>
        <w:tc>
          <w:tcPr>
            <w:tcW w:w="1600" w:type="dxa"/>
            <w:vAlign w:val="bottom"/>
            <w:gridSpan w:val="2"/>
            <w:vMerge w:val="continue"/>
            <w:shd w:val="clear" w:color="auto" w:fill="CCFFCC"/>
          </w:tcPr>
          <w:p>
            <w:pPr>
              <w:spacing w:after="0"/>
              <w:rPr>
                <w:sz w:val="17"/>
                <w:szCs w:val="17"/>
                <w:color w:val="auto"/>
              </w:rPr>
            </w:pPr>
          </w:p>
        </w:tc>
        <w:tc>
          <w:tcPr>
            <w:tcW w:w="420" w:type="dxa"/>
            <w:vAlign w:val="bottom"/>
            <w:vMerge w:val="continue"/>
            <w:shd w:val="clear" w:color="auto" w:fill="CCFFCC"/>
          </w:tcPr>
          <w:p>
            <w:pPr>
              <w:spacing w:after="0"/>
              <w:rPr>
                <w:sz w:val="17"/>
                <w:szCs w:val="17"/>
                <w:color w:val="auto"/>
              </w:rPr>
            </w:pPr>
          </w:p>
        </w:tc>
        <w:tc>
          <w:tcPr>
            <w:tcW w:w="1420" w:type="dxa"/>
            <w:vAlign w:val="bottom"/>
            <w:gridSpan w:val="2"/>
            <w:vMerge w:val="continue"/>
            <w:shd w:val="clear" w:color="auto" w:fill="CCFFCC"/>
          </w:tcPr>
          <w:p>
            <w:pPr>
              <w:spacing w:after="0"/>
              <w:rPr>
                <w:sz w:val="17"/>
                <w:szCs w:val="17"/>
                <w:color w:val="auto"/>
              </w:rPr>
            </w:pPr>
          </w:p>
        </w:tc>
        <w:tc>
          <w:tcPr>
            <w:tcW w:w="400" w:type="dxa"/>
            <w:vAlign w:val="bottom"/>
            <w:vMerge w:val="continue"/>
            <w:shd w:val="clear" w:color="auto" w:fill="CCFFCC"/>
          </w:tcPr>
          <w:p>
            <w:pPr>
              <w:spacing w:after="0"/>
              <w:rPr>
                <w:sz w:val="17"/>
                <w:szCs w:val="17"/>
                <w:color w:val="auto"/>
              </w:rPr>
            </w:pPr>
          </w:p>
        </w:tc>
        <w:tc>
          <w:tcPr>
            <w:tcW w:w="1420" w:type="dxa"/>
            <w:vAlign w:val="bottom"/>
            <w:gridSpan w:val="2"/>
            <w:vMerge w:val="continue"/>
            <w:shd w:val="clear" w:color="auto" w:fill="CCFFCC"/>
          </w:tcPr>
          <w:p>
            <w:pPr>
              <w:spacing w:after="0"/>
              <w:rPr>
                <w:sz w:val="17"/>
                <w:szCs w:val="17"/>
                <w:color w:val="auto"/>
              </w:rPr>
            </w:pPr>
          </w:p>
        </w:tc>
        <w:tc>
          <w:tcPr>
            <w:tcW w:w="420" w:type="dxa"/>
            <w:vAlign w:val="bottom"/>
            <w:vMerge w:val="continue"/>
            <w:shd w:val="clear" w:color="auto" w:fill="CCFFCC"/>
          </w:tcPr>
          <w:p>
            <w:pPr>
              <w:spacing w:after="0"/>
              <w:rPr>
                <w:sz w:val="17"/>
                <w:szCs w:val="17"/>
                <w:color w:val="auto"/>
              </w:rPr>
            </w:pPr>
          </w:p>
        </w:tc>
        <w:tc>
          <w:tcPr>
            <w:tcW w:w="1280" w:type="dxa"/>
            <w:vAlign w:val="bottom"/>
            <w:vMerge w:val="continue"/>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FFCC"/>
            </w:tcBorders>
          </w:tcPr>
          <w:p>
            <w:pPr>
              <w:spacing w:after="0" w:line="20" w:lineRule="exact"/>
              <w:rPr>
                <w:sz w:val="1"/>
                <w:szCs w:val="1"/>
                <w:color w:val="auto"/>
              </w:rPr>
            </w:pPr>
          </w:p>
        </w:tc>
        <w:tc>
          <w:tcPr>
            <w:tcW w:w="17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111111"/>
        </w:rPr>
        <w:t xml:space="preserve">The Company leases facilities and certain car leases (the "leases") under agreements accounted for as operating leases. The </w:t>
      </w:r>
      <w:r>
        <w:rPr>
          <w:rFonts w:ascii="Arial" w:cs="Arial" w:eastAsia="Arial" w:hAnsi="Arial"/>
          <w:sz w:val="17"/>
          <w:szCs w:val="17"/>
          <w:color w:val="000000"/>
        </w:rPr>
        <w:t>leases have initial lease terms</w:t>
      </w:r>
      <w:r>
        <w:rPr>
          <w:rFonts w:ascii="Arial" w:cs="Arial" w:eastAsia="Arial" w:hAnsi="Arial"/>
          <w:sz w:val="17"/>
          <w:szCs w:val="17"/>
          <w:color w:val="111111"/>
        </w:rPr>
        <w:t xml:space="preserve"> </w:t>
      </w:r>
      <w:r>
        <w:rPr>
          <w:rFonts w:ascii="Arial" w:cs="Arial" w:eastAsia="Arial" w:hAnsi="Arial"/>
          <w:sz w:val="17"/>
          <w:szCs w:val="17"/>
          <w:color w:val="000000"/>
        </w:rPr>
        <w:t>ranging from 1 years to 10 years. Payments due under the lease contracts include primarily fixed payments. The lease terms include periods under options to extend or terminate the lease when it is reasonably certain that we will exercise that option. Currently, there are no operating leases where we believe it is reasonably certain that the Company will exercise any option to extend the initial term.</w:t>
      </w:r>
    </w:p>
    <w:p>
      <w:pPr>
        <w:spacing w:after="0" w:line="103"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111111"/>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and car leases described above, none of its supply contracts contain a lease. Further, the Company has made an accounting policy election to keep leases with a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105"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111111"/>
        </w:rPr>
        <w:t xml:space="preserve">In connection with the leases, the Company recognized operating lease right-of-use assets of $14.5 million and an aggregate lease liability of $18.3 million in its condensed consolidated balance sheet as of </w:t>
      </w:r>
      <w:r>
        <w:rPr>
          <w:rFonts w:ascii="Arial" w:cs="Arial" w:eastAsia="Arial" w:hAnsi="Arial"/>
          <w:sz w:val="17"/>
          <w:szCs w:val="17"/>
          <w:color w:val="000000"/>
        </w:rPr>
        <w:t>September 30, 2019</w:t>
      </w:r>
      <w:r>
        <w:rPr>
          <w:rFonts w:ascii="Arial" w:cs="Arial" w:eastAsia="Arial" w:hAnsi="Arial"/>
          <w:sz w:val="17"/>
          <w:szCs w:val="17"/>
          <w:color w:val="111111"/>
        </w:rPr>
        <w:t>.</w:t>
      </w:r>
    </w:p>
    <w:p>
      <w:pPr>
        <w:spacing w:after="0" w:line="89"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111111"/>
        </w:rPr>
        <w:t xml:space="preserve">The determination of the discount rate used to calculate the present value of the right-of-use assets and lease liabilities depends on whether an interest rate is specified in the lease or not. If the lease specifies a rate, that rate is used when calculating the present value of lease payments. </w:t>
      </w:r>
      <w:r>
        <w:rPr>
          <w:rFonts w:ascii="Arial" w:cs="Arial" w:eastAsia="Arial" w:hAnsi="Arial"/>
          <w:sz w:val="17"/>
          <w:szCs w:val="17"/>
          <w:color w:val="000000"/>
        </w:rPr>
        <w:t>If the rate is not readily determinable,</w:t>
      </w:r>
      <w:r>
        <w:rPr>
          <w:rFonts w:ascii="Arial" w:cs="Arial" w:eastAsia="Arial" w:hAnsi="Arial"/>
          <w:sz w:val="17"/>
          <w:szCs w:val="17"/>
          <w:color w:val="111111"/>
        </w:rPr>
        <w:t xml:space="preserve"> </w:t>
      </w:r>
      <w:r>
        <w:rPr>
          <w:rFonts w:ascii="Arial" w:cs="Arial" w:eastAsia="Arial" w:hAnsi="Arial"/>
          <w:sz w:val="17"/>
          <w:szCs w:val="17"/>
          <w:color w:val="000000"/>
        </w:rPr>
        <w:t>which is generally the case for the Company, the Company’s incremental borrowing rate (“IBR”) as of the date of inception of the lease is used (for initial measurement, the IBR was determined as of the adoption date of the standard). The IBR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Pr>
          <w:p>
            <w:pPr>
              <w:jc w:val="right"/>
              <w:ind w:right="405"/>
              <w:spacing w:after="0"/>
              <w:rPr>
                <w:sz w:val="20"/>
                <w:szCs w:val="20"/>
                <w:color w:val="auto"/>
              </w:rPr>
            </w:pPr>
            <w:r>
              <w:rPr>
                <w:rFonts w:ascii="Arial" w:cs="Arial" w:eastAsia="Arial" w:hAnsi="Arial"/>
                <w:sz w:val="14"/>
                <w:szCs w:val="14"/>
                <w:b w:val="1"/>
                <w:bCs w:val="1"/>
                <w:color w:val="auto"/>
                <w:w w:val="96"/>
              </w:rPr>
              <w:t>As of September 30, 2019</w:t>
            </w:r>
          </w:p>
        </w:tc>
      </w:tr>
      <w:tr>
        <w:trPr>
          <w:trHeight w:val="209"/>
        </w:trPr>
        <w:tc>
          <w:tcPr>
            <w:tcW w:w="8980" w:type="dxa"/>
            <w:vAlign w:val="bottom"/>
            <w:shd w:val="clear" w:color="auto" w:fill="CCFFCC"/>
          </w:tcPr>
          <w:p>
            <w:pPr>
              <w:spacing w:after="0"/>
              <w:rPr>
                <w:sz w:val="18"/>
                <w:szCs w:val="18"/>
                <w:color w:val="auto"/>
              </w:rPr>
            </w:pPr>
          </w:p>
        </w:tc>
        <w:tc>
          <w:tcPr>
            <w:tcW w:w="2420" w:type="dxa"/>
            <w:vAlign w:val="bottom"/>
            <w:gridSpan w:val="2"/>
            <w:shd w:val="clear" w:color="auto" w:fill="CCFFCC"/>
          </w:tcPr>
          <w:p>
            <w:pPr>
              <w:ind w:left="20"/>
              <w:spacing w:after="0"/>
              <w:rPr>
                <w:sz w:val="20"/>
                <w:szCs w:val="20"/>
                <w:color w:val="auto"/>
              </w:rPr>
            </w:pPr>
            <w:r>
              <w:rPr>
                <w:rFonts w:ascii="Arial" w:cs="Arial" w:eastAsia="Arial" w:hAnsi="Arial"/>
                <w:sz w:val="15"/>
                <w:szCs w:val="15"/>
                <w:b w:val="1"/>
                <w:bCs w:val="1"/>
                <w:color w:val="auto"/>
                <w:w w:val="90"/>
              </w:rPr>
              <w:t>(in thousands, except lease term and</w:t>
            </w:r>
          </w:p>
        </w:tc>
      </w:tr>
      <w:tr>
        <w:trPr>
          <w:trHeight w:val="228"/>
        </w:trPr>
        <w:tc>
          <w:tcPr>
            <w:tcW w:w="8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b w:val="1"/>
                <w:bCs w:val="1"/>
                <w:color w:val="auto"/>
              </w:rPr>
              <w:t>Operating Leases</w:t>
            </w:r>
          </w:p>
        </w:tc>
        <w:tc>
          <w:tcPr>
            <w:tcW w:w="280" w:type="dxa"/>
            <w:vAlign w:val="bottom"/>
            <w:tcBorders>
              <w:bottom w:val="single" w:sz="8" w:color="CCFFCC"/>
            </w:tcBorders>
            <w:shd w:val="clear" w:color="auto" w:fill="CCFFCC"/>
          </w:tcPr>
          <w:p>
            <w:pPr>
              <w:spacing w:after="0"/>
              <w:rPr>
                <w:sz w:val="19"/>
                <w:szCs w:val="19"/>
                <w:color w:val="auto"/>
              </w:rPr>
            </w:pPr>
          </w:p>
        </w:tc>
        <w:tc>
          <w:tcPr>
            <w:tcW w:w="2140" w:type="dxa"/>
            <w:vAlign w:val="bottom"/>
            <w:tcBorders>
              <w:bottom w:val="single" w:sz="8" w:color="CCFFCC"/>
            </w:tcBorders>
            <w:shd w:val="clear" w:color="auto" w:fill="CCFFCC"/>
          </w:tcPr>
          <w:p>
            <w:pPr>
              <w:jc w:val="right"/>
              <w:ind w:right="685"/>
              <w:spacing w:after="0"/>
              <w:rPr>
                <w:sz w:val="20"/>
                <w:szCs w:val="20"/>
                <w:color w:val="auto"/>
              </w:rPr>
            </w:pPr>
            <w:r>
              <w:rPr>
                <w:rFonts w:ascii="Arial" w:cs="Arial" w:eastAsia="Arial" w:hAnsi="Arial"/>
                <w:sz w:val="15"/>
                <w:szCs w:val="15"/>
                <w:b w:val="1"/>
                <w:bCs w:val="1"/>
                <w:color w:val="auto"/>
              </w:rPr>
              <w:t>discount rate)</w:t>
            </w:r>
          </w:p>
        </w:tc>
      </w:tr>
      <w:tr>
        <w:trPr>
          <w:trHeight w:val="204"/>
        </w:trPr>
        <w:tc>
          <w:tcPr>
            <w:tcW w:w="8980" w:type="dxa"/>
            <w:vAlign w:val="bottom"/>
          </w:tcPr>
          <w:p>
            <w:pPr>
              <w:ind w:left="20"/>
              <w:spacing w:after="0"/>
              <w:rPr>
                <w:sz w:val="20"/>
                <w:szCs w:val="20"/>
                <w:color w:val="auto"/>
              </w:rPr>
            </w:pPr>
            <w:r>
              <w:rPr>
                <w:rFonts w:ascii="Arial" w:cs="Arial" w:eastAsia="Arial" w:hAnsi="Arial"/>
                <w:sz w:val="15"/>
                <w:szCs w:val="15"/>
                <w:color w:val="auto"/>
              </w:rPr>
              <w:t>Right-of-use asset</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21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14,521</w:t>
            </w:r>
          </w:p>
        </w:tc>
      </w:tr>
      <w:tr>
        <w:trPr>
          <w:trHeight w:val="30"/>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80"/>
        </w:trPr>
        <w:tc>
          <w:tcPr>
            <w:tcW w:w="898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2140" w:type="dxa"/>
            <w:vAlign w:val="bottom"/>
            <w:shd w:val="clear" w:color="auto" w:fill="CCFFCC"/>
          </w:tcPr>
          <w:p>
            <w:pPr>
              <w:spacing w:after="0"/>
              <w:rPr>
                <w:sz w:val="24"/>
                <w:szCs w:val="24"/>
                <w:color w:val="auto"/>
              </w:rPr>
            </w:pPr>
          </w:p>
        </w:tc>
      </w:tr>
      <w:tr>
        <w:trPr>
          <w:trHeight w:val="224"/>
        </w:trPr>
        <w:tc>
          <w:tcPr>
            <w:tcW w:w="8980" w:type="dxa"/>
            <w:vAlign w:val="bottom"/>
          </w:tcPr>
          <w:p>
            <w:pPr>
              <w:ind w:left="20"/>
              <w:spacing w:after="0"/>
              <w:rPr>
                <w:sz w:val="20"/>
                <w:szCs w:val="20"/>
                <w:color w:val="auto"/>
              </w:rPr>
            </w:pPr>
            <w:r>
              <w:rPr>
                <w:rFonts w:ascii="Arial" w:cs="Arial" w:eastAsia="Arial" w:hAnsi="Arial"/>
                <w:sz w:val="15"/>
                <w:szCs w:val="15"/>
                <w:color w:val="auto"/>
              </w:rPr>
              <w:t>Current operating lease liability</w:t>
            </w:r>
          </w:p>
        </w:tc>
        <w:tc>
          <w:tcPr>
            <w:tcW w:w="280" w:type="dxa"/>
            <w:vAlign w:val="bottom"/>
          </w:tcPr>
          <w:p>
            <w:pPr>
              <w:spacing w:after="0"/>
              <w:rPr>
                <w:sz w:val="19"/>
                <w:szCs w:val="19"/>
                <w:color w:val="auto"/>
              </w:rPr>
            </w:pPr>
          </w:p>
        </w:tc>
        <w:tc>
          <w:tcPr>
            <w:tcW w:w="2140" w:type="dxa"/>
            <w:vAlign w:val="bottom"/>
          </w:tcPr>
          <w:p>
            <w:pPr>
              <w:jc w:val="right"/>
              <w:ind w:right="85"/>
              <w:spacing w:after="0"/>
              <w:rPr>
                <w:sz w:val="20"/>
                <w:szCs w:val="20"/>
                <w:color w:val="auto"/>
              </w:rPr>
            </w:pPr>
            <w:r>
              <w:rPr>
                <w:rFonts w:ascii="Arial" w:cs="Arial" w:eastAsia="Arial" w:hAnsi="Arial"/>
                <w:sz w:val="15"/>
                <w:szCs w:val="15"/>
                <w:color w:val="auto"/>
              </w:rPr>
              <w:t>6,015</w:t>
            </w:r>
          </w:p>
        </w:tc>
      </w:tr>
      <w:tr>
        <w:trPr>
          <w:trHeight w:val="30"/>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4"/>
        </w:trPr>
        <w:tc>
          <w:tcPr>
            <w:tcW w:w="8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Long term operating lease liability</w:t>
            </w:r>
          </w:p>
        </w:tc>
        <w:tc>
          <w:tcPr>
            <w:tcW w:w="280" w:type="dxa"/>
            <w:vAlign w:val="bottom"/>
            <w:tcBorders>
              <w:bottom w:val="single" w:sz="8" w:color="CCFFCC"/>
            </w:tcBorders>
            <w:shd w:val="clear" w:color="auto" w:fill="CCFFCC"/>
          </w:tcPr>
          <w:p>
            <w:pPr>
              <w:spacing w:after="0"/>
              <w:rPr>
                <w:sz w:val="22"/>
                <w:szCs w:val="22"/>
                <w:color w:val="auto"/>
              </w:rPr>
            </w:pPr>
          </w:p>
        </w:tc>
        <w:tc>
          <w:tcPr>
            <w:tcW w:w="2140" w:type="dxa"/>
            <w:vAlign w:val="bottom"/>
            <w:tcBorders>
              <w:bottom w:val="single" w:sz="8" w:color="CCFFCC"/>
            </w:tcBorders>
            <w:shd w:val="clear" w:color="auto" w:fill="CCFFCC"/>
          </w:tcPr>
          <w:p>
            <w:pPr>
              <w:jc w:val="right"/>
              <w:ind w:right="85"/>
              <w:spacing w:after="0"/>
              <w:rPr>
                <w:sz w:val="20"/>
                <w:szCs w:val="20"/>
                <w:color w:val="auto"/>
              </w:rPr>
            </w:pPr>
            <w:r>
              <w:rPr>
                <w:rFonts w:ascii="Arial" w:cs="Arial" w:eastAsia="Arial" w:hAnsi="Arial"/>
                <w:sz w:val="15"/>
                <w:szCs w:val="15"/>
                <w:color w:val="auto"/>
              </w:rPr>
              <w:t>12,323</w:t>
            </w:r>
          </w:p>
        </w:tc>
      </w:tr>
      <w:tr>
        <w:trPr>
          <w:trHeight w:val="204"/>
        </w:trPr>
        <w:tc>
          <w:tcPr>
            <w:tcW w:w="8980" w:type="dxa"/>
            <w:vAlign w:val="bottom"/>
          </w:tcPr>
          <w:p>
            <w:pPr>
              <w:ind w:left="180"/>
              <w:spacing w:after="0"/>
              <w:rPr>
                <w:sz w:val="20"/>
                <w:szCs w:val="20"/>
                <w:color w:val="auto"/>
              </w:rPr>
            </w:pPr>
            <w:r>
              <w:rPr>
                <w:rFonts w:ascii="Arial" w:cs="Arial" w:eastAsia="Arial" w:hAnsi="Arial"/>
                <w:sz w:val="15"/>
                <w:szCs w:val="15"/>
                <w:color w:val="auto"/>
              </w:rPr>
              <w:t>Total operating lease liability</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21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18,338</w:t>
            </w:r>
          </w:p>
        </w:tc>
      </w:tr>
      <w:tr>
        <w:trPr>
          <w:trHeight w:val="30"/>
        </w:trPr>
        <w:tc>
          <w:tcPr>
            <w:tcW w:w="898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72"/>
        </w:trPr>
        <w:tc>
          <w:tcPr>
            <w:tcW w:w="898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2140" w:type="dxa"/>
            <w:vAlign w:val="bottom"/>
            <w:shd w:val="clear" w:color="auto" w:fill="CCFFCC"/>
          </w:tcPr>
          <w:p>
            <w:pPr>
              <w:spacing w:after="0"/>
              <w:rPr>
                <w:sz w:val="23"/>
                <w:szCs w:val="23"/>
                <w:color w:val="auto"/>
              </w:rPr>
            </w:pPr>
          </w:p>
        </w:tc>
      </w:tr>
      <w:tr>
        <w:trPr>
          <w:trHeight w:val="224"/>
        </w:trPr>
        <w:tc>
          <w:tcPr>
            <w:tcW w:w="8980" w:type="dxa"/>
            <w:vAlign w:val="bottom"/>
          </w:tcPr>
          <w:p>
            <w:pPr>
              <w:ind w:left="20"/>
              <w:spacing w:after="0"/>
              <w:rPr>
                <w:sz w:val="20"/>
                <w:szCs w:val="20"/>
                <w:color w:val="auto"/>
              </w:rPr>
            </w:pPr>
            <w:r>
              <w:rPr>
                <w:rFonts w:ascii="Arial" w:cs="Arial" w:eastAsia="Arial" w:hAnsi="Arial"/>
                <w:sz w:val="15"/>
                <w:szCs w:val="15"/>
                <w:b w:val="1"/>
                <w:bCs w:val="1"/>
                <w:color w:val="auto"/>
              </w:rPr>
              <w:t>Weighted Average Remaining Lease Term</w:t>
            </w:r>
          </w:p>
        </w:tc>
        <w:tc>
          <w:tcPr>
            <w:tcW w:w="2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0"/>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4"/>
        </w:trPr>
        <w:tc>
          <w:tcPr>
            <w:tcW w:w="89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5"/>
                <w:szCs w:val="15"/>
                <w:color w:val="auto"/>
              </w:rPr>
              <w:t>Operating leases</w:t>
            </w:r>
          </w:p>
        </w:tc>
        <w:tc>
          <w:tcPr>
            <w:tcW w:w="280" w:type="dxa"/>
            <w:vAlign w:val="bottom"/>
            <w:tcBorders>
              <w:bottom w:val="single" w:sz="8" w:color="CCFFCC"/>
            </w:tcBorders>
            <w:shd w:val="clear" w:color="auto" w:fill="CCFFCC"/>
          </w:tcPr>
          <w:p>
            <w:pPr>
              <w:spacing w:after="0"/>
              <w:rPr>
                <w:sz w:val="20"/>
                <w:szCs w:val="20"/>
                <w:color w:val="auto"/>
              </w:rPr>
            </w:pPr>
          </w:p>
        </w:tc>
        <w:tc>
          <w:tcPr>
            <w:tcW w:w="2140" w:type="dxa"/>
            <w:vAlign w:val="bottom"/>
            <w:tcBorders>
              <w:bottom w:val="single" w:sz="8" w:color="CCFFCC"/>
            </w:tcBorders>
            <w:shd w:val="clear" w:color="auto" w:fill="CCFFCC"/>
          </w:tcPr>
          <w:p>
            <w:pPr>
              <w:jc w:val="right"/>
              <w:ind w:right="85"/>
              <w:spacing w:after="0"/>
              <w:rPr>
                <w:sz w:val="20"/>
                <w:szCs w:val="20"/>
                <w:color w:val="auto"/>
              </w:rPr>
            </w:pPr>
            <w:r>
              <w:rPr>
                <w:rFonts w:ascii="Arial" w:cs="Arial" w:eastAsia="Arial" w:hAnsi="Arial"/>
                <w:sz w:val="15"/>
                <w:szCs w:val="15"/>
                <w:color w:val="auto"/>
              </w:rPr>
              <w:t>3.8 years</w:t>
            </w:r>
          </w:p>
        </w:tc>
      </w:tr>
      <w:tr>
        <w:trPr>
          <w:trHeight w:val="280"/>
        </w:trPr>
        <w:tc>
          <w:tcPr>
            <w:tcW w:w="8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8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b w:val="1"/>
                <w:bCs w:val="1"/>
                <w:color w:val="auto"/>
              </w:rPr>
              <w:t>Weighted Average Discount Rate</w:t>
            </w:r>
          </w:p>
        </w:tc>
        <w:tc>
          <w:tcPr>
            <w:tcW w:w="280" w:type="dxa"/>
            <w:vAlign w:val="bottom"/>
            <w:tcBorders>
              <w:bottom w:val="single" w:sz="8" w:color="CCFFCC"/>
            </w:tcBorders>
            <w:shd w:val="clear" w:color="auto" w:fill="CCFFCC"/>
          </w:tcPr>
          <w:p>
            <w:pPr>
              <w:spacing w:after="0"/>
              <w:rPr>
                <w:sz w:val="20"/>
                <w:szCs w:val="20"/>
                <w:color w:val="auto"/>
              </w:rPr>
            </w:pPr>
          </w:p>
        </w:tc>
        <w:tc>
          <w:tcPr>
            <w:tcW w:w="2140" w:type="dxa"/>
            <w:vAlign w:val="bottom"/>
            <w:tcBorders>
              <w:bottom w:val="single" w:sz="8" w:color="CCFFCC"/>
            </w:tcBorders>
            <w:shd w:val="clear" w:color="auto" w:fill="CCFFCC"/>
          </w:tcPr>
          <w:p>
            <w:pPr>
              <w:spacing w:after="0"/>
              <w:rPr>
                <w:sz w:val="20"/>
                <w:szCs w:val="20"/>
                <w:color w:val="auto"/>
              </w:rPr>
            </w:pPr>
          </w:p>
        </w:tc>
      </w:tr>
      <w:tr>
        <w:trPr>
          <w:trHeight w:val="224"/>
        </w:trPr>
        <w:tc>
          <w:tcPr>
            <w:tcW w:w="8980" w:type="dxa"/>
            <w:vAlign w:val="bottom"/>
          </w:tcPr>
          <w:p>
            <w:pPr>
              <w:ind w:left="180"/>
              <w:spacing w:after="0"/>
              <w:rPr>
                <w:sz w:val="20"/>
                <w:szCs w:val="20"/>
                <w:color w:val="auto"/>
              </w:rPr>
            </w:pPr>
            <w:r>
              <w:rPr>
                <w:rFonts w:ascii="Arial" w:cs="Arial" w:eastAsia="Arial" w:hAnsi="Arial"/>
                <w:sz w:val="15"/>
                <w:szCs w:val="15"/>
                <w:color w:val="auto"/>
              </w:rPr>
              <w:t>Operating leases</w:t>
            </w: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7%</w:t>
            </w: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right="700" w:firstLine="610"/>
        <w:spacing w:after="0" w:line="341" w:lineRule="auto"/>
        <w:rPr>
          <w:sz w:val="20"/>
          <w:szCs w:val="20"/>
          <w:color w:val="auto"/>
        </w:rPr>
      </w:pPr>
      <w:r>
        <w:rPr>
          <w:rFonts w:ascii="Arial" w:cs="Arial" w:eastAsia="Arial" w:hAnsi="Arial"/>
          <w:sz w:val="15"/>
          <w:szCs w:val="15"/>
          <w:color w:val="auto"/>
        </w:rPr>
        <w:t xml:space="preserve">During the three months and nine months ended September 30, 2019, there were $1.9 million and $5.0 million of cash payments for operating leases, respectively. </w:t>
      </w:r>
      <w:r>
        <w:rPr>
          <w:rFonts w:ascii="Arial" w:cs="Arial" w:eastAsia="Arial" w:hAnsi="Arial"/>
          <w:sz w:val="15"/>
          <w:szCs w:val="15"/>
          <w:color w:val="111111"/>
        </w:rPr>
        <w:t>The undiscounted future lease payments under the lease liability as of</w:t>
      </w:r>
      <w:r>
        <w:rPr>
          <w:rFonts w:ascii="Arial" w:cs="Arial" w:eastAsia="Arial" w:hAnsi="Arial"/>
          <w:sz w:val="15"/>
          <w:szCs w:val="15"/>
          <w:color w:val="auto"/>
        </w:rPr>
        <w:t xml:space="preserve"> September 30, 2019 </w:t>
      </w:r>
      <w:r>
        <w:rPr>
          <w:rFonts w:ascii="Arial" w:cs="Arial" w:eastAsia="Arial" w:hAnsi="Arial"/>
          <w:sz w:val="15"/>
          <w:szCs w:val="15"/>
          <w:color w:val="111111"/>
        </w:rPr>
        <w:t>were as follows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w w:val="88"/>
              </w:rPr>
              <w:t>As of September 30, 2019</w:t>
            </w:r>
          </w:p>
        </w:tc>
      </w:tr>
      <w:tr>
        <w:trPr>
          <w:trHeight w:val="209"/>
        </w:trPr>
        <w:tc>
          <w:tcPr>
            <w:tcW w:w="9460" w:type="dxa"/>
            <w:vAlign w:val="bottom"/>
            <w:gridSpan w:val="2"/>
          </w:tcPr>
          <w:p>
            <w:pPr>
              <w:ind w:left="20"/>
              <w:spacing w:after="0"/>
              <w:rPr>
                <w:sz w:val="20"/>
                <w:szCs w:val="20"/>
                <w:color w:val="auto"/>
              </w:rPr>
            </w:pPr>
            <w:r>
              <w:rPr>
                <w:rFonts w:ascii="Arial" w:cs="Arial" w:eastAsia="Arial" w:hAnsi="Arial"/>
                <w:sz w:val="15"/>
                <w:szCs w:val="15"/>
                <w:color w:val="auto"/>
              </w:rPr>
              <w:t>2019 (remaining three months)</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1,899</w:t>
            </w:r>
          </w:p>
        </w:tc>
      </w:tr>
      <w:tr>
        <w:trPr>
          <w:trHeight w:val="30"/>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4"/>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6,429</w:t>
            </w:r>
          </w:p>
        </w:tc>
      </w:tr>
      <w:tr>
        <w:trPr>
          <w:trHeight w:val="224"/>
        </w:trPr>
        <w:tc>
          <w:tcPr>
            <w:tcW w:w="9360" w:type="dxa"/>
            <w:vAlign w:val="bottom"/>
          </w:tcPr>
          <w:p>
            <w:pPr>
              <w:ind w:left="20"/>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4,962</w:t>
            </w:r>
          </w:p>
        </w:tc>
      </w:tr>
      <w:tr>
        <w:trPr>
          <w:trHeight w:val="30"/>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4"/>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3,674</w:t>
            </w:r>
          </w:p>
        </w:tc>
      </w:tr>
      <w:tr>
        <w:trPr>
          <w:trHeight w:val="224"/>
        </w:trPr>
        <w:tc>
          <w:tcPr>
            <w:tcW w:w="9360" w:type="dxa"/>
            <w:vAlign w:val="bottom"/>
          </w:tcPr>
          <w:p>
            <w:pPr>
              <w:ind w:left="20"/>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1,885</w:t>
            </w:r>
          </w:p>
        </w:tc>
      </w:tr>
      <w:tr>
        <w:trPr>
          <w:trHeight w:val="30"/>
        </w:trPr>
        <w:tc>
          <w:tcPr>
            <w:tcW w:w="9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4"/>
        </w:trPr>
        <w:tc>
          <w:tcPr>
            <w:tcW w:w="9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2024</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1,114</w:t>
            </w:r>
          </w:p>
        </w:tc>
      </w:tr>
      <w:tr>
        <w:trPr>
          <w:trHeight w:val="224"/>
        </w:trPr>
        <w:tc>
          <w:tcPr>
            <w:tcW w:w="9460" w:type="dxa"/>
            <w:vAlign w:val="bottom"/>
            <w:gridSpan w:val="2"/>
          </w:tcPr>
          <w:p>
            <w:pPr>
              <w:ind w:left="20"/>
              <w:spacing w:after="0"/>
              <w:rPr>
                <w:sz w:val="20"/>
                <w:szCs w:val="20"/>
                <w:color w:val="auto"/>
              </w:rPr>
            </w:pPr>
            <w:r>
              <w:rPr>
                <w:rFonts w:ascii="Arial" w:cs="Arial" w:eastAsia="Arial" w:hAnsi="Arial"/>
                <w:sz w:val="15"/>
                <w:szCs w:val="15"/>
                <w:color w:val="auto"/>
              </w:rPr>
              <w:t>Thereafter</w:t>
            </w:r>
          </w:p>
        </w:tc>
        <w:tc>
          <w:tcPr>
            <w:tcW w:w="180" w:type="dxa"/>
            <w:vAlign w:val="bottom"/>
          </w:tcPr>
          <w:p>
            <w:pPr>
              <w:spacing w:after="0"/>
              <w:rPr>
                <w:sz w:val="19"/>
                <w:szCs w:val="19"/>
                <w:color w:val="auto"/>
              </w:rPr>
            </w:pPr>
          </w:p>
        </w:tc>
        <w:tc>
          <w:tcPr>
            <w:tcW w:w="1760" w:type="dxa"/>
            <w:vAlign w:val="bottom"/>
          </w:tcPr>
          <w:p>
            <w:pPr>
              <w:jc w:val="right"/>
              <w:ind w:right="25"/>
              <w:spacing w:after="0"/>
              <w:rPr>
                <w:sz w:val="20"/>
                <w:szCs w:val="20"/>
                <w:color w:val="auto"/>
              </w:rPr>
            </w:pPr>
            <w:r>
              <w:rPr>
                <w:rFonts w:ascii="Arial" w:cs="Arial" w:eastAsia="Arial" w:hAnsi="Arial"/>
                <w:sz w:val="15"/>
                <w:szCs w:val="15"/>
                <w:color w:val="auto"/>
              </w:rPr>
              <w:t>807</w:t>
            </w:r>
          </w:p>
        </w:tc>
      </w:tr>
      <w:tr>
        <w:trPr>
          <w:trHeight w:val="30"/>
        </w:trPr>
        <w:tc>
          <w:tcPr>
            <w:tcW w:w="93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4"/>
        </w:trPr>
        <w:tc>
          <w:tcPr>
            <w:tcW w:w="946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5"/>
                <w:szCs w:val="15"/>
                <w:color w:val="auto"/>
              </w:rPr>
              <w:t>Total undiscounted lease payments</w:t>
            </w:r>
          </w:p>
        </w:tc>
        <w:tc>
          <w:tcPr>
            <w:tcW w:w="180" w:type="dxa"/>
            <w:vAlign w:val="bottom"/>
            <w:tcBorders>
              <w:bottom w:val="single" w:sz="8" w:color="CCFFCC"/>
            </w:tcBorders>
            <w:shd w:val="clear" w:color="auto" w:fill="CCFFCC"/>
          </w:tcPr>
          <w:p>
            <w:pPr>
              <w:spacing w:after="0"/>
              <w:rPr>
                <w:sz w:val="18"/>
                <w:szCs w:val="18"/>
                <w:color w:val="auto"/>
              </w:rPr>
            </w:pPr>
          </w:p>
        </w:tc>
        <w:tc>
          <w:tcPr>
            <w:tcW w:w="176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20,770</w:t>
            </w:r>
          </w:p>
        </w:tc>
      </w:tr>
      <w:tr>
        <w:trPr>
          <w:trHeight w:val="224"/>
        </w:trPr>
        <w:tc>
          <w:tcPr>
            <w:tcW w:w="9460" w:type="dxa"/>
            <w:vAlign w:val="bottom"/>
            <w:gridSpan w:val="2"/>
          </w:tcPr>
          <w:p>
            <w:pPr>
              <w:ind w:left="20"/>
              <w:spacing w:after="0"/>
              <w:rPr>
                <w:sz w:val="20"/>
                <w:szCs w:val="20"/>
                <w:color w:val="auto"/>
              </w:rPr>
            </w:pPr>
            <w:r>
              <w:rPr>
                <w:rFonts w:ascii="Arial" w:cs="Arial" w:eastAsia="Arial" w:hAnsi="Arial"/>
                <w:sz w:val="15"/>
                <w:szCs w:val="15"/>
                <w:color w:val="auto"/>
              </w:rPr>
              <w:t>Less: present value adjustment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(2,432)</w:t>
            </w:r>
          </w:p>
        </w:tc>
      </w:tr>
      <w:tr>
        <w:trPr>
          <w:trHeight w:val="30"/>
        </w:trPr>
        <w:tc>
          <w:tcPr>
            <w:tcW w:w="93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7"/>
        </w:trPr>
        <w:tc>
          <w:tcPr>
            <w:tcW w:w="946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5"/>
                <w:szCs w:val="15"/>
                <w:color w:val="auto"/>
              </w:rPr>
              <w:t>Total operating lease liability</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76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rPr>
              <w:t>18,338</w:t>
            </w:r>
          </w:p>
        </w:tc>
      </w:tr>
      <w:tr>
        <w:trPr>
          <w:trHeight w:val="20"/>
        </w:trPr>
        <w:tc>
          <w:tcPr>
            <w:tcW w:w="9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Rental expense for operating leases and other service agreements was approximately $3.3 million and $2.9 million for the three months ended, September 30, 2019 and 2018, respectively, and $9.3 million and $7.2 million for the nine months ended September 30, 2019 and 2018,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 Plans</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6"/>
          <w:szCs w:val="16"/>
          <w:color w:val="auto"/>
        </w:rPr>
        <w:t>The Company has a 401(k) defined contribution plan covering all eligible employees. In 2018, the Company provided for employer matching contributions equal to 50% of employee contributions, up to the lesser of 5% of eligible compensation or $6,000. Matching contributions are deposited into the employee’s 401(k) account and are subject to 5 year graded vesting. Beginning in 2019, the Company's 401(k) policy was changed to a Safe Harbor Plan, whereby the Company matches 100% of the first 3% of eligible compensation and 50% of the next 2% of eligible compensation. Furthermore, the match is immediately vested. Salaries and related expenses include $0.8 million and $0.4 million of employer matching contributions for the three months ended September 30, 2019 and 2018, respectively and $2.5 million and $1.2 million for the nine months ended September 30, 2019 and 2018,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11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As of September 30, 2019, the Company has a $1.8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nine months ended September 30, 2019.</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Stockholders</w:t>
      </w:r>
      <w:r>
        <w:rPr>
          <w:rFonts w:ascii="Arial" w:cs="Arial" w:eastAsia="Arial" w:hAnsi="Arial"/>
          <w:sz w:val="17"/>
          <w:szCs w:val="17"/>
          <w:color w:val="auto"/>
        </w:rPr>
        <w:t>’</w:t>
      </w:r>
      <w:r>
        <w:rPr>
          <w:rFonts w:ascii="Arial" w:cs="Arial" w:eastAsia="Arial" w:hAnsi="Arial"/>
          <w:sz w:val="17"/>
          <w:szCs w:val="17"/>
          <w:b w:val="1"/>
          <w:bCs w:val="1"/>
          <w:color w:val="auto"/>
        </w:rPr>
        <w:t xml:space="preserve"> Equity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10" w:lineRule="exact"/>
        <w:rPr>
          <w:sz w:val="20"/>
          <w:szCs w:val="20"/>
          <w:color w:val="auto"/>
        </w:rPr>
      </w:pPr>
    </w:p>
    <w:p>
      <w:pPr>
        <w:jc w:val="both"/>
        <w:ind w:firstLine="610"/>
        <w:spacing w:after="0" w:line="341" w:lineRule="auto"/>
        <w:rPr>
          <w:sz w:val="20"/>
          <w:szCs w:val="20"/>
          <w:color w:val="auto"/>
        </w:rPr>
      </w:pPr>
      <w:r>
        <w:rPr>
          <w:rFonts w:ascii="Arial" w:cs="Arial" w:eastAsia="Arial" w:hAnsi="Arial"/>
          <w:sz w:val="15"/>
          <w:szCs w:val="15"/>
          <w:color w:val="auto"/>
        </w:rPr>
        <w:t>As of September 30, 2019, there were 100,000,000 shares of common stock authorized, and 66,035,099 shares issued and outstanding. As of December 31, 2018, there were 100,000,000 shares of common stock authorized, and 63,676,229 shares issued and outstanding. The par value for common shares is $0.001 per share.</w:t>
      </w:r>
    </w:p>
    <w:p>
      <w:pPr>
        <w:spacing w:after="0" w:line="18"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On June 6, 2019, our stockholders approved an amendment to our charter to increase the number of shares of our common stock that we are authorized to issue from 100,000,000 to 200,000,000 shares. We expect to file a charter amendment in the near future with the State of Delaware to effectuate this increase in the number of shares of our common stock that we are authorized to issue.</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As of September 30, 2019 and December 31, 2018, there were 5,000,000 shares of preferred stock authorized, and zero shares issued and outstanding. The par value for preferred shares is $0.001 per share.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10"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depended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0"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63"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per share weighted average fair value of stock options granted was $13.07 and $10.13 during the three months ended September 30, 2019 and 2018, respectively and $11.58 and $6.62 during the nine months ended September 30, 2019 and 2018, respectively. The fair value of each option grant is estimated on the date of grant using the Black-Scholes option-pricing model with the following weighted average assumptions: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00" w:type="dxa"/>
            <w:vAlign w:val="bottom"/>
          </w:tcPr>
          <w:p>
            <w:pPr>
              <w:spacing w:after="0"/>
              <w:rPr>
                <w:sz w:val="15"/>
                <w:szCs w:val="15"/>
                <w:color w:val="auto"/>
              </w:rPr>
            </w:pPr>
          </w:p>
        </w:tc>
        <w:tc>
          <w:tcPr>
            <w:tcW w:w="34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3300" w:type="dxa"/>
            <w:vAlign w:val="bottom"/>
            <w:gridSpan w:val="4"/>
          </w:tcPr>
          <w:p>
            <w:pPr>
              <w:ind w:left="640"/>
              <w:spacing w:after="0"/>
              <w:rPr>
                <w:sz w:val="20"/>
                <w:szCs w:val="20"/>
                <w:color w:val="auto"/>
              </w:rPr>
            </w:pPr>
            <w:r>
              <w:rPr>
                <w:rFonts w:ascii="Arial" w:cs="Arial" w:eastAsia="Arial" w:hAnsi="Arial"/>
                <w:sz w:val="14"/>
                <w:szCs w:val="14"/>
                <w:b w:val="1"/>
                <w:bCs w:val="1"/>
                <w:color w:val="auto"/>
              </w:rPr>
              <w:t>Nine Months Ended September 30,</w:t>
            </w:r>
          </w:p>
        </w:tc>
      </w:tr>
      <w:tr>
        <w:trPr>
          <w:trHeight w:val="247"/>
        </w:trPr>
        <w:tc>
          <w:tcPr>
            <w:tcW w:w="470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top w:val="single" w:sz="8" w:color="auto"/>
            </w:tcBorders>
          </w:tcPr>
          <w:p>
            <w:pPr>
              <w:spacing w:after="0"/>
              <w:rPr>
                <w:sz w:val="21"/>
                <w:szCs w:val="21"/>
                <w:color w:val="auto"/>
              </w:rPr>
            </w:pPr>
          </w:p>
        </w:tc>
        <w:tc>
          <w:tcPr>
            <w:tcW w:w="1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2018</w:t>
            </w:r>
          </w:p>
        </w:tc>
      </w:tr>
      <w:tr>
        <w:trPr>
          <w:trHeight w:val="209"/>
        </w:trPr>
        <w:tc>
          <w:tcPr>
            <w:tcW w:w="4700" w:type="dxa"/>
            <w:vAlign w:val="bottom"/>
          </w:tcPr>
          <w:p>
            <w:pPr>
              <w:ind w:left="20"/>
              <w:spacing w:after="0"/>
              <w:rPr>
                <w:sz w:val="20"/>
                <w:szCs w:val="20"/>
                <w:color w:val="auto"/>
              </w:rPr>
            </w:pPr>
            <w:r>
              <w:rPr>
                <w:rFonts w:ascii="Arial" w:cs="Arial" w:eastAsia="Arial" w:hAnsi="Arial"/>
                <w:sz w:val="15"/>
                <w:szCs w:val="15"/>
                <w:color w:val="auto"/>
              </w:rPr>
              <w:t>Dividend yield</w:t>
            </w:r>
          </w:p>
        </w:tc>
        <w:tc>
          <w:tcPr>
            <w:tcW w:w="1600" w:type="dxa"/>
            <w:vAlign w:val="bottom"/>
          </w:tcPr>
          <w:p>
            <w:pPr>
              <w:jc w:val="center"/>
              <w:spacing w:after="0"/>
              <w:rPr>
                <w:sz w:val="20"/>
                <w:szCs w:val="20"/>
                <w:color w:val="auto"/>
              </w:rPr>
            </w:pPr>
            <w:r>
              <w:rPr>
                <w:rFonts w:ascii="Arial" w:cs="Arial" w:eastAsia="Arial" w:hAnsi="Arial"/>
                <w:sz w:val="15"/>
                <w:szCs w:val="15"/>
                <w:color w:val="auto"/>
                <w:w w:val="93"/>
              </w:rPr>
              <w:t>0.0%</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5"/>
                <w:szCs w:val="15"/>
                <w:color w:val="auto"/>
                <w:w w:val="93"/>
              </w:rPr>
              <w:t>0.0%</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93"/>
              </w:rPr>
              <w:t>0.0%</w:t>
            </w:r>
          </w:p>
        </w:tc>
        <w:tc>
          <w:tcPr>
            <w:tcW w:w="1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5"/>
                <w:szCs w:val="15"/>
                <w:color w:val="auto"/>
                <w:w w:val="93"/>
              </w:rPr>
              <w:t>0.0%</w:t>
            </w:r>
          </w:p>
        </w:tc>
      </w:tr>
      <w:tr>
        <w:trPr>
          <w:trHeight w:val="30"/>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4"/>
        </w:trPr>
        <w:tc>
          <w:tcPr>
            <w:tcW w:w="4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Risk-free interest rate</w:t>
            </w:r>
          </w:p>
        </w:tc>
        <w:tc>
          <w:tcPr>
            <w:tcW w:w="16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5"/>
                <w:szCs w:val="15"/>
                <w:color w:val="auto"/>
                <w:w w:val="89"/>
              </w:rPr>
              <w:t>1.83%</w:t>
            </w:r>
          </w:p>
        </w:tc>
        <w:tc>
          <w:tcPr>
            <w:tcW w:w="10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2.8%</w:t>
            </w:r>
          </w:p>
        </w:tc>
        <w:tc>
          <w:tcPr>
            <w:tcW w:w="8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- 2.9%</w:t>
            </w:r>
          </w:p>
        </w:tc>
        <w:tc>
          <w:tcPr>
            <w:tcW w:w="12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5"/>
                <w:szCs w:val="15"/>
                <w:color w:val="auto"/>
                <w:w w:val="93"/>
              </w:rPr>
              <w:t>1.83% - 2.57%</w:t>
            </w:r>
          </w:p>
        </w:tc>
        <w:tc>
          <w:tcPr>
            <w:tcW w:w="12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2.5%</w:t>
            </w:r>
          </w:p>
        </w:tc>
        <w:tc>
          <w:tcPr>
            <w:tcW w:w="8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- 2.9%</w:t>
            </w:r>
          </w:p>
        </w:tc>
      </w:tr>
      <w:tr>
        <w:trPr>
          <w:trHeight w:val="224"/>
        </w:trPr>
        <w:tc>
          <w:tcPr>
            <w:tcW w:w="4700" w:type="dxa"/>
            <w:vAlign w:val="bottom"/>
          </w:tcPr>
          <w:p>
            <w:pPr>
              <w:ind w:left="20"/>
              <w:spacing w:after="0"/>
              <w:rPr>
                <w:sz w:val="20"/>
                <w:szCs w:val="20"/>
                <w:color w:val="auto"/>
              </w:rPr>
            </w:pPr>
            <w:r>
              <w:rPr>
                <w:rFonts w:ascii="Arial" w:cs="Arial" w:eastAsia="Arial" w:hAnsi="Arial"/>
                <w:sz w:val="15"/>
                <w:szCs w:val="15"/>
                <w:color w:val="auto"/>
              </w:rPr>
              <w:t>Expected life (in years)</w:t>
            </w:r>
          </w:p>
        </w:tc>
        <w:tc>
          <w:tcPr>
            <w:tcW w:w="1600" w:type="dxa"/>
            <w:vAlign w:val="bottom"/>
          </w:tcPr>
          <w:p>
            <w:pPr>
              <w:jc w:val="center"/>
              <w:spacing w:after="0"/>
              <w:rPr>
                <w:sz w:val="20"/>
                <w:szCs w:val="20"/>
                <w:color w:val="auto"/>
              </w:rPr>
            </w:pPr>
            <w:r>
              <w:rPr>
                <w:rFonts w:ascii="Arial" w:cs="Arial" w:eastAsia="Arial" w:hAnsi="Arial"/>
                <w:sz w:val="15"/>
                <w:szCs w:val="15"/>
                <w:color w:val="auto"/>
                <w:w w:val="71"/>
              </w:rPr>
              <w:t>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center"/>
              <w:ind w:right="684"/>
              <w:spacing w:after="0"/>
              <w:rPr>
                <w:sz w:val="20"/>
                <w:szCs w:val="20"/>
                <w:color w:val="auto"/>
              </w:rPr>
            </w:pPr>
            <w:r>
              <w:rPr>
                <w:rFonts w:ascii="Arial" w:cs="Arial" w:eastAsia="Arial" w:hAnsi="Arial"/>
                <w:sz w:val="15"/>
                <w:szCs w:val="15"/>
                <w:color w:val="auto"/>
                <w:w w:val="95"/>
              </w:rPr>
              <w:t>5</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jc w:val="center"/>
              <w:ind w:right="644"/>
              <w:spacing w:after="0"/>
              <w:rPr>
                <w:sz w:val="20"/>
                <w:szCs w:val="20"/>
                <w:color w:val="auto"/>
              </w:rPr>
            </w:pPr>
            <w:r>
              <w:rPr>
                <w:rFonts w:ascii="Arial" w:cs="Arial" w:eastAsia="Arial" w:hAnsi="Arial"/>
                <w:sz w:val="15"/>
                <w:szCs w:val="15"/>
                <w:color w:val="auto"/>
                <w:w w:val="95"/>
              </w:rPr>
              <w:t>5</w:t>
            </w:r>
          </w:p>
        </w:tc>
      </w:tr>
      <w:tr>
        <w:trPr>
          <w:trHeight w:val="30"/>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4"/>
        </w:trPr>
        <w:tc>
          <w:tcPr>
            <w:tcW w:w="4700" w:type="dxa"/>
            <w:vAlign w:val="bottom"/>
            <w:shd w:val="clear" w:color="auto" w:fill="CCFFCC"/>
          </w:tcPr>
          <w:p>
            <w:pPr>
              <w:ind w:left="20"/>
              <w:spacing w:after="0"/>
              <w:rPr>
                <w:sz w:val="20"/>
                <w:szCs w:val="20"/>
                <w:color w:val="auto"/>
              </w:rPr>
            </w:pPr>
            <w:r>
              <w:rPr>
                <w:rFonts w:ascii="Arial" w:cs="Arial" w:eastAsia="Arial" w:hAnsi="Arial"/>
                <w:sz w:val="15"/>
                <w:szCs w:val="15"/>
                <w:color w:val="auto"/>
              </w:rPr>
              <w:t>Historical volatility</w:t>
            </w:r>
          </w:p>
        </w:tc>
        <w:tc>
          <w:tcPr>
            <w:tcW w:w="1600" w:type="dxa"/>
            <w:vAlign w:val="bottom"/>
            <w:shd w:val="clear" w:color="auto" w:fill="CCFFCC"/>
          </w:tcPr>
          <w:p>
            <w:pPr>
              <w:jc w:val="center"/>
              <w:spacing w:after="0"/>
              <w:rPr>
                <w:sz w:val="20"/>
                <w:szCs w:val="20"/>
                <w:color w:val="auto"/>
              </w:rPr>
            </w:pPr>
            <w:r>
              <w:rPr>
                <w:rFonts w:ascii="Arial" w:cs="Arial" w:eastAsia="Arial" w:hAnsi="Arial"/>
                <w:sz w:val="15"/>
                <w:szCs w:val="15"/>
                <w:color w:val="auto"/>
                <w:w w:val="90"/>
              </w:rPr>
              <w:t>43.71%</w:t>
            </w:r>
          </w:p>
        </w:tc>
        <w:tc>
          <w:tcPr>
            <w:tcW w:w="100" w:type="dxa"/>
            <w:vAlign w:val="bottom"/>
            <w:shd w:val="clear" w:color="auto" w:fill="CCFFCC"/>
          </w:tcPr>
          <w:p>
            <w:pPr>
              <w:spacing w:after="0"/>
              <w:rPr>
                <w:sz w:val="19"/>
                <w:szCs w:val="19"/>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43.5%</w:t>
            </w:r>
          </w:p>
        </w:tc>
        <w:tc>
          <w:tcPr>
            <w:tcW w:w="840" w:type="dxa"/>
            <w:vAlign w:val="bottom"/>
            <w:shd w:val="clear" w:color="auto" w:fill="CCFFCC"/>
          </w:tcPr>
          <w:p>
            <w:pPr>
              <w:ind w:left="20"/>
              <w:spacing w:after="0"/>
              <w:rPr>
                <w:sz w:val="20"/>
                <w:szCs w:val="20"/>
                <w:color w:val="auto"/>
              </w:rPr>
            </w:pPr>
            <w:r>
              <w:rPr>
                <w:rFonts w:ascii="Arial" w:cs="Arial" w:eastAsia="Arial" w:hAnsi="Arial"/>
                <w:sz w:val="15"/>
                <w:szCs w:val="15"/>
                <w:color w:val="auto"/>
              </w:rPr>
              <w:t>- 43.7%</w:t>
            </w:r>
          </w:p>
        </w:tc>
        <w:tc>
          <w:tcPr>
            <w:tcW w:w="120" w:type="dxa"/>
            <w:vAlign w:val="bottom"/>
            <w:shd w:val="clear" w:color="auto" w:fill="CCFFCC"/>
          </w:tcPr>
          <w:p>
            <w:pPr>
              <w:spacing w:after="0"/>
              <w:rPr>
                <w:sz w:val="19"/>
                <w:szCs w:val="19"/>
                <w:color w:val="auto"/>
              </w:rPr>
            </w:pPr>
          </w:p>
        </w:tc>
        <w:tc>
          <w:tcPr>
            <w:tcW w:w="1600" w:type="dxa"/>
            <w:vAlign w:val="bottom"/>
            <w:shd w:val="clear" w:color="auto" w:fill="CCFFCC"/>
          </w:tcPr>
          <w:p>
            <w:pPr>
              <w:jc w:val="center"/>
              <w:spacing w:after="0"/>
              <w:rPr>
                <w:sz w:val="20"/>
                <w:szCs w:val="20"/>
                <w:color w:val="auto"/>
              </w:rPr>
            </w:pPr>
            <w:r>
              <w:rPr>
                <w:rFonts w:ascii="Arial" w:cs="Arial" w:eastAsia="Arial" w:hAnsi="Arial"/>
                <w:sz w:val="15"/>
                <w:szCs w:val="15"/>
                <w:color w:val="auto"/>
                <w:w w:val="94"/>
              </w:rPr>
              <w:t>43.42%</w:t>
            </w:r>
          </w:p>
        </w:tc>
        <w:tc>
          <w:tcPr>
            <w:tcW w:w="12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5"/>
                <w:szCs w:val="15"/>
                <w:color w:val="auto"/>
              </w:rPr>
              <w:t>43.5%</w:t>
            </w:r>
          </w:p>
        </w:tc>
        <w:tc>
          <w:tcPr>
            <w:tcW w:w="840" w:type="dxa"/>
            <w:vAlign w:val="bottom"/>
            <w:shd w:val="clear" w:color="auto" w:fill="CCFFCC"/>
          </w:tcPr>
          <w:p>
            <w:pPr>
              <w:ind w:left="20"/>
              <w:spacing w:after="0"/>
              <w:rPr>
                <w:sz w:val="20"/>
                <w:szCs w:val="20"/>
                <w:color w:val="auto"/>
              </w:rPr>
            </w:pPr>
            <w:r>
              <w:rPr>
                <w:rFonts w:ascii="Arial" w:cs="Arial" w:eastAsia="Arial" w:hAnsi="Arial"/>
                <w:sz w:val="15"/>
                <w:szCs w:val="15"/>
                <w:color w:val="auto"/>
              </w:rPr>
              <w:t>- 48.4%</w:t>
            </w:r>
          </w:p>
        </w:tc>
      </w:tr>
      <w:tr>
        <w:trPr>
          <w:trHeight w:val="30"/>
        </w:trPr>
        <w:tc>
          <w:tcPr>
            <w:tcW w:w="4700" w:type="dxa"/>
            <w:vAlign w:val="bottom"/>
            <w:shd w:val="clear" w:color="auto" w:fill="CCFFCC"/>
          </w:tcPr>
          <w:p>
            <w:pPr>
              <w:spacing w:after="0"/>
              <w:rPr>
                <w:sz w:val="2"/>
                <w:szCs w:val="2"/>
                <w:color w:val="auto"/>
              </w:rPr>
            </w:pPr>
          </w:p>
        </w:tc>
        <w:tc>
          <w:tcPr>
            <w:tcW w:w="16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6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4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r>
    </w:tbl>
    <w:p>
      <w:pPr>
        <w:spacing w:after="0" w:line="2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Dividend yield – </w:t>
      </w:r>
      <w:r>
        <w:rPr>
          <w:rFonts w:ascii="Arial" w:cs="Arial" w:eastAsia="Arial" w:hAnsi="Arial"/>
          <w:sz w:val="17"/>
          <w:szCs w:val="17"/>
          <w:color w:val="auto"/>
        </w:rPr>
        <w:t>The Company uses 0% as it has never issued dividends and does not anticipate issuing dividends in the near term.</w:t>
      </w:r>
    </w:p>
    <w:p>
      <w:pPr>
        <w:spacing w:after="0" w:line="11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i w:val="1"/>
          <w:iCs w:val="1"/>
          <w:color w:val="auto"/>
        </w:rPr>
        <w:t xml:space="preserve">Risk-free interest rate – </w:t>
      </w:r>
      <w:r>
        <w:rPr>
          <w:rFonts w:ascii="Arial" w:cs="Arial" w:eastAsia="Arial" w:hAnsi="Arial"/>
          <w:sz w:val="17"/>
          <w:szCs w:val="17"/>
          <w:color w:val="auto"/>
        </w:rPr>
        <w:t>The Company uses the market yield on U.S. Treasury securities at five years with constant maturity, representing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life of stock options in years.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Expected life – </w:t>
      </w:r>
      <w:r>
        <w:rPr>
          <w:rFonts w:ascii="Arial" w:cs="Arial" w:eastAsia="Arial" w:hAnsi="Arial"/>
          <w:sz w:val="17"/>
          <w:szCs w:val="17"/>
          <w:color w:val="auto"/>
        </w:rPr>
        <w:t>The Company uses historical data to estimate the expected life of a stock option.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Historical volatility – </w:t>
      </w:r>
      <w:r>
        <w:rPr>
          <w:rFonts w:ascii="Arial" w:cs="Arial" w:eastAsia="Arial" w:hAnsi="Arial"/>
          <w:sz w:val="17"/>
          <w:szCs w:val="17"/>
          <w:color w:val="auto"/>
        </w:rPr>
        <w:t>The Company uses a trailing five year from grant date to determine volatility.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Plans</w:t>
      </w:r>
    </w:p>
    <w:p>
      <w:pPr>
        <w:spacing w:after="0" w:line="110"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During 1998, the Company established the Stock Option and Restricted Stock Purchase Plan (the “1998 Plan”). Under the 1998 Plan, the Board of Directors could issue incentive stock options or nonqualified stock options or other equity-based awards in respect of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2000 Plan by approximately 4,150,000, thereby reserving for issuance 10,000,000 shares of common stock in the aggregate.</w:t>
      </w:r>
    </w:p>
    <w:p>
      <w:pPr>
        <w:spacing w:after="0" w:line="80"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The Company established the 2009 Stock Incentive Plan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 On June 2, 2017, the Company's Board of Directors amended and restated the Amended 2009 Plan effective April 30, 2017. The amended and restated plan increased the number of shares authorized for issuance under the plan by an additional 4,000,000.</w:t>
      </w:r>
    </w:p>
    <w:p>
      <w:pPr>
        <w:spacing w:after="0" w:line="51"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On April 11, 2019, the Company's Board of Directors adopted, and on June 6, 2019, the Company's stockholders approved, the 2019 Stock Incentive Plan ("2019 Stock Incentive Plan") to replace the Amended 2009 Plan, which was set to expire under its terms on June 9, 2019. Under the 2019 Stock Incentive Plan, the number of shares underlying options and other equity awards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which remain outstanding, as well as the number of shares that remained available for grant, under the Amended 2009 Plan and under the Amended 2000 Plan were incorporated, as of June 6, 2019, into the 2019 Stock Incentive Plan. In addition, under the 2019 Stock Incentive Plan, 4,250,000 new shares were authorized for issuance. The number of shares authorized for issuance under the 2019 Stock Incentive Plan, the Amended 2009 Plan, and the 2000 Plan is 32,067,744 shares in the aggregate. Options to acquire common stock granted thereunder have 10-year terms. As of September 30, 2019, approximately 4.7 million shares of common stock remained available for issuance under the 2019 Stock Incentive Plan (taking into account all option exercises and other equity award settlements through September 30, 2019).</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10"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w:t>
      </w:r>
    </w:p>
    <w:p>
      <w:pPr>
        <w:spacing w:after="0" w:line="78"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On April 11, 2019, the Company's Board of Directors adopted, and on June 6, 2019, the Company's stockholders approved, the 2019 Employee Stock Purchase Plan (the "2019 Employee Stock Purchase Plan") to replace the Amended and Restated 2010 Employee Stock Purchase Plan which was set to expire under its terms in June 2020. There are 1,000,000 shares authorized and reserved for issuance under the 2019 Employee Stock Purchase Plan. As of September 30, 2019, approximately 1.0 million shares of common stock remain available for issuance under the 2019 Employee Stock Purchase Plan (taking into account all share purchases through September 30, 2019).</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Inducement Plan</w:t>
      </w:r>
    </w:p>
    <w:p>
      <w:pPr>
        <w:spacing w:after="0" w:line="110"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During January 2018, the Company established the Inducement Plan (the “2018 Plan”). Under the 2018 Plan, the Board of Directors can issue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has approved and ratified, effective as of July 31, 2018, October 29, 2018 and February 13, 2019, increases of the number of shares authorized for issuance under the Amended 2018 Plan by 500,000, 250,000 and 618,048 shares, respectively, constituting 3,368,048 shares of common stock in the aggregate being reserved for issuance pursuant to grants under the Amended 2018 Plan. As of September 30, 2019, approximately 0.3 million shares of common stock remained available for issuance under the Amended 2018 Plan (taking into account all option exercises and other equity award settlements through September 30, 2019).</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stock option activity and weighted average exercise prices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40" w:type="dxa"/>
            <w:vAlign w:val="bottom"/>
          </w:tcPr>
          <w:p>
            <w:pPr>
              <w:spacing w:after="0"/>
              <w:rPr>
                <w:sz w:val="17"/>
                <w:szCs w:val="17"/>
                <w:color w:val="auto"/>
              </w:rPr>
            </w:pPr>
          </w:p>
        </w:tc>
        <w:tc>
          <w:tcPr>
            <w:tcW w:w="3200" w:type="dxa"/>
            <w:vAlign w:val="bottom"/>
            <w:gridSpan w:val="5"/>
          </w:tcPr>
          <w:p>
            <w:pPr>
              <w:ind w:left="840"/>
              <w:spacing w:after="0"/>
              <w:rPr>
                <w:sz w:val="20"/>
                <w:szCs w:val="20"/>
                <w:color w:val="auto"/>
              </w:rPr>
            </w:pPr>
            <w:r>
              <w:rPr>
                <w:rFonts w:ascii="Arial" w:cs="Arial" w:eastAsia="Arial" w:hAnsi="Arial"/>
                <w:sz w:val="15"/>
                <w:szCs w:val="15"/>
                <w:b w:val="1"/>
                <w:bCs w:val="1"/>
                <w:color w:val="auto"/>
              </w:rPr>
              <w:t>Stock Option Activity</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5"/>
                <w:szCs w:val="15"/>
                <w:b w:val="1"/>
                <w:bCs w:val="1"/>
                <w:color w:val="auto"/>
                <w:w w:val="91"/>
              </w:rPr>
              <w:t>Weighted Average</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Weighted</w:t>
            </w: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Remaining</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600" w:type="dxa"/>
            <w:vAlign w:val="bottom"/>
            <w:gridSpan w:val="2"/>
          </w:tcPr>
          <w:p>
            <w:pPr>
              <w:ind w:left="380"/>
              <w:spacing w:after="0"/>
              <w:rPr>
                <w:sz w:val="20"/>
                <w:szCs w:val="20"/>
                <w:color w:val="auto"/>
              </w:rPr>
            </w:pPr>
            <w:r>
              <w:rPr>
                <w:rFonts w:ascii="Arial" w:cs="Arial" w:eastAsia="Arial" w:hAnsi="Arial"/>
                <w:sz w:val="15"/>
                <w:szCs w:val="15"/>
                <w:b w:val="1"/>
                <w:bCs w:val="1"/>
                <w:color w:val="auto"/>
              </w:rPr>
              <w:t>Options (in</w:t>
            </w:r>
          </w:p>
        </w:tc>
        <w:tc>
          <w:tcPr>
            <w:tcW w:w="18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Average</w:t>
            </w: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Contractual Term (in</w:t>
            </w:r>
          </w:p>
        </w:tc>
        <w:tc>
          <w:tcPr>
            <w:tcW w:w="146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w w:val="97"/>
              </w:rPr>
              <w:t>Aggregate Intrinsic</w:t>
            </w:r>
          </w:p>
        </w:tc>
        <w:tc>
          <w:tcPr>
            <w:tcW w:w="0" w:type="dxa"/>
            <w:vAlign w:val="bottom"/>
          </w:tcPr>
          <w:p>
            <w:pPr>
              <w:spacing w:after="0"/>
              <w:rPr>
                <w:sz w:val="1"/>
                <w:szCs w:val="1"/>
                <w:color w:val="auto"/>
              </w:rPr>
            </w:pPr>
          </w:p>
        </w:tc>
      </w:tr>
      <w:tr>
        <w:trPr>
          <w:trHeight w:val="198"/>
        </w:trPr>
        <w:tc>
          <w:tcPr>
            <w:tcW w:w="5140" w:type="dxa"/>
            <w:vAlign w:val="bottom"/>
          </w:tcPr>
          <w:p>
            <w:pPr>
              <w:spacing w:after="0"/>
              <w:rPr>
                <w:sz w:val="17"/>
                <w:szCs w:val="17"/>
                <w:color w:val="auto"/>
              </w:rPr>
            </w:pPr>
          </w:p>
        </w:tc>
        <w:tc>
          <w:tcPr>
            <w:tcW w:w="1600" w:type="dxa"/>
            <w:vAlign w:val="bottom"/>
            <w:gridSpan w:val="2"/>
          </w:tcPr>
          <w:p>
            <w:pPr>
              <w:ind w:left="380"/>
              <w:spacing w:after="0"/>
              <w:rPr>
                <w:sz w:val="20"/>
                <w:szCs w:val="20"/>
                <w:color w:val="auto"/>
              </w:rPr>
            </w:pPr>
            <w:r>
              <w:rPr>
                <w:rFonts w:ascii="Arial" w:cs="Arial" w:eastAsia="Arial" w:hAnsi="Arial"/>
                <w:sz w:val="15"/>
                <w:szCs w:val="15"/>
                <w:b w:val="1"/>
                <w:bCs w:val="1"/>
                <w:color w:val="auto"/>
              </w:rPr>
              <w:t>thousands)</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Exercise Price</w:t>
            </w:r>
          </w:p>
        </w:tc>
        <w:tc>
          <w:tcPr>
            <w:tcW w:w="16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years)</w:t>
            </w:r>
          </w:p>
        </w:tc>
        <w:tc>
          <w:tcPr>
            <w:tcW w:w="1460" w:type="dxa"/>
            <w:vAlign w:val="bottom"/>
            <w:gridSpan w:val="2"/>
          </w:tcPr>
          <w:p>
            <w:pPr>
              <w:jc w:val="right"/>
              <w:spacing w:after="0"/>
              <w:rPr>
                <w:sz w:val="20"/>
                <w:szCs w:val="20"/>
                <w:color w:val="auto"/>
              </w:rPr>
            </w:pPr>
            <w:r>
              <w:rPr>
                <w:rFonts w:ascii="Arial" w:cs="Arial" w:eastAsia="Arial" w:hAnsi="Arial"/>
                <w:sz w:val="15"/>
                <w:szCs w:val="15"/>
                <w:b w:val="1"/>
                <w:bCs w:val="1"/>
                <w:color w:val="auto"/>
                <w:w w:val="93"/>
              </w:rPr>
              <w:t>Value (in thousands)</w:t>
            </w:r>
          </w:p>
        </w:tc>
        <w:tc>
          <w:tcPr>
            <w:tcW w:w="0" w:type="dxa"/>
            <w:vAlign w:val="bottom"/>
          </w:tcPr>
          <w:p>
            <w:pPr>
              <w:spacing w:after="0"/>
              <w:rPr>
                <w:sz w:val="1"/>
                <w:szCs w:val="1"/>
                <w:color w:val="auto"/>
              </w:rPr>
            </w:pPr>
          </w:p>
        </w:tc>
      </w:tr>
      <w:tr>
        <w:trPr>
          <w:trHeight w:val="30"/>
        </w:trPr>
        <w:tc>
          <w:tcPr>
            <w:tcW w:w="514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Balance outstanding at December 31, 2018</w:t>
            </w:r>
          </w:p>
        </w:tc>
        <w:tc>
          <w:tcPr>
            <w:tcW w:w="14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6,266</w:t>
            </w:r>
          </w:p>
        </w:tc>
        <w:tc>
          <w:tcPr>
            <w:tcW w:w="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12.13</w:t>
            </w:r>
          </w:p>
        </w:tc>
        <w:tc>
          <w:tcPr>
            <w:tcW w:w="12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80" w:type="dxa"/>
            <w:vAlign w:val="bottom"/>
            <w:tcBorders>
              <w:bottom w:val="single" w:sz="8" w:color="CCFFCC"/>
            </w:tcBorders>
            <w:shd w:val="clear" w:color="auto" w:fill="CCFFCC"/>
          </w:tcPr>
          <w:p>
            <w:pPr>
              <w:spacing w:after="0"/>
              <w:rPr>
                <w:sz w:val="19"/>
                <w:szCs w:val="19"/>
                <w:color w:val="auto"/>
              </w:rPr>
            </w:pPr>
          </w:p>
        </w:tc>
        <w:tc>
          <w:tcPr>
            <w:tcW w:w="9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160"/>
              <w:spacing w:after="0"/>
              <w:rPr>
                <w:sz w:val="20"/>
                <w:szCs w:val="20"/>
                <w:color w:val="auto"/>
              </w:rPr>
            </w:pPr>
            <w:r>
              <w:rPr>
                <w:rFonts w:ascii="Arial" w:cs="Arial" w:eastAsia="Arial" w:hAnsi="Arial"/>
                <w:sz w:val="15"/>
                <w:szCs w:val="15"/>
                <w:color w:val="auto"/>
              </w:rPr>
              <w:t>Granted</w:t>
            </w: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1,264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28.38</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5"/>
                <w:szCs w:val="15"/>
                <w:color w:val="auto"/>
              </w:rPr>
              <w:t>Exercised</w:t>
            </w:r>
          </w:p>
        </w:tc>
        <w:tc>
          <w:tcPr>
            <w:tcW w:w="1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(1,351)</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10.91</w:t>
            </w:r>
          </w:p>
        </w:tc>
        <w:tc>
          <w:tcPr>
            <w:tcW w:w="12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8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160"/>
              <w:spacing w:after="0"/>
              <w:rPr>
                <w:sz w:val="20"/>
                <w:szCs w:val="20"/>
                <w:color w:val="auto"/>
              </w:rPr>
            </w:pPr>
            <w:r>
              <w:rPr>
                <w:rFonts w:ascii="Arial" w:cs="Arial" w:eastAsia="Arial" w:hAnsi="Arial"/>
                <w:sz w:val="15"/>
                <w:szCs w:val="15"/>
                <w:color w:val="auto"/>
              </w:rPr>
              <w:t>Cancelled or expired</w:t>
            </w:r>
          </w:p>
        </w:tc>
        <w:tc>
          <w:tcPr>
            <w:tcW w:w="1480" w:type="dxa"/>
            <w:vAlign w:val="bottom"/>
          </w:tcPr>
          <w:p>
            <w:pPr>
              <w:jc w:val="right"/>
              <w:spacing w:after="0"/>
              <w:rPr>
                <w:sz w:val="20"/>
                <w:szCs w:val="20"/>
                <w:color w:val="auto"/>
              </w:rPr>
            </w:pPr>
            <w:r>
              <w:rPr>
                <w:rFonts w:ascii="Arial" w:cs="Arial" w:eastAsia="Arial" w:hAnsi="Arial"/>
                <w:sz w:val="15"/>
                <w:szCs w:val="15"/>
                <w:color w:val="auto"/>
              </w:rPr>
              <w:t>(264)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14.25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514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80" w:type="dxa"/>
            <w:vAlign w:val="bottom"/>
            <w:tcBorders>
              <w:bottom w:val="single" w:sz="8" w:color="CCFFCC"/>
            </w:tcBorders>
          </w:tcPr>
          <w:p>
            <w:pPr>
              <w:spacing w:after="0"/>
              <w:rPr>
                <w:sz w:val="2"/>
                <w:szCs w:val="2"/>
                <w:color w:val="auto"/>
              </w:rPr>
            </w:pPr>
          </w:p>
        </w:tc>
        <w:tc>
          <w:tcPr>
            <w:tcW w:w="98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Balance outstanding at September 30, 2019</w:t>
            </w:r>
          </w:p>
        </w:tc>
        <w:tc>
          <w:tcPr>
            <w:tcW w:w="148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5,915</w:t>
            </w:r>
          </w:p>
        </w:tc>
        <w:tc>
          <w:tcPr>
            <w:tcW w:w="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15.78</w:t>
            </w:r>
          </w:p>
        </w:tc>
        <w:tc>
          <w:tcPr>
            <w:tcW w:w="12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6.99</w:t>
            </w:r>
          </w:p>
        </w:tc>
        <w:tc>
          <w:tcPr>
            <w:tcW w:w="120" w:type="dxa"/>
            <w:vAlign w:val="bottom"/>
            <w:tcBorders>
              <w:bottom w:val="single" w:sz="8" w:color="CCFFCC"/>
            </w:tcBorders>
            <w:shd w:val="clear" w:color="auto" w:fill="CCFFCC"/>
          </w:tcPr>
          <w:p>
            <w:pPr>
              <w:spacing w:after="0"/>
              <w:rPr>
                <w:sz w:val="19"/>
                <w:szCs w:val="19"/>
                <w:color w:val="auto"/>
              </w:rPr>
            </w:pPr>
          </w:p>
        </w:tc>
        <w:tc>
          <w:tcPr>
            <w:tcW w:w="480" w:type="dxa"/>
            <w:vAlign w:val="bottom"/>
            <w:tcBorders>
              <w:bottom w:val="single" w:sz="8" w:color="auto"/>
            </w:tcBorders>
            <w:shd w:val="clear" w:color="auto" w:fill="CCFFCC"/>
          </w:tcPr>
          <w:p>
            <w:pPr>
              <w:jc w:val="right"/>
              <w:ind w:right="3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rPr>
              <w:t>117,808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140" w:type="dxa"/>
            <w:vAlign w:val="bottom"/>
            <w:tcBorders>
              <w:bottom w:val="single" w:sz="8" w:color="CCFFCC"/>
            </w:tcBorders>
          </w:tcPr>
          <w:p>
            <w:pPr>
              <w:ind w:left="20"/>
              <w:spacing w:after="0"/>
              <w:rPr>
                <w:sz w:val="20"/>
                <w:szCs w:val="20"/>
                <w:color w:val="auto"/>
              </w:rPr>
            </w:pPr>
            <w:r>
              <w:rPr>
                <w:rFonts w:ascii="Arial" w:cs="Arial" w:eastAsia="Arial" w:hAnsi="Arial"/>
                <w:sz w:val="15"/>
                <w:szCs w:val="15"/>
                <w:color w:val="auto"/>
              </w:rPr>
              <w:t>Options vested and expected to vest</w:t>
            </w:r>
          </w:p>
        </w:tc>
        <w:tc>
          <w:tcPr>
            <w:tcW w:w="1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5,150</w:t>
            </w:r>
          </w:p>
        </w:tc>
        <w:tc>
          <w:tcPr>
            <w:tcW w:w="120" w:type="dxa"/>
            <w:vAlign w:val="bottom"/>
            <w:tcBorders>
              <w:bottom w:val="single" w:sz="8" w:color="CCFFCC"/>
            </w:tcBorders>
          </w:tcPr>
          <w:p>
            <w:pPr>
              <w:spacing w:after="0"/>
              <w:rPr>
                <w:sz w:val="22"/>
                <w:szCs w:val="22"/>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14.70</w:t>
            </w:r>
          </w:p>
        </w:tc>
        <w:tc>
          <w:tcPr>
            <w:tcW w:w="120" w:type="dxa"/>
            <w:vAlign w:val="bottom"/>
            <w:tcBorders>
              <w:bottom w:val="single" w:sz="8" w:color="CCFFCC"/>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6.67</w:t>
            </w:r>
          </w:p>
        </w:tc>
        <w:tc>
          <w:tcPr>
            <w:tcW w:w="120" w:type="dxa"/>
            <w:vAlign w:val="bottom"/>
            <w:tcBorders>
              <w:bottom w:val="single" w:sz="8" w:color="CCFFCC"/>
            </w:tcBorders>
          </w:tcPr>
          <w:p>
            <w:pPr>
              <w:spacing w:after="0"/>
              <w:rPr>
                <w:sz w:val="22"/>
                <w:szCs w:val="22"/>
                <w:color w:val="auto"/>
              </w:rPr>
            </w:pPr>
          </w:p>
        </w:tc>
        <w:tc>
          <w:tcPr>
            <w:tcW w:w="4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108,146</w:t>
            </w:r>
          </w:p>
        </w:tc>
        <w:tc>
          <w:tcPr>
            <w:tcW w:w="0" w:type="dxa"/>
            <w:vAlign w:val="bottom"/>
          </w:tcPr>
          <w:p>
            <w:pPr>
              <w:spacing w:after="0"/>
              <w:rPr>
                <w:sz w:val="1"/>
                <w:szCs w:val="1"/>
                <w:color w:val="auto"/>
              </w:rPr>
            </w:pPr>
          </w:p>
        </w:tc>
      </w:tr>
      <w:tr>
        <w:trPr>
          <w:trHeight w:val="220"/>
        </w:trPr>
        <w:tc>
          <w:tcPr>
            <w:tcW w:w="5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Options exercisable at September 30, 2019</w:t>
            </w:r>
          </w:p>
        </w:tc>
        <w:tc>
          <w:tcPr>
            <w:tcW w:w="148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2,883</w:t>
            </w:r>
          </w:p>
        </w:tc>
        <w:tc>
          <w:tcPr>
            <w:tcW w:w="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12.01</w:t>
            </w:r>
          </w:p>
        </w:tc>
        <w:tc>
          <w:tcPr>
            <w:tcW w:w="12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5.11</w:t>
            </w:r>
          </w:p>
        </w:tc>
        <w:tc>
          <w:tcPr>
            <w:tcW w:w="120" w:type="dxa"/>
            <w:vAlign w:val="bottom"/>
            <w:tcBorders>
              <w:bottom w:val="single" w:sz="8" w:color="CCFFCC"/>
            </w:tcBorders>
            <w:shd w:val="clear" w:color="auto" w:fill="CCFFCC"/>
          </w:tcPr>
          <w:p>
            <w:pPr>
              <w:spacing w:after="0"/>
              <w:rPr>
                <w:sz w:val="19"/>
                <w:szCs w:val="19"/>
                <w:color w:val="auto"/>
              </w:rPr>
            </w:pPr>
          </w:p>
        </w:tc>
        <w:tc>
          <w:tcPr>
            <w:tcW w:w="480" w:type="dxa"/>
            <w:vAlign w:val="bottom"/>
            <w:tcBorders>
              <w:bottom w:val="single" w:sz="8" w:color="auto"/>
            </w:tcBorders>
            <w:shd w:val="clear" w:color="auto" w:fill="CCFFCC"/>
          </w:tcPr>
          <w:p>
            <w:pPr>
              <w:jc w:val="right"/>
              <w:ind w:right="30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rPr>
              <w:t>68,279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total fair value of stock options exercised during the nine months ended September 30, 2019 was approximately $7.0 million. As of September 30, 2019, there was approximately $22.1 million of total unrecognized compensation cost related to nonvested share-based compensation arrangements. That cost is expected to be recognized over a weighted average period of approximately 2.6 years.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information about outstanding and vested stock options as of September 30, 2019:</w:t>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Options Outstanding</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gridSpan w:val="4"/>
          </w:tcPr>
          <w:p>
            <w:pPr>
              <w:jc w:val="right"/>
              <w:ind w:right="1124"/>
              <w:spacing w:after="0"/>
              <w:rPr>
                <w:sz w:val="20"/>
                <w:szCs w:val="20"/>
                <w:color w:val="auto"/>
              </w:rPr>
            </w:pPr>
            <w:r>
              <w:rPr>
                <w:rFonts w:ascii="Arial" w:cs="Arial" w:eastAsia="Arial" w:hAnsi="Arial"/>
                <w:sz w:val="15"/>
                <w:szCs w:val="15"/>
                <w:b w:val="1"/>
                <w:bCs w:val="1"/>
                <w:color w:val="auto"/>
              </w:rPr>
              <w:t>Options Exercisable</w:t>
            </w:r>
          </w:p>
        </w:tc>
      </w:tr>
      <w:tr>
        <w:trPr>
          <w:trHeight w:val="30"/>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7"/>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Number of Shares</w:t>
            </w:r>
          </w:p>
        </w:tc>
        <w:tc>
          <w:tcPr>
            <w:tcW w:w="19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Weighted-Average</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1"/>
        </w:trPr>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Outstanding (in</w:t>
            </w:r>
          </w:p>
        </w:tc>
        <w:tc>
          <w:tcPr>
            <w:tcW w:w="19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Remaining Contractual</w:t>
            </w:r>
          </w:p>
        </w:tc>
        <w:tc>
          <w:tcPr>
            <w:tcW w:w="20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Weighted-Average</w:t>
            </w:r>
          </w:p>
        </w:tc>
        <w:tc>
          <w:tcPr>
            <w:tcW w:w="19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Number of Shares (in</w:t>
            </w:r>
          </w:p>
        </w:tc>
        <w:tc>
          <w:tcPr>
            <w:tcW w:w="200" w:type="dxa"/>
            <w:vAlign w:val="bottom"/>
          </w:tcPr>
          <w:p>
            <w:pPr>
              <w:spacing w:after="0"/>
              <w:rPr>
                <w:sz w:val="16"/>
                <w:szCs w:val="16"/>
                <w:color w:val="auto"/>
              </w:rPr>
            </w:pPr>
          </w:p>
        </w:tc>
        <w:tc>
          <w:tcPr>
            <w:tcW w:w="1600" w:type="dxa"/>
            <w:vAlign w:val="bottom"/>
          </w:tcPr>
          <w:p>
            <w:pPr>
              <w:jc w:val="right"/>
              <w:ind w:right="224"/>
              <w:spacing w:after="0"/>
              <w:rPr>
                <w:sz w:val="20"/>
                <w:szCs w:val="20"/>
                <w:color w:val="auto"/>
              </w:rPr>
            </w:pPr>
            <w:r>
              <w:rPr>
                <w:rFonts w:ascii="Arial" w:cs="Arial" w:eastAsia="Arial" w:hAnsi="Arial"/>
                <w:sz w:val="15"/>
                <w:szCs w:val="15"/>
                <w:b w:val="1"/>
                <w:bCs w:val="1"/>
                <w:color w:val="auto"/>
                <w:w w:val="97"/>
              </w:rPr>
              <w:t>Weighted-Average</w:t>
            </w:r>
          </w:p>
        </w:tc>
      </w:tr>
      <w:tr>
        <w:trPr>
          <w:trHeight w:val="198"/>
        </w:trPr>
        <w:tc>
          <w:tcPr>
            <w:tcW w:w="1820" w:type="dxa"/>
            <w:vAlign w:val="bottom"/>
            <w:gridSpan w:val="3"/>
          </w:tcPr>
          <w:p>
            <w:pPr>
              <w:ind w:left="20"/>
              <w:spacing w:after="0"/>
              <w:rPr>
                <w:sz w:val="20"/>
                <w:szCs w:val="20"/>
                <w:color w:val="auto"/>
              </w:rPr>
            </w:pPr>
            <w:r>
              <w:rPr>
                <w:rFonts w:ascii="Arial" w:cs="Arial" w:eastAsia="Arial" w:hAnsi="Arial"/>
                <w:sz w:val="15"/>
                <w:szCs w:val="15"/>
                <w:b w:val="1"/>
                <w:bCs w:val="1"/>
                <w:color w:val="auto"/>
                <w:w w:val="99"/>
              </w:rPr>
              <w:t>Range of Exercise Prices</w:t>
            </w:r>
          </w:p>
        </w:tc>
        <w:tc>
          <w:tcPr>
            <w:tcW w:w="19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thousands)</w:t>
            </w:r>
          </w:p>
        </w:tc>
        <w:tc>
          <w:tcPr>
            <w:tcW w:w="19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Life (Years)</w:t>
            </w:r>
          </w:p>
        </w:tc>
        <w:tc>
          <w:tcPr>
            <w:tcW w:w="200" w:type="dxa"/>
            <w:vAlign w:val="bottom"/>
          </w:tcPr>
          <w:p>
            <w:pPr>
              <w:spacing w:after="0"/>
              <w:rPr>
                <w:sz w:val="17"/>
                <w:szCs w:val="17"/>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Exercise Price</w:t>
            </w:r>
          </w:p>
        </w:tc>
        <w:tc>
          <w:tcPr>
            <w:tcW w:w="19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thousands)</w:t>
            </w:r>
          </w:p>
        </w:tc>
        <w:tc>
          <w:tcPr>
            <w:tcW w:w="200" w:type="dxa"/>
            <w:vAlign w:val="bottom"/>
          </w:tcPr>
          <w:p>
            <w:pPr>
              <w:spacing w:after="0"/>
              <w:rPr>
                <w:sz w:val="17"/>
                <w:szCs w:val="17"/>
                <w:color w:val="auto"/>
              </w:rPr>
            </w:pPr>
          </w:p>
        </w:tc>
        <w:tc>
          <w:tcPr>
            <w:tcW w:w="1600" w:type="dxa"/>
            <w:vAlign w:val="bottom"/>
          </w:tcPr>
          <w:p>
            <w:pPr>
              <w:jc w:val="right"/>
              <w:ind w:right="364"/>
              <w:spacing w:after="0"/>
              <w:rPr>
                <w:sz w:val="20"/>
                <w:szCs w:val="20"/>
                <w:color w:val="auto"/>
              </w:rPr>
            </w:pPr>
            <w:r>
              <w:rPr>
                <w:rFonts w:ascii="Arial" w:cs="Arial" w:eastAsia="Arial" w:hAnsi="Arial"/>
                <w:sz w:val="15"/>
                <w:szCs w:val="15"/>
                <w:b w:val="1"/>
                <w:bCs w:val="1"/>
                <w:color w:val="auto"/>
              </w:rPr>
              <w:t>Exercise Price</w:t>
            </w:r>
          </w:p>
        </w:tc>
      </w:tr>
      <w:tr>
        <w:trPr>
          <w:trHeight w:val="30"/>
        </w:trPr>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170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5"/>
                <w:szCs w:val="15"/>
                <w:color w:val="auto"/>
              </w:rPr>
              <w:t>$5.15 - $7.60</w:t>
            </w:r>
          </w:p>
        </w:tc>
        <w:tc>
          <w:tcPr>
            <w:tcW w:w="120" w:type="dxa"/>
            <w:vAlign w:val="bottom"/>
            <w:tcBorders>
              <w:bottom w:val="single" w:sz="8" w:color="CCFFCC"/>
            </w:tcBorders>
            <w:shd w:val="clear" w:color="auto" w:fill="CCFFCC"/>
          </w:tcPr>
          <w:p>
            <w:pPr>
              <w:spacing w:after="0"/>
              <w:rPr>
                <w:sz w:val="19"/>
                <w:szCs w:val="19"/>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684</w:t>
            </w:r>
          </w:p>
        </w:tc>
        <w:tc>
          <w:tcPr>
            <w:tcW w:w="100" w:type="dxa"/>
            <w:vAlign w:val="bottom"/>
            <w:tcBorders>
              <w:bottom w:val="single" w:sz="8" w:color="CCFFCC"/>
            </w:tcBorders>
            <w:shd w:val="clear" w:color="auto" w:fill="CCFFCC"/>
          </w:tcPr>
          <w:p>
            <w:pPr>
              <w:spacing w:after="0"/>
              <w:rPr>
                <w:sz w:val="19"/>
                <w:szCs w:val="19"/>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6.77</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7.43</w:t>
            </w:r>
          </w:p>
        </w:tc>
        <w:tc>
          <w:tcPr>
            <w:tcW w:w="120" w:type="dxa"/>
            <w:vAlign w:val="bottom"/>
            <w:tcBorders>
              <w:bottom w:val="single" w:sz="8" w:color="CCFFCC"/>
            </w:tcBorders>
            <w:shd w:val="clear" w:color="auto" w:fill="CCFFCC"/>
          </w:tcPr>
          <w:p>
            <w:pPr>
              <w:spacing w:after="0"/>
              <w:rPr>
                <w:sz w:val="19"/>
                <w:szCs w:val="19"/>
                <w:color w:val="auto"/>
              </w:rPr>
            </w:pPr>
          </w:p>
        </w:tc>
        <w:tc>
          <w:tcPr>
            <w:tcW w:w="182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385</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7.38</w:t>
            </w:r>
          </w:p>
        </w:tc>
      </w:tr>
      <w:tr>
        <w:trPr>
          <w:trHeight w:val="224"/>
        </w:trPr>
        <w:tc>
          <w:tcPr>
            <w:tcW w:w="1700" w:type="dxa"/>
            <w:vAlign w:val="bottom"/>
            <w:gridSpan w:val="2"/>
          </w:tcPr>
          <w:p>
            <w:pPr>
              <w:ind w:left="20"/>
              <w:spacing w:after="0"/>
              <w:rPr>
                <w:sz w:val="20"/>
                <w:szCs w:val="20"/>
                <w:color w:val="auto"/>
              </w:rPr>
            </w:pPr>
            <w:r>
              <w:rPr>
                <w:rFonts w:ascii="Arial" w:cs="Arial" w:eastAsia="Arial" w:hAnsi="Arial"/>
                <w:sz w:val="15"/>
                <w:szCs w:val="15"/>
                <w:color w:val="auto"/>
              </w:rPr>
              <w:t>$7.95 - $10.05</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Arial" w:cs="Arial" w:eastAsia="Arial" w:hAnsi="Arial"/>
                <w:sz w:val="15"/>
                <w:szCs w:val="15"/>
                <w:color w:val="auto"/>
              </w:rPr>
              <w:t>664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5.07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9.48</w:t>
            </w:r>
          </w:p>
        </w:tc>
        <w:tc>
          <w:tcPr>
            <w:tcW w:w="120" w:type="dxa"/>
            <w:vAlign w:val="bottom"/>
          </w:tcPr>
          <w:p>
            <w:pPr>
              <w:spacing w:after="0"/>
              <w:rPr>
                <w:sz w:val="19"/>
                <w:szCs w:val="19"/>
                <w:color w:val="auto"/>
              </w:rPr>
            </w:pPr>
          </w:p>
        </w:tc>
        <w:tc>
          <w:tcPr>
            <w:tcW w:w="1820" w:type="dxa"/>
            <w:vAlign w:val="bottom"/>
          </w:tcPr>
          <w:p>
            <w:pPr>
              <w:jc w:val="right"/>
              <w:ind w:right="24"/>
              <w:spacing w:after="0"/>
              <w:rPr>
                <w:sz w:val="20"/>
                <w:szCs w:val="20"/>
                <w:color w:val="auto"/>
              </w:rPr>
            </w:pPr>
            <w:r>
              <w:rPr>
                <w:rFonts w:ascii="Arial" w:cs="Arial" w:eastAsia="Arial" w:hAnsi="Arial"/>
                <w:sz w:val="15"/>
                <w:szCs w:val="15"/>
                <w:color w:val="auto"/>
              </w:rPr>
              <w:t>599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9.51</w:t>
            </w:r>
          </w:p>
        </w:tc>
      </w:tr>
      <w:tr>
        <w:trPr>
          <w:trHeight w:val="30"/>
        </w:trPr>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4"/>
        </w:trPr>
        <w:tc>
          <w:tcPr>
            <w:tcW w:w="170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5"/>
                <w:szCs w:val="15"/>
                <w:color w:val="auto"/>
              </w:rPr>
              <w:t>$10.13 - $11.95</w:t>
            </w:r>
          </w:p>
        </w:tc>
        <w:tc>
          <w:tcPr>
            <w:tcW w:w="12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645</w:t>
            </w:r>
          </w:p>
        </w:tc>
        <w:tc>
          <w:tcPr>
            <w:tcW w:w="1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6.08</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10.85</w:t>
            </w:r>
          </w:p>
        </w:tc>
        <w:tc>
          <w:tcPr>
            <w:tcW w:w="12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499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10.54</w:t>
            </w:r>
          </w:p>
        </w:tc>
      </w:tr>
      <w:tr>
        <w:trPr>
          <w:trHeight w:val="224"/>
        </w:trPr>
        <w:tc>
          <w:tcPr>
            <w:tcW w:w="1700" w:type="dxa"/>
            <w:vAlign w:val="bottom"/>
            <w:gridSpan w:val="2"/>
          </w:tcPr>
          <w:p>
            <w:pPr>
              <w:ind w:left="20"/>
              <w:spacing w:after="0"/>
              <w:rPr>
                <w:sz w:val="20"/>
                <w:szCs w:val="20"/>
                <w:color w:val="auto"/>
              </w:rPr>
            </w:pPr>
            <w:r>
              <w:rPr>
                <w:rFonts w:ascii="Arial" w:cs="Arial" w:eastAsia="Arial" w:hAnsi="Arial"/>
                <w:sz w:val="15"/>
                <w:szCs w:val="15"/>
                <w:color w:val="auto"/>
              </w:rPr>
              <w:t>$11.96 - $12.32</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12.07</w:t>
            </w:r>
          </w:p>
        </w:tc>
        <w:tc>
          <w:tcPr>
            <w:tcW w:w="120" w:type="dxa"/>
            <w:vAlign w:val="bottom"/>
          </w:tcPr>
          <w:p>
            <w:pPr>
              <w:spacing w:after="0"/>
              <w:rPr>
                <w:sz w:val="19"/>
                <w:szCs w:val="19"/>
                <w:color w:val="auto"/>
              </w:rPr>
            </w:pPr>
          </w:p>
        </w:tc>
        <w:tc>
          <w:tcPr>
            <w:tcW w:w="1820" w:type="dxa"/>
            <w:vAlign w:val="bottom"/>
          </w:tcPr>
          <w:p>
            <w:pPr>
              <w:jc w:val="right"/>
              <w:ind w:right="24"/>
              <w:spacing w:after="0"/>
              <w:rPr>
                <w:sz w:val="20"/>
                <w:szCs w:val="20"/>
                <w:color w:val="auto"/>
              </w:rPr>
            </w:pPr>
            <w:r>
              <w:rPr>
                <w:rFonts w:ascii="Arial" w:cs="Arial" w:eastAsia="Arial" w:hAnsi="Arial"/>
                <w:sz w:val="15"/>
                <w:szCs w:val="15"/>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12.07</w:t>
            </w:r>
          </w:p>
        </w:tc>
      </w:tr>
      <w:tr>
        <w:trPr>
          <w:trHeight w:val="30"/>
        </w:trPr>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4"/>
        </w:trPr>
        <w:tc>
          <w:tcPr>
            <w:tcW w:w="170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5"/>
                <w:szCs w:val="15"/>
                <w:color w:val="auto"/>
              </w:rPr>
              <w:t>$12.45 - $12.45</w:t>
            </w:r>
          </w:p>
        </w:tc>
        <w:tc>
          <w:tcPr>
            <w:tcW w:w="12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830</w:t>
            </w:r>
          </w:p>
        </w:tc>
        <w:tc>
          <w:tcPr>
            <w:tcW w:w="1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8.38</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12.45</w:t>
            </w:r>
          </w:p>
        </w:tc>
        <w:tc>
          <w:tcPr>
            <w:tcW w:w="12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249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12.45</w:t>
            </w:r>
          </w:p>
        </w:tc>
      </w:tr>
      <w:tr>
        <w:trPr>
          <w:trHeight w:val="224"/>
        </w:trPr>
        <w:tc>
          <w:tcPr>
            <w:tcW w:w="460" w:type="dxa"/>
            <w:vAlign w:val="bottom"/>
          </w:tcPr>
          <w:p>
            <w:pPr>
              <w:ind w:left="20"/>
              <w:spacing w:after="0"/>
              <w:rPr>
                <w:sz w:val="20"/>
                <w:szCs w:val="20"/>
                <w:color w:val="auto"/>
              </w:rPr>
            </w:pPr>
            <w:r>
              <w:rPr>
                <w:rFonts w:ascii="Arial" w:cs="Arial" w:eastAsia="Arial" w:hAnsi="Arial"/>
                <w:sz w:val="15"/>
                <w:szCs w:val="15"/>
                <w:color w:val="auto"/>
                <w:w w:val="91"/>
              </w:rPr>
              <w:t>$12.46</w:t>
            </w:r>
          </w:p>
        </w:tc>
        <w:tc>
          <w:tcPr>
            <w:tcW w:w="1240" w:type="dxa"/>
            <w:vAlign w:val="bottom"/>
          </w:tcPr>
          <w:p>
            <w:pPr>
              <w:ind w:left="20"/>
              <w:spacing w:after="0"/>
              <w:rPr>
                <w:sz w:val="20"/>
                <w:szCs w:val="20"/>
                <w:color w:val="auto"/>
              </w:rPr>
            </w:pPr>
            <w:r>
              <w:rPr>
                <w:rFonts w:ascii="Arial" w:cs="Arial" w:eastAsia="Arial" w:hAnsi="Arial"/>
                <w:sz w:val="15"/>
                <w:szCs w:val="15"/>
                <w:color w:val="auto"/>
              </w:rPr>
              <w:t>- $14.3</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Arial" w:cs="Arial" w:eastAsia="Arial" w:hAnsi="Arial"/>
                <w:sz w:val="15"/>
                <w:szCs w:val="15"/>
                <w:color w:val="auto"/>
              </w:rPr>
              <w:t>829</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4.14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13.61</w:t>
            </w:r>
          </w:p>
        </w:tc>
        <w:tc>
          <w:tcPr>
            <w:tcW w:w="120" w:type="dxa"/>
            <w:vAlign w:val="bottom"/>
          </w:tcPr>
          <w:p>
            <w:pPr>
              <w:spacing w:after="0"/>
              <w:rPr>
                <w:sz w:val="19"/>
                <w:szCs w:val="19"/>
                <w:color w:val="auto"/>
              </w:rPr>
            </w:pPr>
          </w:p>
        </w:tc>
        <w:tc>
          <w:tcPr>
            <w:tcW w:w="1820" w:type="dxa"/>
            <w:vAlign w:val="bottom"/>
          </w:tcPr>
          <w:p>
            <w:pPr>
              <w:jc w:val="right"/>
              <w:ind w:right="24"/>
              <w:spacing w:after="0"/>
              <w:rPr>
                <w:sz w:val="20"/>
                <w:szCs w:val="20"/>
                <w:color w:val="auto"/>
              </w:rPr>
            </w:pPr>
            <w:r>
              <w:rPr>
                <w:rFonts w:ascii="Arial" w:cs="Arial" w:eastAsia="Arial" w:hAnsi="Arial"/>
                <w:sz w:val="15"/>
                <w:szCs w:val="15"/>
                <w:color w:val="auto"/>
              </w:rPr>
              <w:t>611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13.36</w:t>
            </w:r>
          </w:p>
        </w:tc>
      </w:tr>
      <w:tr>
        <w:trPr>
          <w:trHeight w:val="30"/>
        </w:trPr>
        <w:tc>
          <w:tcPr>
            <w:tcW w:w="1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4"/>
        </w:trPr>
        <w:tc>
          <w:tcPr>
            <w:tcW w:w="170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5"/>
                <w:szCs w:val="15"/>
                <w:color w:val="auto"/>
              </w:rPr>
              <w:t>$14.5 - $17.88</w:t>
            </w:r>
          </w:p>
        </w:tc>
        <w:tc>
          <w:tcPr>
            <w:tcW w:w="12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619</w:t>
            </w:r>
          </w:p>
        </w:tc>
        <w:tc>
          <w:tcPr>
            <w:tcW w:w="1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6.62</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16.15</w:t>
            </w:r>
          </w:p>
        </w:tc>
        <w:tc>
          <w:tcPr>
            <w:tcW w:w="120" w:type="dxa"/>
            <w:vAlign w:val="bottom"/>
            <w:tcBorders>
              <w:bottom w:val="single" w:sz="8" w:color="CCFFCC"/>
            </w:tcBorders>
            <w:shd w:val="clear" w:color="auto" w:fill="CCFFCC"/>
          </w:tcPr>
          <w:p>
            <w:pPr>
              <w:spacing w:after="0"/>
              <w:rPr>
                <w:sz w:val="20"/>
                <w:szCs w:val="20"/>
                <w:color w:val="auto"/>
              </w:rPr>
            </w:pPr>
          </w:p>
        </w:tc>
        <w:tc>
          <w:tcPr>
            <w:tcW w:w="182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299</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16.64</w:t>
            </w:r>
          </w:p>
        </w:tc>
      </w:tr>
      <w:tr>
        <w:trPr>
          <w:trHeight w:val="224"/>
        </w:trPr>
        <w:tc>
          <w:tcPr>
            <w:tcW w:w="460" w:type="dxa"/>
            <w:vAlign w:val="bottom"/>
          </w:tcPr>
          <w:p>
            <w:pPr>
              <w:ind w:left="20"/>
              <w:spacing w:after="0"/>
              <w:rPr>
                <w:sz w:val="20"/>
                <w:szCs w:val="20"/>
                <w:color w:val="auto"/>
              </w:rPr>
            </w:pPr>
            <w:r>
              <w:rPr>
                <w:rFonts w:ascii="Arial" w:cs="Arial" w:eastAsia="Arial" w:hAnsi="Arial"/>
                <w:sz w:val="15"/>
                <w:szCs w:val="15"/>
                <w:color w:val="auto"/>
                <w:w w:val="91"/>
              </w:rPr>
              <w:t>$18.09</w:t>
            </w:r>
          </w:p>
        </w:tc>
        <w:tc>
          <w:tcPr>
            <w:tcW w:w="1240" w:type="dxa"/>
            <w:vAlign w:val="bottom"/>
          </w:tcPr>
          <w:p>
            <w:pPr>
              <w:ind w:left="20"/>
              <w:spacing w:after="0"/>
              <w:rPr>
                <w:sz w:val="20"/>
                <w:szCs w:val="20"/>
                <w:color w:val="auto"/>
              </w:rPr>
            </w:pPr>
            <w:r>
              <w:rPr>
                <w:rFonts w:ascii="Arial" w:cs="Arial" w:eastAsia="Arial" w:hAnsi="Arial"/>
                <w:sz w:val="15"/>
                <w:szCs w:val="15"/>
                <w:color w:val="auto"/>
              </w:rPr>
              <w:t>- $28.18</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Arial" w:cs="Arial" w:eastAsia="Arial" w:hAnsi="Arial"/>
                <w:sz w:val="15"/>
                <w:szCs w:val="15"/>
                <w:color w:val="auto"/>
              </w:rPr>
              <w:t>815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9.15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24.19</w:t>
            </w:r>
          </w:p>
        </w:tc>
        <w:tc>
          <w:tcPr>
            <w:tcW w:w="120" w:type="dxa"/>
            <w:vAlign w:val="bottom"/>
          </w:tcPr>
          <w:p>
            <w:pPr>
              <w:spacing w:after="0"/>
              <w:rPr>
                <w:sz w:val="19"/>
                <w:szCs w:val="19"/>
                <w:color w:val="auto"/>
              </w:rPr>
            </w:pPr>
          </w:p>
        </w:tc>
        <w:tc>
          <w:tcPr>
            <w:tcW w:w="1820" w:type="dxa"/>
            <w:vAlign w:val="bottom"/>
          </w:tcPr>
          <w:p>
            <w:pPr>
              <w:jc w:val="right"/>
              <w:ind w:right="24"/>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21.58</w:t>
            </w:r>
          </w:p>
        </w:tc>
      </w:tr>
      <w:tr>
        <w:trPr>
          <w:trHeight w:val="30"/>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4"/>
        </w:trPr>
        <w:tc>
          <w:tcPr>
            <w:tcW w:w="4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w w:val="91"/>
              </w:rPr>
              <w:t>$28.23</w:t>
            </w:r>
          </w:p>
        </w:tc>
        <w:tc>
          <w:tcPr>
            <w:tcW w:w="12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 $29.55</w:t>
            </w:r>
          </w:p>
        </w:tc>
        <w:tc>
          <w:tcPr>
            <w:tcW w:w="12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564</w:t>
            </w:r>
          </w:p>
        </w:tc>
        <w:tc>
          <w:tcPr>
            <w:tcW w:w="100" w:type="dxa"/>
            <w:vAlign w:val="bottom"/>
            <w:tcBorders>
              <w:bottom w:val="single" w:sz="8" w:color="CCFFCC"/>
            </w:tcBorders>
            <w:shd w:val="clear" w:color="auto" w:fill="CCFFCC"/>
          </w:tcPr>
          <w:p>
            <w:pPr>
              <w:spacing w:after="0"/>
              <w:rPr>
                <w:sz w:val="20"/>
                <w:szCs w:val="20"/>
                <w:color w:val="auto"/>
              </w:rPr>
            </w:pPr>
          </w:p>
        </w:tc>
        <w:tc>
          <w:tcPr>
            <w:tcW w:w="1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9.57</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6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29.10</w:t>
            </w:r>
          </w:p>
        </w:tc>
        <w:tc>
          <w:tcPr>
            <w:tcW w:w="120" w:type="dxa"/>
            <w:vAlign w:val="bottom"/>
            <w:tcBorders>
              <w:bottom w:val="single" w:sz="8" w:color="CCFFCC"/>
            </w:tcBorders>
            <w:shd w:val="clear" w:color="auto" w:fill="CCFFCC"/>
          </w:tcPr>
          <w:p>
            <w:pPr>
              <w:spacing w:after="0"/>
              <w:rPr>
                <w:sz w:val="20"/>
                <w:szCs w:val="20"/>
                <w:color w:val="auto"/>
              </w:rPr>
            </w:pPr>
          </w:p>
        </w:tc>
        <w:tc>
          <w:tcPr>
            <w:tcW w:w="19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w:t>
            </w:r>
          </w:p>
        </w:tc>
      </w:tr>
      <w:tr>
        <w:trPr>
          <w:trHeight w:val="224"/>
        </w:trPr>
        <w:tc>
          <w:tcPr>
            <w:tcW w:w="460" w:type="dxa"/>
            <w:vAlign w:val="bottom"/>
          </w:tcPr>
          <w:p>
            <w:pPr>
              <w:ind w:left="20"/>
              <w:spacing w:after="0"/>
              <w:rPr>
                <w:sz w:val="20"/>
                <w:szCs w:val="20"/>
                <w:color w:val="auto"/>
              </w:rPr>
            </w:pPr>
            <w:r>
              <w:rPr>
                <w:rFonts w:ascii="Arial" w:cs="Arial" w:eastAsia="Arial" w:hAnsi="Arial"/>
                <w:sz w:val="15"/>
                <w:szCs w:val="15"/>
                <w:color w:val="auto"/>
                <w:w w:val="91"/>
              </w:rPr>
              <w:t>$29.55</w:t>
            </w:r>
          </w:p>
        </w:tc>
        <w:tc>
          <w:tcPr>
            <w:tcW w:w="1240" w:type="dxa"/>
            <w:vAlign w:val="bottom"/>
          </w:tcPr>
          <w:p>
            <w:pPr>
              <w:ind w:left="20"/>
              <w:spacing w:after="0"/>
              <w:rPr>
                <w:sz w:val="20"/>
                <w:szCs w:val="20"/>
                <w:color w:val="auto"/>
              </w:rPr>
            </w:pPr>
            <w:r>
              <w:rPr>
                <w:rFonts w:ascii="Arial" w:cs="Arial" w:eastAsia="Arial" w:hAnsi="Arial"/>
                <w:sz w:val="15"/>
                <w:szCs w:val="15"/>
                <w:color w:val="auto"/>
              </w:rPr>
              <w:t>- $29.55</w:t>
            </w:r>
          </w:p>
        </w:tc>
        <w:tc>
          <w:tcPr>
            <w:tcW w:w="120" w:type="dxa"/>
            <w:vAlign w:val="bottom"/>
          </w:tcPr>
          <w:p>
            <w:pPr>
              <w:spacing w:after="0"/>
              <w:rPr>
                <w:sz w:val="19"/>
                <w:szCs w:val="19"/>
                <w:color w:val="auto"/>
              </w:rPr>
            </w:pPr>
          </w:p>
        </w:tc>
        <w:tc>
          <w:tcPr>
            <w:tcW w:w="1840" w:type="dxa"/>
            <w:vAlign w:val="bottom"/>
          </w:tcPr>
          <w:p>
            <w:pPr>
              <w:jc w:val="right"/>
              <w:ind w:right="44"/>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9.81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32.37</w:t>
            </w:r>
          </w:p>
        </w:tc>
        <w:tc>
          <w:tcPr>
            <w:tcW w:w="1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30"/>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65"/>
        </w:trPr>
        <w:tc>
          <w:tcPr>
            <w:tcW w:w="46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40" w:type="dxa"/>
            <w:vAlign w:val="bottom"/>
            <w:tcBorders>
              <w:bottom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40" w:type="dxa"/>
            <w:vAlign w:val="bottom"/>
            <w:tcBorders>
              <w:bottom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spacing w:after="0"/>
              <w:rPr>
                <w:sz w:val="14"/>
                <w:szCs w:val="14"/>
                <w:color w:val="auto"/>
              </w:rPr>
            </w:pPr>
          </w:p>
        </w:tc>
        <w:tc>
          <w:tcPr>
            <w:tcW w:w="1620" w:type="dxa"/>
            <w:vAlign w:val="bottom"/>
            <w:tcBorders>
              <w:bottom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820" w:type="dxa"/>
            <w:vAlign w:val="bottom"/>
            <w:tcBorders>
              <w:bottom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tcBorders>
              <w:bottom w:val="single" w:sz="8" w:color="auto"/>
            </w:tcBorders>
            <w:shd w:val="clear" w:color="auto" w:fill="CCFFCC"/>
          </w:tcPr>
          <w:p>
            <w:pPr>
              <w:spacing w:after="0"/>
              <w:rPr>
                <w:sz w:val="14"/>
                <w:szCs w:val="14"/>
                <w:color w:val="auto"/>
              </w:rPr>
            </w:pPr>
          </w:p>
        </w:tc>
        <w:tc>
          <w:tcPr>
            <w:tcW w:w="1600" w:type="dxa"/>
            <w:vAlign w:val="bottom"/>
            <w:tcBorders>
              <w:bottom w:val="single" w:sz="8" w:color="auto"/>
            </w:tcBorders>
            <w:shd w:val="clear" w:color="auto" w:fill="CCFFCC"/>
          </w:tcPr>
          <w:p>
            <w:pPr>
              <w:spacing w:after="0"/>
              <w:rPr>
                <w:sz w:val="14"/>
                <w:szCs w:val="14"/>
                <w:color w:val="auto"/>
              </w:rPr>
            </w:pPr>
          </w:p>
        </w:tc>
      </w:tr>
      <w:tr>
        <w:trPr>
          <w:trHeight w:val="204"/>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44"/>
              <w:spacing w:after="0"/>
              <w:rPr>
                <w:sz w:val="20"/>
                <w:szCs w:val="20"/>
                <w:color w:val="auto"/>
              </w:rPr>
            </w:pPr>
            <w:r>
              <w:rPr>
                <w:rFonts w:ascii="Arial" w:cs="Arial" w:eastAsia="Arial" w:hAnsi="Arial"/>
                <w:sz w:val="15"/>
                <w:szCs w:val="15"/>
                <w:color w:val="auto"/>
              </w:rPr>
              <w:t>5,915</w:t>
            </w:r>
          </w:p>
        </w:tc>
        <w:tc>
          <w:tcPr>
            <w:tcW w:w="1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6.99</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44"/>
              <w:spacing w:after="0"/>
              <w:rPr>
                <w:sz w:val="20"/>
                <w:szCs w:val="20"/>
                <w:color w:val="auto"/>
              </w:rPr>
            </w:pPr>
            <w:r>
              <w:rPr>
                <w:rFonts w:ascii="Arial" w:cs="Arial" w:eastAsia="Arial" w:hAnsi="Arial"/>
                <w:sz w:val="15"/>
                <w:szCs w:val="15"/>
                <w:color w:val="auto"/>
              </w:rPr>
              <w:t>15.78</w:t>
            </w:r>
          </w:p>
        </w:tc>
        <w:tc>
          <w:tcPr>
            <w:tcW w:w="120" w:type="dxa"/>
            <w:vAlign w:val="bottom"/>
          </w:tcPr>
          <w:p>
            <w:pPr>
              <w:spacing w:after="0"/>
              <w:rPr>
                <w:sz w:val="17"/>
                <w:szCs w:val="17"/>
                <w:color w:val="auto"/>
              </w:rPr>
            </w:pPr>
          </w:p>
        </w:tc>
        <w:tc>
          <w:tcPr>
            <w:tcW w:w="1820" w:type="dxa"/>
            <w:vAlign w:val="bottom"/>
          </w:tcPr>
          <w:p>
            <w:pPr>
              <w:jc w:val="right"/>
              <w:ind w:right="24"/>
              <w:spacing w:after="0"/>
              <w:rPr>
                <w:sz w:val="20"/>
                <w:szCs w:val="20"/>
                <w:color w:val="auto"/>
              </w:rPr>
            </w:pPr>
            <w:r>
              <w:rPr>
                <w:rFonts w:ascii="Arial" w:cs="Arial" w:eastAsia="Arial" w:hAnsi="Arial"/>
                <w:sz w:val="15"/>
                <w:szCs w:val="15"/>
                <w:color w:val="auto"/>
              </w:rPr>
              <w:t>2,883</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24"/>
              <w:spacing w:after="0"/>
              <w:rPr>
                <w:sz w:val="20"/>
                <w:szCs w:val="20"/>
                <w:color w:val="auto"/>
              </w:rPr>
            </w:pPr>
            <w:r>
              <w:rPr>
                <w:rFonts w:ascii="Arial" w:cs="Arial" w:eastAsia="Arial" w:hAnsi="Arial"/>
                <w:sz w:val="15"/>
                <w:szCs w:val="15"/>
                <w:color w:val="auto"/>
              </w:rPr>
              <w:t>12.01</w:t>
            </w:r>
          </w:p>
        </w:tc>
      </w:tr>
      <w:tr>
        <w:trPr>
          <w:trHeight w:val="30"/>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Activity</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restricted stock units (“RSUs”) activity and weighted average exercise prices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3660" w:type="dxa"/>
            <w:vAlign w:val="bottom"/>
            <w:gridSpan w:val="5"/>
          </w:tcPr>
          <w:p>
            <w:pPr>
              <w:ind w:left="800"/>
              <w:spacing w:after="0"/>
              <w:rPr>
                <w:sz w:val="20"/>
                <w:szCs w:val="20"/>
                <w:color w:val="auto"/>
              </w:rPr>
            </w:pPr>
            <w:r>
              <w:rPr>
                <w:rFonts w:ascii="Arial" w:cs="Arial" w:eastAsia="Arial" w:hAnsi="Arial"/>
                <w:sz w:val="15"/>
                <w:szCs w:val="15"/>
                <w:b w:val="1"/>
                <w:bCs w:val="1"/>
                <w:color w:val="auto"/>
              </w:rPr>
              <w:t>Restricted Stock Unit Activity</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30"/>
        </w:trPr>
        <w:tc>
          <w:tcPr>
            <w:tcW w:w="58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97"/>
        </w:trPr>
        <w:tc>
          <w:tcPr>
            <w:tcW w:w="5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Weighted Average</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1"/>
        </w:trPr>
        <w:tc>
          <w:tcPr>
            <w:tcW w:w="582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Number of Shares (in</w:t>
            </w: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Grant Date Fair Value</w:t>
            </w:r>
          </w:p>
        </w:tc>
        <w:tc>
          <w:tcPr>
            <w:tcW w:w="120" w:type="dxa"/>
            <w:vAlign w:val="bottom"/>
          </w:tcPr>
          <w:p>
            <w:pPr>
              <w:spacing w:after="0"/>
              <w:rPr>
                <w:sz w:val="16"/>
                <w:szCs w:val="16"/>
                <w:color w:val="auto"/>
              </w:rPr>
            </w:pPr>
          </w:p>
        </w:tc>
        <w:tc>
          <w:tcPr>
            <w:tcW w:w="1800" w:type="dxa"/>
            <w:vAlign w:val="bottom"/>
          </w:tcPr>
          <w:p>
            <w:pPr>
              <w:jc w:val="right"/>
              <w:ind w:right="84"/>
              <w:spacing w:after="0"/>
              <w:rPr>
                <w:sz w:val="20"/>
                <w:szCs w:val="20"/>
                <w:color w:val="auto"/>
              </w:rPr>
            </w:pPr>
            <w:r>
              <w:rPr>
                <w:rFonts w:ascii="Arial" w:cs="Arial" w:eastAsia="Arial" w:hAnsi="Arial"/>
                <w:sz w:val="15"/>
                <w:szCs w:val="15"/>
                <w:b w:val="1"/>
                <w:bCs w:val="1"/>
                <w:color w:val="auto"/>
                <w:w w:val="93"/>
              </w:rPr>
              <w:t>Aggregate Fair Value (in</w:t>
            </w:r>
          </w:p>
        </w:tc>
      </w:tr>
      <w:tr>
        <w:trPr>
          <w:trHeight w:val="198"/>
        </w:trPr>
        <w:tc>
          <w:tcPr>
            <w:tcW w:w="582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thousands)</w:t>
            </w: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(Per Share)</w:t>
            </w:r>
          </w:p>
        </w:tc>
        <w:tc>
          <w:tcPr>
            <w:tcW w:w="120" w:type="dxa"/>
            <w:vAlign w:val="bottom"/>
          </w:tcPr>
          <w:p>
            <w:pPr>
              <w:spacing w:after="0"/>
              <w:rPr>
                <w:sz w:val="17"/>
                <w:szCs w:val="17"/>
                <w:color w:val="auto"/>
              </w:rPr>
            </w:pPr>
          </w:p>
        </w:tc>
        <w:tc>
          <w:tcPr>
            <w:tcW w:w="1800" w:type="dxa"/>
            <w:vAlign w:val="bottom"/>
          </w:tcPr>
          <w:p>
            <w:pPr>
              <w:jc w:val="right"/>
              <w:ind w:right="524"/>
              <w:spacing w:after="0"/>
              <w:rPr>
                <w:sz w:val="20"/>
                <w:szCs w:val="20"/>
                <w:color w:val="auto"/>
              </w:rPr>
            </w:pPr>
            <w:r>
              <w:rPr>
                <w:rFonts w:ascii="Arial" w:cs="Arial" w:eastAsia="Arial" w:hAnsi="Arial"/>
                <w:sz w:val="15"/>
                <w:szCs w:val="15"/>
                <w:b w:val="1"/>
                <w:bCs w:val="1"/>
                <w:color w:val="auto"/>
              </w:rPr>
              <w:t>thousands)</w:t>
            </w:r>
          </w:p>
        </w:tc>
      </w:tr>
      <w:tr>
        <w:trPr>
          <w:trHeight w:val="30"/>
        </w:trPr>
        <w:tc>
          <w:tcPr>
            <w:tcW w:w="582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4"/>
        </w:trPr>
        <w:tc>
          <w:tcPr>
            <w:tcW w:w="58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Balance outstanding at December 31, 2018</w:t>
            </w:r>
          </w:p>
        </w:tc>
        <w:tc>
          <w:tcPr>
            <w:tcW w:w="17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2,690</w:t>
            </w:r>
          </w:p>
        </w:tc>
        <w:tc>
          <w:tcPr>
            <w:tcW w:w="1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15.89</w:t>
            </w: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w:t>
            </w:r>
          </w:p>
        </w:tc>
      </w:tr>
      <w:tr>
        <w:trPr>
          <w:trHeight w:val="224"/>
        </w:trPr>
        <w:tc>
          <w:tcPr>
            <w:tcW w:w="5820" w:type="dxa"/>
            <w:vAlign w:val="bottom"/>
          </w:tcPr>
          <w:p>
            <w:pPr>
              <w:ind w:left="140"/>
              <w:spacing w:after="0"/>
              <w:rPr>
                <w:sz w:val="20"/>
                <w:szCs w:val="20"/>
                <w:color w:val="auto"/>
              </w:rPr>
            </w:pPr>
            <w:r>
              <w:rPr>
                <w:rFonts w:ascii="Arial" w:cs="Arial" w:eastAsia="Arial" w:hAnsi="Arial"/>
                <w:sz w:val="15"/>
                <w:szCs w:val="15"/>
                <w:color w:val="auto"/>
              </w:rPr>
              <w:t>Awarded</w:t>
            </w: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44"/>
              <w:spacing w:after="0"/>
              <w:rPr>
                <w:sz w:val="20"/>
                <w:szCs w:val="20"/>
                <w:color w:val="auto"/>
              </w:rPr>
            </w:pPr>
            <w:r>
              <w:rPr>
                <w:rFonts w:ascii="Arial" w:cs="Arial" w:eastAsia="Arial" w:hAnsi="Arial"/>
                <w:sz w:val="15"/>
                <w:szCs w:val="15"/>
                <w:color w:val="auto"/>
              </w:rPr>
              <w:t>28.24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30"/>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4"/>
        </w:trPr>
        <w:tc>
          <w:tcPr>
            <w:tcW w:w="58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5"/>
                <w:szCs w:val="15"/>
                <w:color w:val="auto"/>
              </w:rPr>
              <w:t>Released</w:t>
            </w:r>
          </w:p>
        </w:tc>
        <w:tc>
          <w:tcPr>
            <w:tcW w:w="172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5"/>
                <w:szCs w:val="15"/>
                <w:color w:val="auto"/>
              </w:rPr>
              <w:t>(896)</w:t>
            </w: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13.81</w:t>
            </w: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8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rPr>
              <w:t>—</w:t>
            </w:r>
          </w:p>
        </w:tc>
      </w:tr>
      <w:tr>
        <w:trPr>
          <w:trHeight w:val="224"/>
        </w:trPr>
        <w:tc>
          <w:tcPr>
            <w:tcW w:w="5820" w:type="dxa"/>
            <w:vAlign w:val="bottom"/>
          </w:tcPr>
          <w:p>
            <w:pPr>
              <w:ind w:left="140"/>
              <w:spacing w:after="0"/>
              <w:rPr>
                <w:sz w:val="20"/>
                <w:szCs w:val="20"/>
                <w:color w:val="auto"/>
              </w:rPr>
            </w:pPr>
            <w:r>
              <w:rPr>
                <w:rFonts w:ascii="Arial" w:cs="Arial" w:eastAsia="Arial" w:hAnsi="Arial"/>
                <w:sz w:val="15"/>
                <w:szCs w:val="15"/>
                <w:color w:val="auto"/>
              </w:rPr>
              <w:t>Forfeited</w:t>
            </w: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44"/>
              <w:spacing w:after="0"/>
              <w:rPr>
                <w:sz w:val="20"/>
                <w:szCs w:val="20"/>
                <w:color w:val="auto"/>
              </w:rPr>
            </w:pPr>
            <w:r>
              <w:rPr>
                <w:rFonts w:ascii="Arial" w:cs="Arial" w:eastAsia="Arial" w:hAnsi="Arial"/>
                <w:sz w:val="15"/>
                <w:szCs w:val="15"/>
                <w:color w:val="auto"/>
              </w:rPr>
              <w:t>18.27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30"/>
        </w:trPr>
        <w:tc>
          <w:tcPr>
            <w:tcW w:w="582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0" w:type="dxa"/>
            <w:vAlign w:val="bottom"/>
            <w:tcBorders>
              <w:bottom w:val="single" w:sz="8" w:color="CCFFCC"/>
            </w:tcBorders>
          </w:tcPr>
          <w:p>
            <w:pPr>
              <w:spacing w:after="0"/>
              <w:rPr>
                <w:sz w:val="2"/>
                <w:szCs w:val="2"/>
                <w:color w:val="auto"/>
              </w:rPr>
            </w:pPr>
          </w:p>
        </w:tc>
      </w:tr>
      <w:tr>
        <w:trPr>
          <w:trHeight w:val="227"/>
        </w:trPr>
        <w:tc>
          <w:tcPr>
            <w:tcW w:w="58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Non-vested and outstanding at September 30, 2019</w:t>
            </w:r>
          </w:p>
        </w:tc>
        <w:tc>
          <w:tcPr>
            <w:tcW w:w="172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2,990</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rPr>
              <w:t>21.98</w:t>
            </w: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rPr>
              <w:t>106,754</w:t>
            </w:r>
          </w:p>
        </w:tc>
      </w:tr>
      <w:tr>
        <w:trPr>
          <w:trHeight w:val="20"/>
        </w:trPr>
        <w:tc>
          <w:tcPr>
            <w:tcW w:w="5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0"/>
        </w:trPr>
        <w:tc>
          <w:tcPr>
            <w:tcW w:w="5820" w:type="dxa"/>
            <w:vAlign w:val="bottom"/>
          </w:tcPr>
          <w:p>
            <w:pPr>
              <w:ind w:left="20"/>
              <w:spacing w:after="0"/>
              <w:rPr>
                <w:sz w:val="20"/>
                <w:szCs w:val="20"/>
                <w:color w:val="auto"/>
              </w:rPr>
            </w:pPr>
            <w:r>
              <w:rPr>
                <w:rFonts w:ascii="Arial" w:cs="Arial" w:eastAsia="Arial" w:hAnsi="Arial"/>
                <w:sz w:val="15"/>
                <w:szCs w:val="15"/>
                <w:color w:val="auto"/>
              </w:rPr>
              <w:t>Expected to vest</w:t>
            </w: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20.52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72,421</w:t>
            </w:r>
          </w:p>
        </w:tc>
      </w:tr>
      <w:tr>
        <w:trPr>
          <w:trHeight w:val="20"/>
        </w:trPr>
        <w:tc>
          <w:tcPr>
            <w:tcW w:w="5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RSUs granted to employees generally vest over a three to four-year period or upon achievement of certain performance conditions. In accordance with ASU 2017-09, as of September 30, 2019, total unrecognized compensation cost, adjusted for estimated forfeitures, related to nonvested RSUs was approximately $59.1 million and the weighted-average remaining vesting period was 2.9 years.</w:t>
      </w:r>
    </w:p>
    <w:p>
      <w:pPr>
        <w:spacing w:after="0" w:line="74"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As of September 30, 2019, the Company accrued approximately $2.6 million and $7.4 million in cash awards to be settled in shares of the Company's stock and recorded a corresponding expense, which is included as a component of stock-based compensation expense in the accompanying condensed consolidated financial statements for the three and nine months ended September 30, 2019, respectively.</w:t>
      </w:r>
    </w:p>
    <w:p>
      <w:pPr>
        <w:spacing w:after="0" w:line="74"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Stock-based compensation expense recognized in the Company’s condensed consolidated statements of operations and cash flows was $9.1 million and $4.1 million for the three months ended September 30, 2019 and 2018, respectively, and $25.5 million and $10.3 million for the nine months ended September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74"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13. Restructuring</w:t>
      </w:r>
    </w:p>
    <w:p>
      <w:pPr>
        <w:spacing w:after="0" w:line="215"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auto"/>
        </w:rPr>
        <w:t>The Company’s restructuring costs relate to the wind-down of its legacy platform and severance costs associated with re-prioritizing and reallocating resources to focus on areas showing high growth potential within the Company's Business Segment. The expense associated with this restructuring was approximately $1.4 million and $0.7 million during the three months ended September 30, 2019 and 2018, respectively, and $1.9 million and $2.8 million for the nine months ended September 30, 2019 and 2018, respectively. The Company expects to incur additional restructuring costs through December 31, 2019. The restructuring liability was approximately $0.7 million and $1.0 million as of September 30, 2019 and December 31, 2018, respectively. It is classified as accrued expenses and other current liabilities on the condensed consolidated balance sheets.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detail of the liability for the Company's restructuring charges for the periods presented (amounts 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 September 30, 2019</w:t>
            </w:r>
          </w:p>
        </w:tc>
        <w:tc>
          <w:tcPr>
            <w:tcW w:w="340" w:type="dxa"/>
            <w:vAlign w:val="bottom"/>
          </w:tcPr>
          <w:p>
            <w:pPr>
              <w:spacing w:after="0"/>
              <w:rPr>
                <w:sz w:val="15"/>
                <w:szCs w:val="15"/>
                <w:color w:val="auto"/>
              </w:rPr>
            </w:pPr>
          </w:p>
        </w:tc>
        <w:tc>
          <w:tcPr>
            <w:tcW w:w="1920" w:type="dxa"/>
            <w:vAlign w:val="bottom"/>
          </w:tcPr>
          <w:p>
            <w:pPr>
              <w:jc w:val="right"/>
              <w:ind w:right="525"/>
              <w:spacing w:after="0"/>
              <w:rPr>
                <w:sz w:val="20"/>
                <w:szCs w:val="20"/>
                <w:color w:val="auto"/>
              </w:rPr>
            </w:pPr>
            <w:r>
              <w:rPr>
                <w:rFonts w:ascii="Arial" w:cs="Arial" w:eastAsia="Arial" w:hAnsi="Arial"/>
                <w:sz w:val="14"/>
                <w:szCs w:val="14"/>
                <w:b w:val="1"/>
                <w:bCs w:val="1"/>
                <w:color w:val="auto"/>
              </w:rPr>
              <w:t>December 31, 2018</w:t>
            </w:r>
          </w:p>
        </w:tc>
      </w:tr>
      <w:tr>
        <w:trPr>
          <w:trHeight w:val="220"/>
        </w:trPr>
        <w:tc>
          <w:tcPr>
            <w:tcW w:w="67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Balance, Beginning of the year</w:t>
            </w:r>
          </w:p>
        </w:tc>
        <w:tc>
          <w:tcPr>
            <w:tcW w:w="260" w:type="dxa"/>
            <w:vAlign w:val="bottom"/>
            <w:tcBorders>
              <w:top w:val="single" w:sz="8" w:color="auto"/>
              <w:bottom w:val="single" w:sz="8" w:color="CCFFCC"/>
            </w:tcBorders>
            <w:shd w:val="clear" w:color="auto" w:fill="CCFFCC"/>
          </w:tcPr>
          <w:p>
            <w:pPr>
              <w:jc w:val="right"/>
              <w:ind w:right="64"/>
              <w:spacing w:after="0"/>
              <w:rPr>
                <w:sz w:val="20"/>
                <w:szCs w:val="20"/>
                <w:color w:val="auto"/>
              </w:rPr>
            </w:pPr>
            <w:r>
              <w:rPr>
                <w:rFonts w:ascii="Arial" w:cs="Arial" w:eastAsia="Arial" w:hAnsi="Arial"/>
                <w:sz w:val="15"/>
                <w:szCs w:val="15"/>
                <w:color w:val="auto"/>
              </w:rPr>
              <w:t>$</w:t>
            </w:r>
          </w:p>
        </w:tc>
        <w:tc>
          <w:tcPr>
            <w:tcW w:w="2040" w:type="dxa"/>
            <w:vAlign w:val="bottom"/>
            <w:tcBorders>
              <w:top w:val="single" w:sz="8" w:color="auto"/>
              <w:bottom w:val="single" w:sz="8" w:color="CCFFCC"/>
            </w:tcBorders>
            <w:shd w:val="clear" w:color="auto" w:fill="CCFFCC"/>
          </w:tcPr>
          <w:p>
            <w:pPr>
              <w:jc w:val="right"/>
              <w:ind w:right="45"/>
              <w:spacing w:after="0"/>
              <w:rPr>
                <w:sz w:val="20"/>
                <w:szCs w:val="20"/>
                <w:color w:val="auto"/>
              </w:rPr>
            </w:pPr>
            <w:r>
              <w:rPr>
                <w:rFonts w:ascii="Arial" w:cs="Arial" w:eastAsia="Arial" w:hAnsi="Arial"/>
                <w:sz w:val="15"/>
                <w:szCs w:val="15"/>
                <w:color w:val="auto"/>
              </w:rPr>
              <w:t>977</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CCFFCC"/>
            </w:tcBorders>
            <w:shd w:val="clear" w:color="auto" w:fill="CCFFCC"/>
          </w:tcPr>
          <w:p>
            <w:pPr>
              <w:jc w:val="right"/>
              <w:ind w:right="164"/>
              <w:spacing w:after="0"/>
              <w:rPr>
                <w:sz w:val="20"/>
                <w:szCs w:val="20"/>
                <w:color w:val="auto"/>
              </w:rPr>
            </w:pPr>
            <w:r>
              <w:rPr>
                <w:rFonts w:ascii="Arial" w:cs="Arial" w:eastAsia="Arial" w:hAnsi="Arial"/>
                <w:sz w:val="15"/>
                <w:szCs w:val="15"/>
                <w:color w:val="auto"/>
                <w:w w:val="95"/>
              </w:rPr>
              <w:t>$</w:t>
            </w:r>
          </w:p>
        </w:tc>
        <w:tc>
          <w:tcPr>
            <w:tcW w:w="1920" w:type="dxa"/>
            <w:vAlign w:val="bottom"/>
            <w:tcBorders>
              <w:top w:val="single" w:sz="8" w:color="auto"/>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rPr>
              <w:t>2,338</w:t>
            </w:r>
          </w:p>
        </w:tc>
      </w:tr>
      <w:tr>
        <w:trPr>
          <w:trHeight w:val="224"/>
        </w:trPr>
        <w:tc>
          <w:tcPr>
            <w:tcW w:w="6720" w:type="dxa"/>
            <w:vAlign w:val="bottom"/>
          </w:tcPr>
          <w:p>
            <w:pPr>
              <w:ind w:left="240"/>
              <w:spacing w:after="0"/>
              <w:rPr>
                <w:sz w:val="20"/>
                <w:szCs w:val="20"/>
                <w:color w:val="auto"/>
              </w:rPr>
            </w:pPr>
            <w:r>
              <w:rPr>
                <w:rFonts w:ascii="Arial" w:cs="Arial" w:eastAsia="Arial" w:hAnsi="Arial"/>
                <w:sz w:val="15"/>
                <w:szCs w:val="15"/>
                <w:color w:val="auto"/>
              </w:rPr>
              <w:t>Severance and other associated costs</w:t>
            </w:r>
          </w:p>
        </w:tc>
        <w:tc>
          <w:tcPr>
            <w:tcW w:w="260" w:type="dxa"/>
            <w:vAlign w:val="bottom"/>
          </w:tcPr>
          <w:p>
            <w:pPr>
              <w:spacing w:after="0"/>
              <w:rPr>
                <w:sz w:val="19"/>
                <w:szCs w:val="19"/>
                <w:color w:val="auto"/>
              </w:rPr>
            </w:pPr>
          </w:p>
        </w:tc>
        <w:tc>
          <w:tcPr>
            <w:tcW w:w="2040" w:type="dxa"/>
            <w:vAlign w:val="bottom"/>
          </w:tcPr>
          <w:p>
            <w:pPr>
              <w:jc w:val="right"/>
              <w:ind w:right="45"/>
              <w:spacing w:after="0"/>
              <w:rPr>
                <w:sz w:val="20"/>
                <w:szCs w:val="20"/>
                <w:color w:val="auto"/>
              </w:rPr>
            </w:pPr>
            <w:r>
              <w:rPr>
                <w:rFonts w:ascii="Arial" w:cs="Arial" w:eastAsia="Arial" w:hAnsi="Arial"/>
                <w:sz w:val="15"/>
                <w:szCs w:val="15"/>
                <w:color w:val="auto"/>
              </w:rPr>
              <w:t>1,909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ind w:right="25"/>
              <w:spacing w:after="0"/>
              <w:rPr>
                <w:sz w:val="20"/>
                <w:szCs w:val="20"/>
                <w:color w:val="auto"/>
              </w:rPr>
            </w:pPr>
            <w:r>
              <w:rPr>
                <w:rFonts w:ascii="Arial" w:cs="Arial" w:eastAsia="Arial" w:hAnsi="Arial"/>
                <w:sz w:val="15"/>
                <w:szCs w:val="15"/>
                <w:color w:val="auto"/>
              </w:rPr>
              <w:t>4,468</w:t>
            </w:r>
          </w:p>
        </w:tc>
      </w:tr>
      <w:tr>
        <w:trPr>
          <w:trHeight w:val="30"/>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4"/>
        </w:trPr>
        <w:tc>
          <w:tcPr>
            <w:tcW w:w="67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5"/>
                <w:szCs w:val="15"/>
                <w:color w:val="auto"/>
              </w:rPr>
              <w:t>Cash payments</w:t>
            </w:r>
          </w:p>
        </w:tc>
        <w:tc>
          <w:tcPr>
            <w:tcW w:w="260" w:type="dxa"/>
            <w:vAlign w:val="bottom"/>
            <w:tcBorders>
              <w:bottom w:val="single" w:sz="8" w:color="CCFFCC"/>
            </w:tcBorders>
            <w:shd w:val="clear" w:color="auto" w:fill="CCFFCC"/>
          </w:tcPr>
          <w:p>
            <w:pPr>
              <w:spacing w:after="0"/>
              <w:rPr>
                <w:sz w:val="22"/>
                <w:szCs w:val="22"/>
                <w:color w:val="auto"/>
              </w:rPr>
            </w:pPr>
          </w:p>
        </w:tc>
        <w:tc>
          <w:tcPr>
            <w:tcW w:w="2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(2,159)</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(5,829)</w:t>
            </w:r>
          </w:p>
        </w:tc>
      </w:tr>
      <w:tr>
        <w:trPr>
          <w:trHeight w:val="227"/>
        </w:trPr>
        <w:tc>
          <w:tcPr>
            <w:tcW w:w="6720" w:type="dxa"/>
            <w:vAlign w:val="bottom"/>
          </w:tcPr>
          <w:p>
            <w:pPr>
              <w:ind w:left="20"/>
              <w:spacing w:after="0"/>
              <w:rPr>
                <w:sz w:val="20"/>
                <w:szCs w:val="20"/>
                <w:color w:val="auto"/>
              </w:rPr>
            </w:pPr>
            <w:r>
              <w:rPr>
                <w:rFonts w:ascii="Arial" w:cs="Arial" w:eastAsia="Arial" w:hAnsi="Arial"/>
                <w:sz w:val="15"/>
                <w:szCs w:val="15"/>
                <w:color w:val="auto"/>
              </w:rPr>
              <w:t>Balance, End of period</w:t>
            </w:r>
          </w:p>
        </w:tc>
        <w:tc>
          <w:tcPr>
            <w:tcW w:w="26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rPr>
              <w:t>727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9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977</w:t>
            </w: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right="520" w:firstLine="610"/>
        <w:spacing w:after="0" w:line="273" w:lineRule="auto"/>
        <w:rPr>
          <w:sz w:val="20"/>
          <w:szCs w:val="20"/>
          <w:color w:val="auto"/>
        </w:rPr>
      </w:pPr>
      <w:r>
        <w:rPr>
          <w:rFonts w:ascii="Arial" w:cs="Arial" w:eastAsia="Arial" w:hAnsi="Arial"/>
          <w:sz w:val="17"/>
          <w:szCs w:val="17"/>
          <w:color w:val="auto"/>
        </w:rPr>
        <w:t>The following table presents the detail of expenses for the Company's restructuring charges for the three months ended September 30, 2019 (amounts in thousands):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Three Months Ended September 30,</w:t>
            </w:r>
          </w:p>
        </w:tc>
        <w:tc>
          <w:tcPr>
            <w:tcW w:w="1280" w:type="dxa"/>
            <w:vAlign w:val="bottom"/>
            <w:tcBorders>
              <w:bottom w:val="single" w:sz="8" w:color="auto"/>
            </w:tcBorders>
          </w:tcPr>
          <w:p>
            <w:pPr>
              <w:spacing w:after="0"/>
              <w:rPr>
                <w:sz w:val="15"/>
                <w:szCs w:val="15"/>
                <w:color w:val="auto"/>
              </w:rPr>
            </w:pPr>
          </w:p>
        </w:tc>
      </w:tr>
      <w:tr>
        <w:trPr>
          <w:trHeight w:val="247"/>
        </w:trPr>
        <w:tc>
          <w:tcPr>
            <w:tcW w:w="67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27"/>
              <w:spacing w:after="0"/>
              <w:rPr>
                <w:sz w:val="20"/>
                <w:szCs w:val="20"/>
                <w:color w:val="auto"/>
              </w:rPr>
            </w:pPr>
            <w:r>
              <w:rPr>
                <w:rFonts w:ascii="Arial" w:cs="Arial" w:eastAsia="Arial" w:hAnsi="Arial"/>
                <w:sz w:val="14"/>
                <w:szCs w:val="14"/>
                <w:b w:val="1"/>
                <w:bCs w:val="1"/>
                <w:color w:val="auto"/>
                <w:w w:val="83"/>
              </w:rPr>
              <w:t>2018</w:t>
            </w:r>
          </w:p>
        </w:tc>
      </w:tr>
      <w:tr>
        <w:trPr>
          <w:trHeight w:val="209"/>
        </w:trPr>
        <w:tc>
          <w:tcPr>
            <w:tcW w:w="6720" w:type="dxa"/>
            <w:vAlign w:val="bottom"/>
          </w:tcPr>
          <w:p>
            <w:pPr>
              <w:ind w:left="20"/>
              <w:spacing w:after="0"/>
              <w:rPr>
                <w:sz w:val="20"/>
                <w:szCs w:val="20"/>
                <w:color w:val="auto"/>
              </w:rPr>
            </w:pPr>
            <w:r>
              <w:rPr>
                <w:rFonts w:ascii="Arial" w:cs="Arial" w:eastAsia="Arial" w:hAnsi="Arial"/>
                <w:sz w:val="15"/>
                <w:szCs w:val="15"/>
                <w:color w:val="auto"/>
              </w:rPr>
              <w:t>Severance and other associated costs</w:t>
            </w:r>
          </w:p>
        </w:tc>
        <w:tc>
          <w:tcPr>
            <w:tcW w:w="1300" w:type="dxa"/>
            <w:vAlign w:val="bottom"/>
          </w:tcPr>
          <w:p>
            <w:pPr>
              <w:jc w:val="right"/>
              <w:ind w:right="110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1,425</w:t>
            </w:r>
          </w:p>
        </w:tc>
        <w:tc>
          <w:tcPr>
            <w:tcW w:w="120" w:type="dxa"/>
            <w:vAlign w:val="bottom"/>
          </w:tcPr>
          <w:p>
            <w:pPr>
              <w:spacing w:after="0"/>
              <w:rPr>
                <w:sz w:val="18"/>
                <w:szCs w:val="18"/>
                <w:color w:val="auto"/>
              </w:rPr>
            </w:pPr>
          </w:p>
        </w:tc>
        <w:tc>
          <w:tcPr>
            <w:tcW w:w="980" w:type="dxa"/>
            <w:vAlign w:val="bottom"/>
          </w:tcPr>
          <w:p>
            <w:pPr>
              <w:jc w:val="right"/>
              <w:ind w:right="804"/>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27"/>
              <w:spacing w:after="0"/>
              <w:rPr>
                <w:sz w:val="20"/>
                <w:szCs w:val="20"/>
                <w:color w:val="auto"/>
              </w:rPr>
            </w:pPr>
            <w:r>
              <w:rPr>
                <w:rFonts w:ascii="Arial" w:cs="Arial" w:eastAsia="Arial" w:hAnsi="Arial"/>
                <w:sz w:val="15"/>
                <w:szCs w:val="15"/>
                <w:color w:val="auto"/>
              </w:rPr>
              <w:t>722</w:t>
            </w:r>
          </w:p>
        </w:tc>
      </w:tr>
      <w:tr>
        <w:trPr>
          <w:trHeight w:val="30"/>
        </w:trPr>
        <w:tc>
          <w:tcPr>
            <w:tcW w:w="6720" w:type="dxa"/>
            <w:vAlign w:val="bottom"/>
            <w:tcBorders>
              <w:bottom w:val="single" w:sz="8" w:color="CCFFC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67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5"/>
                <w:szCs w:val="15"/>
                <w:color w:val="auto"/>
              </w:rPr>
              <w:t>Total restructuring costs</w:t>
            </w:r>
          </w:p>
        </w:tc>
        <w:tc>
          <w:tcPr>
            <w:tcW w:w="1300" w:type="dxa"/>
            <w:vAlign w:val="bottom"/>
            <w:tcBorders>
              <w:bottom w:val="single" w:sz="8" w:color="auto"/>
            </w:tcBorders>
            <w:shd w:val="clear" w:color="auto" w:fill="CCFFCC"/>
          </w:tcPr>
          <w:p>
            <w:pPr>
              <w:jc w:val="right"/>
              <w:ind w:right="110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FFCC"/>
          </w:tcPr>
          <w:p>
            <w:pPr>
              <w:jc w:val="right"/>
              <w:ind w:right="47"/>
              <w:spacing w:after="0"/>
              <w:rPr>
                <w:sz w:val="20"/>
                <w:szCs w:val="20"/>
                <w:color w:val="auto"/>
              </w:rPr>
            </w:pPr>
            <w:r>
              <w:rPr>
                <w:rFonts w:ascii="Arial" w:cs="Arial" w:eastAsia="Arial" w:hAnsi="Arial"/>
                <w:sz w:val="15"/>
                <w:szCs w:val="15"/>
                <w:color w:val="auto"/>
              </w:rPr>
              <w:t>1,425</w:t>
            </w:r>
          </w:p>
        </w:tc>
        <w:tc>
          <w:tcPr>
            <w:tcW w:w="120" w:type="dxa"/>
            <w:vAlign w:val="bottom"/>
            <w:tcBorders>
              <w:bottom w:val="single" w:sz="8" w:color="CCFFCC"/>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ind w:right="80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FFCC"/>
          </w:tcPr>
          <w:p>
            <w:pPr>
              <w:jc w:val="right"/>
              <w:ind w:right="27"/>
              <w:spacing w:after="0"/>
              <w:rPr>
                <w:sz w:val="20"/>
                <w:szCs w:val="20"/>
                <w:color w:val="auto"/>
              </w:rPr>
            </w:pPr>
            <w:r>
              <w:rPr>
                <w:rFonts w:ascii="Arial" w:cs="Arial" w:eastAsia="Arial" w:hAnsi="Arial"/>
                <w:sz w:val="15"/>
                <w:szCs w:val="15"/>
                <w:color w:val="auto"/>
              </w:rPr>
              <w:t>722</w:t>
            </w:r>
          </w:p>
        </w:tc>
      </w:tr>
      <w:tr>
        <w:trPr>
          <w:trHeight w:val="20"/>
        </w:trPr>
        <w:tc>
          <w:tcPr>
            <w:tcW w:w="67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detail of expenses for the Company's restructuring charges for the nine months ended September 30, 2019 (amounts in thousands):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Nine Months Ended September 30,</w:t>
            </w:r>
          </w:p>
        </w:tc>
        <w:tc>
          <w:tcPr>
            <w:tcW w:w="1300" w:type="dxa"/>
            <w:vAlign w:val="bottom"/>
            <w:tcBorders>
              <w:bottom w:val="single" w:sz="8" w:color="auto"/>
            </w:tcBorders>
          </w:tcPr>
          <w:p>
            <w:pPr>
              <w:spacing w:after="0"/>
              <w:rPr>
                <w:sz w:val="15"/>
                <w:szCs w:val="15"/>
                <w:color w:val="auto"/>
              </w:rPr>
            </w:pPr>
          </w:p>
        </w:tc>
      </w:tr>
      <w:tr>
        <w:trPr>
          <w:trHeight w:val="247"/>
        </w:trPr>
        <w:tc>
          <w:tcPr>
            <w:tcW w:w="672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27"/>
              <w:spacing w:after="0"/>
              <w:rPr>
                <w:sz w:val="20"/>
                <w:szCs w:val="20"/>
                <w:color w:val="auto"/>
              </w:rPr>
            </w:pPr>
            <w:r>
              <w:rPr>
                <w:rFonts w:ascii="Arial" w:cs="Arial" w:eastAsia="Arial" w:hAnsi="Arial"/>
                <w:sz w:val="14"/>
                <w:szCs w:val="14"/>
                <w:b w:val="1"/>
                <w:bCs w:val="1"/>
                <w:color w:val="auto"/>
                <w:w w:val="89"/>
              </w:rPr>
              <w:t>2018</w:t>
            </w:r>
          </w:p>
        </w:tc>
      </w:tr>
      <w:tr>
        <w:trPr>
          <w:trHeight w:val="209"/>
        </w:trPr>
        <w:tc>
          <w:tcPr>
            <w:tcW w:w="6720" w:type="dxa"/>
            <w:vAlign w:val="bottom"/>
          </w:tcPr>
          <w:p>
            <w:pPr>
              <w:ind w:left="20"/>
              <w:spacing w:after="0"/>
              <w:rPr>
                <w:sz w:val="20"/>
                <w:szCs w:val="20"/>
                <w:color w:val="auto"/>
              </w:rPr>
            </w:pPr>
            <w:r>
              <w:rPr>
                <w:rFonts w:ascii="Arial" w:cs="Arial" w:eastAsia="Arial" w:hAnsi="Arial"/>
                <w:sz w:val="15"/>
                <w:szCs w:val="15"/>
                <w:color w:val="auto"/>
              </w:rPr>
              <w:t>Severance and other associated costs</w:t>
            </w:r>
          </w:p>
        </w:tc>
        <w:tc>
          <w:tcPr>
            <w:tcW w:w="1320" w:type="dxa"/>
            <w:vAlign w:val="bottom"/>
          </w:tcPr>
          <w:p>
            <w:pPr>
              <w:jc w:val="right"/>
              <w:ind w:right="1127"/>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47"/>
              <w:spacing w:after="0"/>
              <w:rPr>
                <w:sz w:val="20"/>
                <w:szCs w:val="20"/>
                <w:color w:val="auto"/>
              </w:rPr>
            </w:pPr>
            <w:r>
              <w:rPr>
                <w:rFonts w:ascii="Arial" w:cs="Arial" w:eastAsia="Arial" w:hAnsi="Arial"/>
                <w:sz w:val="15"/>
                <w:szCs w:val="15"/>
                <w:color w:val="auto"/>
              </w:rPr>
              <w:t>1,909</w:t>
            </w:r>
          </w:p>
        </w:tc>
        <w:tc>
          <w:tcPr>
            <w:tcW w:w="120" w:type="dxa"/>
            <w:vAlign w:val="bottom"/>
          </w:tcPr>
          <w:p>
            <w:pPr>
              <w:spacing w:after="0"/>
              <w:rPr>
                <w:sz w:val="18"/>
                <w:szCs w:val="18"/>
                <w:color w:val="auto"/>
              </w:rPr>
            </w:pPr>
          </w:p>
        </w:tc>
        <w:tc>
          <w:tcPr>
            <w:tcW w:w="960" w:type="dxa"/>
            <w:vAlign w:val="bottom"/>
          </w:tcPr>
          <w:p>
            <w:pPr>
              <w:jc w:val="right"/>
              <w:ind w:right="78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27"/>
              <w:spacing w:after="0"/>
              <w:rPr>
                <w:sz w:val="20"/>
                <w:szCs w:val="20"/>
                <w:color w:val="auto"/>
              </w:rPr>
            </w:pPr>
            <w:r>
              <w:rPr>
                <w:rFonts w:ascii="Arial" w:cs="Arial" w:eastAsia="Arial" w:hAnsi="Arial"/>
                <w:sz w:val="15"/>
                <w:szCs w:val="15"/>
                <w:color w:val="auto"/>
              </w:rPr>
              <w:t>2,806</w:t>
            </w:r>
          </w:p>
        </w:tc>
      </w:tr>
      <w:tr>
        <w:trPr>
          <w:trHeight w:val="30"/>
        </w:trPr>
        <w:tc>
          <w:tcPr>
            <w:tcW w:w="672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7"/>
        </w:trPr>
        <w:tc>
          <w:tcPr>
            <w:tcW w:w="67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5"/>
                <w:szCs w:val="15"/>
                <w:color w:val="auto"/>
              </w:rPr>
              <w:t>Total restructuring costs</w:t>
            </w:r>
          </w:p>
        </w:tc>
        <w:tc>
          <w:tcPr>
            <w:tcW w:w="1320" w:type="dxa"/>
            <w:vAlign w:val="bottom"/>
            <w:tcBorders>
              <w:bottom w:val="single" w:sz="8" w:color="auto"/>
            </w:tcBorders>
            <w:shd w:val="clear" w:color="auto" w:fill="CCFFCC"/>
          </w:tcPr>
          <w:p>
            <w:pPr>
              <w:jc w:val="right"/>
              <w:ind w:right="1127"/>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FFCC"/>
          </w:tcPr>
          <w:p>
            <w:pPr>
              <w:jc w:val="right"/>
              <w:ind w:right="47"/>
              <w:spacing w:after="0"/>
              <w:rPr>
                <w:sz w:val="20"/>
                <w:szCs w:val="20"/>
                <w:color w:val="auto"/>
              </w:rPr>
            </w:pPr>
            <w:r>
              <w:rPr>
                <w:rFonts w:ascii="Arial" w:cs="Arial" w:eastAsia="Arial" w:hAnsi="Arial"/>
                <w:sz w:val="15"/>
                <w:szCs w:val="15"/>
                <w:color w:val="auto"/>
              </w:rPr>
              <w:t>1,909</w:t>
            </w:r>
          </w:p>
        </w:tc>
        <w:tc>
          <w:tcPr>
            <w:tcW w:w="12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ind w:right="78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FFCC"/>
          </w:tcPr>
          <w:p>
            <w:pPr>
              <w:jc w:val="right"/>
              <w:ind w:right="27"/>
              <w:spacing w:after="0"/>
              <w:rPr>
                <w:sz w:val="20"/>
                <w:szCs w:val="20"/>
                <w:color w:val="auto"/>
              </w:rPr>
            </w:pPr>
            <w:r>
              <w:rPr>
                <w:rFonts w:ascii="Arial" w:cs="Arial" w:eastAsia="Arial" w:hAnsi="Arial"/>
                <w:sz w:val="15"/>
                <w:szCs w:val="15"/>
                <w:color w:val="auto"/>
              </w:rPr>
              <w:t>2,806</w:t>
            </w:r>
          </w:p>
        </w:tc>
      </w:tr>
      <w:tr>
        <w:trPr>
          <w:trHeight w:val="20"/>
        </w:trPr>
        <w:tc>
          <w:tcPr>
            <w:tcW w:w="67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Legal Matters</w:t>
      </w:r>
    </w:p>
    <w:p>
      <w:pPr>
        <w:spacing w:after="0" w:line="114"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in the original litigation is currently set for January 21, 2020. The Company believes the claims filed by [24]7 are entirely without merit and intends to defend them vigorously.</w:t>
      </w:r>
    </w:p>
    <w:p>
      <w:pPr>
        <w:spacing w:after="0" w:line="66"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758" w:right="239" w:bottom="1440" w:gutter="0" w:footer="0" w:header="0"/>
        </w:sectPr>
      </w:pPr>
    </w:p>
    <w:bookmarkStart w:id="30" w:name="page31"/>
    <w:bookmarkEnd w:id="30"/>
    <w:p>
      <w:pPr>
        <w:jc w:val="both"/>
        <w:spacing w:after="0" w:line="291" w:lineRule="auto"/>
        <w:rPr>
          <w:sz w:val="20"/>
          <w:szCs w:val="20"/>
          <w:color w:val="auto"/>
        </w:rPr>
      </w:pPr>
      <w:r>
        <w:rPr>
          <w:rFonts w:ascii="Arial" w:cs="Arial" w:eastAsia="Arial" w:hAnsi="Arial"/>
          <w:sz w:val="15"/>
          <w:szCs w:val="15"/>
          <w:color w:val="auto"/>
        </w:rPr>
        <w:t>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55"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59"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Item 2. Management</w:t>
      </w:r>
      <w:r>
        <w:rPr>
          <w:rFonts w:ascii="Arial" w:cs="Arial" w:eastAsia="Arial" w:hAnsi="Arial"/>
          <w:sz w:val="17"/>
          <w:szCs w:val="17"/>
          <w:color w:val="auto"/>
        </w:rPr>
        <w:t>’</w:t>
      </w:r>
      <w:r>
        <w:rPr>
          <w:rFonts w:ascii="Arial" w:cs="Arial" w:eastAsia="Arial" w:hAnsi="Arial"/>
          <w:sz w:val="17"/>
          <w:szCs w:val="17"/>
          <w:b w:val="1"/>
          <w:bCs w:val="1"/>
          <w:color w:val="auto"/>
        </w:rPr>
        <w:t>s Discussion and Analysis of Financial Condition and Results of Operations</w:t>
      </w:r>
    </w:p>
    <w:p>
      <w:pPr>
        <w:spacing w:after="0" w:line="110"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General</w:t>
      </w:r>
    </w:p>
    <w:p>
      <w:pPr>
        <w:spacing w:after="0" w:line="215" w:lineRule="exact"/>
        <w:rPr>
          <w:sz w:val="20"/>
          <w:szCs w:val="20"/>
          <w:color w:val="auto"/>
        </w:rPr>
      </w:pPr>
    </w:p>
    <w:p>
      <w:pPr>
        <w:jc w:val="both"/>
        <w:ind w:firstLine="610"/>
        <w:spacing w:after="0" w:line="290" w:lineRule="auto"/>
        <w:rPr>
          <w:sz w:val="20"/>
          <w:szCs w:val="20"/>
          <w:color w:val="auto"/>
        </w:rPr>
      </w:pPr>
      <w:r>
        <w:rPr>
          <w:rFonts w:ascii="Arial" w:cs="Arial" w:eastAsia="Arial" w:hAnsi="Arial"/>
          <w:sz w:val="15"/>
          <w:szCs w:val="15"/>
          <w:i w:val="1"/>
          <w:iCs w:val="1"/>
          <w:color w:val="auto"/>
        </w:rPr>
        <w:t>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23" w:lineRule="exact"/>
        <w:rPr>
          <w:sz w:val="20"/>
          <w:szCs w:val="20"/>
          <w:color w:val="auto"/>
        </w:rPr>
      </w:pPr>
    </w:p>
    <w:p>
      <w:pPr>
        <w:jc w:val="both"/>
        <w:ind w:firstLine="727"/>
        <w:spacing w:after="0" w:line="268" w:lineRule="auto"/>
        <w:rPr>
          <w:sz w:val="20"/>
          <w:szCs w:val="20"/>
          <w:color w:val="auto"/>
        </w:rPr>
      </w:pPr>
      <w:r>
        <w:rPr>
          <w:rFonts w:ascii="Arial" w:cs="Arial" w:eastAsia="Arial" w:hAnsi="Arial"/>
          <w:sz w:val="16"/>
          <w:szCs w:val="16"/>
          <w:color w:val="auto"/>
        </w:rPr>
        <w:t>LivePerson, Inc. ("LivePerson," the "Company," "we" or "our") makes life easier by transforming how people communicate with brands. During the past decade, consumers have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and brick and mortar engagements. For example, consumers can look up product info like ratings, images and pricing, search for stores, see products in the store, schedule appointments, apply for credit, approve repairs, make purchases or payments - all without ever leaving the messaging channel. We call these AI and human-assisted conversational experiences over messaging Conversational Commerce.</w:t>
      </w:r>
    </w:p>
    <w:p>
      <w:pPr>
        <w:spacing w:after="0" w:line="73"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LiveEngage, our enterprise-class, cloud-based platform, was designed for Conversational Commerce, enabling businesses to securely deploy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having them navigate interactive voice response systems (IVRs) and wait on hold.</w:t>
      </w:r>
    </w:p>
    <w:p>
      <w:pPr>
        <w:spacing w:after="0" w:line="8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6"/>
          <w:szCs w:val="16"/>
          <w:color w:val="auto"/>
        </w:rPr>
        <w:t>Our robust, cloud-based suite of rich mobile messaging and real-time chat offerings features intelligent routing and capacity mapping, queue prioritization, customer sentiment, real-time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or Google Home. An extensible application programming interface (API) stack facilitates a lower cost of ownership by facilitating robust integration into back-end systems, as well as enabling developers to build their own programs and services on top of the platform. More than three dozen APIs are available on LiveEngage.</w:t>
      </w:r>
    </w:p>
    <w:p>
      <w:pPr>
        <w:spacing w:after="0" w:line="66"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color w:val="auto"/>
        </w:rPr>
        <w:t>LiveEngage also features Maven, a robust AI engine that was custom designed for Conversational Commerce. Maven, announced in December 2018, puts the power of bot development, training and management into the hands of the contact center and its agents, the teams most familiar with how to structure sales and service conversations to drive successful outcomes. The platform enables what the we call “the tango” of humans, AI and bots, whereby human agents act as bot managers, overseeing AI-powered conversations and seamlessly stepping into the flow when a personal touch is needed. Through Maven Assist, agents become ultra-efficient, leveraging the AI engine to serve up relevant content, define next-best actions and take over repetitive transactional work, so that the agent can focus on relationship building. By seamlessly integrating LiveEngage with Maven, as well as third-party bots, the platform provides businesses with a comprehensive view of all AI-based and human-based conversations from a single console.</w:t>
      </w:r>
    </w:p>
    <w:p>
      <w:pPr>
        <w:spacing w:after="0" w:line="71" w:lineRule="exact"/>
        <w:rPr>
          <w:sz w:val="20"/>
          <w:szCs w:val="20"/>
          <w:color w:val="auto"/>
        </w:rPr>
      </w:pPr>
    </w:p>
    <w:p>
      <w:pPr>
        <w:ind w:right="120" w:firstLine="610"/>
        <w:spacing w:after="0" w:line="302" w:lineRule="auto"/>
        <w:rPr>
          <w:sz w:val="20"/>
          <w:szCs w:val="20"/>
          <w:color w:val="auto"/>
        </w:rPr>
      </w:pPr>
      <w:r>
        <w:rPr>
          <w:rFonts w:ascii="Arial" w:cs="Arial" w:eastAsia="Arial" w:hAnsi="Arial"/>
          <w:sz w:val="15"/>
          <w:szCs w:val="15"/>
          <w:color w:val="auto"/>
        </w:rPr>
        <w:t>Complementing LiveEngage are teams of technical, solutions and consulting professionals that have developed deep domain expertise in Conversational Commerce across industries and messaging endpoints. We are positioned as an authority in Conversational Commerce, publishing a proprietary Conversational Quotient™ Index that measures each customer across multiple key indicators to ascertain the sophistication and breadth of their conversational commerce capabilities. Each business is then benchmarked against industry peers to determine their relative progression. We have developed a Transformation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860" w:right="239" w:bottom="1440" w:gutter="0" w:footer="0" w:header="0"/>
        </w:sectPr>
      </w:pPr>
    </w:p>
    <w:bookmarkStart w:id="32" w:name="page33"/>
    <w:bookmarkEnd w:id="32"/>
    <w:p>
      <w:pPr>
        <w:ind w:right="120"/>
        <w:spacing w:after="0" w:line="261" w:lineRule="auto"/>
        <w:rPr>
          <w:sz w:val="20"/>
          <w:szCs w:val="20"/>
          <w:color w:val="auto"/>
        </w:rPr>
      </w:pPr>
      <w:r>
        <w:rPr>
          <w:rFonts w:ascii="Arial" w:cs="Arial" w:eastAsia="Arial" w:hAnsi="Arial"/>
          <w:sz w:val="17"/>
          <w:szCs w:val="17"/>
          <w:color w:val="auto"/>
        </w:rPr>
        <w:t>Model that is introduced to existing and prospective customers to help guide them on their journeys from legacy voice, email and chat solutions to modern conversational ones powered by messaging and AI. Our products, coupled with our domain knowledge, industry expertise and professional services, have been proven to maximize the effectiveness of Conversational Commerce and deliver measurable return on investment.</w:t>
      </w:r>
    </w:p>
    <w:p>
      <w:pPr>
        <w:spacing w:after="0" w:line="74" w:lineRule="exact"/>
        <w:rPr>
          <w:sz w:val="20"/>
          <w:szCs w:val="20"/>
          <w:color w:val="auto"/>
        </w:rPr>
      </w:pPr>
    </w:p>
    <w:p>
      <w:pPr>
        <w:ind w:right="80" w:firstLine="610"/>
        <w:spacing w:after="0" w:line="257"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78"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More than 18,000 businesses, including HSBC, Orange, and The Home Depot use our Conversational Commerce solutions to orchestrate humans and AI, at scale, and create a convenient, deeply personal relationship.</w:t>
      </w:r>
    </w:p>
    <w:p>
      <w:pPr>
        <w:spacing w:after="0" w:line="64"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Our solutions benefit organizations of all sizes conducting business or communicating with consumers through mobile and online messaging and chat. We plan to continue to focus on key target markets: consumer/retail, telecommunications, financial services, travel/hospitality, technology and automotive, within the United States and Canada, Latin America, Europe and the Asia-Pacific region.</w:t>
      </w:r>
    </w:p>
    <w:p>
      <w:pPr>
        <w:spacing w:after="0" w:line="7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We are organized into two operating segments: Business and Consumer.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78"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transform how people communicate with brands. The key elements of LivePerson’s business solutions strategy include:</w:t>
      </w:r>
    </w:p>
    <w:p>
      <w:pPr>
        <w:spacing w:after="0" w:line="64" w:lineRule="exact"/>
        <w:rPr>
          <w:sz w:val="20"/>
          <w:szCs w:val="20"/>
          <w:color w:val="auto"/>
        </w:rPr>
      </w:pPr>
    </w:p>
    <w:p>
      <w:pPr>
        <w:jc w:val="both"/>
        <w:ind w:firstLine="610"/>
        <w:spacing w:after="0" w:line="302" w:lineRule="auto"/>
        <w:rPr>
          <w:sz w:val="20"/>
          <w:szCs w:val="20"/>
          <w:color w:val="auto"/>
        </w:rPr>
      </w:pPr>
      <w:r>
        <w:rPr>
          <w:rFonts w:ascii="Arial" w:cs="Arial" w:eastAsia="Arial" w:hAnsi="Arial"/>
          <w:sz w:val="15"/>
          <w:szCs w:val="15"/>
          <w:b w:val="1"/>
          <w:bCs w:val="1"/>
          <w:i w:val="1"/>
          <w:iCs w:val="1"/>
          <w:color w:val="auto"/>
        </w:rPr>
        <w:t xml:space="preserve">Build awareness and drive adoption of Conversational Commerce. </w:t>
      </w:r>
      <w:r>
        <w:rPr>
          <w:rFonts w:ascii="Arial" w:cs="Arial" w:eastAsia="Arial" w:hAnsi="Arial"/>
          <w:sz w:val="15"/>
          <w:szCs w:val="15"/>
          <w:color w:val="auto"/>
        </w:rPr>
        <w:t>LivePerson brought our first customer live on messaging in June 2016. Since that time,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been focused on building awareness for Conversational Commerce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47"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color w:val="auto"/>
        </w:rPr>
        <w:t>A key component of our industry awareness marketing strategy has been to hold multiple global customer summits each year that target executives from enterprise customers and prospects, and feature a key theme within Conversational Commerce, such as Apple Business Chat, Google Rich Business Messenger, IVR deflection or AI. LivePerson customers are the centerpoint of these summits, presenting why they chose LivePerson for Conversational Commerce,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2018, we had brought more than 200 customers live on messaging and increased adoption within our enterprise customers to more than 40%. In addition, more than 50% of messaging conversations had automation attached. We will continue to focus on building awareness for Conversational Commerce and driving adoption of messaging and AI across our customer base.</w:t>
      </w:r>
    </w:p>
    <w:p>
      <w:pPr>
        <w:spacing w:after="0" w:line="66" w:lineRule="exact"/>
        <w:rPr>
          <w:sz w:val="20"/>
          <w:szCs w:val="20"/>
          <w:color w:val="auto"/>
        </w:rPr>
      </w:pPr>
    </w:p>
    <w:p>
      <w:pPr>
        <w:jc w:val="both"/>
        <w:ind w:firstLine="610"/>
        <w:spacing w:after="0" w:line="302" w:lineRule="auto"/>
        <w:rPr>
          <w:sz w:val="20"/>
          <w:szCs w:val="20"/>
          <w:color w:val="auto"/>
        </w:rPr>
      </w:pPr>
      <w:r>
        <w:rPr>
          <w:rFonts w:ascii="Arial" w:cs="Arial" w:eastAsia="Arial" w:hAnsi="Arial"/>
          <w:sz w:val="15"/>
          <w:szCs w:val="15"/>
          <w:b w:val="1"/>
          <w:bCs w:val="1"/>
          <w:i w:val="1"/>
          <w:iCs w:val="1"/>
          <w:color w:val="auto"/>
        </w:rPr>
        <w:t xml:space="preserve">Increase volumes on LiveEngage by deploying a broad messaging ecosystem and expanding customer use cases. </w:t>
      </w:r>
      <w:r>
        <w:rPr>
          <w:rFonts w:ascii="Arial" w:cs="Arial" w:eastAsia="Arial" w:hAnsi="Arial"/>
          <w:sz w:val="15"/>
          <w:szCs w:val="15"/>
          <w:color w:val="auto"/>
        </w:rPr>
        <w:t>Our strategy is to drive higher volumes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LiveEngage by going both wide across messaging endpoints and deep across consumer use cases.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47"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In order to go wide across messaging endpoints, it is imperative that LiveEngage integrates to all of the messaging apps that consumers prefer to use for communication. For example, if a consumer is an avid WhatsApp user, and a brand only offers SMS as a messaging option, that consumer may be reluctant to try messaging the brand. Therefore, a key strategy of our has been to build one of the industry’s broadest ecosystems of messaging endpoints. In June 2016, we launched with In-App messaging. In 2017, we introduced Facebook Messenger, SMS, Web messaging and IVR deflection integrations. In 2018, we added Apple Business Chat, Google Rich Business Messenger, Line, WhatsApp, Alexa, Google Home, Google Ad Lingo and Twitter.</w:t>
      </w:r>
    </w:p>
    <w:p>
      <w:pPr>
        <w:spacing w:after="0" w:line="6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Each channel added opens the door to hundreds of millions of new consumers, providing brands a greater opportunity to shift share away from their legacy contact center channels into messaging. LivePerson makes the management of all these disparate channels seamless to the brand. The LiveEngage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59" w:right="239" w:bottom="1440" w:gutter="0" w:footer="0" w:header="0"/>
        </w:sectPr>
      </w:pPr>
    </w:p>
    <w:bookmarkStart w:id="33" w:name="page34"/>
    <w:bookmarkEnd w:id="33"/>
    <w:p>
      <w:pPr>
        <w:jc w:val="both"/>
        <w:ind w:firstLine="610"/>
        <w:spacing w:after="0" w:line="302" w:lineRule="auto"/>
        <w:rPr>
          <w:sz w:val="20"/>
          <w:szCs w:val="20"/>
          <w:color w:val="auto"/>
        </w:rPr>
      </w:pPr>
      <w:r>
        <w:rPr>
          <w:rFonts w:ascii="Arial" w:cs="Arial" w:eastAsia="Arial" w:hAnsi="Arial"/>
          <w:sz w:val="15"/>
          <w:szCs w:val="15"/>
          <w:color w:val="auto"/>
        </w:rPr>
        <w:t>In order to go deep across customer use cases, we are focused on extending LiveEngage beyond just taking share of the 270 billion calls made to customer service 1-800 numbers each year, into sales, marketing and brick and mortar conversations. For example, in 2018, a home improvement retailer launched a bot that autonomously sells millions of dollars of grills; a leading global concessions manager launched a service that lets patrons in a sports arena order beverages to their seats through Apple Business Chat; and a telecommunications company used LiveEngage to drive pre-sales for an iPhone series launch.</w:t>
      </w:r>
    </w:p>
    <w:p>
      <w:pPr>
        <w:spacing w:after="0" w:line="47"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We believe that this strategy has influenced LivePerson’s enterprise and mid-market revenue retention rate, (the trailing-twelve-month change in total revenue from existing customers after upsells, downsells and attrition) which was greater than 110% in 2018. The benefit can also be seen in LivePerson’s average revenue per user (ARPU) for our enterprise and mid-market customers, which increased more than 25% in 2018 to approximately $285,000 from approximately $220,000 in 2017. For this same customer set, when examining only the subset that have adopted messaging, the ARPU in 2018 increased to approximately $500,000. When examining customers that have adopted at least three endpoints, the ARPU in 2018 increased into the low seven figures. We believe these ARPU trends are a clear indication of how LivePerson’s strategy to drive messaging adoption has successfully influenced our revenue growth by taking share from legacy communication channels. We will continue to focus on adding new messaging endpoints and driving higher adoption of each of these channels within our customer base.</w:t>
      </w:r>
    </w:p>
    <w:p>
      <w:pPr>
        <w:spacing w:after="0" w:line="56"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b w:val="1"/>
          <w:bCs w:val="1"/>
          <w:i w:val="1"/>
          <w:iCs w:val="1"/>
          <w:color w:val="auto"/>
        </w:rPr>
        <w:t xml:space="preserve">Globalize R&amp;D to attract the industry’s best AI, machine learning and conversational talent. </w:t>
      </w:r>
      <w:r>
        <w:rPr>
          <w:rFonts w:ascii="Arial" w:cs="Arial" w:eastAsia="Arial" w:hAnsi="Arial"/>
          <w:sz w:val="16"/>
          <w:szCs w:val="16"/>
          <w:color w:val="auto"/>
        </w:rPr>
        <w:t>We believe that AI and machine learning are critical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successfully scaling Conversational Commerce, and that in order to develop the industry’s leading technology, we need to open offices where the best talent is located. To spearhead that globalization effort, in 2018, LivePerson recruited Alex Spinelli, key architect of the Alexa Operating System at Amazon.com, as our Global CTO. Under Mr. Spinelli’s leadership, we opened an Advanced Technology Center in Seattle, Washington, in 2018, expanded our Mannheim, Germany development center, and added key development talent through the acquisitions of BotCentral in Mountain View, California and Conversable in Austin, Texas. We added more than 70 machine learning, AI and Conversational Commerce developers in 2018, recruiting top talent from firms such as Nike, Amazon.com, Microsoft and Target. We expect to continue adding industry leading development talent across our global offices in 2019.</w:t>
      </w:r>
    </w:p>
    <w:p>
      <w:pPr>
        <w:spacing w:after="0" w:line="71"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b w:val="1"/>
          <w:bCs w:val="1"/>
          <w:i w:val="1"/>
          <w:iCs w:val="1"/>
          <w:color w:val="auto"/>
        </w:rPr>
        <w:t xml:space="preserve">Bring to market best-in-class AI and machine learning technologies designed for Conversational Commerce. </w:t>
      </w:r>
      <w:r>
        <w:rPr>
          <w:rFonts w:ascii="Arial" w:cs="Arial" w:eastAsia="Arial" w:hAnsi="Arial"/>
          <w:sz w:val="17"/>
          <w:szCs w:val="17"/>
          <w:color w:val="auto"/>
        </w:rPr>
        <w:t>We believe that over the past few years many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generation AI and bots have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Commerce platforms such as LiveEngage. In December 2018, LivePerson announced Maven, a patent pending AI engine that is designed to overcome these shortcomings and help brands rapidly bring to market conversational AI that can scale to millions of interactions, while increasing customer satisfaction and conversion rates.</w:t>
      </w:r>
    </w:p>
    <w:p>
      <w:pPr>
        <w:spacing w:after="0" w:line="80" w:lineRule="exact"/>
        <w:rPr>
          <w:sz w:val="20"/>
          <w:szCs w:val="20"/>
          <w:color w:val="auto"/>
        </w:rPr>
      </w:pPr>
    </w:p>
    <w:p>
      <w:pPr>
        <w:jc w:val="both"/>
        <w:ind w:firstLine="610"/>
        <w:spacing w:after="0" w:line="312" w:lineRule="auto"/>
        <w:rPr>
          <w:sz w:val="20"/>
          <w:szCs w:val="20"/>
          <w:color w:val="auto"/>
        </w:rPr>
      </w:pPr>
      <w:r>
        <w:rPr>
          <w:rFonts w:ascii="Arial" w:cs="Arial" w:eastAsia="Arial" w:hAnsi="Arial"/>
          <w:sz w:val="15"/>
          <w:szCs w:val="15"/>
          <w:color w:val="auto"/>
        </w:rPr>
        <w:t xml:space="preserve">Unlike alternative solutions designed solely for IT departments, Maven was built to be used by developers </w:t>
      </w:r>
      <w:r>
        <w:rPr>
          <w:rFonts w:ascii="Arial" w:cs="Arial" w:eastAsia="Arial" w:hAnsi="Arial"/>
          <w:sz w:val="15"/>
          <w:szCs w:val="15"/>
          <w:i w:val="1"/>
          <w:iCs w:val="1"/>
          <w:color w:val="auto"/>
        </w:rPr>
        <w:t>and</w:t>
      </w:r>
      <w:r>
        <w:rPr>
          <w:rFonts w:ascii="Arial" w:cs="Arial" w:eastAsia="Arial" w:hAnsi="Arial"/>
          <w:sz w:val="15"/>
          <w:szCs w:val="15"/>
          <w:color w:val="auto"/>
        </w:rPr>
        <w:t xml:space="preserve"> contact center agents. By putting the power of conversational design and bot management in the hands of contact center agents, Maven gives brands the ability to leverage the employees closest to the customer, those who are most versed in the voice of the brand, and with the most expertise in how to craft successful outcomes for customer service and sales journeys.</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Some of the key innovations behind Maven include:</w:t>
      </w:r>
    </w:p>
    <w:p>
      <w:pPr>
        <w:spacing w:after="0" w:line="110" w:lineRule="exact"/>
        <w:rPr>
          <w:sz w:val="20"/>
          <w:szCs w:val="20"/>
          <w:color w:val="auto"/>
        </w:rPr>
      </w:pPr>
    </w:p>
    <w:p>
      <w:pPr>
        <w:ind w:left="980" w:hanging="305"/>
        <w:spacing w:after="0" w:line="25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bot building software that is based on dialogue instead of workflow or code, so non-technical employees like contact center agents can design automations</w:t>
      </w:r>
    </w:p>
    <w:p>
      <w:pPr>
        <w:spacing w:after="0" w:line="1" w:lineRule="exact"/>
        <w:rPr>
          <w:rFonts w:ascii="Arial" w:cs="Arial" w:eastAsia="Arial" w:hAnsi="Arial"/>
          <w:sz w:val="17"/>
          <w:szCs w:val="17"/>
          <w:color w:val="auto"/>
        </w:rPr>
      </w:pPr>
    </w:p>
    <w:p>
      <w:pPr>
        <w:ind w:left="980" w:hanging="305"/>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to bootstrap conversations with existing transcripts, reducing design effort and speeding time to market</w:t>
      </w:r>
    </w:p>
    <w:p>
      <w:pPr>
        <w:spacing w:after="0" w:line="7" w:lineRule="exact"/>
        <w:rPr>
          <w:rFonts w:ascii="Arial" w:cs="Arial" w:eastAsia="Arial" w:hAnsi="Arial"/>
          <w:sz w:val="17"/>
          <w:szCs w:val="17"/>
          <w:color w:val="auto"/>
        </w:rPr>
      </w:pPr>
    </w:p>
    <w:p>
      <w:pPr>
        <w:ind w:left="980" w:hanging="305"/>
        <w:spacing w:after="0" w:line="249"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establishing of contact center agents as bot managers, ensuring that every conversation is safeguarded by a human and that agents are continuously training the AI to be smarter and drive more successful outcomes</w:t>
      </w:r>
    </w:p>
    <w:p>
      <w:pPr>
        <w:spacing w:after="0" w:line="1" w:lineRule="exact"/>
        <w:rPr>
          <w:rFonts w:ascii="Arial" w:cs="Arial" w:eastAsia="Arial" w:hAnsi="Arial"/>
          <w:sz w:val="17"/>
          <w:szCs w:val="17"/>
          <w:color w:val="auto"/>
        </w:rPr>
      </w:pPr>
    </w:p>
    <w:p>
      <w:pPr>
        <w:ind w:left="980" w:hanging="305"/>
        <w:spacing w:after="0" w:line="249"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powerful Assist technology that multiplies the efficiency of agents by analyzing intents in real time and then suggesting next best actions, predefined content, and bots that can take over transactional work</w:t>
      </w:r>
    </w:p>
    <w:p>
      <w:pPr>
        <w:spacing w:after="0" w:line="1" w:lineRule="exact"/>
        <w:rPr>
          <w:rFonts w:ascii="Arial" w:cs="Arial" w:eastAsia="Arial" w:hAnsi="Arial"/>
          <w:sz w:val="17"/>
          <w:szCs w:val="17"/>
          <w:color w:val="auto"/>
        </w:rPr>
      </w:pPr>
    </w:p>
    <w:p>
      <w:pPr>
        <w:ind w:left="980" w:hanging="305"/>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pre-built templates for target verticals that provide out of the box support for the top intents and back-end integrations</w:t>
      </w:r>
    </w:p>
    <w:p>
      <w:pPr>
        <w:spacing w:after="0" w:line="7" w:lineRule="exact"/>
        <w:rPr>
          <w:rFonts w:ascii="Arial" w:cs="Arial" w:eastAsia="Arial" w:hAnsi="Arial"/>
          <w:sz w:val="17"/>
          <w:szCs w:val="17"/>
          <w:color w:val="auto"/>
        </w:rPr>
      </w:pPr>
    </w:p>
    <w:p>
      <w:pPr>
        <w:ind w:left="980" w:hanging="305"/>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third-party AI NLU integration, so customers aren't boxed into one vendor</w:t>
      </w:r>
    </w:p>
    <w:p>
      <w:pPr>
        <w:spacing w:after="0" w:line="7" w:lineRule="exact"/>
        <w:rPr>
          <w:rFonts w:ascii="Arial" w:cs="Arial" w:eastAsia="Arial" w:hAnsi="Arial"/>
          <w:sz w:val="17"/>
          <w:szCs w:val="17"/>
          <w:color w:val="auto"/>
        </w:rPr>
      </w:pPr>
    </w:p>
    <w:p>
      <w:pPr>
        <w:ind w:left="980" w:hanging="305"/>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AI analytics and reporting tailored to Conversational Commerce</w:t>
      </w:r>
    </w:p>
    <w:p>
      <w:pPr>
        <w:spacing w:after="0" w:line="200" w:lineRule="exact"/>
        <w:rPr>
          <w:sz w:val="20"/>
          <w:szCs w:val="20"/>
          <w:color w:val="auto"/>
        </w:rPr>
      </w:pPr>
    </w:p>
    <w:p>
      <w:pPr>
        <w:jc w:val="both"/>
        <w:ind w:firstLine="254"/>
        <w:spacing w:after="0" w:line="261" w:lineRule="auto"/>
        <w:rPr>
          <w:sz w:val="20"/>
          <w:szCs w:val="20"/>
          <w:color w:val="auto"/>
        </w:rPr>
      </w:pPr>
      <w:r>
        <w:rPr>
          <w:rFonts w:ascii="Arial" w:cs="Arial" w:eastAsia="Arial" w:hAnsi="Arial"/>
          <w:sz w:val="17"/>
          <w:szCs w:val="17"/>
          <w:color w:val="auto"/>
        </w:rPr>
        <w:t>Our strategy is to continue to enhance the Maven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74"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5"/>
          <w:szCs w:val="15"/>
          <w:color w:val="auto"/>
        </w:rPr>
        <w:t>We believe that most online retailers view messaging and Conversational Commerce as a feature. They are content with building integrations to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messaging endpoint and offering messaging as just another product in their suite. LivePerson holds the perspective that Conversational Commerce requires an operational transformation that changes how brands engage with consumers across service, sales, marketing and brick and mortar. Brands must adapt their contact centers to an asynchronous messaging environment and leverage a combination of human agents, bots and AI to achieve scale and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59" w:right="239" w:bottom="1440" w:gutter="0" w:footer="0" w:header="0"/>
        </w:sectPr>
      </w:pPr>
    </w:p>
    <w:bookmarkStart w:id="34" w:name="page35"/>
    <w:bookmarkEnd w:id="34"/>
    <w:p>
      <w:pPr>
        <w:spacing w:after="0" w:line="273" w:lineRule="auto"/>
        <w:rPr>
          <w:sz w:val="20"/>
          <w:szCs w:val="20"/>
          <w:color w:val="auto"/>
        </w:rPr>
      </w:pPr>
      <w:r>
        <w:rPr>
          <w:rFonts w:ascii="Arial" w:cs="Arial" w:eastAsia="Arial" w:hAnsi="Arial"/>
          <w:sz w:val="17"/>
          <w:szCs w:val="17"/>
          <w:color w:val="auto"/>
        </w:rPr>
        <w:t>efficiencies. When done right, the entire consumer lifecycle with a brand will be maintained within the Conversational Commerce relationship, and traffic will steadily shift away from lower returning voice calls, websites and apps to higher returning messaging endpoints.</w:t>
      </w:r>
    </w:p>
    <w:p>
      <w:pPr>
        <w:spacing w:after="0" w:line="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believe that LivePerson is uniquely positioned to deliver this transformation due to its technology and expertise:</w:t>
      </w:r>
    </w:p>
    <w:p>
      <w:pPr>
        <w:spacing w:after="0" w:line="110" w:lineRule="exact"/>
        <w:rPr>
          <w:sz w:val="20"/>
          <w:szCs w:val="20"/>
          <w:color w:val="auto"/>
        </w:rPr>
      </w:pPr>
    </w:p>
    <w:p>
      <w:pPr>
        <w:jc w:val="both"/>
        <w:ind w:left="980" w:hanging="305"/>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Conversational Commerce,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natural language understanding (NLU) providers.</w:t>
      </w:r>
    </w:p>
    <w:p>
      <w:pPr>
        <w:spacing w:after="0" w:line="64" w:lineRule="exact"/>
        <w:rPr>
          <w:rFonts w:ascii="Arial" w:cs="Arial" w:eastAsia="Arial" w:hAnsi="Arial"/>
          <w:sz w:val="16"/>
          <w:szCs w:val="16"/>
          <w:color w:val="auto"/>
        </w:rPr>
      </w:pPr>
    </w:p>
    <w:p>
      <w:pPr>
        <w:jc w:val="both"/>
        <w:ind w:left="980" w:hanging="305"/>
        <w:spacing w:after="0" w:line="276" w:lineRule="auto"/>
        <w:tabs>
          <w:tab w:leader="none" w:pos="9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Conversational Commerce, publishing a proprietary Conversational Quotient</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Index that measures each customer across multiple key indicators to ascertain their level of conversational maturity. Each business is then benchmarked against industry peers to determine their relative progression.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67"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6"/>
          <w:szCs w:val="16"/>
          <w:color w:val="auto"/>
        </w:rPr>
        <w:t>We believe that LivePerson’s differentiated approach to the Conversational Commerce industry, combined with our unique technology and expertise has established us as a market leader, with an ability to deliver superior returns on investment. LivePerson customers typically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66" w:lineRule="exact"/>
        <w:rPr>
          <w:sz w:val="20"/>
          <w:szCs w:val="20"/>
          <w:color w:val="auto"/>
        </w:rPr>
      </w:pPr>
    </w:p>
    <w:p>
      <w:pPr>
        <w:jc w:val="both"/>
        <w:ind w:firstLine="208"/>
        <w:spacing w:after="0" w:line="255" w:lineRule="auto"/>
        <w:rPr>
          <w:sz w:val="20"/>
          <w:szCs w:val="20"/>
          <w:color w:val="auto"/>
        </w:rPr>
      </w:pPr>
      <w:r>
        <w:rPr>
          <w:rFonts w:ascii="Arial" w:cs="Arial" w:eastAsia="Arial" w:hAnsi="Arial"/>
          <w:sz w:val="17"/>
          <w:szCs w:val="17"/>
          <w:b w:val="1"/>
          <w:bCs w:val="1"/>
          <w:i w:val="1"/>
          <w:iCs w:val="1"/>
          <w:color w:val="auto"/>
        </w:rPr>
        <w:t xml:space="preserve">Strengthen our position in both existing and new industries. </w:t>
      </w:r>
      <w:r>
        <w:rPr>
          <w:rFonts w:ascii="Arial" w:cs="Arial" w:eastAsia="Arial" w:hAnsi="Arial"/>
          <w:sz w:val="17"/>
          <w:szCs w:val="17"/>
          <w:color w:val="auto"/>
        </w:rPr>
        <w:t>We plan to continue to develop its market position by increasing our customer base, and expanding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within our installed base. We will continue to focus primarily on key target markets: consumer/retail, telecommunications, financial services, travel/hospitality, technology and automotive within both our enterprise and mid-market sectors, as well as the small business (SMB) sector. Healthcare, insurance, real estate and energy utilities are new target industries and natural extensions of our primary target markets. We are increasingly structuring our field organization to emphasize our domain expertise and strengthen customer relationships.</w:t>
      </w:r>
    </w:p>
    <w:p>
      <w:pPr>
        <w:spacing w:after="0" w:line="80" w:lineRule="exact"/>
        <w:rPr>
          <w:sz w:val="20"/>
          <w:szCs w:val="20"/>
          <w:color w:val="auto"/>
        </w:rPr>
      </w:pPr>
    </w:p>
    <w:p>
      <w:pPr>
        <w:jc w:val="both"/>
        <w:ind w:firstLine="610"/>
        <w:spacing w:after="0" w:line="312" w:lineRule="auto"/>
        <w:rPr>
          <w:sz w:val="20"/>
          <w:szCs w:val="20"/>
          <w:color w:val="auto"/>
        </w:rPr>
      </w:pPr>
      <w:r>
        <w:rPr>
          <w:rFonts w:ascii="Arial" w:cs="Arial" w:eastAsia="Arial" w:hAnsi="Arial"/>
          <w:sz w:val="15"/>
          <w:szCs w:val="15"/>
          <w:b w:val="1"/>
          <w:bCs w:val="1"/>
          <w:i w:val="1"/>
          <w:iCs w:val="1"/>
          <w:color w:val="auto"/>
        </w:rPr>
        <w:t xml:space="preserve">Continue to build our international presence. </w:t>
      </w:r>
      <w:r>
        <w:rPr>
          <w:rFonts w:ascii="Arial" w:cs="Arial" w:eastAsia="Arial" w:hAnsi="Arial"/>
          <w:sz w:val="15"/>
          <w:szCs w:val="15"/>
          <w:color w:val="auto"/>
        </w:rPr>
        <w:t>We are focused on expanding our international revenue contribution, which increased to 41% of total revenue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2018, from 37% in 2017 and 34% in 2016. We generated positive results from previous investments in direct sales and services personnel in the United Kingdom and Western Europe. We also continued to focus on expanding our presence in the Asia Pacific region, leveraging our relationships with partners.</w:t>
      </w:r>
    </w:p>
    <w:p>
      <w:pPr>
        <w:spacing w:after="0" w:line="39" w:lineRule="exact"/>
        <w:rPr>
          <w:sz w:val="20"/>
          <w:szCs w:val="20"/>
          <w:color w:val="auto"/>
        </w:rPr>
      </w:pPr>
    </w:p>
    <w:p>
      <w:pPr>
        <w:jc w:val="both"/>
        <w:ind w:firstLine="237"/>
        <w:spacing w:after="0" w:line="254" w:lineRule="auto"/>
        <w:rPr>
          <w:sz w:val="20"/>
          <w:szCs w:val="20"/>
          <w:color w:val="auto"/>
        </w:rPr>
      </w:pPr>
      <w:r>
        <w:rPr>
          <w:rFonts w:ascii="Arial" w:cs="Arial" w:eastAsia="Arial" w:hAnsi="Arial"/>
          <w:sz w:val="17"/>
          <w:szCs w:val="17"/>
          <w:b w:val="1"/>
          <w:bCs w:val="1"/>
          <w:i w:val="1"/>
          <w:iCs w:val="1"/>
          <w:color w:val="auto"/>
        </w:rPr>
        <w:t xml:space="preserve">Leverage our open architecture to support partners and developers. </w:t>
      </w:r>
      <w:r>
        <w:rPr>
          <w:rFonts w:ascii="Arial" w:cs="Arial" w:eastAsia="Arial" w:hAnsi="Arial"/>
          <w:sz w:val="17"/>
          <w:szCs w:val="17"/>
          <w:color w:val="auto"/>
        </w:rPr>
        <w:t>In addition to developing our own applications, we continue to cultivate a partner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capable of offering additional applications and services to our customers. We integrate into nearly a dozen third-party messaging endpoints including SMS, Facebook Messenger, Apple Business Chat, Google Rich Business Messenger, Line, WhatsApp, Alexa, Google Home, Google Ad Lingo and Twitter, multiple IVR vendors and dozens of branded apps. Our offering is AI vendor agnostic,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80" w:lineRule="exact"/>
        <w:rPr>
          <w:sz w:val="20"/>
          <w:szCs w:val="20"/>
          <w:color w:val="auto"/>
        </w:rPr>
      </w:pPr>
    </w:p>
    <w:p>
      <w:pPr>
        <w:jc w:val="both"/>
        <w:ind w:firstLine="610"/>
        <w:spacing w:after="0" w:line="312" w:lineRule="auto"/>
        <w:rPr>
          <w:sz w:val="20"/>
          <w:szCs w:val="20"/>
          <w:color w:val="auto"/>
        </w:rPr>
      </w:pPr>
      <w:r>
        <w:rPr>
          <w:rFonts w:ascii="Arial" w:cs="Arial" w:eastAsia="Arial" w:hAnsi="Arial"/>
          <w:sz w:val="15"/>
          <w:szCs w:val="15"/>
          <w:color w:val="auto"/>
        </w:rPr>
        <w:t>In addition, we have opened up access to our platform and our products with more than three dozen APIs that allow customers and third parties to develop on top of our platform. Customers and partners can utilize these APIs to build our capabilities into their own applications and to enhance our applications with their services. In 2019, we expect to increase our marketing efforts to developers, raising awareness for how they can build programs and services on top of our platform.</w:t>
      </w:r>
    </w:p>
    <w:p>
      <w:pPr>
        <w:spacing w:after="0" w:line="39"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its market reach and accelerating sales cycles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partnering with systems integrators, technology providers, business process outsourcers, value added resellers and other sales partners. We formalized a relationship with IBM Global Business Services in 2017 and Accenture in 2018. We increased the number of partners focused on SMBs by more than 300% in 2018, to over 150 at year end from 40 at the start of the year. These efforts are increasingly yielding positive results for us, as nearly one-third of annual contract value signed in 2018 was directly influenced by partners. We expect to increase investment in our partner channels in 2019.</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59" w:right="239" w:bottom="1440" w:gutter="0" w:footer="0" w:header="0"/>
        </w:sectPr>
      </w:pPr>
    </w:p>
    <w:bookmarkStart w:id="35" w:name="page36"/>
    <w:bookmarkEnd w:id="35"/>
    <w:p>
      <w:pPr>
        <w:jc w:val="both"/>
        <w:ind w:firstLine="517"/>
        <w:spacing w:after="0" w:line="275"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 products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64" w:lineRule="exact"/>
        <w:rPr>
          <w:sz w:val="20"/>
          <w:szCs w:val="20"/>
          <w:color w:val="auto"/>
        </w:rPr>
      </w:pPr>
    </w:p>
    <w:p>
      <w:pPr>
        <w:jc w:val="both"/>
        <w:ind w:firstLine="479"/>
        <w:spacing w:after="0" w:line="312" w:lineRule="auto"/>
        <w:rPr>
          <w:sz w:val="20"/>
          <w:szCs w:val="20"/>
          <w:color w:val="auto"/>
        </w:rPr>
      </w:pPr>
      <w:r>
        <w:rPr>
          <w:rFonts w:ascii="Arial" w:cs="Arial" w:eastAsia="Arial" w:hAnsi="Arial"/>
          <w:sz w:val="15"/>
          <w:szCs w:val="15"/>
          <w:b w:val="1"/>
          <w:bCs w:val="1"/>
          <w:i w:val="1"/>
          <w:iCs w:val="1"/>
          <w:color w:val="auto"/>
        </w:rPr>
        <w:t xml:space="preserve">Evaluate Strategic Alliances and Acquisitions When Appropriate. </w:t>
      </w:r>
      <w:r>
        <w:rPr>
          <w:rFonts w:ascii="Arial" w:cs="Arial" w:eastAsia="Arial" w:hAnsi="Arial"/>
          <w:sz w:val="15"/>
          <w:szCs w:val="15"/>
          <w:color w:val="auto"/>
        </w:rPr>
        <w:t>We have successfully integrated several acquisitions over the past decade. While we have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5"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Key Metrics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Financial overview of the three months ended September 30, 2019 compared to the three months ended September 30, 2018:</w:t>
      </w:r>
    </w:p>
    <w:p>
      <w:pPr>
        <w:spacing w:after="0" w:line="110" w:lineRule="exact"/>
        <w:rPr>
          <w:sz w:val="20"/>
          <w:szCs w:val="20"/>
          <w:color w:val="auto"/>
        </w:rPr>
      </w:pPr>
    </w:p>
    <w:p>
      <w:pPr>
        <w:ind w:left="1060" w:hanging="29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revenue increased 17% to $75.2 million from $64.2 million</w:t>
      </w:r>
    </w:p>
    <w:p>
      <w:pPr>
        <w:spacing w:after="0" w:line="58" w:lineRule="exact"/>
        <w:rPr>
          <w:rFonts w:ascii="Arial" w:cs="Arial" w:eastAsia="Arial" w:hAnsi="Arial"/>
          <w:sz w:val="17"/>
          <w:szCs w:val="17"/>
          <w:color w:val="auto"/>
        </w:rPr>
      </w:pPr>
    </w:p>
    <w:p>
      <w:pPr>
        <w:ind w:left="1060" w:hanging="29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from our Business segment increased 15% to $68.5 million from $59.3 million.</w:t>
      </w:r>
    </w:p>
    <w:p>
      <w:pPr>
        <w:spacing w:after="0" w:line="58" w:lineRule="exact"/>
        <w:rPr>
          <w:rFonts w:ascii="Arial" w:cs="Arial" w:eastAsia="Arial" w:hAnsi="Arial"/>
          <w:sz w:val="17"/>
          <w:szCs w:val="17"/>
          <w:color w:val="auto"/>
        </w:rPr>
      </w:pPr>
    </w:p>
    <w:p>
      <w:pPr>
        <w:ind w:left="1060" w:hanging="29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Gross profit margin decreased to 73% from 76%.</w:t>
      </w:r>
    </w:p>
    <w:p>
      <w:pPr>
        <w:spacing w:after="0" w:line="58" w:lineRule="exact"/>
        <w:rPr>
          <w:rFonts w:ascii="Arial" w:cs="Arial" w:eastAsia="Arial" w:hAnsi="Arial"/>
          <w:sz w:val="17"/>
          <w:szCs w:val="17"/>
          <w:color w:val="auto"/>
        </w:rPr>
      </w:pPr>
    </w:p>
    <w:p>
      <w:pPr>
        <w:ind w:left="1060" w:hanging="29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 and expenses increased 42% to $98.3 million from $69.0 million.</w:t>
      </w:r>
    </w:p>
    <w:p>
      <w:pPr>
        <w:spacing w:after="0" w:line="58" w:lineRule="exact"/>
        <w:rPr>
          <w:rFonts w:ascii="Arial" w:cs="Arial" w:eastAsia="Arial" w:hAnsi="Arial"/>
          <w:sz w:val="17"/>
          <w:szCs w:val="17"/>
          <w:color w:val="auto"/>
        </w:rPr>
      </w:pPr>
    </w:p>
    <w:p>
      <w:pPr>
        <w:ind w:left="1060" w:hanging="29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loss increased to $25.9 million from $7.0 million.</w:t>
      </w:r>
    </w:p>
    <w:p>
      <w:pPr>
        <w:spacing w:after="0" w:line="58" w:lineRule="exact"/>
        <w:rPr>
          <w:rFonts w:ascii="Arial" w:cs="Arial" w:eastAsia="Arial" w:hAnsi="Arial"/>
          <w:sz w:val="17"/>
          <w:szCs w:val="17"/>
          <w:color w:val="auto"/>
        </w:rPr>
      </w:pPr>
    </w:p>
    <w:p>
      <w:pPr>
        <w:ind w:left="1060" w:hanging="296"/>
        <w:spacing w:after="0" w:line="273"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Average annual revenue per enterprise and mid-market customer increased approximately 21% to $330,000 for the trailing-twelve-months ended September 30, 2019, as compared to $270,000 for the trailing-twelve-months ended September 30, 2018.</w:t>
      </w:r>
    </w:p>
    <w:p>
      <w:pPr>
        <w:spacing w:after="0" w:line="12" w:lineRule="exact"/>
        <w:rPr>
          <w:rFonts w:ascii="Arial" w:cs="Arial" w:eastAsia="Arial" w:hAnsi="Arial"/>
          <w:sz w:val="17"/>
          <w:szCs w:val="17"/>
          <w:color w:val="auto"/>
        </w:rPr>
      </w:pPr>
    </w:p>
    <w:p>
      <w:pPr>
        <w:jc w:val="both"/>
        <w:ind w:left="1060" w:hanging="296"/>
        <w:spacing w:after="0" w:line="261"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2019, we have raised our target for enterprise and mid-market revenue retention to a range of 105% to 115%, as compared to greater than 100% in 2018. LivePerson’s third quarter retention rate met our target. Revenue retention rate measures the percentage of revenue retained at quarter end, from full service customers that were on LiveEngage at the same period a year ago.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Adjusted EBITDA and Adjusted Operating Income</w:t>
      </w:r>
    </w:p>
    <w:p>
      <w:pPr>
        <w:spacing w:after="0" w:line="215" w:lineRule="exact"/>
        <w:rPr>
          <w:sz w:val="20"/>
          <w:szCs w:val="20"/>
          <w:color w:val="auto"/>
        </w:rPr>
      </w:pPr>
    </w:p>
    <w:p>
      <w:pPr>
        <w:ind w:right="40" w:firstLine="737"/>
        <w:spacing w:after="0" w:line="261"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176" w:lineRule="exact"/>
        <w:rPr>
          <w:sz w:val="20"/>
          <w:szCs w:val="20"/>
          <w:color w:val="auto"/>
        </w:rPr>
      </w:pPr>
    </w:p>
    <w:p>
      <w:pPr>
        <w:ind w:right="100" w:firstLine="610"/>
        <w:spacing w:after="0" w:line="251" w:lineRule="auto"/>
        <w:rPr>
          <w:sz w:val="20"/>
          <w:szCs w:val="20"/>
          <w:color w:val="auto"/>
        </w:rPr>
      </w:pPr>
      <w:r>
        <w:rPr>
          <w:rFonts w:ascii="Arial" w:cs="Arial" w:eastAsia="Arial" w:hAnsi="Arial"/>
          <w:sz w:val="17"/>
          <w:szCs w:val="17"/>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4" w:lineRule="exact"/>
        <w:rPr>
          <w:sz w:val="20"/>
          <w:szCs w:val="20"/>
          <w:color w:val="auto"/>
        </w:rPr>
      </w:pPr>
    </w:p>
    <w:p>
      <w:pPr>
        <w:ind w:right="280" w:firstLine="678"/>
        <w:spacing w:after="0" w:line="249" w:lineRule="auto"/>
        <w:rPr>
          <w:sz w:val="20"/>
          <w:szCs w:val="20"/>
          <w:color w:val="auto"/>
        </w:rPr>
      </w:pPr>
      <w:r>
        <w:rPr>
          <w:rFonts w:ascii="Arial" w:cs="Arial" w:eastAsia="Arial" w:hAnsi="Arial"/>
          <w:sz w:val="17"/>
          <w:szCs w:val="17"/>
          <w:color w:val="auto"/>
        </w:rPr>
        <w:t>Our use of adjusted EBITDA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ind w:left="1060" w:hanging="296"/>
        <w:spacing w:after="0" w:line="265"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ind w:left="1060" w:hanging="29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our working capital needs;</w:t>
      </w:r>
    </w:p>
    <w:p>
      <w:pPr>
        <w:spacing w:after="0" w:line="7" w:lineRule="exact"/>
        <w:rPr>
          <w:rFonts w:ascii="Arial" w:cs="Arial" w:eastAsia="Arial" w:hAnsi="Arial"/>
          <w:sz w:val="17"/>
          <w:szCs w:val="17"/>
          <w:color w:val="auto"/>
        </w:rPr>
      </w:pPr>
    </w:p>
    <w:p>
      <w:pPr>
        <w:ind w:left="1060" w:hanging="29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consider the impact of acquisition costs;</w:t>
      </w:r>
    </w:p>
    <w:p>
      <w:pPr>
        <w:spacing w:after="0" w:line="7" w:lineRule="exact"/>
        <w:rPr>
          <w:rFonts w:ascii="Arial" w:cs="Arial" w:eastAsia="Arial" w:hAnsi="Arial"/>
          <w:sz w:val="17"/>
          <w:szCs w:val="17"/>
          <w:color w:val="auto"/>
        </w:rPr>
      </w:pPr>
    </w:p>
    <w:p>
      <w:pPr>
        <w:ind w:left="1060" w:hanging="29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consider the impact of restructuring costs;</w:t>
      </w:r>
    </w:p>
    <w:p>
      <w:pPr>
        <w:spacing w:after="0" w:line="7" w:lineRule="exact"/>
        <w:rPr>
          <w:rFonts w:ascii="Arial" w:cs="Arial" w:eastAsia="Arial" w:hAnsi="Arial"/>
          <w:sz w:val="17"/>
          <w:szCs w:val="17"/>
          <w:color w:val="auto"/>
        </w:rPr>
      </w:pPr>
    </w:p>
    <w:p>
      <w:pPr>
        <w:ind w:left="1060" w:hanging="29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consider the impact of other costs;</w:t>
      </w:r>
    </w:p>
    <w:p>
      <w:pPr>
        <w:spacing w:after="0" w:line="7" w:lineRule="exact"/>
        <w:rPr>
          <w:rFonts w:ascii="Arial" w:cs="Arial" w:eastAsia="Arial" w:hAnsi="Arial"/>
          <w:sz w:val="17"/>
          <w:szCs w:val="17"/>
          <w:color w:val="auto"/>
        </w:rPr>
      </w:pPr>
    </w:p>
    <w:p>
      <w:pPr>
        <w:ind w:left="1060" w:hanging="29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adjusted EBITDA does not reflect tax payments that may represent a reduction in cash available to us; and</w:t>
      </w:r>
    </w:p>
    <w:p>
      <w:pPr>
        <w:spacing w:after="0" w:line="7" w:lineRule="exact"/>
        <w:rPr>
          <w:rFonts w:ascii="Arial" w:cs="Arial" w:eastAsia="Arial" w:hAnsi="Arial"/>
          <w:sz w:val="17"/>
          <w:szCs w:val="17"/>
          <w:color w:val="auto"/>
        </w:rPr>
      </w:pPr>
    </w:p>
    <w:p>
      <w:pPr>
        <w:ind w:left="1060" w:hanging="296"/>
        <w:spacing w:after="0" w:line="259"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adjusted EBITDA differently, which reduces its usefulness as a comparative measure.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59"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0"/>
        </w:trPr>
        <w:tc>
          <w:tcPr>
            <w:tcW w:w="5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0"/>
              </w:rPr>
              <w:t>Three Months Ended September 30,</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1"/>
              </w:rPr>
              <w:t>Nine Months Ended September 30,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Reconciliation of Adjusted EBITDA</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500" w:type="dxa"/>
            <w:vAlign w:val="bottom"/>
            <w:shd w:val="clear" w:color="auto" w:fill="CCFFCC"/>
          </w:tcPr>
          <w:p>
            <w:pPr>
              <w:ind w:left="20"/>
              <w:spacing w:after="0"/>
              <w:rPr>
                <w:sz w:val="20"/>
                <w:szCs w:val="20"/>
                <w:color w:val="auto"/>
              </w:rPr>
            </w:pPr>
            <w:r>
              <w:rPr>
                <w:rFonts w:ascii="Arial" w:cs="Arial" w:eastAsia="Arial" w:hAnsi="Arial"/>
                <w:sz w:val="14"/>
                <w:szCs w:val="14"/>
                <w:color w:val="auto"/>
              </w:rPr>
              <w:t>GAAP net loss</w:t>
            </w:r>
          </w:p>
        </w:tc>
        <w:tc>
          <w:tcPr>
            <w:tcW w:w="18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FFCC"/>
          </w:tcPr>
          <w:p>
            <w:pPr>
              <w:jc w:val="right"/>
              <w:ind w:right="13"/>
              <w:spacing w:after="0"/>
              <w:rPr>
                <w:sz w:val="20"/>
                <w:szCs w:val="20"/>
                <w:color w:val="auto"/>
              </w:rPr>
            </w:pPr>
            <w:r>
              <w:rPr>
                <w:rFonts w:ascii="Arial" w:cs="Arial" w:eastAsia="Arial" w:hAnsi="Arial"/>
                <w:sz w:val="14"/>
                <w:szCs w:val="14"/>
                <w:color w:val="auto"/>
              </w:rPr>
              <w:t>(25,872)</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(7,043)</w:t>
            </w: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(68,749)</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ind w:right="13"/>
              <w:spacing w:after="0"/>
              <w:rPr>
                <w:sz w:val="20"/>
                <w:szCs w:val="20"/>
                <w:color w:val="auto"/>
              </w:rPr>
            </w:pPr>
            <w:r>
              <w:rPr>
                <w:rFonts w:ascii="Arial" w:cs="Arial" w:eastAsia="Arial" w:hAnsi="Arial"/>
                <w:sz w:val="14"/>
                <w:szCs w:val="14"/>
                <w:color w:val="auto"/>
              </w:rPr>
              <w:t>(18,567)</w:t>
            </w:r>
          </w:p>
        </w:tc>
        <w:tc>
          <w:tcPr>
            <w:tcW w:w="32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500" w:type="dxa"/>
            <w:vAlign w:val="bottom"/>
          </w:tcPr>
          <w:p>
            <w:pPr>
              <w:ind w:left="260"/>
              <w:spacing w:after="0"/>
              <w:rPr>
                <w:sz w:val="20"/>
                <w:szCs w:val="20"/>
                <w:color w:val="auto"/>
              </w:rPr>
            </w:pPr>
            <w:r>
              <w:rPr>
                <w:rFonts w:ascii="Arial" w:cs="Arial" w:eastAsia="Arial" w:hAnsi="Arial"/>
                <w:sz w:val="14"/>
                <w:szCs w:val="14"/>
                <w:color w:val="auto"/>
              </w:rPr>
              <w:t>Amortization of purchased intangibles</w:t>
            </w:r>
          </w:p>
        </w:tc>
        <w:tc>
          <w:tcPr>
            <w:tcW w:w="18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732</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709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2,200</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2,131</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500" w:type="dxa"/>
            <w:vAlign w:val="bottom"/>
            <w:shd w:val="clear" w:color="auto" w:fill="CCFFCC"/>
          </w:tcPr>
          <w:p>
            <w:pPr>
              <w:ind w:left="26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FFCC"/>
          </w:tcPr>
          <w:p>
            <w:pPr>
              <w:spacing w:after="0"/>
              <w:rPr>
                <w:sz w:val="22"/>
                <w:szCs w:val="22"/>
                <w:color w:val="auto"/>
              </w:rPr>
            </w:pPr>
          </w:p>
        </w:tc>
        <w:tc>
          <w:tcPr>
            <w:tcW w:w="96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9,068</w:t>
            </w:r>
          </w:p>
        </w:tc>
        <w:tc>
          <w:tcPr>
            <w:tcW w:w="34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4,074</w:t>
            </w:r>
          </w:p>
        </w:tc>
        <w:tc>
          <w:tcPr>
            <w:tcW w:w="3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920" w:type="dxa"/>
            <w:vAlign w:val="bottom"/>
            <w:shd w:val="clear" w:color="auto" w:fill="CCFFCC"/>
          </w:tcPr>
          <w:p>
            <w:pPr>
              <w:jc w:val="right"/>
              <w:ind w:right="33"/>
              <w:spacing w:after="0"/>
              <w:rPr>
                <w:sz w:val="20"/>
                <w:szCs w:val="20"/>
                <w:color w:val="auto"/>
              </w:rPr>
            </w:pPr>
            <w:r>
              <w:rPr>
                <w:rFonts w:ascii="Arial" w:cs="Arial" w:eastAsia="Arial" w:hAnsi="Arial"/>
                <w:sz w:val="14"/>
                <w:szCs w:val="14"/>
                <w:color w:val="auto"/>
              </w:rPr>
              <w:t>25,539</w:t>
            </w:r>
          </w:p>
        </w:tc>
        <w:tc>
          <w:tcPr>
            <w:tcW w:w="36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10,338</w:t>
            </w:r>
          </w:p>
        </w:tc>
        <w:tc>
          <w:tcPr>
            <w:tcW w:w="32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50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8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4,157</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3,557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11,805</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10,343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5500" w:type="dxa"/>
            <w:vAlign w:val="bottom"/>
            <w:shd w:val="clear" w:color="auto" w:fill="CCFFCC"/>
          </w:tcPr>
          <w:p>
            <w:pPr>
              <w:ind w:left="260"/>
              <w:spacing w:after="0" w:line="120" w:lineRule="exact"/>
              <w:rPr>
                <w:sz w:val="20"/>
                <w:szCs w:val="20"/>
                <w:color w:val="auto"/>
              </w:rPr>
            </w:pPr>
            <w:r>
              <w:rPr>
                <w:rFonts w:ascii="Arial" w:cs="Arial" w:eastAsia="Arial" w:hAnsi="Arial"/>
                <w:sz w:val="12"/>
                <w:szCs w:val="12"/>
                <w:color w:val="auto"/>
              </w:rPr>
              <w:t>Other litigation and consulting costs</w:t>
            </w:r>
          </w:p>
        </w:tc>
        <w:tc>
          <w:tcPr>
            <w:tcW w:w="180" w:type="dxa"/>
            <w:vAlign w:val="bottom"/>
            <w:shd w:val="clear" w:color="auto" w:fill="CCFFCC"/>
          </w:tcPr>
          <w:p>
            <w:pPr>
              <w:spacing w:after="0"/>
              <w:rPr>
                <w:sz w:val="10"/>
                <w:szCs w:val="10"/>
                <w:color w:val="auto"/>
              </w:rPr>
            </w:pPr>
          </w:p>
        </w:tc>
        <w:tc>
          <w:tcPr>
            <w:tcW w:w="960" w:type="dxa"/>
            <w:vAlign w:val="bottom"/>
            <w:shd w:val="clear" w:color="auto" w:fill="CCFFCC"/>
          </w:tcPr>
          <w:p>
            <w:pPr>
              <w:jc w:val="right"/>
              <w:ind w:right="53"/>
              <w:spacing w:after="0" w:line="120" w:lineRule="exact"/>
              <w:rPr>
                <w:sz w:val="20"/>
                <w:szCs w:val="20"/>
                <w:color w:val="auto"/>
              </w:rPr>
            </w:pPr>
            <w:r>
              <w:rPr>
                <w:rFonts w:ascii="Arial" w:cs="Arial" w:eastAsia="Arial" w:hAnsi="Arial"/>
                <w:sz w:val="12"/>
                <w:szCs w:val="12"/>
                <w:color w:val="auto"/>
              </w:rPr>
              <w:t>1,464</w:t>
            </w:r>
          </w:p>
        </w:tc>
        <w:tc>
          <w:tcPr>
            <w:tcW w:w="340" w:type="dxa"/>
            <w:vAlign w:val="bottom"/>
            <w:vMerge w:val="restart"/>
            <w:shd w:val="clear" w:color="auto" w:fill="CCFFCC"/>
          </w:tcPr>
          <w:p>
            <w:pPr>
              <w:jc w:val="right"/>
              <w:ind w:right="165"/>
              <w:spacing w:after="0"/>
              <w:rPr>
                <w:sz w:val="20"/>
                <w:szCs w:val="20"/>
                <w:color w:val="auto"/>
              </w:rPr>
            </w:pPr>
            <w:r>
              <w:rPr>
                <w:rFonts w:ascii="Arial" w:cs="Arial" w:eastAsia="Arial" w:hAnsi="Arial"/>
                <w:sz w:val="8"/>
                <w:szCs w:val="8"/>
                <w:color w:val="auto"/>
              </w:rPr>
              <w:t>(1)</w:t>
            </w:r>
          </w:p>
        </w:tc>
        <w:tc>
          <w:tcPr>
            <w:tcW w:w="260" w:type="dxa"/>
            <w:vAlign w:val="bottom"/>
            <w:shd w:val="clear" w:color="auto" w:fill="CCFFCC"/>
          </w:tcPr>
          <w:p>
            <w:pPr>
              <w:spacing w:after="0"/>
              <w:rPr>
                <w:sz w:val="10"/>
                <w:szCs w:val="10"/>
                <w:color w:val="auto"/>
              </w:rPr>
            </w:pPr>
          </w:p>
        </w:tc>
        <w:tc>
          <w:tcPr>
            <w:tcW w:w="880" w:type="dxa"/>
            <w:vAlign w:val="bottom"/>
            <w:shd w:val="clear" w:color="auto" w:fill="CCFFCC"/>
          </w:tcPr>
          <w:p>
            <w:pPr>
              <w:jc w:val="right"/>
              <w:ind w:right="53"/>
              <w:spacing w:after="0" w:line="120" w:lineRule="exact"/>
              <w:rPr>
                <w:sz w:val="20"/>
                <w:szCs w:val="20"/>
                <w:color w:val="auto"/>
              </w:rPr>
            </w:pPr>
            <w:r>
              <w:rPr>
                <w:rFonts w:ascii="Arial" w:cs="Arial" w:eastAsia="Arial" w:hAnsi="Arial"/>
                <w:sz w:val="12"/>
                <w:szCs w:val="12"/>
                <w:color w:val="auto"/>
              </w:rPr>
              <w:t>1,608</w:t>
            </w:r>
          </w:p>
        </w:tc>
        <w:tc>
          <w:tcPr>
            <w:tcW w:w="340" w:type="dxa"/>
            <w:vAlign w:val="bottom"/>
            <w:vMerge w:val="restart"/>
            <w:shd w:val="clear" w:color="auto" w:fill="CCFFCC"/>
          </w:tcPr>
          <w:p>
            <w:pPr>
              <w:jc w:val="right"/>
              <w:ind w:right="165"/>
              <w:spacing w:after="0"/>
              <w:rPr>
                <w:sz w:val="20"/>
                <w:szCs w:val="20"/>
                <w:color w:val="auto"/>
              </w:rPr>
            </w:pPr>
            <w:r>
              <w:rPr>
                <w:rFonts w:ascii="Arial" w:cs="Arial" w:eastAsia="Arial" w:hAnsi="Arial"/>
                <w:sz w:val="8"/>
                <w:szCs w:val="8"/>
                <w:color w:val="auto"/>
              </w:rPr>
              <w:t>(1)</w:t>
            </w: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jc w:val="right"/>
              <w:ind w:right="33"/>
              <w:spacing w:after="0" w:line="120" w:lineRule="exact"/>
              <w:rPr>
                <w:sz w:val="20"/>
                <w:szCs w:val="20"/>
                <w:color w:val="auto"/>
              </w:rPr>
            </w:pPr>
            <w:r>
              <w:rPr>
                <w:rFonts w:ascii="Arial" w:cs="Arial" w:eastAsia="Arial" w:hAnsi="Arial"/>
                <w:sz w:val="12"/>
                <w:szCs w:val="12"/>
                <w:color w:val="auto"/>
              </w:rPr>
              <w:t>6,256</w:t>
            </w:r>
          </w:p>
        </w:tc>
        <w:tc>
          <w:tcPr>
            <w:tcW w:w="360" w:type="dxa"/>
            <w:vAlign w:val="bottom"/>
            <w:vMerge w:val="restart"/>
            <w:shd w:val="clear" w:color="auto" w:fill="CCFFCC"/>
          </w:tcPr>
          <w:p>
            <w:pPr>
              <w:jc w:val="right"/>
              <w:ind w:right="165"/>
              <w:spacing w:after="0"/>
              <w:rPr>
                <w:sz w:val="20"/>
                <w:szCs w:val="20"/>
                <w:color w:val="auto"/>
              </w:rPr>
            </w:pPr>
            <w:r>
              <w:rPr>
                <w:rFonts w:ascii="Arial" w:cs="Arial" w:eastAsia="Arial" w:hAnsi="Arial"/>
                <w:sz w:val="8"/>
                <w:szCs w:val="8"/>
                <w:color w:val="auto"/>
              </w:rPr>
              <w:t>(3)</w:t>
            </w:r>
          </w:p>
        </w:tc>
        <w:tc>
          <w:tcPr>
            <w:tcW w:w="260" w:type="dxa"/>
            <w:vAlign w:val="bottom"/>
            <w:shd w:val="clear" w:color="auto" w:fill="CCFFCC"/>
          </w:tcPr>
          <w:p>
            <w:pPr>
              <w:spacing w:after="0"/>
              <w:rPr>
                <w:sz w:val="10"/>
                <w:szCs w:val="10"/>
                <w:color w:val="auto"/>
              </w:rPr>
            </w:pPr>
          </w:p>
        </w:tc>
        <w:tc>
          <w:tcPr>
            <w:tcW w:w="880" w:type="dxa"/>
            <w:vAlign w:val="bottom"/>
            <w:shd w:val="clear" w:color="auto" w:fill="CCFFCC"/>
          </w:tcPr>
          <w:p>
            <w:pPr>
              <w:jc w:val="right"/>
              <w:ind w:right="53"/>
              <w:spacing w:after="0" w:line="120" w:lineRule="exact"/>
              <w:rPr>
                <w:sz w:val="20"/>
                <w:szCs w:val="20"/>
                <w:color w:val="auto"/>
              </w:rPr>
            </w:pPr>
            <w:r>
              <w:rPr>
                <w:rFonts w:ascii="Arial" w:cs="Arial" w:eastAsia="Arial" w:hAnsi="Arial"/>
                <w:sz w:val="12"/>
                <w:szCs w:val="12"/>
                <w:color w:val="auto"/>
              </w:rPr>
              <w:t>4,646</w:t>
            </w:r>
          </w:p>
        </w:tc>
        <w:tc>
          <w:tcPr>
            <w:tcW w:w="320" w:type="dxa"/>
            <w:vAlign w:val="bottom"/>
            <w:vMerge w:val="restart"/>
            <w:shd w:val="clear" w:color="auto" w:fill="CCFFCC"/>
          </w:tcPr>
          <w:p>
            <w:pPr>
              <w:jc w:val="right"/>
              <w:ind w:right="158"/>
              <w:spacing w:after="0"/>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4"/>
        </w:trPr>
        <w:tc>
          <w:tcPr>
            <w:tcW w:w="550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340" w:type="dxa"/>
            <w:vAlign w:val="bottom"/>
            <w:vMerge w:val="continue"/>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340" w:type="dxa"/>
            <w:vAlign w:val="bottom"/>
            <w:vMerge w:val="continue"/>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360" w:type="dxa"/>
            <w:vAlign w:val="bottom"/>
            <w:vMerge w:val="continue"/>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320" w:type="dxa"/>
            <w:vAlign w:val="bottom"/>
            <w:vMerge w:val="continue"/>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5500" w:type="dxa"/>
            <w:vAlign w:val="bottom"/>
            <w:shd w:val="clear" w:color="auto" w:fill="CCFFCC"/>
          </w:tcPr>
          <w:p>
            <w:pPr>
              <w:spacing w:after="0"/>
              <w:rPr>
                <w:sz w:val="5"/>
                <w:szCs w:val="5"/>
                <w:color w:val="auto"/>
              </w:rPr>
            </w:pPr>
          </w:p>
        </w:tc>
        <w:tc>
          <w:tcPr>
            <w:tcW w:w="180" w:type="dxa"/>
            <w:vAlign w:val="bottom"/>
            <w:shd w:val="clear" w:color="auto" w:fill="CCFFCC"/>
          </w:tcPr>
          <w:p>
            <w:pPr>
              <w:spacing w:after="0"/>
              <w:rPr>
                <w:sz w:val="5"/>
                <w:szCs w:val="5"/>
                <w:color w:val="auto"/>
              </w:rPr>
            </w:pPr>
          </w:p>
        </w:tc>
        <w:tc>
          <w:tcPr>
            <w:tcW w:w="96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60" w:type="dxa"/>
            <w:vAlign w:val="bottom"/>
            <w:shd w:val="clear" w:color="auto" w:fill="CCFFCC"/>
          </w:tcPr>
          <w:p>
            <w:pPr>
              <w:spacing w:after="0"/>
              <w:rPr>
                <w:sz w:val="5"/>
                <w:szCs w:val="5"/>
                <w:color w:val="auto"/>
              </w:rPr>
            </w:pPr>
          </w:p>
        </w:tc>
        <w:tc>
          <w:tcPr>
            <w:tcW w:w="88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220" w:type="dxa"/>
            <w:vAlign w:val="bottom"/>
            <w:shd w:val="clear" w:color="auto" w:fill="CCFFCC"/>
          </w:tcPr>
          <w:p>
            <w:pPr>
              <w:spacing w:after="0"/>
              <w:rPr>
                <w:sz w:val="5"/>
                <w:szCs w:val="5"/>
                <w:color w:val="auto"/>
              </w:rPr>
            </w:pPr>
          </w:p>
        </w:tc>
        <w:tc>
          <w:tcPr>
            <w:tcW w:w="920" w:type="dxa"/>
            <w:vAlign w:val="bottom"/>
            <w:shd w:val="clear" w:color="auto" w:fill="CCFFCC"/>
          </w:tcPr>
          <w:p>
            <w:pPr>
              <w:spacing w:after="0"/>
              <w:rPr>
                <w:sz w:val="5"/>
                <w:szCs w:val="5"/>
                <w:color w:val="auto"/>
              </w:rPr>
            </w:pPr>
          </w:p>
        </w:tc>
        <w:tc>
          <w:tcPr>
            <w:tcW w:w="360" w:type="dxa"/>
            <w:vAlign w:val="bottom"/>
            <w:shd w:val="clear" w:color="auto" w:fill="CCFFCC"/>
          </w:tcPr>
          <w:p>
            <w:pPr>
              <w:spacing w:after="0"/>
              <w:rPr>
                <w:sz w:val="5"/>
                <w:szCs w:val="5"/>
                <w:color w:val="auto"/>
              </w:rPr>
            </w:pPr>
          </w:p>
        </w:tc>
        <w:tc>
          <w:tcPr>
            <w:tcW w:w="260" w:type="dxa"/>
            <w:vAlign w:val="bottom"/>
            <w:shd w:val="clear" w:color="auto" w:fill="CCFFCC"/>
          </w:tcPr>
          <w:p>
            <w:pPr>
              <w:spacing w:after="0"/>
              <w:rPr>
                <w:sz w:val="5"/>
                <w:szCs w:val="5"/>
                <w:color w:val="auto"/>
              </w:rPr>
            </w:pPr>
          </w:p>
        </w:tc>
        <w:tc>
          <w:tcPr>
            <w:tcW w:w="880" w:type="dxa"/>
            <w:vAlign w:val="bottom"/>
            <w:shd w:val="clear" w:color="auto" w:fill="CCFFCC"/>
          </w:tcPr>
          <w:p>
            <w:pPr>
              <w:spacing w:after="0"/>
              <w:rPr>
                <w:sz w:val="5"/>
                <w:szCs w:val="5"/>
                <w:color w:val="auto"/>
              </w:rPr>
            </w:pPr>
          </w:p>
        </w:tc>
        <w:tc>
          <w:tcPr>
            <w:tcW w:w="320" w:type="dxa"/>
            <w:vAlign w:val="bottom"/>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5500" w:type="dxa"/>
            <w:vAlign w:val="bottom"/>
          </w:tcPr>
          <w:p>
            <w:pPr>
              <w:ind w:left="260"/>
              <w:spacing w:after="0" w:line="114" w:lineRule="exact"/>
              <w:rPr>
                <w:sz w:val="20"/>
                <w:szCs w:val="20"/>
                <w:color w:val="auto"/>
              </w:rPr>
            </w:pPr>
            <w:r>
              <w:rPr>
                <w:rFonts w:ascii="Arial" w:cs="Arial" w:eastAsia="Arial" w:hAnsi="Arial"/>
                <w:sz w:val="12"/>
                <w:szCs w:val="12"/>
                <w:color w:val="auto"/>
              </w:rPr>
              <w:t>Restructuring costs</w:t>
            </w:r>
          </w:p>
        </w:tc>
        <w:tc>
          <w:tcPr>
            <w:tcW w:w="180" w:type="dxa"/>
            <w:vAlign w:val="bottom"/>
          </w:tcPr>
          <w:p>
            <w:pPr>
              <w:spacing w:after="0"/>
              <w:rPr>
                <w:sz w:val="9"/>
                <w:szCs w:val="9"/>
                <w:color w:val="auto"/>
              </w:rPr>
            </w:pPr>
          </w:p>
        </w:tc>
        <w:tc>
          <w:tcPr>
            <w:tcW w:w="960" w:type="dxa"/>
            <w:vAlign w:val="bottom"/>
          </w:tcPr>
          <w:p>
            <w:pPr>
              <w:jc w:val="right"/>
              <w:ind w:right="53"/>
              <w:spacing w:after="0" w:line="114" w:lineRule="exact"/>
              <w:rPr>
                <w:sz w:val="20"/>
                <w:szCs w:val="20"/>
                <w:color w:val="auto"/>
              </w:rPr>
            </w:pPr>
            <w:r>
              <w:rPr>
                <w:rFonts w:ascii="Arial" w:cs="Arial" w:eastAsia="Arial" w:hAnsi="Arial"/>
                <w:sz w:val="12"/>
                <w:szCs w:val="12"/>
                <w:color w:val="auto"/>
              </w:rPr>
              <w:t>1,425</w:t>
            </w:r>
          </w:p>
        </w:tc>
        <w:tc>
          <w:tcPr>
            <w:tcW w:w="340" w:type="dxa"/>
            <w:vAlign w:val="bottom"/>
            <w:vMerge w:val="restart"/>
          </w:tcPr>
          <w:p>
            <w:pPr>
              <w:jc w:val="right"/>
              <w:ind w:right="165"/>
              <w:spacing w:after="0"/>
              <w:rPr>
                <w:sz w:val="20"/>
                <w:szCs w:val="20"/>
                <w:color w:val="auto"/>
              </w:rPr>
            </w:pPr>
            <w:r>
              <w:rPr>
                <w:rFonts w:ascii="Arial" w:cs="Arial" w:eastAsia="Arial" w:hAnsi="Arial"/>
                <w:sz w:val="8"/>
                <w:szCs w:val="8"/>
                <w:color w:val="auto"/>
              </w:rPr>
              <w:t>(2)</w:t>
            </w:r>
          </w:p>
        </w:tc>
        <w:tc>
          <w:tcPr>
            <w:tcW w:w="260" w:type="dxa"/>
            <w:vAlign w:val="bottom"/>
          </w:tcPr>
          <w:p>
            <w:pPr>
              <w:spacing w:after="0"/>
              <w:rPr>
                <w:sz w:val="9"/>
                <w:szCs w:val="9"/>
                <w:color w:val="auto"/>
              </w:rPr>
            </w:pPr>
          </w:p>
        </w:tc>
        <w:tc>
          <w:tcPr>
            <w:tcW w:w="880" w:type="dxa"/>
            <w:vAlign w:val="bottom"/>
          </w:tcPr>
          <w:p>
            <w:pPr>
              <w:jc w:val="right"/>
              <w:ind w:right="53"/>
              <w:spacing w:after="0" w:line="114" w:lineRule="exact"/>
              <w:rPr>
                <w:sz w:val="20"/>
                <w:szCs w:val="20"/>
                <w:color w:val="auto"/>
              </w:rPr>
            </w:pPr>
            <w:r>
              <w:rPr>
                <w:rFonts w:ascii="Arial" w:cs="Arial" w:eastAsia="Arial" w:hAnsi="Arial"/>
                <w:sz w:val="12"/>
                <w:szCs w:val="12"/>
                <w:color w:val="auto"/>
              </w:rPr>
              <w:t>722</w:t>
            </w:r>
          </w:p>
        </w:tc>
        <w:tc>
          <w:tcPr>
            <w:tcW w:w="340" w:type="dxa"/>
            <w:vAlign w:val="bottom"/>
            <w:vMerge w:val="restart"/>
          </w:tcPr>
          <w:p>
            <w:pPr>
              <w:jc w:val="right"/>
              <w:ind w:right="165"/>
              <w:spacing w:after="0"/>
              <w:rPr>
                <w:sz w:val="20"/>
                <w:szCs w:val="20"/>
                <w:color w:val="auto"/>
              </w:rPr>
            </w:pPr>
            <w:r>
              <w:rPr>
                <w:rFonts w:ascii="Arial" w:cs="Arial" w:eastAsia="Arial" w:hAnsi="Arial"/>
                <w:sz w:val="8"/>
                <w:szCs w:val="8"/>
                <w:color w:val="auto"/>
              </w:rPr>
              <w:t>(2)</w:t>
            </w:r>
          </w:p>
        </w:tc>
        <w:tc>
          <w:tcPr>
            <w:tcW w:w="220" w:type="dxa"/>
            <w:vAlign w:val="bottom"/>
          </w:tcPr>
          <w:p>
            <w:pPr>
              <w:spacing w:after="0"/>
              <w:rPr>
                <w:sz w:val="9"/>
                <w:szCs w:val="9"/>
                <w:color w:val="auto"/>
              </w:rPr>
            </w:pPr>
          </w:p>
        </w:tc>
        <w:tc>
          <w:tcPr>
            <w:tcW w:w="920" w:type="dxa"/>
            <w:vAlign w:val="bottom"/>
          </w:tcPr>
          <w:p>
            <w:pPr>
              <w:jc w:val="right"/>
              <w:ind w:right="33"/>
              <w:spacing w:after="0" w:line="114" w:lineRule="exact"/>
              <w:rPr>
                <w:sz w:val="20"/>
                <w:szCs w:val="20"/>
                <w:color w:val="auto"/>
              </w:rPr>
            </w:pPr>
            <w:r>
              <w:rPr>
                <w:rFonts w:ascii="Arial" w:cs="Arial" w:eastAsia="Arial" w:hAnsi="Arial"/>
                <w:sz w:val="12"/>
                <w:szCs w:val="12"/>
                <w:color w:val="auto"/>
              </w:rPr>
              <w:t>1,909</w:t>
            </w:r>
          </w:p>
        </w:tc>
        <w:tc>
          <w:tcPr>
            <w:tcW w:w="360" w:type="dxa"/>
            <w:vAlign w:val="bottom"/>
            <w:vMerge w:val="restart"/>
          </w:tcPr>
          <w:p>
            <w:pPr>
              <w:jc w:val="right"/>
              <w:ind w:right="165"/>
              <w:spacing w:after="0"/>
              <w:rPr>
                <w:sz w:val="20"/>
                <w:szCs w:val="20"/>
                <w:color w:val="auto"/>
              </w:rPr>
            </w:pPr>
            <w:r>
              <w:rPr>
                <w:rFonts w:ascii="Arial" w:cs="Arial" w:eastAsia="Arial" w:hAnsi="Arial"/>
                <w:sz w:val="8"/>
                <w:szCs w:val="8"/>
                <w:color w:val="auto"/>
              </w:rPr>
              <w:t>(4)</w:t>
            </w:r>
          </w:p>
        </w:tc>
        <w:tc>
          <w:tcPr>
            <w:tcW w:w="260" w:type="dxa"/>
            <w:vAlign w:val="bottom"/>
          </w:tcPr>
          <w:p>
            <w:pPr>
              <w:spacing w:after="0"/>
              <w:rPr>
                <w:sz w:val="9"/>
                <w:szCs w:val="9"/>
                <w:color w:val="auto"/>
              </w:rPr>
            </w:pPr>
          </w:p>
        </w:tc>
        <w:tc>
          <w:tcPr>
            <w:tcW w:w="880" w:type="dxa"/>
            <w:vAlign w:val="bottom"/>
          </w:tcPr>
          <w:p>
            <w:pPr>
              <w:jc w:val="right"/>
              <w:ind w:right="53"/>
              <w:spacing w:after="0" w:line="114" w:lineRule="exact"/>
              <w:rPr>
                <w:sz w:val="20"/>
                <w:szCs w:val="20"/>
                <w:color w:val="auto"/>
              </w:rPr>
            </w:pPr>
            <w:r>
              <w:rPr>
                <w:rFonts w:ascii="Arial" w:cs="Arial" w:eastAsia="Arial" w:hAnsi="Arial"/>
                <w:sz w:val="12"/>
                <w:szCs w:val="12"/>
                <w:color w:val="auto"/>
              </w:rPr>
              <w:t>2,806</w:t>
            </w:r>
          </w:p>
        </w:tc>
        <w:tc>
          <w:tcPr>
            <w:tcW w:w="320" w:type="dxa"/>
            <w:vAlign w:val="bottom"/>
            <w:vMerge w:val="restart"/>
          </w:tcPr>
          <w:p>
            <w:pPr>
              <w:jc w:val="right"/>
              <w:ind w:right="158"/>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5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500" w:type="dxa"/>
            <w:vAlign w:val="bottom"/>
            <w:shd w:val="clear" w:color="auto" w:fill="CCFFCC"/>
          </w:tcPr>
          <w:p>
            <w:pPr>
              <w:ind w:left="260"/>
              <w:spacing w:after="0"/>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CFFCC"/>
          </w:tcPr>
          <w:p>
            <w:pPr>
              <w:spacing w:after="0"/>
              <w:rPr>
                <w:sz w:val="22"/>
                <w:szCs w:val="22"/>
                <w:color w:val="auto"/>
              </w:rPr>
            </w:pPr>
          </w:p>
        </w:tc>
        <w:tc>
          <w:tcPr>
            <w:tcW w:w="96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936</w:t>
            </w:r>
          </w:p>
        </w:tc>
        <w:tc>
          <w:tcPr>
            <w:tcW w:w="34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2,004</w:t>
            </w:r>
          </w:p>
        </w:tc>
        <w:tc>
          <w:tcPr>
            <w:tcW w:w="34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920" w:type="dxa"/>
            <w:vAlign w:val="bottom"/>
            <w:shd w:val="clear" w:color="auto" w:fill="CCFFCC"/>
          </w:tcPr>
          <w:p>
            <w:pPr>
              <w:jc w:val="right"/>
              <w:ind w:right="33"/>
              <w:spacing w:after="0"/>
              <w:rPr>
                <w:sz w:val="20"/>
                <w:szCs w:val="20"/>
                <w:color w:val="auto"/>
              </w:rPr>
            </w:pPr>
            <w:r>
              <w:rPr>
                <w:rFonts w:ascii="Arial" w:cs="Arial" w:eastAsia="Arial" w:hAnsi="Arial"/>
                <w:sz w:val="14"/>
                <w:szCs w:val="14"/>
                <w:color w:val="auto"/>
              </w:rPr>
              <w:t>2,227</w:t>
            </w:r>
          </w:p>
        </w:tc>
        <w:tc>
          <w:tcPr>
            <w:tcW w:w="36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2,051</w:t>
            </w:r>
          </w:p>
        </w:tc>
        <w:tc>
          <w:tcPr>
            <w:tcW w:w="32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CFFCC"/>
            </w:tcBorders>
          </w:tcPr>
          <w:p>
            <w:pPr>
              <w:ind w:left="260"/>
              <w:spacing w:after="0"/>
              <w:rPr>
                <w:sz w:val="20"/>
                <w:szCs w:val="20"/>
                <w:color w:val="auto"/>
              </w:rPr>
            </w:pPr>
            <w:r>
              <w:rPr>
                <w:rFonts w:ascii="Arial" w:cs="Arial" w:eastAsia="Arial" w:hAnsi="Arial"/>
                <w:sz w:val="14"/>
                <w:szCs w:val="14"/>
                <w:color w:val="auto"/>
              </w:rPr>
              <w:t>Other expense, net</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1,810</w:t>
            </w:r>
          </w:p>
        </w:tc>
        <w:tc>
          <w:tcPr>
            <w:tcW w:w="34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213</w:t>
            </w:r>
          </w:p>
        </w:tc>
        <w:tc>
          <w:tcPr>
            <w:tcW w:w="34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4,011</w:t>
            </w:r>
          </w:p>
        </w:tc>
        <w:tc>
          <w:tcPr>
            <w:tcW w:w="360" w:type="dxa"/>
            <w:vAlign w:val="bottom"/>
            <w:tcBorders>
              <w:bottom w:val="single" w:sz="8" w:color="CCFFC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53</w:t>
            </w:r>
          </w:p>
        </w:tc>
        <w:tc>
          <w:tcPr>
            <w:tcW w:w="320" w:type="dxa"/>
            <w:vAlign w:val="bottom"/>
            <w:tcBorders>
              <w:bottom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500" w:type="dxa"/>
            <w:vAlign w:val="bottom"/>
            <w:shd w:val="clear" w:color="auto" w:fill="CCFFCC"/>
          </w:tcPr>
          <w:p>
            <w:pPr>
              <w:ind w:left="20"/>
              <w:spacing w:after="0"/>
              <w:rPr>
                <w:sz w:val="20"/>
                <w:szCs w:val="20"/>
                <w:color w:val="auto"/>
              </w:rPr>
            </w:pPr>
            <w:r>
              <w:rPr>
                <w:rFonts w:ascii="Arial" w:cs="Arial" w:eastAsia="Arial" w:hAnsi="Arial"/>
                <w:sz w:val="14"/>
                <w:szCs w:val="14"/>
                <w:color w:val="auto"/>
              </w:rPr>
              <w:t>Adjusted EBITDA (loss)</w:t>
            </w:r>
          </w:p>
        </w:tc>
        <w:tc>
          <w:tcPr>
            <w:tcW w:w="180" w:type="dxa"/>
            <w:vAlign w:val="bottom"/>
            <w:shd w:val="clear" w:color="auto" w:fill="CCFFCC"/>
          </w:tcPr>
          <w:p>
            <w:pPr>
              <w:jc w:val="right"/>
              <w:ind w:right="3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FFCC"/>
          </w:tcPr>
          <w:p>
            <w:pPr>
              <w:jc w:val="right"/>
              <w:ind w:right="13"/>
              <w:spacing w:after="0"/>
              <w:rPr>
                <w:sz w:val="20"/>
                <w:szCs w:val="20"/>
                <w:color w:val="auto"/>
              </w:rPr>
            </w:pPr>
            <w:r>
              <w:rPr>
                <w:rFonts w:ascii="Arial" w:cs="Arial" w:eastAsia="Arial" w:hAnsi="Arial"/>
                <w:sz w:val="14"/>
                <w:szCs w:val="14"/>
                <w:color w:val="auto"/>
              </w:rPr>
              <w:t>(6,280)</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5,844</w:t>
            </w: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(14,802)</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ind w:right="53"/>
              <w:spacing w:after="0"/>
              <w:rPr>
                <w:sz w:val="20"/>
                <w:szCs w:val="20"/>
                <w:color w:val="auto"/>
              </w:rPr>
            </w:pPr>
            <w:r>
              <w:rPr>
                <w:rFonts w:ascii="Arial" w:cs="Arial" w:eastAsia="Arial" w:hAnsi="Arial"/>
                <w:sz w:val="14"/>
                <w:szCs w:val="14"/>
                <w:color w:val="auto"/>
              </w:rPr>
              <w:t>13,801</w:t>
            </w:r>
          </w:p>
        </w:tc>
        <w:tc>
          <w:tcPr>
            <w:tcW w:w="3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254875" cy="20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0"/>
                    </a:xfrm>
                    <a:prstGeom prst="rect">
                      <a:avLst/>
                    </a:prstGeom>
                    <a:noFill/>
                  </pic:spPr>
                </pic:pic>
              </a:graphicData>
            </a:graphic>
          </wp:anchor>
        </w:drawing>
      </w:r>
    </w:p>
    <w:p>
      <w:pPr>
        <w:spacing w:after="0" w:line="267" w:lineRule="exact"/>
        <w:rPr>
          <w:sz w:val="20"/>
          <w:szCs w:val="20"/>
          <w:color w:val="auto"/>
        </w:rPr>
      </w:pPr>
    </w:p>
    <w:p>
      <w:pPr>
        <w:ind w:left="20" w:right="100" w:firstLine="7"/>
        <w:spacing w:after="0" w:line="232" w:lineRule="auto"/>
        <w:tabs>
          <w:tab w:leader="none" w:pos="212"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litigation costs of $1.1 million, consulting costs of $0.7 million offset by a fair value earn-out adjustment of $0.3 million for the three months ended September 30, 2019 and litigation costs of $1.1 million, consulting costs of $0.5 million for the three months ended September 30, 2018.</w:t>
      </w:r>
    </w:p>
    <w:p>
      <w:pPr>
        <w:spacing w:after="0" w:line="19" w:lineRule="exact"/>
        <w:rPr>
          <w:rFonts w:ascii="Arial" w:cs="Arial" w:eastAsia="Arial" w:hAnsi="Arial"/>
          <w:sz w:val="14"/>
          <w:szCs w:val="14"/>
          <w:color w:val="auto"/>
        </w:rPr>
      </w:pPr>
    </w:p>
    <w:p>
      <w:pPr>
        <w:ind w:left="220" w:hanging="193"/>
        <w:spacing w:after="0"/>
        <w:tabs>
          <w:tab w:leader="none" w:pos="2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severance costs and other compensation related costs of $1.4 million for the three months ended September 30, 2019 and $0.7 million for the three months ended September 30, 2018.</w:t>
      </w:r>
    </w:p>
    <w:p>
      <w:pPr>
        <w:spacing w:after="0" w:line="52" w:lineRule="exact"/>
        <w:rPr>
          <w:rFonts w:ascii="Arial" w:cs="Arial" w:eastAsia="Arial" w:hAnsi="Arial"/>
          <w:sz w:val="12"/>
          <w:szCs w:val="12"/>
          <w:color w:val="auto"/>
        </w:rPr>
      </w:pPr>
    </w:p>
    <w:p>
      <w:pPr>
        <w:ind w:left="20" w:right="60" w:firstLine="7"/>
        <w:spacing w:after="0" w:line="287" w:lineRule="auto"/>
        <w:tabs>
          <w:tab w:leader="none" w:pos="212"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litigation costs of $3.3 million, consulting costs of $2.7 million and fair value earn-out adjustment of $0.3 million for the nine months ended September 30, 2019 and litigation costs of $3.2 million, consulting costs of $0.9 million, executive recruitment costs of $0.3 million, and executive relocation costs of $0.2 million for the nine months ended September 30, 2018.</w:t>
      </w:r>
    </w:p>
    <w:p>
      <w:pPr>
        <w:ind w:left="220" w:hanging="193"/>
        <w:spacing w:after="0"/>
        <w:tabs>
          <w:tab w:leader="none" w:pos="2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severance costs and other compensation related costs of $1.9 million for the nine months ended September 30, 2019 and $2.8 million 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-300990</wp:posOffset>
            </wp:positionV>
            <wp:extent cx="7254875" cy="209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0"/>
                    </a:xfrm>
                    <a:prstGeom prst="rect">
                      <a:avLst/>
                    </a:prstGeom>
                    <a:noFill/>
                  </pic:spPr>
                </pic:pic>
              </a:graphicData>
            </a:graphic>
          </wp:anchor>
        </w:drawing>
      </w:r>
    </w:p>
    <w:p>
      <w:pPr>
        <w:spacing w:after="0" w:line="318" w:lineRule="exact"/>
        <w:rPr>
          <w:sz w:val="20"/>
          <w:szCs w:val="20"/>
          <w:color w:val="auto"/>
        </w:rPr>
      </w:pPr>
    </w:p>
    <w:p>
      <w:pPr>
        <w:ind w:left="80" w:firstLine="610"/>
        <w:spacing w:after="0" w:line="256" w:lineRule="auto"/>
        <w:rPr>
          <w:sz w:val="20"/>
          <w:szCs w:val="20"/>
          <w:color w:val="auto"/>
        </w:rPr>
      </w:pPr>
      <w:r>
        <w:rPr>
          <w:rFonts w:ascii="Arial" w:cs="Arial" w:eastAsia="Arial" w:hAnsi="Arial"/>
          <w:sz w:val="17"/>
          <w:szCs w:val="17"/>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1" w:lineRule="exact"/>
        <w:rPr>
          <w:sz w:val="20"/>
          <w:szCs w:val="20"/>
          <w:color w:val="auto"/>
        </w:rPr>
      </w:pPr>
    </w:p>
    <w:p>
      <w:pPr>
        <w:ind w:left="1060" w:right="240" w:hanging="296"/>
        <w:spacing w:after="0" w:line="249"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spacing w:after="0" w:line="1" w:lineRule="exact"/>
        <w:rPr>
          <w:rFonts w:ascii="Arial" w:cs="Arial" w:eastAsia="Arial" w:hAnsi="Arial"/>
          <w:sz w:val="17"/>
          <w:szCs w:val="17"/>
          <w:color w:val="auto"/>
        </w:rPr>
      </w:pPr>
    </w:p>
    <w:p>
      <w:pPr>
        <w:ind w:left="1060" w:hanging="29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operating income does not consider the impact of acquisition costs;</w:t>
      </w:r>
    </w:p>
    <w:p>
      <w:pPr>
        <w:spacing w:after="0" w:line="7" w:lineRule="exact"/>
        <w:rPr>
          <w:rFonts w:ascii="Arial" w:cs="Arial" w:eastAsia="Arial" w:hAnsi="Arial"/>
          <w:sz w:val="17"/>
          <w:szCs w:val="17"/>
          <w:color w:val="auto"/>
        </w:rPr>
      </w:pPr>
    </w:p>
    <w:p>
      <w:pPr>
        <w:ind w:left="1060" w:hanging="29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operating income does not consider the impact of restructuring costs;</w:t>
      </w:r>
    </w:p>
    <w:p>
      <w:pPr>
        <w:spacing w:after="0" w:line="7" w:lineRule="exact"/>
        <w:rPr>
          <w:rFonts w:ascii="Arial" w:cs="Arial" w:eastAsia="Arial" w:hAnsi="Arial"/>
          <w:sz w:val="17"/>
          <w:szCs w:val="17"/>
          <w:color w:val="auto"/>
        </w:rPr>
      </w:pPr>
    </w:p>
    <w:p>
      <w:pPr>
        <w:ind w:left="1060" w:hanging="29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operating income does not consider the impact of other costs;</w:t>
      </w:r>
    </w:p>
    <w:p>
      <w:pPr>
        <w:spacing w:after="0" w:line="7" w:lineRule="exact"/>
        <w:rPr>
          <w:rFonts w:ascii="Arial" w:cs="Arial" w:eastAsia="Arial" w:hAnsi="Arial"/>
          <w:sz w:val="17"/>
          <w:szCs w:val="17"/>
          <w:color w:val="auto"/>
        </w:rPr>
      </w:pPr>
    </w:p>
    <w:p>
      <w:pPr>
        <w:ind w:left="1060" w:right="820" w:hanging="296"/>
        <w:spacing w:after="0" w:line="249"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adjusted operating income differently, which reduces its usefulness as a comparative measure.</w:t>
      </w:r>
    </w:p>
    <w:p>
      <w:pPr>
        <w:spacing w:after="0" w:line="1" w:lineRule="exact"/>
        <w:rPr>
          <w:sz w:val="20"/>
          <w:szCs w:val="20"/>
          <w:color w:val="auto"/>
        </w:rPr>
      </w:pPr>
    </w:p>
    <w:p>
      <w:pPr>
        <w:jc w:val="both"/>
        <w:ind w:right="480" w:firstLine="678"/>
        <w:spacing w:after="0" w:line="254" w:lineRule="auto"/>
        <w:rPr>
          <w:sz w:val="20"/>
          <w:szCs w:val="20"/>
          <w:color w:val="auto"/>
        </w:rPr>
      </w:pPr>
      <w:r>
        <w:rPr>
          <w:rFonts w:ascii="Arial" w:cs="Arial" w:eastAsia="Arial" w:hAnsi="Arial"/>
          <w:sz w:val="17"/>
          <w:szCs w:val="17"/>
          <w:color w:val="auto"/>
        </w:rPr>
        <w:t>Because of these limitations, you should consider adjusted operating income alongside other financial performance measures, including various pre-tax GAAP loss and our other GAAP results. The following table presents a reconciliation of adjusted operating income for each of the periods indicated (amounts in thousands):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767" w:right="239" w:bottom="1440" w:gutter="0" w:footer="0" w:header="0"/>
        </w:sectPr>
      </w:pPr>
    </w:p>
    <w:bookmarkStart w:id="37" w:name="page38"/>
    <w:bookmarkEnd w:id="37"/>
    <w:p>
      <w:pPr>
        <w:ind w:left="578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30480</wp:posOffset>
            </wp:positionV>
            <wp:extent cx="1670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109" w:lineRule="exact"/>
        <w:rPr>
          <w:sz w:val="20"/>
          <w:szCs w:val="20"/>
          <w:color w:val="auto"/>
        </w:rPr>
      </w:pPr>
    </w:p>
    <w:p>
      <w:pPr>
        <w:ind w:left="5920"/>
        <w:spacing w:after="0"/>
        <w:tabs>
          <w:tab w:leader="none" w:pos="74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15875</wp:posOffset>
            </wp:positionV>
            <wp:extent cx="1670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30480</wp:posOffset>
            </wp:positionV>
            <wp:extent cx="1670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109"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15875</wp:posOffset>
            </wp:positionV>
            <wp:extent cx="16706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0685" cy="825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8060" w:space="720"/>
            <w:col w:w="2640"/>
          </w:cols>
          <w:pgMar w:left="240" w:top="767" w:right="23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Reconciliation of Adjusted Operating (Loss)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shd w:val="clear" w:color="auto" w:fill="CCFFCC"/>
          </w:tcPr>
          <w:p>
            <w:pPr>
              <w:ind w:left="20"/>
              <w:spacing w:after="0"/>
              <w:rPr>
                <w:sz w:val="20"/>
                <w:szCs w:val="20"/>
                <w:color w:val="auto"/>
              </w:rPr>
            </w:pPr>
            <w:r>
              <w:rPr>
                <w:rFonts w:ascii="Arial" w:cs="Arial" w:eastAsia="Arial" w:hAnsi="Arial"/>
                <w:sz w:val="14"/>
                <w:szCs w:val="14"/>
                <w:color w:val="auto"/>
              </w:rPr>
              <w:t>Loss before provision for income taxes</w:t>
            </w:r>
          </w:p>
        </w:tc>
        <w:tc>
          <w:tcPr>
            <w:tcW w:w="340" w:type="dxa"/>
            <w:vAlign w:val="bottom"/>
            <w:shd w:val="clear" w:color="auto" w:fill="CCFFCC"/>
          </w:tcPr>
          <w:p>
            <w:pPr>
              <w:jc w:val="right"/>
              <w:ind w:right="19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ind w:right="14"/>
              <w:spacing w:after="0"/>
              <w:rPr>
                <w:sz w:val="20"/>
                <w:szCs w:val="20"/>
                <w:color w:val="auto"/>
              </w:rPr>
            </w:pPr>
            <w:r>
              <w:rPr>
                <w:rFonts w:ascii="Arial" w:cs="Arial" w:eastAsia="Arial" w:hAnsi="Arial"/>
                <w:sz w:val="14"/>
                <w:szCs w:val="14"/>
                <w:color w:val="auto"/>
              </w:rPr>
              <w:t>(24,936)</w:t>
            </w:r>
          </w:p>
        </w:tc>
        <w:tc>
          <w:tcPr>
            <w:tcW w:w="720" w:type="dxa"/>
            <w:vAlign w:val="bottom"/>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(5,039)</w:t>
            </w: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(66,522)</w:t>
            </w: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ind w:right="14"/>
              <w:spacing w:after="0"/>
              <w:rPr>
                <w:sz w:val="20"/>
                <w:szCs w:val="20"/>
                <w:color w:val="auto"/>
              </w:rPr>
            </w:pPr>
            <w:r>
              <w:rPr>
                <w:rFonts w:ascii="Arial" w:cs="Arial" w:eastAsia="Arial" w:hAnsi="Arial"/>
                <w:sz w:val="14"/>
                <w:szCs w:val="14"/>
                <w:color w:val="auto"/>
              </w:rPr>
              <w:t>(16,516)</w:t>
            </w:r>
          </w:p>
        </w:tc>
        <w:tc>
          <w:tcPr>
            <w:tcW w:w="3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500" w:type="dxa"/>
            <w:vAlign w:val="bottom"/>
          </w:tcPr>
          <w:p>
            <w:pPr>
              <w:ind w:left="260"/>
              <w:spacing w:after="0"/>
              <w:rPr>
                <w:sz w:val="20"/>
                <w:szCs w:val="20"/>
                <w:color w:val="auto"/>
              </w:rPr>
            </w:pPr>
            <w:r>
              <w:rPr>
                <w:rFonts w:ascii="Arial" w:cs="Arial" w:eastAsia="Arial" w:hAnsi="Arial"/>
                <w:sz w:val="14"/>
                <w:szCs w:val="14"/>
                <w:color w:val="auto"/>
              </w:rPr>
              <w:t>Amortization of purchased intangibles</w:t>
            </w:r>
          </w:p>
        </w:tc>
        <w:tc>
          <w:tcPr>
            <w:tcW w:w="3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color w:val="auto"/>
              </w:rPr>
              <w:t>732</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4"/>
                <w:szCs w:val="14"/>
                <w:color w:val="auto"/>
              </w:rPr>
              <w:t>709</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color w:val="auto"/>
              </w:rPr>
              <w:t>2,200</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color w:val="auto"/>
              </w:rPr>
              <w:t>2,131</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500" w:type="dxa"/>
            <w:vAlign w:val="bottom"/>
            <w:shd w:val="clear" w:color="auto" w:fill="CCFFCC"/>
          </w:tcPr>
          <w:p>
            <w:pPr>
              <w:ind w:left="26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54"/>
              <w:spacing w:after="0"/>
              <w:rPr>
                <w:sz w:val="20"/>
                <w:szCs w:val="20"/>
                <w:color w:val="auto"/>
              </w:rPr>
            </w:pPr>
            <w:r>
              <w:rPr>
                <w:rFonts w:ascii="Arial" w:cs="Arial" w:eastAsia="Arial" w:hAnsi="Arial"/>
                <w:sz w:val="14"/>
                <w:szCs w:val="14"/>
                <w:color w:val="auto"/>
              </w:rPr>
              <w:t>9,068</w:t>
            </w:r>
          </w:p>
        </w:tc>
        <w:tc>
          <w:tcPr>
            <w:tcW w:w="34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760" w:type="dxa"/>
            <w:vAlign w:val="bottom"/>
            <w:shd w:val="clear" w:color="auto" w:fill="CCFFCC"/>
          </w:tcPr>
          <w:p>
            <w:pPr>
              <w:jc w:val="right"/>
              <w:ind w:right="54"/>
              <w:spacing w:after="0"/>
              <w:rPr>
                <w:sz w:val="20"/>
                <w:szCs w:val="20"/>
                <w:color w:val="auto"/>
              </w:rPr>
            </w:pPr>
            <w:r>
              <w:rPr>
                <w:rFonts w:ascii="Arial" w:cs="Arial" w:eastAsia="Arial" w:hAnsi="Arial"/>
                <w:sz w:val="14"/>
                <w:szCs w:val="14"/>
                <w:color w:val="auto"/>
              </w:rPr>
              <w:t>4,074</w:t>
            </w:r>
          </w:p>
        </w:tc>
        <w:tc>
          <w:tcPr>
            <w:tcW w:w="34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780" w:type="dxa"/>
            <w:vAlign w:val="bottom"/>
            <w:shd w:val="clear" w:color="auto" w:fill="CCFFCC"/>
          </w:tcPr>
          <w:p>
            <w:pPr>
              <w:jc w:val="right"/>
              <w:ind w:right="34"/>
              <w:spacing w:after="0"/>
              <w:rPr>
                <w:sz w:val="20"/>
                <w:szCs w:val="20"/>
                <w:color w:val="auto"/>
              </w:rPr>
            </w:pPr>
            <w:r>
              <w:rPr>
                <w:rFonts w:ascii="Arial" w:cs="Arial" w:eastAsia="Arial" w:hAnsi="Arial"/>
                <w:sz w:val="14"/>
                <w:szCs w:val="14"/>
                <w:color w:val="auto"/>
              </w:rPr>
              <w:t>25,539</w:t>
            </w:r>
          </w:p>
        </w:tc>
        <w:tc>
          <w:tcPr>
            <w:tcW w:w="36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800" w:type="dxa"/>
            <w:vAlign w:val="bottom"/>
            <w:shd w:val="clear" w:color="auto" w:fill="CCFFCC"/>
          </w:tcPr>
          <w:p>
            <w:pPr>
              <w:jc w:val="right"/>
              <w:ind w:right="54"/>
              <w:spacing w:after="0"/>
              <w:rPr>
                <w:sz w:val="20"/>
                <w:szCs w:val="20"/>
                <w:color w:val="auto"/>
              </w:rPr>
            </w:pPr>
            <w:r>
              <w:rPr>
                <w:rFonts w:ascii="Arial" w:cs="Arial" w:eastAsia="Arial" w:hAnsi="Arial"/>
                <w:sz w:val="14"/>
                <w:szCs w:val="14"/>
                <w:color w:val="auto"/>
              </w:rPr>
              <w:t>10,338</w:t>
            </w:r>
          </w:p>
        </w:tc>
        <w:tc>
          <w:tcPr>
            <w:tcW w:w="32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5500" w:type="dxa"/>
            <w:vAlign w:val="bottom"/>
          </w:tcPr>
          <w:p>
            <w:pPr>
              <w:ind w:left="260"/>
              <w:spacing w:after="0" w:line="114" w:lineRule="exact"/>
              <w:rPr>
                <w:sz w:val="20"/>
                <w:szCs w:val="20"/>
                <w:color w:val="auto"/>
              </w:rPr>
            </w:pPr>
            <w:r>
              <w:rPr>
                <w:rFonts w:ascii="Arial" w:cs="Arial" w:eastAsia="Arial" w:hAnsi="Arial"/>
                <w:sz w:val="12"/>
                <w:szCs w:val="12"/>
                <w:color w:val="auto"/>
              </w:rPr>
              <w:t>Other litigation and consulting costs</w:t>
            </w:r>
          </w:p>
        </w:tc>
        <w:tc>
          <w:tcPr>
            <w:tcW w:w="340" w:type="dxa"/>
            <w:vAlign w:val="bottom"/>
          </w:tcPr>
          <w:p>
            <w:pPr>
              <w:spacing w:after="0"/>
              <w:rPr>
                <w:sz w:val="9"/>
                <w:szCs w:val="9"/>
                <w:color w:val="auto"/>
              </w:rPr>
            </w:pPr>
          </w:p>
        </w:tc>
        <w:tc>
          <w:tcPr>
            <w:tcW w:w="800" w:type="dxa"/>
            <w:vAlign w:val="bottom"/>
          </w:tcPr>
          <w:p>
            <w:pPr>
              <w:jc w:val="right"/>
              <w:ind w:right="54"/>
              <w:spacing w:after="0" w:line="114" w:lineRule="exact"/>
              <w:rPr>
                <w:sz w:val="20"/>
                <w:szCs w:val="20"/>
                <w:color w:val="auto"/>
              </w:rPr>
            </w:pPr>
            <w:r>
              <w:rPr>
                <w:rFonts w:ascii="Arial" w:cs="Arial" w:eastAsia="Arial" w:hAnsi="Arial"/>
                <w:sz w:val="12"/>
                <w:szCs w:val="12"/>
                <w:color w:val="auto"/>
              </w:rPr>
              <w:t>1,464</w:t>
            </w:r>
          </w:p>
        </w:tc>
        <w:tc>
          <w:tcPr>
            <w:tcW w:w="340" w:type="dxa"/>
            <w:vAlign w:val="bottom"/>
            <w:vMerge w:val="restart"/>
          </w:tcPr>
          <w:p>
            <w:pPr>
              <w:jc w:val="right"/>
              <w:ind w:right="165"/>
              <w:spacing w:after="0"/>
              <w:rPr>
                <w:sz w:val="20"/>
                <w:szCs w:val="20"/>
                <w:color w:val="auto"/>
              </w:rPr>
            </w:pPr>
            <w:r>
              <w:rPr>
                <w:rFonts w:ascii="Arial" w:cs="Arial" w:eastAsia="Arial" w:hAnsi="Arial"/>
                <w:sz w:val="8"/>
                <w:szCs w:val="8"/>
                <w:color w:val="auto"/>
              </w:rPr>
              <w:t>(1)</w:t>
            </w:r>
          </w:p>
        </w:tc>
        <w:tc>
          <w:tcPr>
            <w:tcW w:w="380" w:type="dxa"/>
            <w:vAlign w:val="bottom"/>
          </w:tcPr>
          <w:p>
            <w:pPr>
              <w:spacing w:after="0"/>
              <w:rPr>
                <w:sz w:val="9"/>
                <w:szCs w:val="9"/>
                <w:color w:val="auto"/>
              </w:rPr>
            </w:pPr>
          </w:p>
        </w:tc>
        <w:tc>
          <w:tcPr>
            <w:tcW w:w="760" w:type="dxa"/>
            <w:vAlign w:val="bottom"/>
          </w:tcPr>
          <w:p>
            <w:pPr>
              <w:jc w:val="right"/>
              <w:ind w:right="54"/>
              <w:spacing w:after="0" w:line="114" w:lineRule="exact"/>
              <w:rPr>
                <w:sz w:val="20"/>
                <w:szCs w:val="20"/>
                <w:color w:val="auto"/>
              </w:rPr>
            </w:pPr>
            <w:r>
              <w:rPr>
                <w:rFonts w:ascii="Arial" w:cs="Arial" w:eastAsia="Arial" w:hAnsi="Arial"/>
                <w:sz w:val="12"/>
                <w:szCs w:val="12"/>
                <w:color w:val="auto"/>
              </w:rPr>
              <w:t>1,608</w:t>
            </w:r>
          </w:p>
        </w:tc>
        <w:tc>
          <w:tcPr>
            <w:tcW w:w="340" w:type="dxa"/>
            <w:vAlign w:val="bottom"/>
            <w:vMerge w:val="restart"/>
          </w:tcPr>
          <w:p>
            <w:pPr>
              <w:jc w:val="right"/>
              <w:ind w:right="165"/>
              <w:spacing w:after="0"/>
              <w:rPr>
                <w:sz w:val="20"/>
                <w:szCs w:val="20"/>
                <w:color w:val="auto"/>
              </w:rPr>
            </w:pPr>
            <w:r>
              <w:rPr>
                <w:rFonts w:ascii="Arial" w:cs="Arial" w:eastAsia="Arial" w:hAnsi="Arial"/>
                <w:sz w:val="8"/>
                <w:szCs w:val="8"/>
                <w:color w:val="auto"/>
              </w:rPr>
              <w:t>(1)</w:t>
            </w:r>
          </w:p>
        </w:tc>
        <w:tc>
          <w:tcPr>
            <w:tcW w:w="360" w:type="dxa"/>
            <w:vAlign w:val="bottom"/>
          </w:tcPr>
          <w:p>
            <w:pPr>
              <w:spacing w:after="0"/>
              <w:rPr>
                <w:sz w:val="9"/>
                <w:szCs w:val="9"/>
                <w:color w:val="auto"/>
              </w:rPr>
            </w:pPr>
          </w:p>
        </w:tc>
        <w:tc>
          <w:tcPr>
            <w:tcW w:w="780" w:type="dxa"/>
            <w:vAlign w:val="bottom"/>
          </w:tcPr>
          <w:p>
            <w:pPr>
              <w:jc w:val="right"/>
              <w:ind w:right="34"/>
              <w:spacing w:after="0" w:line="114" w:lineRule="exact"/>
              <w:rPr>
                <w:sz w:val="20"/>
                <w:szCs w:val="20"/>
                <w:color w:val="auto"/>
              </w:rPr>
            </w:pPr>
            <w:r>
              <w:rPr>
                <w:rFonts w:ascii="Arial" w:cs="Arial" w:eastAsia="Arial" w:hAnsi="Arial"/>
                <w:sz w:val="12"/>
                <w:szCs w:val="12"/>
                <w:color w:val="auto"/>
              </w:rPr>
              <w:t>6,256</w:t>
            </w:r>
          </w:p>
        </w:tc>
        <w:tc>
          <w:tcPr>
            <w:tcW w:w="360" w:type="dxa"/>
            <w:vAlign w:val="bottom"/>
            <w:vMerge w:val="restart"/>
          </w:tcPr>
          <w:p>
            <w:pPr>
              <w:jc w:val="right"/>
              <w:ind w:right="165"/>
              <w:spacing w:after="0"/>
              <w:rPr>
                <w:sz w:val="20"/>
                <w:szCs w:val="20"/>
                <w:color w:val="auto"/>
              </w:rPr>
            </w:pPr>
            <w:r>
              <w:rPr>
                <w:rFonts w:ascii="Arial" w:cs="Arial" w:eastAsia="Arial" w:hAnsi="Arial"/>
                <w:sz w:val="8"/>
                <w:szCs w:val="8"/>
                <w:color w:val="auto"/>
              </w:rPr>
              <w:t>(3)</w:t>
            </w:r>
          </w:p>
        </w:tc>
        <w:tc>
          <w:tcPr>
            <w:tcW w:w="340" w:type="dxa"/>
            <w:vAlign w:val="bottom"/>
          </w:tcPr>
          <w:p>
            <w:pPr>
              <w:spacing w:after="0"/>
              <w:rPr>
                <w:sz w:val="9"/>
                <w:szCs w:val="9"/>
                <w:color w:val="auto"/>
              </w:rPr>
            </w:pPr>
          </w:p>
        </w:tc>
        <w:tc>
          <w:tcPr>
            <w:tcW w:w="800" w:type="dxa"/>
            <w:vAlign w:val="bottom"/>
          </w:tcPr>
          <w:p>
            <w:pPr>
              <w:jc w:val="right"/>
              <w:ind w:right="54"/>
              <w:spacing w:after="0" w:line="114" w:lineRule="exact"/>
              <w:rPr>
                <w:sz w:val="20"/>
                <w:szCs w:val="20"/>
                <w:color w:val="auto"/>
              </w:rPr>
            </w:pPr>
            <w:r>
              <w:rPr>
                <w:rFonts w:ascii="Arial" w:cs="Arial" w:eastAsia="Arial" w:hAnsi="Arial"/>
                <w:sz w:val="12"/>
                <w:szCs w:val="12"/>
                <w:color w:val="auto"/>
              </w:rPr>
              <w:t>4,646</w:t>
            </w:r>
          </w:p>
        </w:tc>
        <w:tc>
          <w:tcPr>
            <w:tcW w:w="320" w:type="dxa"/>
            <w:vAlign w:val="bottom"/>
            <w:vMerge w:val="restart"/>
          </w:tcPr>
          <w:p>
            <w:pPr>
              <w:jc w:val="right"/>
              <w:ind w:right="158"/>
              <w:spacing w:after="0"/>
              <w:rPr>
                <w:sz w:val="20"/>
                <w:szCs w:val="20"/>
                <w:color w:val="auto"/>
              </w:rPr>
            </w:pP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5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5500" w:type="dxa"/>
            <w:vAlign w:val="bottom"/>
            <w:shd w:val="clear" w:color="auto" w:fill="CCFFCC"/>
          </w:tcPr>
          <w:p>
            <w:pPr>
              <w:ind w:left="260"/>
              <w:spacing w:after="0" w:line="114" w:lineRule="exact"/>
              <w:rPr>
                <w:sz w:val="20"/>
                <w:szCs w:val="20"/>
                <w:color w:val="auto"/>
              </w:rPr>
            </w:pPr>
            <w:r>
              <w:rPr>
                <w:rFonts w:ascii="Arial" w:cs="Arial" w:eastAsia="Arial" w:hAnsi="Arial"/>
                <w:sz w:val="12"/>
                <w:szCs w:val="12"/>
                <w:color w:val="auto"/>
              </w:rPr>
              <w:t>Restructuring costs</w:t>
            </w:r>
          </w:p>
        </w:tc>
        <w:tc>
          <w:tcPr>
            <w:tcW w:w="340" w:type="dxa"/>
            <w:vAlign w:val="bottom"/>
            <w:shd w:val="clear" w:color="auto" w:fill="CCFFCC"/>
          </w:tcPr>
          <w:p>
            <w:pPr>
              <w:spacing w:after="0"/>
              <w:rPr>
                <w:sz w:val="9"/>
                <w:szCs w:val="9"/>
                <w:color w:val="auto"/>
              </w:rPr>
            </w:pPr>
          </w:p>
        </w:tc>
        <w:tc>
          <w:tcPr>
            <w:tcW w:w="800" w:type="dxa"/>
            <w:vAlign w:val="bottom"/>
            <w:shd w:val="clear" w:color="auto" w:fill="CCFFCC"/>
          </w:tcPr>
          <w:p>
            <w:pPr>
              <w:jc w:val="right"/>
              <w:ind w:right="54"/>
              <w:spacing w:after="0" w:line="114" w:lineRule="exact"/>
              <w:rPr>
                <w:sz w:val="20"/>
                <w:szCs w:val="20"/>
                <w:color w:val="auto"/>
              </w:rPr>
            </w:pPr>
            <w:r>
              <w:rPr>
                <w:rFonts w:ascii="Arial" w:cs="Arial" w:eastAsia="Arial" w:hAnsi="Arial"/>
                <w:sz w:val="12"/>
                <w:szCs w:val="12"/>
                <w:color w:val="auto"/>
              </w:rPr>
              <w:t>1,425</w:t>
            </w:r>
          </w:p>
        </w:tc>
        <w:tc>
          <w:tcPr>
            <w:tcW w:w="340" w:type="dxa"/>
            <w:vAlign w:val="bottom"/>
            <w:vMerge w:val="restart"/>
            <w:shd w:val="clear" w:color="auto" w:fill="CCFFCC"/>
          </w:tcPr>
          <w:p>
            <w:pPr>
              <w:jc w:val="right"/>
              <w:ind w:right="165"/>
              <w:spacing w:after="0"/>
              <w:rPr>
                <w:sz w:val="20"/>
                <w:szCs w:val="20"/>
                <w:color w:val="auto"/>
              </w:rPr>
            </w:pPr>
            <w:r>
              <w:rPr>
                <w:rFonts w:ascii="Arial" w:cs="Arial" w:eastAsia="Arial" w:hAnsi="Arial"/>
                <w:sz w:val="8"/>
                <w:szCs w:val="8"/>
                <w:color w:val="auto"/>
              </w:rPr>
              <w:t>(2)</w:t>
            </w:r>
          </w:p>
        </w:tc>
        <w:tc>
          <w:tcPr>
            <w:tcW w:w="380" w:type="dxa"/>
            <w:vAlign w:val="bottom"/>
            <w:shd w:val="clear" w:color="auto" w:fill="CCFFCC"/>
          </w:tcPr>
          <w:p>
            <w:pPr>
              <w:spacing w:after="0"/>
              <w:rPr>
                <w:sz w:val="9"/>
                <w:szCs w:val="9"/>
                <w:color w:val="auto"/>
              </w:rPr>
            </w:pPr>
          </w:p>
        </w:tc>
        <w:tc>
          <w:tcPr>
            <w:tcW w:w="760" w:type="dxa"/>
            <w:vAlign w:val="bottom"/>
            <w:shd w:val="clear" w:color="auto" w:fill="CCFFCC"/>
          </w:tcPr>
          <w:p>
            <w:pPr>
              <w:jc w:val="right"/>
              <w:ind w:right="54"/>
              <w:spacing w:after="0" w:line="114" w:lineRule="exact"/>
              <w:rPr>
                <w:sz w:val="20"/>
                <w:szCs w:val="20"/>
                <w:color w:val="auto"/>
              </w:rPr>
            </w:pPr>
            <w:r>
              <w:rPr>
                <w:rFonts w:ascii="Arial" w:cs="Arial" w:eastAsia="Arial" w:hAnsi="Arial"/>
                <w:sz w:val="12"/>
                <w:szCs w:val="12"/>
                <w:color w:val="auto"/>
              </w:rPr>
              <w:t>722</w:t>
            </w:r>
          </w:p>
        </w:tc>
        <w:tc>
          <w:tcPr>
            <w:tcW w:w="340" w:type="dxa"/>
            <w:vAlign w:val="bottom"/>
            <w:vMerge w:val="restart"/>
            <w:shd w:val="clear" w:color="auto" w:fill="CCFFCC"/>
          </w:tcPr>
          <w:p>
            <w:pPr>
              <w:jc w:val="right"/>
              <w:ind w:right="165"/>
              <w:spacing w:after="0"/>
              <w:rPr>
                <w:sz w:val="20"/>
                <w:szCs w:val="20"/>
                <w:color w:val="auto"/>
              </w:rPr>
            </w:pPr>
            <w:r>
              <w:rPr>
                <w:rFonts w:ascii="Arial" w:cs="Arial" w:eastAsia="Arial" w:hAnsi="Arial"/>
                <w:sz w:val="8"/>
                <w:szCs w:val="8"/>
                <w:color w:val="auto"/>
              </w:rPr>
              <w:t>(2)</w:t>
            </w:r>
          </w:p>
        </w:tc>
        <w:tc>
          <w:tcPr>
            <w:tcW w:w="360" w:type="dxa"/>
            <w:vAlign w:val="bottom"/>
            <w:shd w:val="clear" w:color="auto" w:fill="CCFFCC"/>
          </w:tcPr>
          <w:p>
            <w:pPr>
              <w:spacing w:after="0"/>
              <w:rPr>
                <w:sz w:val="9"/>
                <w:szCs w:val="9"/>
                <w:color w:val="auto"/>
              </w:rPr>
            </w:pPr>
          </w:p>
        </w:tc>
        <w:tc>
          <w:tcPr>
            <w:tcW w:w="780" w:type="dxa"/>
            <w:vAlign w:val="bottom"/>
            <w:shd w:val="clear" w:color="auto" w:fill="CCFFCC"/>
          </w:tcPr>
          <w:p>
            <w:pPr>
              <w:jc w:val="right"/>
              <w:ind w:right="34"/>
              <w:spacing w:after="0" w:line="114" w:lineRule="exact"/>
              <w:rPr>
                <w:sz w:val="20"/>
                <w:szCs w:val="20"/>
                <w:color w:val="auto"/>
              </w:rPr>
            </w:pPr>
            <w:r>
              <w:rPr>
                <w:rFonts w:ascii="Arial" w:cs="Arial" w:eastAsia="Arial" w:hAnsi="Arial"/>
                <w:sz w:val="12"/>
                <w:szCs w:val="12"/>
                <w:color w:val="auto"/>
              </w:rPr>
              <w:t>1,909</w:t>
            </w:r>
          </w:p>
        </w:tc>
        <w:tc>
          <w:tcPr>
            <w:tcW w:w="360" w:type="dxa"/>
            <w:vAlign w:val="bottom"/>
            <w:vMerge w:val="restart"/>
            <w:shd w:val="clear" w:color="auto" w:fill="CCFFCC"/>
          </w:tcPr>
          <w:p>
            <w:pPr>
              <w:jc w:val="right"/>
              <w:ind w:right="165"/>
              <w:spacing w:after="0"/>
              <w:rPr>
                <w:sz w:val="20"/>
                <w:szCs w:val="20"/>
                <w:color w:val="auto"/>
              </w:rPr>
            </w:pPr>
            <w:r>
              <w:rPr>
                <w:rFonts w:ascii="Arial" w:cs="Arial" w:eastAsia="Arial" w:hAnsi="Arial"/>
                <w:sz w:val="8"/>
                <w:szCs w:val="8"/>
                <w:color w:val="auto"/>
              </w:rPr>
              <w:t>(4)</w:t>
            </w:r>
          </w:p>
        </w:tc>
        <w:tc>
          <w:tcPr>
            <w:tcW w:w="340" w:type="dxa"/>
            <w:vAlign w:val="bottom"/>
            <w:shd w:val="clear" w:color="auto" w:fill="CCFFCC"/>
          </w:tcPr>
          <w:p>
            <w:pPr>
              <w:spacing w:after="0"/>
              <w:rPr>
                <w:sz w:val="9"/>
                <w:szCs w:val="9"/>
                <w:color w:val="auto"/>
              </w:rPr>
            </w:pPr>
          </w:p>
        </w:tc>
        <w:tc>
          <w:tcPr>
            <w:tcW w:w="800" w:type="dxa"/>
            <w:vAlign w:val="bottom"/>
            <w:shd w:val="clear" w:color="auto" w:fill="CCFFCC"/>
          </w:tcPr>
          <w:p>
            <w:pPr>
              <w:jc w:val="right"/>
              <w:ind w:right="54"/>
              <w:spacing w:after="0" w:line="114" w:lineRule="exact"/>
              <w:rPr>
                <w:sz w:val="20"/>
                <w:szCs w:val="20"/>
                <w:color w:val="auto"/>
              </w:rPr>
            </w:pPr>
            <w:r>
              <w:rPr>
                <w:rFonts w:ascii="Arial" w:cs="Arial" w:eastAsia="Arial" w:hAnsi="Arial"/>
                <w:sz w:val="12"/>
                <w:szCs w:val="12"/>
                <w:color w:val="auto"/>
              </w:rPr>
              <w:t>2,806</w:t>
            </w:r>
          </w:p>
        </w:tc>
        <w:tc>
          <w:tcPr>
            <w:tcW w:w="320" w:type="dxa"/>
            <w:vAlign w:val="bottom"/>
            <w:vMerge w:val="restart"/>
            <w:shd w:val="clear" w:color="auto" w:fill="CCFFCC"/>
          </w:tcPr>
          <w:p>
            <w:pPr>
              <w:jc w:val="right"/>
              <w:ind w:right="158"/>
              <w:spacing w:after="0"/>
              <w:rPr>
                <w:sz w:val="20"/>
                <w:szCs w:val="20"/>
                <w:color w:val="auto"/>
              </w:rPr>
            </w:pP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24"/>
        </w:trPr>
        <w:tc>
          <w:tcPr>
            <w:tcW w:w="55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340" w:type="dxa"/>
            <w:vAlign w:val="bottom"/>
            <w:vMerge w:val="continue"/>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340" w:type="dxa"/>
            <w:vAlign w:val="bottom"/>
            <w:vMerge w:val="continue"/>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360" w:type="dxa"/>
            <w:vAlign w:val="bottom"/>
            <w:vMerge w:val="continue"/>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320" w:type="dxa"/>
            <w:vAlign w:val="bottom"/>
            <w:vMerge w:val="continue"/>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550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80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380" w:type="dxa"/>
            <w:vAlign w:val="bottom"/>
            <w:shd w:val="clear" w:color="auto" w:fill="CCFFCC"/>
          </w:tcPr>
          <w:p>
            <w:pPr>
              <w:spacing w:after="0"/>
              <w:rPr>
                <w:sz w:val="5"/>
                <w:szCs w:val="5"/>
                <w:color w:val="auto"/>
              </w:rPr>
            </w:pPr>
          </w:p>
        </w:tc>
        <w:tc>
          <w:tcPr>
            <w:tcW w:w="76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360" w:type="dxa"/>
            <w:vAlign w:val="bottom"/>
            <w:shd w:val="clear" w:color="auto" w:fill="CCFFCC"/>
          </w:tcPr>
          <w:p>
            <w:pPr>
              <w:spacing w:after="0"/>
              <w:rPr>
                <w:sz w:val="5"/>
                <w:szCs w:val="5"/>
                <w:color w:val="auto"/>
              </w:rPr>
            </w:pPr>
          </w:p>
        </w:tc>
        <w:tc>
          <w:tcPr>
            <w:tcW w:w="780" w:type="dxa"/>
            <w:vAlign w:val="bottom"/>
            <w:shd w:val="clear" w:color="auto" w:fill="CCFFCC"/>
          </w:tcPr>
          <w:p>
            <w:pPr>
              <w:spacing w:after="0"/>
              <w:rPr>
                <w:sz w:val="5"/>
                <w:szCs w:val="5"/>
                <w:color w:val="auto"/>
              </w:rPr>
            </w:pPr>
          </w:p>
        </w:tc>
        <w:tc>
          <w:tcPr>
            <w:tcW w:w="360" w:type="dxa"/>
            <w:vAlign w:val="bottom"/>
            <w:shd w:val="clear" w:color="auto" w:fill="CCFFCC"/>
          </w:tcPr>
          <w:p>
            <w:pPr>
              <w:spacing w:after="0"/>
              <w:rPr>
                <w:sz w:val="5"/>
                <w:szCs w:val="5"/>
                <w:color w:val="auto"/>
              </w:rPr>
            </w:pPr>
          </w:p>
        </w:tc>
        <w:tc>
          <w:tcPr>
            <w:tcW w:w="340" w:type="dxa"/>
            <w:vAlign w:val="bottom"/>
            <w:shd w:val="clear" w:color="auto" w:fill="CCFFCC"/>
          </w:tcPr>
          <w:p>
            <w:pPr>
              <w:spacing w:after="0"/>
              <w:rPr>
                <w:sz w:val="5"/>
                <w:szCs w:val="5"/>
                <w:color w:val="auto"/>
              </w:rPr>
            </w:pPr>
          </w:p>
        </w:tc>
        <w:tc>
          <w:tcPr>
            <w:tcW w:w="800" w:type="dxa"/>
            <w:vAlign w:val="bottom"/>
            <w:shd w:val="clear" w:color="auto" w:fill="CCFFCC"/>
          </w:tcPr>
          <w:p>
            <w:pPr>
              <w:spacing w:after="0"/>
              <w:rPr>
                <w:sz w:val="5"/>
                <w:szCs w:val="5"/>
                <w:color w:val="auto"/>
              </w:rPr>
            </w:pPr>
          </w:p>
        </w:tc>
        <w:tc>
          <w:tcPr>
            <w:tcW w:w="320" w:type="dxa"/>
            <w:vAlign w:val="bottom"/>
            <w:shd w:val="clear" w:color="auto" w:fill="CCFFCC"/>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CFFCC"/>
            </w:tcBorders>
          </w:tcPr>
          <w:p>
            <w:pPr>
              <w:ind w:left="260"/>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1,810</w:t>
            </w:r>
          </w:p>
        </w:tc>
        <w:tc>
          <w:tcPr>
            <w:tcW w:w="340" w:type="dxa"/>
            <w:vAlign w:val="bottom"/>
            <w:tcBorders>
              <w:bottom w:val="single" w:sz="8" w:color="CCFFC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213</w:t>
            </w:r>
          </w:p>
        </w:tc>
        <w:tc>
          <w:tcPr>
            <w:tcW w:w="340" w:type="dxa"/>
            <w:vAlign w:val="bottom"/>
            <w:tcBorders>
              <w:bottom w:val="single" w:sz="8" w:color="CCFFC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4,011</w:t>
            </w:r>
          </w:p>
        </w:tc>
        <w:tc>
          <w:tcPr>
            <w:tcW w:w="36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53</w:t>
            </w:r>
          </w:p>
        </w:tc>
        <w:tc>
          <w:tcPr>
            <w:tcW w:w="320" w:type="dxa"/>
            <w:vAlign w:val="bottom"/>
            <w:tcBorders>
              <w:bottom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500" w:type="dxa"/>
            <w:vAlign w:val="bottom"/>
            <w:shd w:val="clear" w:color="auto" w:fill="CCFFCC"/>
          </w:tcPr>
          <w:p>
            <w:pPr>
              <w:ind w:left="260"/>
              <w:spacing w:after="0"/>
              <w:rPr>
                <w:sz w:val="20"/>
                <w:szCs w:val="20"/>
                <w:color w:val="auto"/>
              </w:rPr>
            </w:pPr>
            <w:r>
              <w:rPr>
                <w:rFonts w:ascii="Arial" w:cs="Arial" w:eastAsia="Arial" w:hAnsi="Arial"/>
                <w:sz w:val="14"/>
                <w:szCs w:val="14"/>
                <w:color w:val="auto"/>
              </w:rPr>
              <w:t>Adjusted operating (loss) income</w:t>
            </w:r>
          </w:p>
        </w:tc>
        <w:tc>
          <w:tcPr>
            <w:tcW w:w="340" w:type="dxa"/>
            <w:vAlign w:val="bottom"/>
            <w:shd w:val="clear" w:color="auto" w:fill="CCFFCC"/>
          </w:tcPr>
          <w:p>
            <w:pPr>
              <w:jc w:val="right"/>
              <w:ind w:right="19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FFCC"/>
          </w:tcPr>
          <w:p>
            <w:pPr>
              <w:jc w:val="right"/>
              <w:ind w:right="14"/>
              <w:spacing w:after="0"/>
              <w:rPr>
                <w:sz w:val="20"/>
                <w:szCs w:val="20"/>
                <w:color w:val="auto"/>
              </w:rPr>
            </w:pPr>
            <w:r>
              <w:rPr>
                <w:rFonts w:ascii="Arial" w:cs="Arial" w:eastAsia="Arial" w:hAnsi="Arial"/>
                <w:sz w:val="14"/>
                <w:szCs w:val="14"/>
                <w:color w:val="auto"/>
              </w:rPr>
              <w:t>(10,437)</w:t>
            </w:r>
          </w:p>
        </w:tc>
        <w:tc>
          <w:tcPr>
            <w:tcW w:w="720" w:type="dxa"/>
            <w:vAlign w:val="bottom"/>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jc w:val="right"/>
              <w:ind w:right="54"/>
              <w:spacing w:after="0"/>
              <w:rPr>
                <w:sz w:val="20"/>
                <w:szCs w:val="20"/>
                <w:color w:val="auto"/>
              </w:rPr>
            </w:pPr>
            <w:r>
              <w:rPr>
                <w:rFonts w:ascii="Arial" w:cs="Arial" w:eastAsia="Arial" w:hAnsi="Arial"/>
                <w:sz w:val="14"/>
                <w:szCs w:val="14"/>
                <w:color w:val="auto"/>
              </w:rPr>
              <w:t>2,287</w:t>
            </w: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(26,607)</w:t>
            </w:r>
          </w:p>
        </w:tc>
        <w:tc>
          <w:tcPr>
            <w:tcW w:w="70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ind w:right="54"/>
              <w:spacing w:after="0"/>
              <w:rPr>
                <w:sz w:val="20"/>
                <w:szCs w:val="20"/>
                <w:color w:val="auto"/>
              </w:rPr>
            </w:pPr>
            <w:r>
              <w:rPr>
                <w:rFonts w:ascii="Arial" w:cs="Arial" w:eastAsia="Arial" w:hAnsi="Arial"/>
                <w:sz w:val="14"/>
                <w:szCs w:val="14"/>
                <w:color w:val="auto"/>
              </w:rPr>
              <w:t>3,458</w:t>
            </w:r>
          </w:p>
        </w:tc>
        <w:tc>
          <w:tcPr>
            <w:tcW w:w="3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254875" cy="209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0"/>
                    </a:xfrm>
                    <a:prstGeom prst="rect">
                      <a:avLst/>
                    </a:prstGeom>
                    <a:noFill/>
                  </pic:spPr>
                </pic:pic>
              </a:graphicData>
            </a:graphic>
          </wp:anchor>
        </w:drawing>
      </w:r>
    </w:p>
    <w:p>
      <w:pPr>
        <w:spacing w:after="0" w:line="292" w:lineRule="exact"/>
        <w:rPr>
          <w:sz w:val="20"/>
          <w:szCs w:val="20"/>
          <w:color w:val="auto"/>
        </w:rPr>
      </w:pPr>
    </w:p>
    <w:p>
      <w:pPr>
        <w:ind w:left="20" w:right="140" w:firstLine="7"/>
        <w:spacing w:after="0" w:line="232" w:lineRule="auto"/>
        <w:tabs>
          <w:tab w:leader="none" w:pos="21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litigation costs of $1.1 million, consulting costs of $0.7 million offest by a fair value earnout adjustment of $0.3 million for the three months ended September 30, 2019 and litigation costs of $1.1 million, consulting costs of $0.5 million for the three months ended September 30, 2018.</w:t>
      </w:r>
    </w:p>
    <w:p>
      <w:pPr>
        <w:spacing w:after="0" w:line="19" w:lineRule="exact"/>
        <w:rPr>
          <w:rFonts w:ascii="Arial" w:cs="Arial" w:eastAsia="Arial" w:hAnsi="Arial"/>
          <w:sz w:val="14"/>
          <w:szCs w:val="14"/>
          <w:color w:val="auto"/>
        </w:rPr>
      </w:pPr>
    </w:p>
    <w:p>
      <w:pPr>
        <w:ind w:left="220" w:hanging="193"/>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severance costs and other compensation related costs of $1.4 million for the three months ended September 30, 2019 and $0.7 million for the three months ended September 30, 2018.</w:t>
      </w:r>
    </w:p>
    <w:p>
      <w:pPr>
        <w:spacing w:after="0" w:line="52" w:lineRule="exact"/>
        <w:rPr>
          <w:rFonts w:ascii="Arial" w:cs="Arial" w:eastAsia="Arial" w:hAnsi="Arial"/>
          <w:sz w:val="12"/>
          <w:szCs w:val="12"/>
          <w:color w:val="auto"/>
        </w:rPr>
      </w:pPr>
    </w:p>
    <w:p>
      <w:pPr>
        <w:ind w:left="20" w:right="100" w:firstLine="7"/>
        <w:spacing w:after="0" w:line="287" w:lineRule="auto"/>
        <w:tabs>
          <w:tab w:leader="none" w:pos="212"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litigation costs of $3.3 million, consulting costs of $2.7 million and fair value earnout adjustment of $0.3 million for the nine months ended September 30, 2019 and litigation costs of $3.2 million, consulting costs of $0.9 million, executive recruitment costs of $0.3 million, and executive relocation costs of $0.2 million for the nine months ended September 30, 2018</w:t>
      </w:r>
    </w:p>
    <w:p>
      <w:pPr>
        <w:ind w:left="220" w:hanging="193"/>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severance costs and other compensation related costs of $1.9 million for the nine months ended September 30, 2019 and $2.8 million 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-300990</wp:posOffset>
            </wp:positionV>
            <wp:extent cx="7254875" cy="209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4"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80"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1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 majority of our revenue is generated from monthly service revenues and related professional services from the sale of the LivePerson services. Revenues are recognized when control of these services is transferred to our customers, in an amount that reflects the consideration we expect to be entitled to in exchange for those services.</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determine revenue recognition through the following steps:</w:t>
      </w:r>
    </w:p>
    <w:p>
      <w:pPr>
        <w:spacing w:after="0" w:line="135" w:lineRule="exact"/>
        <w:rPr>
          <w:sz w:val="20"/>
          <w:szCs w:val="20"/>
          <w:color w:val="auto"/>
        </w:rPr>
      </w:pPr>
    </w:p>
    <w:p>
      <w:pPr>
        <w:ind w:left="1260" w:hanging="17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96" w:lineRule="exact"/>
        <w:rPr>
          <w:rFonts w:ascii="Arial" w:cs="Arial" w:eastAsia="Arial" w:hAnsi="Arial"/>
          <w:sz w:val="17"/>
          <w:szCs w:val="17"/>
          <w:color w:val="auto"/>
        </w:rPr>
      </w:pPr>
    </w:p>
    <w:p>
      <w:pPr>
        <w:ind w:left="1260" w:hanging="17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96" w:lineRule="exact"/>
        <w:rPr>
          <w:rFonts w:ascii="Arial" w:cs="Arial" w:eastAsia="Arial" w:hAnsi="Arial"/>
          <w:sz w:val="17"/>
          <w:szCs w:val="17"/>
          <w:color w:val="auto"/>
        </w:rPr>
      </w:pPr>
    </w:p>
    <w:p>
      <w:pPr>
        <w:ind w:left="1260" w:hanging="17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96" w:lineRule="exact"/>
        <w:rPr>
          <w:rFonts w:ascii="Arial" w:cs="Arial" w:eastAsia="Arial" w:hAnsi="Arial"/>
          <w:sz w:val="17"/>
          <w:szCs w:val="17"/>
          <w:color w:val="auto"/>
        </w:rPr>
      </w:pPr>
    </w:p>
    <w:p>
      <w:pPr>
        <w:ind w:left="1260" w:hanging="17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and</w:t>
      </w:r>
    </w:p>
    <w:p>
      <w:pPr>
        <w:spacing w:after="0" w:line="96" w:lineRule="exact"/>
        <w:rPr>
          <w:rFonts w:ascii="Arial" w:cs="Arial" w:eastAsia="Arial" w:hAnsi="Arial"/>
          <w:sz w:val="17"/>
          <w:szCs w:val="17"/>
          <w:color w:val="auto"/>
        </w:rPr>
      </w:pPr>
    </w:p>
    <w:p>
      <w:pPr>
        <w:ind w:left="1260" w:hanging="178"/>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767"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i w:val="1"/>
          <w:iCs w:val="1"/>
          <w:color w:val="auto"/>
        </w:rPr>
        <w:t>Hosted Services- Business Revenue</w:t>
      </w:r>
    </w:p>
    <w:p>
      <w:pPr>
        <w:spacing w:after="0" w:line="211" w:lineRule="exact"/>
        <w:rPr>
          <w:sz w:val="20"/>
          <w:szCs w:val="20"/>
          <w:color w:val="auto"/>
        </w:rPr>
      </w:pPr>
    </w:p>
    <w:p>
      <w:pPr>
        <w:jc w:val="both"/>
        <w:ind w:firstLine="610"/>
        <w:spacing w:after="0" w:line="269" w:lineRule="auto"/>
        <w:rPr>
          <w:sz w:val="20"/>
          <w:szCs w:val="20"/>
          <w:color w:val="auto"/>
        </w:rPr>
      </w:pPr>
      <w:r>
        <w:rPr>
          <w:rFonts w:ascii="Arial" w:cs="Arial" w:eastAsia="Arial" w:hAnsi="Arial"/>
          <w:sz w:val="16"/>
          <w:szCs w:val="16"/>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the fee for the hosted services through to our customers in the form of a fixed fee for each order placed via our online engagement solutions. For these Gainshare (formerly Pay for Performance) arrangements in accordance with ASC 606, "Principal Agent Considerations", we act as a principal in a transaction if it controls the specified goods or services before they are transferred to the customer.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 Revenues</w:t>
      </w:r>
    </w:p>
    <w:p>
      <w:pPr>
        <w:spacing w:after="0" w:line="211" w:lineRule="exact"/>
        <w:rPr>
          <w:sz w:val="20"/>
          <w:szCs w:val="20"/>
          <w:color w:val="auto"/>
        </w:rPr>
      </w:pPr>
    </w:p>
    <w:p>
      <w:pPr>
        <w:jc w:val="both"/>
        <w:ind w:firstLine="610"/>
        <w:spacing w:after="0" w:line="291" w:lineRule="auto"/>
        <w:rPr>
          <w:sz w:val="20"/>
          <w:szCs w:val="20"/>
          <w:color w:val="auto"/>
        </w:rPr>
      </w:pPr>
      <w:r>
        <w:rPr>
          <w:rFonts w:ascii="Arial" w:cs="Arial" w:eastAsia="Arial" w:hAnsi="Arial"/>
          <w:sz w:val="15"/>
          <w:szCs w:val="15"/>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Contracts with Multiple Performance Obligations</w:t>
      </w:r>
    </w:p>
    <w:p>
      <w:pPr>
        <w:spacing w:after="0" w:line="211"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Hosted Services- Consumer Revenue</w:t>
      </w:r>
    </w:p>
    <w:p>
      <w:pPr>
        <w:spacing w:after="0" w:line="211" w:lineRule="exact"/>
        <w:rPr>
          <w:sz w:val="20"/>
          <w:szCs w:val="20"/>
          <w:color w:val="auto"/>
        </w:rPr>
      </w:pPr>
    </w:p>
    <w:p>
      <w:pPr>
        <w:ind w:right="20" w:firstLine="610"/>
        <w:spacing w:after="0" w:line="255" w:lineRule="auto"/>
        <w:rPr>
          <w:sz w:val="20"/>
          <w:szCs w:val="20"/>
          <w:color w:val="auto"/>
        </w:rPr>
      </w:pPr>
      <w:r>
        <w:rPr>
          <w:rFonts w:ascii="Arial" w:cs="Arial" w:eastAsia="Arial" w:hAnsi="Arial"/>
          <w:sz w:val="17"/>
          <w:szCs w:val="17"/>
          <w:color w:val="auto"/>
        </w:rPr>
        <w:t>For revenue from our Consumer segment generated from online transactions between Experts and Users, revenue is recognized at an amount net of Expert fees in accordance with ASC 606,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Revenues</w:t>
      </w:r>
    </w:p>
    <w:p>
      <w:pPr>
        <w:spacing w:after="0" w:line="211" w:lineRule="exact"/>
        <w:rPr>
          <w:sz w:val="20"/>
          <w:szCs w:val="20"/>
          <w:color w:val="auto"/>
        </w:rPr>
      </w:pPr>
    </w:p>
    <w:p>
      <w:pPr>
        <w:ind w:right="380" w:firstLine="610"/>
        <w:spacing w:after="0" w:line="261" w:lineRule="auto"/>
        <w:rPr>
          <w:sz w:val="20"/>
          <w:szCs w:val="20"/>
          <w:color w:val="auto"/>
        </w:rPr>
      </w:pPr>
      <w:r>
        <w:rPr>
          <w:rFonts w:ascii="Arial" w:cs="Arial" w:eastAsia="Arial" w:hAnsi="Arial"/>
          <w:sz w:val="17"/>
          <w:szCs w:val="17"/>
          <w:color w:val="auto"/>
        </w:rPr>
        <w:t>We record deferred revenues when cash payments are received or due in advance of our performance. The increase in the deferred revenue balance as of September 30, 2019 is primarily driven by cash payments received or due in advance of satisfying our performance obligations, partially offset by $37.8 million of revenues recognized that were included in the deferred revenue balance as of December 31, 2018.</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59"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i w:val="1"/>
          <w:iCs w:val="1"/>
          <w:color w:val="auto"/>
        </w:rPr>
        <w:t>Stock-Based Compensation</w:t>
      </w:r>
    </w:p>
    <w:p>
      <w:pPr>
        <w:spacing w:after="0" w:line="135"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63"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As of September 30, 2019, we accrued approximately $2.6 million and $7.4 million in cash awards to be settled in shares of our stock and recorded a corresponding expense, which is included as a component of stock-based compensation expense in the accompanying condensed consolidated financial statements for the three and nine months ended September 30, 2019, respectively.</w:t>
      </w:r>
    </w:p>
    <w:p>
      <w:pPr>
        <w:spacing w:after="0" w:line="7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As of September 30, 2019, there was approximately $22.1 million of total unrecognized compensation cost related to nonvested share-based compensation arrangements. That cost is expected to be recognized over a weighted average period of approximately 2.6 years. As of September 30, 2019, there was approximately $59.1 million of total unrecognized compensation cost related to nonvested restricted stock units. That cost is expected to be recognized over the remaining weighted average period of approximately 2.9 years.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w:t>
      </w:r>
    </w:p>
    <w:p>
      <w:pPr>
        <w:spacing w:after="0" w:line="110"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During the nine months ended September 30, 2019 we increased our allowance for doubtful accounts by $0.6 million to approximately $2.9 million. During 2018, we increased our allowance for doubtful accounts by $1.0 million to $2.3 million.</w:t>
      </w:r>
    </w:p>
    <w:p>
      <w:pPr>
        <w:spacing w:after="0" w:line="56"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10" w:lineRule="exact"/>
        <w:rPr>
          <w:sz w:val="20"/>
          <w:szCs w:val="20"/>
          <w:color w:val="auto"/>
        </w:rPr>
      </w:pPr>
    </w:p>
    <w:p>
      <w:pPr>
        <w:jc w:val="both"/>
        <w:ind w:firstLine="610"/>
        <w:spacing w:after="0" w:line="287" w:lineRule="auto"/>
        <w:rPr>
          <w:sz w:val="20"/>
          <w:szCs w:val="20"/>
          <w:color w:val="auto"/>
        </w:rPr>
      </w:pPr>
      <w:r>
        <w:rPr>
          <w:rFonts w:ascii="Arial" w:cs="Arial" w:eastAsia="Arial" w:hAnsi="Arial"/>
          <w:sz w:val="15"/>
          <w:szCs w:val="15"/>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Financial Accounting Standards Board issued ASU No. 2011-08, Intangibles — Goodwill and Other (Topic 350) (“ASU 2011-08”).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62" w:lineRule="exact"/>
        <w:rPr>
          <w:sz w:val="20"/>
          <w:szCs w:val="20"/>
          <w:color w:val="auto"/>
        </w:rPr>
      </w:pPr>
    </w:p>
    <w:p>
      <w:pPr>
        <w:jc w:val="both"/>
        <w:ind w:firstLine="610"/>
        <w:spacing w:after="0" w:line="219" w:lineRule="auto"/>
        <w:rPr>
          <w:sz w:val="20"/>
          <w:szCs w:val="20"/>
          <w:color w:val="auto"/>
        </w:rPr>
      </w:pPr>
      <w:r>
        <w:rPr>
          <w:rFonts w:ascii="Arial" w:cs="Arial" w:eastAsia="Arial" w:hAnsi="Arial"/>
          <w:sz w:val="17"/>
          <w:szCs w:val="17"/>
          <w:color w:val="auto"/>
        </w:rPr>
        <w:t>We evaluate for goodwill impairment annually on September 30</w:t>
      </w:r>
      <w:r>
        <w:rPr>
          <w:rFonts w:ascii="Arial" w:cs="Arial" w:eastAsia="Arial" w:hAnsi="Arial"/>
          <w:sz w:val="23"/>
          <w:szCs w:val="23"/>
          <w:color w:val="auto"/>
          <w:vertAlign w:val="superscript"/>
        </w:rPr>
        <w:t>th</w:t>
      </w:r>
      <w:r>
        <w:rPr>
          <w:rFonts w:ascii="Arial" w:cs="Arial" w:eastAsia="Arial" w:hAnsi="Arial"/>
          <w:sz w:val="17"/>
          <w:szCs w:val="17"/>
          <w:color w:val="auto"/>
        </w:rPr>
        <w:t>. On September 30, 2019, we determined that it was not more-likely that the fair value of the reporting units are less than their carrying amount. Accordingly, we did not perform the two-step goodwill impairment test.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559"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color w:val="auto"/>
        </w:rPr>
        <w:t>Impairment of Long-Lived Assets</w:t>
      </w:r>
    </w:p>
    <w:p>
      <w:pPr>
        <w:spacing w:after="0" w:line="110"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we consider to be impaired.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Contingencies</w:t>
      </w:r>
    </w:p>
    <w:p>
      <w:pPr>
        <w:spacing w:after="0" w:line="148"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14, Legal Matters, of the Notes to the Condensed Consolidated Financial Statements for additional information on our legal proceedings and litigation.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1 to Condensed Consolidated Financial Statements for a full description of recently issued accounting standards.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1 to Condensed Consolidated Financial Statements for a full description of recently adopted accounting pronouncements.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110" w:lineRule="exact"/>
        <w:rPr>
          <w:sz w:val="20"/>
          <w:szCs w:val="20"/>
          <w:color w:val="auto"/>
        </w:rPr>
      </w:pPr>
    </w:p>
    <w:p>
      <w:pPr>
        <w:jc w:val="both"/>
        <w:ind w:firstLine="610"/>
        <w:spacing w:after="0" w:line="271" w:lineRule="auto"/>
        <w:rPr>
          <w:sz w:val="20"/>
          <w:szCs w:val="20"/>
          <w:color w:val="auto"/>
        </w:rPr>
      </w:pPr>
      <w:r>
        <w:rPr>
          <w:rFonts w:ascii="Arial" w:cs="Arial" w:eastAsia="Arial" w:hAnsi="Arial"/>
          <w:sz w:val="16"/>
          <w:szCs w:val="16"/>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 Revenues are recognized when control of the promised goods or services is transferred to our customers, in an amount that reflects the consideration we expect to be entitled to in exchange for those goods or services.</w:t>
      </w:r>
    </w:p>
    <w:p>
      <w:pPr>
        <w:spacing w:after="0" w:line="71"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Revenue from our Business segment accounted for 91% of total revenue for three and nine months ended September 30, 2019. Revenue from our Business segment accounted for 92% of total revenue for the three and nine months ended September 30, 2018. Revenue attributable to our monthly hosted Business services accounted for 84% of total Business revenue for both the three and nine months ended September 30, 2019 and 2018.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83"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Revenue from our Consumer segment is generated from online transactions between Experts and Users and is recognized net of Expert fees and accounted for approximately 9% of total revenue for the three and nine months ended September 30, 2019. Revenue from our Consumer segment accounted for approximately 8% of total revenue for the three and nine months ended September 30, 2019 and September 30, 2018.</w:t>
      </w:r>
    </w:p>
    <w:p>
      <w:pPr>
        <w:spacing w:after="0" w:line="74"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and Expenses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cost of revenue consists of:</w:t>
      </w:r>
    </w:p>
    <w:p>
      <w:pPr>
        <w:spacing w:after="0" w:line="110" w:lineRule="exact"/>
        <w:rPr>
          <w:sz w:val="20"/>
          <w:szCs w:val="20"/>
          <w:color w:val="auto"/>
        </w:rPr>
      </w:pPr>
    </w:p>
    <w:p>
      <w:pPr>
        <w:ind w:left="1140" w:hanging="300"/>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compensation costs relating to employees who provide customer support and implementation services to our customers;</w:t>
      </w:r>
    </w:p>
    <w:p>
      <w:pPr>
        <w:spacing w:after="0" w:line="109" w:lineRule="exact"/>
        <w:rPr>
          <w:rFonts w:ascii="Arial" w:cs="Arial" w:eastAsia="Arial" w:hAnsi="Arial"/>
          <w:sz w:val="17"/>
          <w:szCs w:val="17"/>
          <w:color w:val="auto"/>
        </w:rPr>
      </w:pPr>
    </w:p>
    <w:p>
      <w:pPr>
        <w:ind w:left="1140" w:hanging="300"/>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outside labor provider costs;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559" w:right="239" w:bottom="1440" w:gutter="0" w:footer="0" w:header="0"/>
        </w:sectPr>
      </w:pPr>
    </w:p>
    <w:bookmarkStart w:id="41" w:name="page42"/>
    <w:bookmarkEnd w:id="41"/>
    <w:p>
      <w:pPr>
        <w:ind w:left="1140" w:hanging="300"/>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compensation costs relating to our network support staff;</w:t>
      </w:r>
    </w:p>
    <w:p>
      <w:pPr>
        <w:spacing w:after="0" w:line="109" w:lineRule="exact"/>
        <w:rPr>
          <w:rFonts w:ascii="Arial" w:cs="Arial" w:eastAsia="Arial" w:hAnsi="Arial"/>
          <w:sz w:val="17"/>
          <w:szCs w:val="17"/>
          <w:color w:val="auto"/>
        </w:rPr>
      </w:pPr>
    </w:p>
    <w:p>
      <w:pPr>
        <w:ind w:left="1140" w:hanging="300"/>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depreciation of certain hardware and software;</w:t>
      </w:r>
    </w:p>
    <w:p>
      <w:pPr>
        <w:spacing w:after="0" w:line="109" w:lineRule="exact"/>
        <w:rPr>
          <w:rFonts w:ascii="Arial" w:cs="Arial" w:eastAsia="Arial" w:hAnsi="Arial"/>
          <w:sz w:val="17"/>
          <w:szCs w:val="17"/>
          <w:color w:val="auto"/>
        </w:rPr>
      </w:pPr>
    </w:p>
    <w:p>
      <w:pPr>
        <w:ind w:left="1140" w:hanging="300"/>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allocated occupancy costs and related overhead;</w:t>
      </w:r>
    </w:p>
    <w:p>
      <w:pPr>
        <w:spacing w:after="0" w:line="109" w:lineRule="exact"/>
        <w:rPr>
          <w:rFonts w:ascii="Arial" w:cs="Arial" w:eastAsia="Arial" w:hAnsi="Arial"/>
          <w:sz w:val="17"/>
          <w:szCs w:val="17"/>
          <w:color w:val="auto"/>
        </w:rPr>
      </w:pPr>
    </w:p>
    <w:p>
      <w:pPr>
        <w:ind w:left="1140" w:hanging="300"/>
        <w:spacing w:after="0"/>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21" w:lineRule="exact"/>
        <w:rPr>
          <w:rFonts w:ascii="Arial" w:cs="Arial" w:eastAsia="Arial" w:hAnsi="Arial"/>
          <w:sz w:val="16"/>
          <w:szCs w:val="16"/>
          <w:color w:val="auto"/>
        </w:rPr>
      </w:pPr>
    </w:p>
    <w:p>
      <w:pPr>
        <w:ind w:left="1140" w:hanging="300"/>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credit card fees and related payment processing costs associated with consumer and self-service customers; and</w:t>
      </w:r>
    </w:p>
    <w:p>
      <w:pPr>
        <w:spacing w:after="0" w:line="109" w:lineRule="exact"/>
        <w:rPr>
          <w:rFonts w:ascii="Arial" w:cs="Arial" w:eastAsia="Arial" w:hAnsi="Arial"/>
          <w:sz w:val="17"/>
          <w:szCs w:val="17"/>
          <w:color w:val="auto"/>
        </w:rPr>
      </w:pPr>
    </w:p>
    <w:p>
      <w:pPr>
        <w:ind w:left="1140" w:hanging="300"/>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amortization of certain intangibles.</w:t>
      </w:r>
    </w:p>
    <w:p>
      <w:pPr>
        <w:spacing w:after="0" w:line="110" w:lineRule="exact"/>
        <w:rPr>
          <w:sz w:val="20"/>
          <w:szCs w:val="20"/>
          <w:color w:val="auto"/>
        </w:rPr>
      </w:pPr>
    </w:p>
    <w:p>
      <w:pPr>
        <w:jc w:val="both"/>
        <w:ind w:left="60" w:firstLine="610"/>
        <w:spacing w:after="0" w:line="261" w:lineRule="auto"/>
        <w:rPr>
          <w:sz w:val="20"/>
          <w:szCs w:val="20"/>
          <w:color w:val="auto"/>
        </w:rPr>
      </w:pPr>
      <w:r>
        <w:rPr>
          <w:rFonts w:ascii="Arial" w:cs="Arial" w:eastAsia="Arial" w:hAnsi="Arial"/>
          <w:sz w:val="17"/>
          <w:szCs w:val="17"/>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4" w:lineRule="exact"/>
        <w:rPr>
          <w:sz w:val="20"/>
          <w:szCs w:val="20"/>
          <w:color w:val="auto"/>
        </w:rPr>
      </w:pPr>
    </w:p>
    <w:p>
      <w:pPr>
        <w:ind w:firstLine="610"/>
        <w:spacing w:after="0" w:line="341" w:lineRule="auto"/>
        <w:rPr>
          <w:sz w:val="20"/>
          <w:szCs w:val="20"/>
          <w:color w:val="auto"/>
        </w:rPr>
      </w:pPr>
      <w:r>
        <w:rPr>
          <w:rFonts w:ascii="Arial" w:cs="Arial" w:eastAsia="Arial" w:hAnsi="Arial"/>
          <w:sz w:val="15"/>
          <w:szCs w:val="15"/>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18" w:lineRule="exact"/>
        <w:rPr>
          <w:sz w:val="20"/>
          <w:szCs w:val="20"/>
          <w:color w:val="auto"/>
        </w:rPr>
      </w:pPr>
    </w:p>
    <w:p>
      <w:pPr>
        <w:ind w:firstLine="610"/>
        <w:spacing w:after="0" w:line="341" w:lineRule="auto"/>
        <w:rPr>
          <w:sz w:val="20"/>
          <w:szCs w:val="20"/>
          <w:color w:val="auto"/>
        </w:rPr>
      </w:pPr>
      <w:r>
        <w:rPr>
          <w:rFonts w:ascii="Arial" w:cs="Arial" w:eastAsia="Arial" w:hAnsi="Arial"/>
          <w:sz w:val="15"/>
          <w:szCs w:val="15"/>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Non-Cash Compensation Expense</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net non-cash compensation amounts are as follows:</w:t>
      </w:r>
    </w:p>
    <w:p>
      <w:pPr>
        <w:sectPr>
          <w:pgSz w:w="11900" w:h="16838" w:orient="portrait"/>
          <w:cols w:equalWidth="0" w:num="1">
            <w:col w:w="11420"/>
          </w:cols>
          <w:pgMar w:left="240" w:top="559" w:right="239" w:bottom="1440" w:gutter="0" w:footer="0" w:header="0"/>
        </w:sect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30480</wp:posOffset>
            </wp:positionV>
            <wp:extent cx="1960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109" w:lineRule="exact"/>
        <w:rPr>
          <w:sz w:val="20"/>
          <w:szCs w:val="20"/>
          <w:color w:val="auto"/>
        </w:rPr>
      </w:pPr>
    </w:p>
    <w:p>
      <w:pPr>
        <w:ind w:left="5760"/>
        <w:spacing w:after="0"/>
        <w:tabs>
          <w:tab w:leader="none" w:pos="73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3268980</wp:posOffset>
            </wp:positionH>
            <wp:positionV relativeFrom="paragraph">
              <wp:posOffset>15875</wp:posOffset>
            </wp:positionV>
            <wp:extent cx="1960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73"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4875" cy="169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30480</wp:posOffset>
            </wp:positionV>
            <wp:extent cx="1952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109"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15875</wp:posOffset>
            </wp:positionV>
            <wp:extent cx="1952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(in thousands)</w:t>
      </w:r>
    </w:p>
    <w:p>
      <w:pPr>
        <w:spacing w:after="0" w:line="67" w:lineRule="exact"/>
        <w:rPr>
          <w:sz w:val="20"/>
          <w:szCs w:val="20"/>
          <w:color w:val="auto"/>
        </w:rPr>
      </w:pPr>
    </w:p>
    <w:p>
      <w:pPr>
        <w:sectPr>
          <w:pgSz w:w="11900" w:h="16838" w:orient="portrait"/>
          <w:cols w:equalWidth="0" w:num="2">
            <w:col w:w="8180" w:space="720"/>
            <w:col w:w="2520"/>
          </w:cols>
          <w:pgMar w:left="240" w:top="559" w:right="239" w:bottom="1440" w:gutter="0" w:footer="0" w:header="0"/>
          <w:type w:val="continuous"/>
        </w:sectPr>
      </w:pPr>
    </w:p>
    <w:p>
      <w:pPr>
        <w:ind w:left="20"/>
        <w:spacing w:after="0"/>
        <w:tabs>
          <w:tab w:leader="none" w:pos="5160" w:val="left"/>
          <w:tab w:leader="none" w:pos="6160" w:val="left"/>
          <w:tab w:leader="none" w:pos="6760" w:val="left"/>
          <w:tab w:leader="none" w:pos="7760" w:val="left"/>
          <w:tab w:leader="none" w:pos="8360" w:val="left"/>
          <w:tab w:leader="none" w:pos="9280" w:val="left"/>
          <w:tab w:leader="none" w:pos="9960" w:val="left"/>
          <w:tab w:leader="none" w:pos="10880" w:val="left"/>
        </w:tabs>
        <w:rPr>
          <w:sz w:val="20"/>
          <w:szCs w:val="20"/>
          <w:color w:val="auto"/>
        </w:rPr>
      </w:pPr>
      <w:r>
        <w:rPr>
          <w:rFonts w:ascii="Arial" w:cs="Arial" w:eastAsia="Arial" w:hAnsi="Arial"/>
          <w:sz w:val="15"/>
          <w:szCs w:val="15"/>
          <w:color w:val="auto"/>
        </w:rPr>
        <w:t>Stock-based compensation expense</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9,068</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4,074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25,539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10,338</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Results of Operations</w:t>
      </w:r>
    </w:p>
    <w:p>
      <w:pPr>
        <w:spacing w:after="0" w:line="110"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w:t>
      </w:r>
    </w:p>
    <w:p>
      <w:pPr>
        <w:spacing w:after="0" w:line="179" w:lineRule="exact"/>
        <w:rPr>
          <w:sz w:val="20"/>
          <w:szCs w:val="20"/>
          <w:color w:val="auto"/>
        </w:rPr>
      </w:pPr>
    </w:p>
    <w:p>
      <w:pPr>
        <w:ind w:right="80" w:firstLine="610"/>
        <w:spacing w:after="0" w:line="273" w:lineRule="auto"/>
        <w:rPr>
          <w:sz w:val="20"/>
          <w:szCs w:val="20"/>
          <w:color w:val="auto"/>
        </w:rPr>
      </w:pPr>
      <w:r>
        <w:rPr>
          <w:rFonts w:ascii="Arial" w:cs="Arial" w:eastAsia="Arial" w:hAnsi="Arial"/>
          <w:sz w:val="17"/>
          <w:szCs w:val="17"/>
          <w:color w:val="auto"/>
        </w:rPr>
        <w:t>During the first three quarters of 2019, we have made increasing investments in sales and development capacity and marketing programs in order to maximize in-year productivity. These investments have contributed to losses in the first three quarters of 2019.</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Comparison of the Three and Nine Months Ended September 30, 2019 and 2018</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Revenue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right"/>
              <w:ind w:right="366"/>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406"/>
              <w:spacing w:after="0"/>
              <w:rPr>
                <w:sz w:val="20"/>
                <w:szCs w:val="20"/>
                <w:color w:val="auto"/>
              </w:rPr>
            </w:pPr>
            <w:r>
              <w:rPr>
                <w:rFonts w:ascii="Arial" w:cs="Arial" w:eastAsia="Arial" w:hAnsi="Arial"/>
                <w:sz w:val="14"/>
                <w:szCs w:val="14"/>
                <w:b w:val="1"/>
                <w:bCs w:val="1"/>
                <w:color w:val="auto"/>
              </w:rPr>
              <w:t>Nine Months Ended September 30,</w:t>
            </w:r>
          </w:p>
        </w:tc>
      </w:tr>
      <w:tr>
        <w:trPr>
          <w:trHeight w:val="247"/>
        </w:trPr>
        <w:tc>
          <w:tcPr>
            <w:tcW w:w="5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 Change</w:t>
            </w:r>
          </w:p>
        </w:tc>
      </w:tr>
      <w:tr>
        <w:trPr>
          <w:trHeight w:val="245"/>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1"/>
                <w:szCs w:val="21"/>
                <w:color w:val="auto"/>
              </w:rPr>
            </w:pPr>
          </w:p>
        </w:tc>
      </w:tr>
      <w:tr>
        <w:trPr>
          <w:trHeight w:val="224"/>
        </w:trPr>
        <w:tc>
          <w:tcPr>
            <w:tcW w:w="5260" w:type="dxa"/>
            <w:vAlign w:val="bottom"/>
          </w:tcPr>
          <w:p>
            <w:pPr>
              <w:ind w:left="20"/>
              <w:spacing w:after="0"/>
              <w:rPr>
                <w:sz w:val="20"/>
                <w:szCs w:val="20"/>
                <w:color w:val="auto"/>
              </w:rPr>
            </w:pPr>
            <w:r>
              <w:rPr>
                <w:rFonts w:ascii="Arial" w:cs="Arial" w:eastAsia="Arial" w:hAnsi="Arial"/>
                <w:sz w:val="15"/>
                <w:szCs w:val="15"/>
                <w:color w:val="auto"/>
              </w:rPr>
              <w:t>Revenue by Segment:</w:t>
            </w: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4"/>
        </w:trPr>
        <w:tc>
          <w:tcPr>
            <w:tcW w:w="526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5"/>
                <w:szCs w:val="15"/>
                <w:color w:val="auto"/>
              </w:rPr>
              <w:t>Business</w:t>
            </w: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FFCC"/>
            </w:tcBorders>
            <w:shd w:val="clear" w:color="auto" w:fill="CCFFCC"/>
          </w:tcPr>
          <w:p>
            <w:pPr>
              <w:jc w:val="right"/>
              <w:ind w:right="48"/>
              <w:spacing w:after="0"/>
              <w:rPr>
                <w:sz w:val="20"/>
                <w:szCs w:val="20"/>
                <w:color w:val="auto"/>
              </w:rPr>
            </w:pPr>
            <w:r>
              <w:rPr>
                <w:rFonts w:ascii="Arial" w:cs="Arial" w:eastAsia="Arial" w:hAnsi="Arial"/>
                <w:sz w:val="15"/>
                <w:szCs w:val="15"/>
                <w:color w:val="auto"/>
              </w:rPr>
              <w:t>68,471</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59,337</w:t>
            </w:r>
          </w:p>
        </w:tc>
        <w:tc>
          <w:tcPr>
            <w:tcW w:w="12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FFCC"/>
            </w:tcBorders>
            <w:shd w:val="clear" w:color="auto" w:fill="CCFFCC"/>
          </w:tcPr>
          <w:p>
            <w:pPr>
              <w:jc w:val="right"/>
              <w:ind w:right="48"/>
              <w:spacing w:after="0"/>
              <w:rPr>
                <w:sz w:val="20"/>
                <w:szCs w:val="20"/>
                <w:color w:val="auto"/>
              </w:rPr>
            </w:pPr>
            <w:r>
              <w:rPr>
                <w:rFonts w:ascii="Arial" w:cs="Arial" w:eastAsia="Arial" w:hAnsi="Arial"/>
                <w:sz w:val="15"/>
                <w:szCs w:val="15"/>
                <w:color w:val="auto"/>
              </w:rPr>
              <w:t>194,301</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CCFFCC"/>
            </w:tcBorders>
            <w:shd w:val="clear" w:color="auto" w:fill="CCFFCC"/>
          </w:tcPr>
          <w:p>
            <w:pPr>
              <w:jc w:val="right"/>
              <w:ind w:right="26"/>
              <w:spacing w:after="0"/>
              <w:rPr>
                <w:sz w:val="20"/>
                <w:szCs w:val="20"/>
                <w:color w:val="auto"/>
              </w:rPr>
            </w:pPr>
            <w:r>
              <w:rPr>
                <w:rFonts w:ascii="Arial" w:cs="Arial" w:eastAsia="Arial" w:hAnsi="Arial"/>
                <w:sz w:val="15"/>
                <w:szCs w:val="15"/>
                <w:color w:val="auto"/>
              </w:rPr>
              <w:t>169,606</w:t>
            </w:r>
          </w:p>
        </w:tc>
        <w:tc>
          <w:tcPr>
            <w:tcW w:w="1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15%</w:t>
            </w:r>
          </w:p>
        </w:tc>
      </w:tr>
      <w:tr>
        <w:trPr>
          <w:trHeight w:val="224"/>
        </w:trPr>
        <w:tc>
          <w:tcPr>
            <w:tcW w:w="5260" w:type="dxa"/>
            <w:vAlign w:val="bottom"/>
          </w:tcPr>
          <w:p>
            <w:pPr>
              <w:ind w:left="260"/>
              <w:spacing w:after="0"/>
              <w:rPr>
                <w:sz w:val="20"/>
                <w:szCs w:val="20"/>
                <w:color w:val="auto"/>
              </w:rPr>
            </w:pPr>
            <w:r>
              <w:rPr>
                <w:rFonts w:ascii="Arial" w:cs="Arial" w:eastAsia="Arial" w:hAnsi="Arial"/>
                <w:sz w:val="15"/>
                <w:szCs w:val="15"/>
                <w:color w:val="auto"/>
              </w:rPr>
              <w:t>Consumer</w:t>
            </w:r>
          </w:p>
        </w:tc>
        <w:tc>
          <w:tcPr>
            <w:tcW w:w="220" w:type="dxa"/>
            <w:vAlign w:val="bottom"/>
          </w:tcPr>
          <w:p>
            <w:pPr>
              <w:spacing w:after="0"/>
              <w:rPr>
                <w:sz w:val="19"/>
                <w:szCs w:val="19"/>
                <w:color w:val="auto"/>
              </w:rPr>
            </w:pPr>
          </w:p>
        </w:tc>
        <w:tc>
          <w:tcPr>
            <w:tcW w:w="700" w:type="dxa"/>
            <w:vAlign w:val="bottom"/>
          </w:tcPr>
          <w:p>
            <w:pPr>
              <w:jc w:val="right"/>
              <w:ind w:right="48"/>
              <w:spacing w:after="0"/>
              <w:rPr>
                <w:sz w:val="20"/>
                <w:szCs w:val="20"/>
                <w:color w:val="auto"/>
              </w:rPr>
            </w:pPr>
            <w:r>
              <w:rPr>
                <w:rFonts w:ascii="Arial" w:cs="Arial" w:eastAsia="Arial" w:hAnsi="Arial"/>
                <w:sz w:val="15"/>
                <w:szCs w:val="15"/>
                <w:color w:val="auto"/>
              </w:rPr>
              <w:t>6,704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6"/>
              <w:spacing w:after="0"/>
              <w:rPr>
                <w:sz w:val="20"/>
                <w:szCs w:val="20"/>
                <w:color w:val="auto"/>
              </w:rPr>
            </w:pPr>
            <w:r>
              <w:rPr>
                <w:rFonts w:ascii="Arial" w:cs="Arial" w:eastAsia="Arial" w:hAnsi="Arial"/>
                <w:sz w:val="15"/>
                <w:szCs w:val="15"/>
                <w:color w:val="auto"/>
              </w:rPr>
              <w:t>4,876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48"/>
              <w:spacing w:after="0"/>
              <w:rPr>
                <w:sz w:val="20"/>
                <w:szCs w:val="20"/>
                <w:color w:val="auto"/>
              </w:rPr>
            </w:pPr>
            <w:r>
              <w:rPr>
                <w:rFonts w:ascii="Arial" w:cs="Arial" w:eastAsia="Arial" w:hAnsi="Arial"/>
                <w:sz w:val="15"/>
                <w:szCs w:val="15"/>
                <w:color w:val="auto"/>
              </w:rPr>
              <w:t>18,235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14,508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30"/>
        </w:trPr>
        <w:tc>
          <w:tcPr>
            <w:tcW w:w="52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7"/>
        </w:trPr>
        <w:tc>
          <w:tcPr>
            <w:tcW w:w="526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5"/>
                <w:szCs w:val="15"/>
                <w:color w:val="auto"/>
              </w:rPr>
              <w:t>75,175</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FFCC"/>
          </w:tcPr>
          <w:p>
            <w:pPr>
              <w:jc w:val="right"/>
              <w:ind w:right="26"/>
              <w:spacing w:after="0"/>
              <w:rPr>
                <w:sz w:val="20"/>
                <w:szCs w:val="20"/>
                <w:color w:val="auto"/>
              </w:rPr>
            </w:pPr>
            <w:r>
              <w:rPr>
                <w:rFonts w:ascii="Arial" w:cs="Arial" w:eastAsia="Arial" w:hAnsi="Arial"/>
                <w:sz w:val="15"/>
                <w:szCs w:val="15"/>
                <w:color w:val="auto"/>
              </w:rPr>
              <w:t>64,213</w:t>
            </w:r>
          </w:p>
        </w:tc>
        <w:tc>
          <w:tcPr>
            <w:tcW w:w="12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17%</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5"/>
                <w:szCs w:val="15"/>
                <w:color w:val="auto"/>
              </w:rPr>
              <w:t>212,536</w:t>
            </w:r>
          </w:p>
        </w:tc>
        <w:tc>
          <w:tcPr>
            <w:tcW w:w="10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FFCC"/>
          </w:tcPr>
          <w:p>
            <w:pPr>
              <w:jc w:val="right"/>
              <w:ind w:right="26"/>
              <w:spacing w:after="0"/>
              <w:rPr>
                <w:sz w:val="20"/>
                <w:szCs w:val="20"/>
                <w:color w:val="auto"/>
              </w:rPr>
            </w:pPr>
            <w:r>
              <w:rPr>
                <w:rFonts w:ascii="Arial" w:cs="Arial" w:eastAsia="Arial" w:hAnsi="Arial"/>
                <w:sz w:val="15"/>
                <w:szCs w:val="15"/>
                <w:color w:val="auto"/>
              </w:rPr>
              <w:t>184,114</w:t>
            </w:r>
          </w:p>
        </w:tc>
        <w:tc>
          <w:tcPr>
            <w:tcW w:w="12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15%</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559" w:right="239" w:bottom="1440" w:gutter="0" w:footer="0" w:header="0"/>
          <w:type w:val="continuous"/>
        </w:sectPr>
      </w:pPr>
    </w:p>
    <w:bookmarkStart w:id="42" w:name="page43"/>
    <w:bookmarkEnd w:id="42"/>
    <w:p>
      <w:pPr>
        <w:jc w:val="both"/>
        <w:ind w:firstLine="610"/>
        <w:spacing w:after="0" w:line="255" w:lineRule="auto"/>
        <w:rPr>
          <w:sz w:val="20"/>
          <w:szCs w:val="20"/>
          <w:color w:val="auto"/>
        </w:rPr>
      </w:pPr>
      <w:r>
        <w:rPr>
          <w:rFonts w:ascii="Arial" w:cs="Arial" w:eastAsia="Arial" w:hAnsi="Arial"/>
          <w:sz w:val="17"/>
          <w:szCs w:val="17"/>
          <w:color w:val="auto"/>
        </w:rPr>
        <w:t>Business revenue increased by 15% to $68.5 million and $194.3 million in the three months and nine months ended September 30, 2019, respectively, from $59.3 million and $169.6 million in the comparable periods in 2018. The increase in B2B revenue is driven mainly by increases in hosted services of $7.8 million and $17.2 million and in professional services of $1.4 million and $7.5 million year over year during the three months and nine months ended September 30, 2019, respectively. Included in hosted services, variable revenue, which includes gainshare and overage revenue, decreased by $1.4 million and $3.2 million during the three months and nine months ended September 30, 2019, respectively.</w:t>
      </w:r>
    </w:p>
    <w:p>
      <w:pPr>
        <w:spacing w:after="0" w:line="80" w:lineRule="exact"/>
        <w:rPr>
          <w:sz w:val="20"/>
          <w:szCs w:val="20"/>
          <w:color w:val="auto"/>
        </w:rPr>
      </w:pPr>
    </w:p>
    <w:p>
      <w:pPr>
        <w:jc w:val="both"/>
        <w:ind w:firstLine="610"/>
        <w:spacing w:after="0" w:line="291" w:lineRule="auto"/>
        <w:rPr>
          <w:sz w:val="20"/>
          <w:szCs w:val="20"/>
          <w:color w:val="auto"/>
        </w:rPr>
      </w:pPr>
      <w:r>
        <w:rPr>
          <w:rFonts w:ascii="Arial" w:cs="Arial" w:eastAsia="Arial" w:hAnsi="Arial"/>
          <w:sz w:val="15"/>
          <w:szCs w:val="15"/>
          <w:color w:val="auto"/>
        </w:rPr>
        <w:t>The increase in revenue is primarily attributed to increased contract signings with new customers and greater adoption of conversational commerce solutions by existing customers. In the third quarter, nearly 50% of our enterprise customers had adopted messaging, up from nearly 35% in the prior year period. LivePerson has developed a large ecosystem of conversational messaging endpoints that integrates to our platform, and is driving adoption of these endpoints along with bots and AI across care, sales, marketing, and brick and mortar use cases. As adoption increases, we are seeing higher revenue per customer. Our average annual revenue per enterprise and midmarket customer increased approximately 21% year over year to $330,000 in the trailing twelve months ended September 30, 2019, from $270,000 in the prior year period. Similarly, we are seeing strong revenue retention rates. Revenue retention for our enterprise and midmarket customers was within our target range of 105% to 115% for the period ended September 30, 2019, which marked the 11th consecutive quarter of a greater than 100% revenue retention rate. Finally, as we add sales capacity we are also increasing the number of deals we sign. Total deals signed increased 47% year over year in the third quarter of 2019.</w:t>
      </w:r>
    </w:p>
    <w:p>
      <w:pPr>
        <w:spacing w:after="0" w:line="55" w:lineRule="exact"/>
        <w:rPr>
          <w:sz w:val="20"/>
          <w:szCs w:val="20"/>
          <w:color w:val="auto"/>
        </w:rPr>
      </w:pPr>
    </w:p>
    <w:p>
      <w:pPr>
        <w:jc w:val="both"/>
        <w:ind w:firstLine="610"/>
        <w:spacing w:after="0" w:line="341" w:lineRule="auto"/>
        <w:rPr>
          <w:sz w:val="20"/>
          <w:szCs w:val="20"/>
          <w:color w:val="auto"/>
        </w:rPr>
      </w:pPr>
      <w:r>
        <w:rPr>
          <w:rFonts w:ascii="Arial" w:cs="Arial" w:eastAsia="Arial" w:hAnsi="Arial"/>
          <w:sz w:val="15"/>
          <w:szCs w:val="15"/>
          <w:color w:val="auto"/>
        </w:rPr>
        <w:t>Consumer revenue increased by 37% and 26% to $6.7 million and $18.2 million in the three months and nine months ended September 30, 2019, respectively, from $4.9 million and $14.5 million in the comparable periods in 2018. This variance is driven by an increase in price per minute and in volume of chat minutes.</w:t>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Cost of Revenue - Business</w:t>
      </w:r>
    </w:p>
    <w:p>
      <w:pPr>
        <w:spacing w:after="0" w:line="110" w:lineRule="exact"/>
        <w:rPr>
          <w:sz w:val="20"/>
          <w:szCs w:val="20"/>
          <w:color w:val="auto"/>
        </w:rPr>
      </w:pPr>
    </w:p>
    <w:p>
      <w:pPr>
        <w:jc w:val="both"/>
        <w:ind w:firstLine="610"/>
        <w:spacing w:after="0" w:line="341" w:lineRule="auto"/>
        <w:rPr>
          <w:sz w:val="20"/>
          <w:szCs w:val="20"/>
          <w:color w:val="auto"/>
        </w:rPr>
      </w:pPr>
      <w:r>
        <w:rPr>
          <w:rFonts w:ascii="Arial" w:cs="Arial" w:eastAsia="Arial" w:hAnsi="Arial"/>
          <w:sz w:val="15"/>
          <w:szCs w:val="15"/>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7"/>
        </w:trPr>
        <w:tc>
          <w:tcPr>
            <w:tcW w:w="5320" w:type="dxa"/>
            <w:vAlign w:val="bottom"/>
          </w:tcPr>
          <w:p>
            <w:pPr>
              <w:spacing w:after="0"/>
              <w:rPr>
                <w:sz w:val="21"/>
                <w:szCs w:val="21"/>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320" w:type="dxa"/>
            <w:vAlign w:val="bottom"/>
          </w:tcPr>
          <w:p>
            <w:pPr>
              <w:spacing w:after="0"/>
              <w:rPr>
                <w:sz w:val="21"/>
                <w:szCs w:val="21"/>
                <w:color w:val="auto"/>
              </w:rPr>
            </w:pPr>
          </w:p>
        </w:tc>
        <w:tc>
          <w:tcPr>
            <w:tcW w:w="1960" w:type="dxa"/>
            <w:vAlign w:val="bottom"/>
            <w:tcBorders>
              <w:top w:val="single" w:sz="8" w:color="auto"/>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320" w:type="dxa"/>
            <w:vAlign w:val="bottom"/>
          </w:tcPr>
          <w:p>
            <w:pPr>
              <w:ind w:left="20"/>
              <w:spacing w:after="0"/>
              <w:rPr>
                <w:sz w:val="20"/>
                <w:szCs w:val="20"/>
                <w:color w:val="auto"/>
              </w:rPr>
            </w:pPr>
            <w:r>
              <w:rPr>
                <w:rFonts w:ascii="Arial" w:cs="Arial" w:eastAsia="Arial" w:hAnsi="Arial"/>
                <w:sz w:val="15"/>
                <w:szCs w:val="15"/>
                <w:color w:val="auto"/>
              </w:rPr>
              <w:t>Cost of revenue - business</w:t>
            </w: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   18,950</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   14,695</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53,572</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   42,699</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25%</w:t>
            </w:r>
          </w:p>
        </w:tc>
      </w:tr>
      <w:tr>
        <w:trPr>
          <w:trHeight w:val="30"/>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Percentage of total revenue</w:t>
            </w: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25%</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25%</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320" w:type="dxa"/>
            <w:vAlign w:val="bottom"/>
          </w:tcPr>
          <w:p>
            <w:pPr>
              <w:ind w:left="20"/>
              <w:spacing w:after="0"/>
              <w:rPr>
                <w:sz w:val="20"/>
                <w:szCs w:val="20"/>
                <w:color w:val="auto"/>
              </w:rPr>
            </w:pPr>
            <w:r>
              <w:rPr>
                <w:rFonts w:ascii="Arial" w:cs="Arial" w:eastAsia="Arial" w:hAnsi="Arial"/>
                <w:sz w:val="15"/>
                <w:szCs w:val="15"/>
                <w:color w:val="auto"/>
              </w:rPr>
              <w:t>Headcount (at period end):</w:t>
            </w: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230</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207</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230</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207</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11%</w:t>
            </w:r>
          </w:p>
        </w:tc>
      </w:tr>
    </w:tbl>
    <w:p>
      <w:pPr>
        <w:spacing w:after="0" w:line="119"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Cost of revenue - business increased by 29% to $19.0 million in the three months ended September 30, 2019, from $14.7 million in the comparable period in 2018. This variance was primarily attributable to increases in outsourced labor and other business services of approximately $2.2 million in primary and backup server facilities, depreciation, and allocated overhead cost related to supporting our server and network infrastructure of approximately $1.3 million and in total compensation and related costs for customer service and network operations personnel of approximately $0.8 million.</w:t>
      </w:r>
    </w:p>
    <w:p>
      <w:pPr>
        <w:spacing w:after="0" w:line="63" w:lineRule="exact"/>
        <w:rPr>
          <w:sz w:val="20"/>
          <w:szCs w:val="20"/>
          <w:color w:val="auto"/>
        </w:rPr>
      </w:pPr>
    </w:p>
    <w:p>
      <w:pPr>
        <w:jc w:val="both"/>
        <w:ind w:firstLine="610"/>
        <w:spacing w:after="0" w:line="255" w:lineRule="auto"/>
        <w:rPr>
          <w:sz w:val="20"/>
          <w:szCs w:val="20"/>
          <w:color w:val="auto"/>
        </w:rPr>
      </w:pPr>
      <w:r>
        <w:rPr>
          <w:rFonts w:ascii="Arial" w:cs="Arial" w:eastAsia="Arial" w:hAnsi="Arial"/>
          <w:sz w:val="17"/>
          <w:szCs w:val="17"/>
          <w:color w:val="auto"/>
        </w:rPr>
        <w:t>Cost of revenue - business increased by 25% to $53.6 million in the nine months ended September 30, 2019, from $42.7 million in the comparable period in 2018. This variance was primarily attributable to increases in outsourced labor and other business services of approximately $8.7 million, related costs for customer service and network operations personnel of approximately $1.9 million in primary and backup server facilities, depreciation, and allocated overhead cost related to supporting our server and network infrastructure of approximately $0.3 million and in total compensation and related costs for consumer service and network operations personnel of approximately $1.0 million.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559" w:right="239" w:bottom="1440" w:gutter="0" w:footer="0" w:header="0"/>
        </w:sectPr>
      </w:pPr>
    </w:p>
    <w:bookmarkStart w:id="43" w:name="page44"/>
    <w:bookmarkEnd w:id="43"/>
    <w:p>
      <w:pPr>
        <w:ind w:left="620"/>
        <w:spacing w:after="0"/>
        <w:rPr>
          <w:sz w:val="20"/>
          <w:szCs w:val="20"/>
          <w:color w:val="auto"/>
        </w:rPr>
      </w:pPr>
      <w:r>
        <w:rPr>
          <w:rFonts w:ascii="Arial" w:cs="Arial" w:eastAsia="Arial" w:hAnsi="Arial"/>
          <w:sz w:val="17"/>
          <w:szCs w:val="17"/>
          <w:i w:val="1"/>
          <w:iCs w:val="1"/>
          <w:color w:val="auto"/>
        </w:rPr>
        <w:t>Cost of Revenue - Consumer</w:t>
      </w:r>
    </w:p>
    <w:p>
      <w:pPr>
        <w:spacing w:after="0" w:line="11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w w:val="98"/>
              </w:rPr>
              <w:t>Three Months Ended September 30,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247"/>
        </w:trPr>
        <w:tc>
          <w:tcPr>
            <w:tcW w:w="5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2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22"/>
        </w:trPr>
        <w:tc>
          <w:tcPr>
            <w:tcW w:w="5220" w:type="dxa"/>
            <w:vAlign w:val="bottom"/>
          </w:tcPr>
          <w:p>
            <w:pPr>
              <w:ind w:left="20"/>
              <w:spacing w:after="0"/>
              <w:rPr>
                <w:sz w:val="20"/>
                <w:szCs w:val="20"/>
                <w:color w:val="auto"/>
              </w:rPr>
            </w:pPr>
            <w:r>
              <w:rPr>
                <w:rFonts w:ascii="Arial" w:cs="Arial" w:eastAsia="Arial" w:hAnsi="Arial"/>
                <w:sz w:val="15"/>
                <w:szCs w:val="15"/>
                <w:color w:val="auto"/>
              </w:rPr>
              <w:t>Cost of revenue - consumer</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1,170</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6"/>
              <w:spacing w:after="0"/>
              <w:rPr>
                <w:sz w:val="20"/>
                <w:szCs w:val="20"/>
                <w:color w:val="auto"/>
              </w:rPr>
            </w:pPr>
            <w:r>
              <w:rPr>
                <w:rFonts w:ascii="Arial" w:cs="Arial" w:eastAsia="Arial" w:hAnsi="Arial"/>
                <w:sz w:val="15"/>
                <w:szCs w:val="15"/>
                <w:color w:val="auto"/>
              </w:rPr>
              <w:t>994</w:t>
            </w:r>
          </w:p>
        </w:tc>
        <w:tc>
          <w:tcPr>
            <w:tcW w:w="1420" w:type="dxa"/>
            <w:vAlign w:val="bottom"/>
            <w:gridSpan w:val="4"/>
          </w:tcPr>
          <w:p>
            <w:pPr>
              <w:jc w:val="right"/>
              <w:ind w:right="120"/>
              <w:spacing w:after="0"/>
              <w:rPr>
                <w:sz w:val="20"/>
                <w:szCs w:val="20"/>
                <w:color w:val="auto"/>
              </w:rPr>
            </w:pPr>
            <w:r>
              <w:rPr>
                <w:rFonts w:ascii="Arial" w:cs="Arial" w:eastAsia="Arial" w:hAnsi="Arial"/>
                <w:sz w:val="15"/>
                <w:szCs w:val="15"/>
                <w:color w:val="auto"/>
              </w:rPr>
              <w:t>18 %  $</w:t>
            </w: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3,246</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6"/>
              <w:spacing w:after="0"/>
              <w:rPr>
                <w:sz w:val="20"/>
                <w:szCs w:val="20"/>
                <w:color w:val="auto"/>
              </w:rPr>
            </w:pPr>
            <w:r>
              <w:rPr>
                <w:rFonts w:ascii="Arial" w:cs="Arial" w:eastAsia="Arial" w:hAnsi="Arial"/>
                <w:sz w:val="15"/>
                <w:szCs w:val="15"/>
                <w:color w:val="auto"/>
              </w:rPr>
              <w:t>2,980</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9 %</w:t>
            </w:r>
          </w:p>
        </w:tc>
      </w:tr>
      <w:tr>
        <w:trPr>
          <w:trHeight w:val="30"/>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4"/>
        </w:trPr>
        <w:tc>
          <w:tcPr>
            <w:tcW w:w="5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Percentage of total revenue</w:t>
            </w: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5"/>
                <w:szCs w:val="15"/>
                <w:color w:val="auto"/>
              </w:rPr>
              <w:t>Headcount (at period end)</w:t>
            </w: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15</w:t>
            </w:r>
          </w:p>
        </w:tc>
        <w:tc>
          <w:tcPr>
            <w:tcW w:w="260" w:type="dxa"/>
            <w:vAlign w:val="bottom"/>
          </w:tcPr>
          <w:p>
            <w:pPr>
              <w:spacing w:after="0"/>
              <w:rPr>
                <w:sz w:val="19"/>
                <w:szCs w:val="19"/>
                <w:color w:val="auto"/>
              </w:rPr>
            </w:pPr>
          </w:p>
        </w:tc>
        <w:tc>
          <w:tcPr>
            <w:tcW w:w="720" w:type="dxa"/>
            <w:vAlign w:val="bottom"/>
          </w:tcPr>
          <w:p>
            <w:pPr>
              <w:jc w:val="right"/>
              <w:ind w:right="86"/>
              <w:spacing w:after="0"/>
              <w:rPr>
                <w:sz w:val="20"/>
                <w:szCs w:val="20"/>
                <w:color w:val="auto"/>
              </w:rPr>
            </w:pPr>
            <w:r>
              <w:rPr>
                <w:rFonts w:ascii="Arial" w:cs="Arial" w:eastAsia="Arial" w:hAnsi="Arial"/>
                <w:sz w:val="15"/>
                <w:szCs w:val="15"/>
                <w:color w:val="auto"/>
              </w:rPr>
              <w:t>17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15</w:t>
            </w:r>
          </w:p>
        </w:tc>
        <w:tc>
          <w:tcPr>
            <w:tcW w:w="260" w:type="dxa"/>
            <w:vAlign w:val="bottom"/>
          </w:tcPr>
          <w:p>
            <w:pPr>
              <w:spacing w:after="0"/>
              <w:rPr>
                <w:sz w:val="19"/>
                <w:szCs w:val="19"/>
                <w:color w:val="auto"/>
              </w:rPr>
            </w:pPr>
          </w:p>
        </w:tc>
        <w:tc>
          <w:tcPr>
            <w:tcW w:w="720" w:type="dxa"/>
            <w:vAlign w:val="bottom"/>
          </w:tcPr>
          <w:p>
            <w:pPr>
              <w:jc w:val="right"/>
              <w:ind w:right="86"/>
              <w:spacing w:after="0"/>
              <w:rPr>
                <w:sz w:val="20"/>
                <w:szCs w:val="20"/>
                <w:color w:val="auto"/>
              </w:rPr>
            </w:pPr>
            <w:r>
              <w:rPr>
                <w:rFonts w:ascii="Arial" w:cs="Arial" w:eastAsia="Arial" w:hAnsi="Arial"/>
                <w:sz w:val="15"/>
                <w:szCs w:val="15"/>
                <w:color w:val="auto"/>
              </w:rPr>
              <w:t>17</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(12)%</w:t>
            </w:r>
          </w:p>
        </w:tc>
      </w:tr>
    </w:tbl>
    <w:p>
      <w:pPr>
        <w:spacing w:after="0" w:line="119"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Cost of revenue - consumer increased by 18% to $1.2 million in the three months ended September 30, 2019, from the comparable period in 2018. This variance was primarily attributable to increases in backup server facilities and allocated occupancy costs and overhead in credit card processing fees of approximately $0.2 million.</w:t>
      </w:r>
    </w:p>
    <w:p>
      <w:pPr>
        <w:spacing w:after="0" w:line="7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Cost of revenue - consumer increased by 9% to $3.2 million in the nine months ended September 30, 2019, from the comparable period in 2018. This variance was primarily attributable to increases in backup server facilities and depreciation and allocated occupancy costs and overhead in credit card processing fees of approximately $0.4 million which was partially offset by decreases in total compensation and related costs for customer service and network operations personnel of approximately $0.1 million.</w:t>
      </w:r>
    </w:p>
    <w:p>
      <w:pPr>
        <w:spacing w:after="0" w:line="38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Sales and Marketing - Business</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7"/>
        </w:trPr>
        <w:tc>
          <w:tcPr>
            <w:tcW w:w="5320" w:type="dxa"/>
            <w:vAlign w:val="bottom"/>
          </w:tcPr>
          <w:p>
            <w:pPr>
              <w:spacing w:after="0"/>
              <w:rPr>
                <w:sz w:val="21"/>
                <w:szCs w:val="21"/>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1"/>
                <w:szCs w:val="21"/>
                <w:color w:val="auto"/>
              </w:rPr>
            </w:pPr>
          </w:p>
        </w:tc>
        <w:tc>
          <w:tcPr>
            <w:tcW w:w="7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320" w:type="dxa"/>
            <w:vAlign w:val="bottom"/>
          </w:tcPr>
          <w:p>
            <w:pPr>
              <w:spacing w:after="0"/>
              <w:rPr>
                <w:sz w:val="21"/>
                <w:szCs w:val="21"/>
                <w:color w:val="auto"/>
              </w:rPr>
            </w:pPr>
          </w:p>
        </w:tc>
        <w:tc>
          <w:tcPr>
            <w:tcW w:w="1960" w:type="dxa"/>
            <w:vAlign w:val="bottom"/>
            <w:tcBorders>
              <w:top w:val="single" w:sz="8" w:color="auto"/>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320" w:type="dxa"/>
            <w:vAlign w:val="bottom"/>
          </w:tcPr>
          <w:p>
            <w:pPr>
              <w:ind w:left="20"/>
              <w:spacing w:after="0"/>
              <w:rPr>
                <w:sz w:val="20"/>
                <w:szCs w:val="20"/>
                <w:color w:val="auto"/>
              </w:rPr>
            </w:pPr>
            <w:r>
              <w:rPr>
                <w:rFonts w:ascii="Arial" w:cs="Arial" w:eastAsia="Arial" w:hAnsi="Arial"/>
                <w:sz w:val="15"/>
                <w:szCs w:val="15"/>
                <w:color w:val="auto"/>
              </w:rPr>
              <w:t>Sales and marketing - business</w:t>
            </w: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   37,512</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   24,391</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103,171</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   69,453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49%</w:t>
            </w:r>
          </w:p>
        </w:tc>
      </w:tr>
      <w:tr>
        <w:trPr>
          <w:trHeight w:val="30"/>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Percentage of total revenue</w:t>
            </w: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50%</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38%</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78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49%</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38%</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320" w:type="dxa"/>
            <w:vAlign w:val="bottom"/>
          </w:tcPr>
          <w:p>
            <w:pPr>
              <w:ind w:left="20"/>
              <w:spacing w:after="0"/>
              <w:rPr>
                <w:sz w:val="20"/>
                <w:szCs w:val="20"/>
                <w:color w:val="auto"/>
              </w:rPr>
            </w:pPr>
            <w:r>
              <w:rPr>
                <w:rFonts w:ascii="Arial" w:cs="Arial" w:eastAsia="Arial" w:hAnsi="Arial"/>
                <w:sz w:val="15"/>
                <w:szCs w:val="15"/>
                <w:color w:val="auto"/>
              </w:rPr>
              <w:t>Headcount (at period end):</w:t>
            </w: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463</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333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463</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333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39%</w:t>
            </w:r>
          </w:p>
        </w:tc>
      </w:tr>
    </w:tbl>
    <w:p>
      <w:pPr>
        <w:spacing w:after="0" w:line="119"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6"/>
          <w:szCs w:val="16"/>
          <w:color w:val="auto"/>
        </w:rPr>
        <w:t>Sales and marketing - business expenses increased by 54% to $37.5 million in the three months ended September 30, 2019 from $24.4 million in the comparable period in 2018. This variance was primarily attributable to an increase in salaries and related costs of approximately $7.6 million as we expanded sales capacity by adding sales reps, sales development reps and partner managers. The Company believes the market is moving from early adopters to mainstream, and is adding sales capacity to address demand. In addition, there was an increase in business services and outsourced subcontracted labor of approximately $2.6 million, an increase in marketing events, advertising, public relations, and tradeshow exhibit expenses of approximately $1.8 million, and an increase in allocated occupancy costs and overhead, depreciation, and software to support our sales personnel of approximately $1.1 million.</w:t>
      </w:r>
    </w:p>
    <w:p>
      <w:pPr>
        <w:spacing w:after="0" w:line="66" w:lineRule="exact"/>
        <w:rPr>
          <w:sz w:val="20"/>
          <w:szCs w:val="20"/>
          <w:color w:val="auto"/>
        </w:rPr>
      </w:pPr>
    </w:p>
    <w:p>
      <w:pPr>
        <w:jc w:val="both"/>
        <w:ind w:firstLine="610"/>
        <w:spacing w:after="0" w:line="297" w:lineRule="auto"/>
        <w:rPr>
          <w:sz w:val="20"/>
          <w:szCs w:val="20"/>
          <w:color w:val="auto"/>
        </w:rPr>
      </w:pPr>
      <w:r>
        <w:rPr>
          <w:rFonts w:ascii="Arial" w:cs="Arial" w:eastAsia="Arial" w:hAnsi="Arial"/>
          <w:sz w:val="15"/>
          <w:szCs w:val="15"/>
          <w:color w:val="auto"/>
        </w:rPr>
        <w:t>Sales and marketing - business expenses increased by 49% to $103.2 million in the nine months ended September 30, 2019 from $69.5 million in the comparable period in 2018. This variance was primarily attributable to an increase in salaries and related costs of approximately $21.4 million as we expanded sales capacity by adding sales reps, sales development reps and partner managers. In addition, there was an increase in allocated occupancy costs and overhead, depreciation, and software to support our sales personnel of approximately $4.7 million, an increase in marketing events, advertising, public relations, and tradeshow exhibit expenses of approximately $4.6 million and an increase in business services and outsourced subcontracted labor of approximately $3.4 million.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559" w:right="239" w:bottom="1440" w:gutter="0" w:footer="0" w:header="0"/>
        </w:sectPr>
      </w:pPr>
    </w:p>
    <w:bookmarkStart w:id="44" w:name="page45"/>
    <w:bookmarkEnd w:id="44"/>
    <w:p>
      <w:pPr>
        <w:ind w:left="620"/>
        <w:spacing w:after="0"/>
        <w:rPr>
          <w:sz w:val="20"/>
          <w:szCs w:val="20"/>
          <w:color w:val="auto"/>
        </w:rPr>
      </w:pPr>
      <w:r>
        <w:rPr>
          <w:rFonts w:ascii="Arial" w:cs="Arial" w:eastAsia="Arial" w:hAnsi="Arial"/>
          <w:sz w:val="17"/>
          <w:szCs w:val="17"/>
          <w:i w:val="1"/>
          <w:iCs w:val="1"/>
          <w:color w:val="auto"/>
        </w:rPr>
        <w:t>Sales and Marketing - Consumer</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Our sales and marketing expenses consist of compensation and related expenses for marketing personnel, as well as online promotion, public relations and allocated occupancy costs and related overhead.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4"/>
                <w:szCs w:val="14"/>
                <w:b w:val="1"/>
                <w:bCs w:val="1"/>
                <w:color w:val="auto"/>
                <w:w w:val="98"/>
              </w:rPr>
              <w:t>Three Months Ended September 30,</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7"/>
        </w:trPr>
        <w:tc>
          <w:tcPr>
            <w:tcW w:w="5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1"/>
                <w:szCs w:val="21"/>
                <w:color w:val="auto"/>
              </w:rPr>
            </w:pP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1"/>
                <w:szCs w:val="21"/>
                <w:color w:val="auto"/>
              </w:rPr>
            </w:pPr>
          </w:p>
        </w:tc>
        <w:tc>
          <w:tcPr>
            <w:tcW w:w="70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2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220" w:type="dxa"/>
            <w:vAlign w:val="bottom"/>
          </w:tcPr>
          <w:p>
            <w:pPr>
              <w:ind w:left="20"/>
              <w:spacing w:after="0"/>
              <w:rPr>
                <w:sz w:val="20"/>
                <w:szCs w:val="20"/>
                <w:color w:val="auto"/>
              </w:rPr>
            </w:pPr>
            <w:r>
              <w:rPr>
                <w:rFonts w:ascii="Arial" w:cs="Arial" w:eastAsia="Arial" w:hAnsi="Arial"/>
                <w:sz w:val="15"/>
                <w:szCs w:val="15"/>
                <w:color w:val="auto"/>
              </w:rPr>
              <w:t>Sales and marketing - consumer</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48"/>
              <w:spacing w:after="0"/>
              <w:rPr>
                <w:sz w:val="20"/>
                <w:szCs w:val="20"/>
                <w:color w:val="auto"/>
              </w:rPr>
            </w:pPr>
            <w:r>
              <w:rPr>
                <w:rFonts w:ascii="Arial" w:cs="Arial" w:eastAsia="Arial" w:hAnsi="Arial"/>
                <w:sz w:val="15"/>
                <w:szCs w:val="15"/>
                <w:color w:val="auto"/>
              </w:rPr>
              <w:t>4,262</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6"/>
              <w:spacing w:after="0"/>
              <w:rPr>
                <w:sz w:val="20"/>
                <w:szCs w:val="20"/>
                <w:color w:val="auto"/>
              </w:rPr>
            </w:pPr>
            <w:r>
              <w:rPr>
                <w:rFonts w:ascii="Arial" w:cs="Arial" w:eastAsia="Arial" w:hAnsi="Arial"/>
                <w:sz w:val="15"/>
                <w:szCs w:val="15"/>
                <w:color w:val="auto"/>
              </w:rPr>
              <w:t>2,357</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81%</w:t>
            </w:r>
          </w:p>
        </w:tc>
        <w:tc>
          <w:tcPr>
            <w:tcW w:w="20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10,982</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6"/>
              <w:spacing w:after="0"/>
              <w:rPr>
                <w:sz w:val="20"/>
                <w:szCs w:val="20"/>
                <w:color w:val="auto"/>
              </w:rPr>
            </w:pPr>
            <w:r>
              <w:rPr>
                <w:rFonts w:ascii="Arial" w:cs="Arial" w:eastAsia="Arial" w:hAnsi="Arial"/>
                <w:sz w:val="15"/>
                <w:szCs w:val="15"/>
                <w:color w:val="auto"/>
              </w:rPr>
              <w:t>6,818</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61%</w:t>
            </w:r>
          </w:p>
        </w:tc>
      </w:tr>
      <w:tr>
        <w:trPr>
          <w:trHeight w:val="30"/>
        </w:trPr>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Percentage of total revenue</w:t>
            </w:r>
          </w:p>
        </w:tc>
        <w:tc>
          <w:tcPr>
            <w:tcW w:w="200" w:type="dxa"/>
            <w:vAlign w:val="bottom"/>
            <w:tcBorders>
              <w:bottom w:val="single" w:sz="8" w:color="CCFFCC"/>
            </w:tcBorders>
            <w:shd w:val="clear" w:color="auto" w:fill="CCFFCC"/>
          </w:tcPr>
          <w:p>
            <w:pPr>
              <w:spacing w:after="0"/>
              <w:rPr>
                <w:sz w:val="20"/>
                <w:szCs w:val="20"/>
                <w:color w:val="auto"/>
              </w:rPr>
            </w:pPr>
          </w:p>
        </w:tc>
        <w:tc>
          <w:tcPr>
            <w:tcW w:w="78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6%</w:t>
            </w:r>
          </w:p>
        </w:tc>
        <w:tc>
          <w:tcPr>
            <w:tcW w:w="26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4%</w:t>
            </w:r>
          </w:p>
        </w:tc>
        <w:tc>
          <w:tcPr>
            <w:tcW w:w="12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5%</w:t>
            </w:r>
          </w:p>
        </w:tc>
        <w:tc>
          <w:tcPr>
            <w:tcW w:w="28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5"/>
                <w:szCs w:val="15"/>
                <w:color w:val="auto"/>
              </w:rPr>
              <w:t>Headcount (at period end):</w:t>
            </w:r>
          </w:p>
        </w:tc>
        <w:tc>
          <w:tcPr>
            <w:tcW w:w="200" w:type="dxa"/>
            <w:vAlign w:val="bottom"/>
          </w:tcPr>
          <w:p>
            <w:pPr>
              <w:spacing w:after="0"/>
              <w:rPr>
                <w:sz w:val="19"/>
                <w:szCs w:val="19"/>
                <w:color w:val="auto"/>
              </w:rPr>
            </w:pPr>
          </w:p>
        </w:tc>
        <w:tc>
          <w:tcPr>
            <w:tcW w:w="780" w:type="dxa"/>
            <w:vAlign w:val="bottom"/>
          </w:tcPr>
          <w:p>
            <w:pPr>
              <w:jc w:val="right"/>
              <w:ind w:right="148"/>
              <w:spacing w:after="0"/>
              <w:rPr>
                <w:sz w:val="20"/>
                <w:szCs w:val="20"/>
                <w:color w:val="auto"/>
              </w:rPr>
            </w:pPr>
            <w:r>
              <w:rPr>
                <w:rFonts w:ascii="Arial" w:cs="Arial" w:eastAsia="Arial" w:hAnsi="Arial"/>
                <w:sz w:val="15"/>
                <w:szCs w:val="15"/>
                <w:color w:val="auto"/>
              </w:rPr>
              <w:t>15</w:t>
            </w:r>
          </w:p>
        </w:tc>
        <w:tc>
          <w:tcPr>
            <w:tcW w:w="260" w:type="dxa"/>
            <w:vAlign w:val="bottom"/>
          </w:tcPr>
          <w:p>
            <w:pPr>
              <w:spacing w:after="0"/>
              <w:rPr>
                <w:sz w:val="19"/>
                <w:szCs w:val="19"/>
                <w:color w:val="auto"/>
              </w:rPr>
            </w:pPr>
          </w:p>
        </w:tc>
        <w:tc>
          <w:tcPr>
            <w:tcW w:w="700" w:type="dxa"/>
            <w:vAlign w:val="bottom"/>
          </w:tcPr>
          <w:p>
            <w:pPr>
              <w:jc w:val="right"/>
              <w:ind w:right="66"/>
              <w:spacing w:after="0"/>
              <w:rPr>
                <w:sz w:val="20"/>
                <w:szCs w:val="20"/>
                <w:color w:val="auto"/>
              </w:rPr>
            </w:pPr>
            <w:r>
              <w:rPr>
                <w:rFonts w:ascii="Arial" w:cs="Arial" w:eastAsia="Arial" w:hAnsi="Arial"/>
                <w:sz w:val="15"/>
                <w:szCs w:val="15"/>
                <w:color w:val="auto"/>
              </w:rPr>
              <w:t>13</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15</w:t>
            </w:r>
          </w:p>
        </w:tc>
        <w:tc>
          <w:tcPr>
            <w:tcW w:w="280" w:type="dxa"/>
            <w:vAlign w:val="bottom"/>
          </w:tcPr>
          <w:p>
            <w:pPr>
              <w:spacing w:after="0"/>
              <w:rPr>
                <w:sz w:val="19"/>
                <w:szCs w:val="19"/>
                <w:color w:val="auto"/>
              </w:rPr>
            </w:pPr>
          </w:p>
        </w:tc>
        <w:tc>
          <w:tcPr>
            <w:tcW w:w="700" w:type="dxa"/>
            <w:vAlign w:val="bottom"/>
          </w:tcPr>
          <w:p>
            <w:pPr>
              <w:jc w:val="right"/>
              <w:ind w:right="66"/>
              <w:spacing w:after="0"/>
              <w:rPr>
                <w:sz w:val="20"/>
                <w:szCs w:val="20"/>
                <w:color w:val="auto"/>
              </w:rPr>
            </w:pPr>
            <w:r>
              <w:rPr>
                <w:rFonts w:ascii="Arial" w:cs="Arial" w:eastAsia="Arial" w:hAnsi="Arial"/>
                <w:sz w:val="15"/>
                <w:szCs w:val="15"/>
                <w:color w:val="auto"/>
              </w:rPr>
              <w:t>13</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15%</w:t>
            </w:r>
          </w:p>
        </w:tc>
      </w:tr>
    </w:tbl>
    <w:p>
      <w:pPr>
        <w:spacing w:after="0" w:line="119"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Sales and marketing - consumer expenses increased by 81% and 61% to $4.3 million and $11.0 million in the three and nine months ended September 30, 2019, respectively, from $2.4 million and $6.8 million in the comparable periods in 2018. This variance was primarily attributable to increases in advertising and online expenses.</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General and Administrative</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Our general and administrative expenses consist of compensation and related expenses for executive, accounting, legal, human resources and administrative personnel, professional fees and other general corporate expenses.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00" w:type="dxa"/>
            <w:vAlign w:val="bottom"/>
          </w:tcPr>
          <w:p>
            <w:pPr>
              <w:spacing w:after="0"/>
              <w:rPr>
                <w:sz w:val="15"/>
                <w:szCs w:val="15"/>
                <w:color w:val="auto"/>
              </w:rPr>
            </w:pPr>
          </w:p>
        </w:tc>
        <w:tc>
          <w:tcPr>
            <w:tcW w:w="31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 September 30,</w:t>
            </w:r>
          </w:p>
        </w:tc>
      </w:tr>
      <w:tr>
        <w:trPr>
          <w:trHeight w:val="247"/>
        </w:trPr>
        <w:tc>
          <w:tcPr>
            <w:tcW w:w="5100" w:type="dxa"/>
            <w:vAlign w:val="bottom"/>
          </w:tcPr>
          <w:p>
            <w:pPr>
              <w:spacing w:after="0"/>
              <w:rPr>
                <w:sz w:val="21"/>
                <w:szCs w:val="21"/>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26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100" w:type="dxa"/>
            <w:vAlign w:val="bottom"/>
          </w:tcPr>
          <w:p>
            <w:pPr>
              <w:spacing w:after="0"/>
              <w:rPr>
                <w:sz w:val="21"/>
                <w:szCs w:val="21"/>
                <w:color w:val="auto"/>
              </w:rPr>
            </w:pPr>
          </w:p>
        </w:tc>
        <w:tc>
          <w:tcPr>
            <w:tcW w:w="19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Borders>
              <w:top w:val="single" w:sz="8" w:color="auto"/>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10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   13,958</w:t>
            </w:r>
          </w:p>
        </w:tc>
        <w:tc>
          <w:tcPr>
            <w:tcW w:w="980" w:type="dxa"/>
            <w:vAlign w:val="bottom"/>
          </w:tcPr>
          <w:p>
            <w:pPr>
              <w:jc w:val="right"/>
              <w:ind w:right="86"/>
              <w:spacing w:after="0"/>
              <w:rPr>
                <w:sz w:val="20"/>
                <w:szCs w:val="20"/>
                <w:color w:val="auto"/>
              </w:rPr>
            </w:pPr>
            <w:r>
              <w:rPr>
                <w:rFonts w:ascii="Arial" w:cs="Arial" w:eastAsia="Arial" w:hAnsi="Arial"/>
                <w:sz w:val="15"/>
                <w:szCs w:val="15"/>
                <w:color w:val="auto"/>
              </w:rPr>
              <w:t>$    11,972</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17%</w:t>
            </w:r>
          </w:p>
        </w:tc>
        <w:tc>
          <w:tcPr>
            <w:tcW w:w="200" w:type="dxa"/>
            <w:vAlign w:val="bottom"/>
          </w:tcPr>
          <w:p>
            <w:pPr>
              <w:spacing w:after="0"/>
              <w:rPr>
                <w:sz w:val="19"/>
                <w:szCs w:val="19"/>
                <w:color w:val="auto"/>
              </w:rPr>
            </w:pP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   41,889</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   33,594</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25%</w:t>
            </w:r>
          </w:p>
        </w:tc>
      </w:tr>
      <w:tr>
        <w:trPr>
          <w:trHeight w:val="30"/>
        </w:trPr>
        <w:tc>
          <w:tcPr>
            <w:tcW w:w="5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1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Percentage of total revenue</w:t>
            </w: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19%</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20%</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5"/>
                <w:szCs w:val="15"/>
                <w:color w:val="auto"/>
              </w:rPr>
              <w:t>Headcount (at period end):</w:t>
            </w: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159</w:t>
            </w:r>
          </w:p>
        </w:tc>
        <w:tc>
          <w:tcPr>
            <w:tcW w:w="980" w:type="dxa"/>
            <w:vAlign w:val="bottom"/>
          </w:tcPr>
          <w:p>
            <w:pPr>
              <w:jc w:val="right"/>
              <w:ind w:right="86"/>
              <w:spacing w:after="0"/>
              <w:rPr>
                <w:sz w:val="20"/>
                <w:szCs w:val="20"/>
                <w:color w:val="auto"/>
              </w:rPr>
            </w:pPr>
            <w:r>
              <w:rPr>
                <w:rFonts w:ascii="Arial" w:cs="Arial" w:eastAsia="Arial" w:hAnsi="Arial"/>
                <w:sz w:val="15"/>
                <w:szCs w:val="15"/>
                <w:color w:val="auto"/>
              </w:rPr>
              <w:t>128</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200" w:type="dxa"/>
            <w:vAlign w:val="bottom"/>
          </w:tcPr>
          <w:p>
            <w:pPr>
              <w:spacing w:after="0"/>
              <w:rPr>
                <w:sz w:val="19"/>
                <w:szCs w:val="19"/>
                <w:color w:val="auto"/>
              </w:rPr>
            </w:pP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159</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128</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24%</w:t>
            </w:r>
          </w:p>
        </w:tc>
      </w:tr>
    </w:tbl>
    <w:p>
      <w:pPr>
        <w:spacing w:after="0" w:line="119" w:lineRule="exact"/>
        <w:rPr>
          <w:sz w:val="20"/>
          <w:szCs w:val="20"/>
          <w:color w:val="auto"/>
        </w:rPr>
      </w:pPr>
    </w:p>
    <w:p>
      <w:pPr>
        <w:jc w:val="both"/>
        <w:ind w:firstLine="610"/>
        <w:spacing w:after="0" w:line="275" w:lineRule="auto"/>
        <w:rPr>
          <w:sz w:val="20"/>
          <w:szCs w:val="20"/>
          <w:color w:val="auto"/>
        </w:rPr>
      </w:pPr>
      <w:r>
        <w:rPr>
          <w:rFonts w:ascii="Arial" w:cs="Arial" w:eastAsia="Arial" w:hAnsi="Arial"/>
          <w:sz w:val="16"/>
          <w:szCs w:val="16"/>
          <w:color w:val="auto"/>
        </w:rPr>
        <w:t>General and administrative expenses increased by 17% to $14.0 million in the three months ended September 30, 2019 from $12.0 million in the comparable period in 2018. This variance was primarily attributable to an increase in total compensation expenses of approximately $1.2 million, in part due to the build out of the Company's recruiting and HR capabilities. Other factors include an increase in business services and outsourced labor of approximately $0.8 million and in consulting fees relating to procurement of $0.3 million. This was partially offset by a decrease in allocated occupancy costs, related overhead, information technology and other general corporate expenses of approximately $0.2 million and taxes of approximately $0.1 million.</w:t>
      </w:r>
    </w:p>
    <w:p>
      <w:pPr>
        <w:spacing w:after="0" w:line="64" w:lineRule="exact"/>
        <w:rPr>
          <w:sz w:val="20"/>
          <w:szCs w:val="20"/>
          <w:color w:val="auto"/>
        </w:rPr>
      </w:pPr>
    </w:p>
    <w:p>
      <w:pPr>
        <w:jc w:val="both"/>
        <w:ind w:firstLine="610"/>
        <w:spacing w:after="0" w:line="302" w:lineRule="auto"/>
        <w:rPr>
          <w:sz w:val="20"/>
          <w:szCs w:val="20"/>
          <w:color w:val="auto"/>
        </w:rPr>
      </w:pPr>
      <w:r>
        <w:rPr>
          <w:rFonts w:ascii="Arial" w:cs="Arial" w:eastAsia="Arial" w:hAnsi="Arial"/>
          <w:sz w:val="15"/>
          <w:szCs w:val="15"/>
          <w:color w:val="auto"/>
        </w:rPr>
        <w:t>General and administrative expenses increased by 25% to $41.9 million in the nine months ended September 30, 2019 from $33.6 million in the comparable period in 2018. This variance was primarily attributable to an increase in total compensation expenses of approximately $6.4 million, in part due to the build out of the Company's recruiting and HR capabilities. Other factors include an increase in business services and outsourced labor of approximately $2.9 million. This was partially offset by a decrease in allocated occupancy costs, related overhead, information technology and other general corporate expenses of approximately $1.1 million.</w:t>
      </w:r>
    </w:p>
    <w:p>
      <w:pPr>
        <w:spacing w:after="0" w:line="4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Product Development</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20" w:type="dxa"/>
            <w:vAlign w:val="bottom"/>
          </w:tcPr>
          <w:p>
            <w:pPr>
              <w:spacing w:after="0"/>
              <w:rPr>
                <w:sz w:val="15"/>
                <w:szCs w:val="15"/>
                <w:color w:val="auto"/>
              </w:rPr>
            </w:pPr>
          </w:p>
        </w:tc>
        <w:tc>
          <w:tcPr>
            <w:tcW w:w="31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7"/>
        </w:trPr>
        <w:tc>
          <w:tcPr>
            <w:tcW w:w="5220" w:type="dxa"/>
            <w:vAlign w:val="bottom"/>
          </w:tcPr>
          <w:p>
            <w:pPr>
              <w:spacing w:after="0"/>
              <w:rPr>
                <w:sz w:val="21"/>
                <w:szCs w:val="21"/>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1"/>
                <w:szCs w:val="21"/>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24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220" w:type="dxa"/>
            <w:vAlign w:val="bottom"/>
          </w:tcPr>
          <w:p>
            <w:pPr>
              <w:spacing w:after="0"/>
              <w:rPr>
                <w:sz w:val="21"/>
                <w:szCs w:val="21"/>
                <w:color w:val="auto"/>
              </w:rPr>
            </w:pPr>
          </w:p>
        </w:tc>
        <w:tc>
          <w:tcPr>
            <w:tcW w:w="194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2"/>
          </w:tcPr>
          <w:p>
            <w:pPr>
              <w:jc w:val="right"/>
              <w:ind w:right="426"/>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2"/>
        </w:trPr>
        <w:tc>
          <w:tcPr>
            <w:tcW w:w="5220" w:type="dxa"/>
            <w:vAlign w:val="bottom"/>
          </w:tcPr>
          <w:p>
            <w:pPr>
              <w:ind w:left="20"/>
              <w:spacing w:after="0"/>
              <w:rPr>
                <w:sz w:val="20"/>
                <w:szCs w:val="20"/>
                <w:color w:val="auto"/>
              </w:rPr>
            </w:pPr>
            <w:r>
              <w:rPr>
                <w:rFonts w:ascii="Arial" w:cs="Arial" w:eastAsia="Arial" w:hAnsi="Arial"/>
                <w:sz w:val="15"/>
                <w:szCs w:val="15"/>
                <w:color w:val="auto"/>
              </w:rPr>
              <w:t>Product development</w:t>
            </w:r>
          </w:p>
        </w:tc>
        <w:tc>
          <w:tcPr>
            <w:tcW w:w="980" w:type="dxa"/>
            <w:vAlign w:val="bottom"/>
          </w:tcPr>
          <w:p>
            <w:pPr>
              <w:jc w:val="right"/>
              <w:ind w:right="148"/>
              <w:spacing w:after="0"/>
              <w:rPr>
                <w:sz w:val="20"/>
                <w:szCs w:val="20"/>
                <w:color w:val="auto"/>
              </w:rPr>
            </w:pPr>
            <w:r>
              <w:rPr>
                <w:rFonts w:ascii="Arial" w:cs="Arial" w:eastAsia="Arial" w:hAnsi="Arial"/>
                <w:sz w:val="15"/>
                <w:szCs w:val="15"/>
                <w:color w:val="auto"/>
              </w:rPr>
              <w:t>$   20,577</w:t>
            </w:r>
          </w:p>
        </w:tc>
        <w:tc>
          <w:tcPr>
            <w:tcW w:w="960" w:type="dxa"/>
            <w:vAlign w:val="bottom"/>
          </w:tcPr>
          <w:p>
            <w:pPr>
              <w:jc w:val="right"/>
              <w:ind w:right="66"/>
              <w:spacing w:after="0"/>
              <w:rPr>
                <w:sz w:val="20"/>
                <w:szCs w:val="20"/>
                <w:color w:val="auto"/>
              </w:rPr>
            </w:pPr>
            <w:r>
              <w:rPr>
                <w:rFonts w:ascii="Arial" w:cs="Arial" w:eastAsia="Arial" w:hAnsi="Arial"/>
                <w:sz w:val="15"/>
                <w:szCs w:val="15"/>
                <w:color w:val="auto"/>
              </w:rPr>
              <w:t>$   13,484</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58,932</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   40,955</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44%</w:t>
            </w:r>
          </w:p>
        </w:tc>
      </w:tr>
      <w:tr>
        <w:trPr>
          <w:trHeight w:val="30"/>
        </w:trPr>
        <w:tc>
          <w:tcPr>
            <w:tcW w:w="5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4"/>
        </w:trPr>
        <w:tc>
          <w:tcPr>
            <w:tcW w:w="5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Percentage of total revenue</w:t>
            </w:r>
          </w:p>
        </w:tc>
        <w:tc>
          <w:tcPr>
            <w:tcW w:w="98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27%</w:t>
            </w: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21%</w:t>
            </w:r>
          </w:p>
        </w:tc>
        <w:tc>
          <w:tcPr>
            <w:tcW w:w="1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8"/>
              <w:spacing w:after="0"/>
              <w:rPr>
                <w:sz w:val="20"/>
                <w:szCs w:val="20"/>
                <w:color w:val="auto"/>
              </w:rPr>
            </w:pPr>
            <w:r>
              <w:rPr>
                <w:rFonts w:ascii="Arial" w:cs="Arial" w:eastAsia="Arial" w:hAnsi="Arial"/>
                <w:sz w:val="15"/>
                <w:szCs w:val="15"/>
                <w:color w:val="auto"/>
              </w:rPr>
              <w:t>28%</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5"/>
                <w:szCs w:val="15"/>
                <w:color w:val="auto"/>
              </w:rPr>
              <w:t>Headcount (at period end):</w:t>
            </w:r>
          </w:p>
        </w:tc>
        <w:tc>
          <w:tcPr>
            <w:tcW w:w="980" w:type="dxa"/>
            <w:vAlign w:val="bottom"/>
          </w:tcPr>
          <w:p>
            <w:pPr>
              <w:jc w:val="right"/>
              <w:ind w:right="148"/>
              <w:spacing w:after="0"/>
              <w:rPr>
                <w:sz w:val="20"/>
                <w:szCs w:val="20"/>
                <w:color w:val="auto"/>
              </w:rPr>
            </w:pPr>
            <w:r>
              <w:rPr>
                <w:rFonts w:ascii="Arial" w:cs="Arial" w:eastAsia="Arial" w:hAnsi="Arial"/>
                <w:sz w:val="15"/>
                <w:szCs w:val="15"/>
                <w:color w:val="auto"/>
              </w:rPr>
              <w:t>446</w:t>
            </w:r>
          </w:p>
        </w:tc>
        <w:tc>
          <w:tcPr>
            <w:tcW w:w="960" w:type="dxa"/>
            <w:vAlign w:val="bottom"/>
          </w:tcPr>
          <w:p>
            <w:pPr>
              <w:jc w:val="right"/>
              <w:ind w:right="66"/>
              <w:spacing w:after="0"/>
              <w:rPr>
                <w:sz w:val="20"/>
                <w:szCs w:val="20"/>
                <w:color w:val="auto"/>
              </w:rPr>
            </w:pPr>
            <w:r>
              <w:rPr>
                <w:rFonts w:ascii="Arial" w:cs="Arial" w:eastAsia="Arial" w:hAnsi="Arial"/>
                <w:sz w:val="15"/>
                <w:szCs w:val="15"/>
                <w:color w:val="auto"/>
              </w:rPr>
              <w:t>379</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Arial" w:cs="Arial" w:eastAsia="Arial" w:hAnsi="Arial"/>
                <w:sz w:val="15"/>
                <w:szCs w:val="15"/>
                <w:color w:val="auto"/>
              </w:rPr>
              <w:t>446</w:t>
            </w:r>
          </w:p>
        </w:tc>
        <w:tc>
          <w:tcPr>
            <w:tcW w:w="980" w:type="dxa"/>
            <w:vAlign w:val="bottom"/>
          </w:tcPr>
          <w:p>
            <w:pPr>
              <w:jc w:val="right"/>
              <w:ind w:right="66"/>
              <w:spacing w:after="0"/>
              <w:rPr>
                <w:sz w:val="20"/>
                <w:szCs w:val="20"/>
                <w:color w:val="auto"/>
              </w:rPr>
            </w:pPr>
            <w:r>
              <w:rPr>
                <w:rFonts w:ascii="Arial" w:cs="Arial" w:eastAsia="Arial" w:hAnsi="Arial"/>
                <w:sz w:val="15"/>
                <w:szCs w:val="15"/>
                <w:color w:val="auto"/>
              </w:rPr>
              <w:t>379</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18%</w:t>
            </w:r>
          </w:p>
        </w:tc>
      </w:tr>
    </w:tbl>
    <w:p>
      <w:pPr>
        <w:spacing w:after="0" w:line="119"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Product development costs increased by 53% to $20.6 million in the three months ended September 30, 2019 from $13.5 million in the comparable period in 2018. This variance was primarily attributable to increases in total compensation, recruiting expense and associated costs for product development personnel of approximately $4.6 million, in outsourcing and business services of approximately $1.6 million and in depreciation expense and backup server facilities and allocated overhead related to costs of supporting our server and network infrastructure of approximately $0.9 million.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559" w:right="239" w:bottom="1440" w:gutter="0" w:footer="0" w:header="0"/>
        </w:sectPr>
      </w:pPr>
    </w:p>
    <w:bookmarkStart w:id="45" w:name="page46"/>
    <w:bookmarkEnd w:id="45"/>
    <w:p>
      <w:pPr>
        <w:jc w:val="both"/>
        <w:ind w:firstLine="610"/>
        <w:spacing w:after="0" w:line="278" w:lineRule="auto"/>
        <w:rPr>
          <w:sz w:val="20"/>
          <w:szCs w:val="20"/>
          <w:color w:val="auto"/>
        </w:rPr>
      </w:pPr>
      <w:r>
        <w:rPr>
          <w:rFonts w:ascii="Arial" w:cs="Arial" w:eastAsia="Arial" w:hAnsi="Arial"/>
          <w:sz w:val="16"/>
          <w:szCs w:val="16"/>
          <w:color w:val="auto"/>
        </w:rPr>
        <w:t>Product development costs increased by 44% to $58.9 million in the nine months ended September 30, 2019 from $41.0 million in the comparable period in 2018. This variance was primarily attributable to increases in total compensation, recruiting expense and associated costs for product development personnel of approximately $9.6 million, in depreciation expense and backup server facilities and allocated overhead related to costs of supporting our server and network infrastructure of approximately $4.7 million, and in outsourcing and business services of approximately $3.6 million.</w:t>
      </w:r>
    </w:p>
    <w:p>
      <w:pPr>
        <w:spacing w:after="0" w:line="63"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We continue to invest in new product development efforts to expand the capability of LiveEngage. In accordance with ASC 350-40 - "Internal- Use Software," as new projects are initiated that provide functionality to the LiveEngage platform, the associated development and employee costs will be capitalized. Upon completion, the project costs will be depreciated over five years. In the three and nine months ended September 30, 2019, $7.9 million and $20.8 million was capitalized, respectively, compared to $2.5 million and $7.2 million in the comparable periods in 2018.</w:t>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Restructuring Costs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Restructuring costs consist of reprioritizing and reallocating resources to focus on areas showing high growth potential.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247"/>
        </w:trPr>
        <w:tc>
          <w:tcPr>
            <w:tcW w:w="5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6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1"/>
                <w:szCs w:val="21"/>
                <w:color w:val="auto"/>
              </w:rPr>
            </w:pPr>
          </w:p>
        </w:tc>
        <w:tc>
          <w:tcPr>
            <w:tcW w:w="720" w:type="dxa"/>
            <w:vAlign w:val="bottom"/>
          </w:tcPr>
          <w:p>
            <w:pPr>
              <w:jc w:val="right"/>
              <w:ind w:right="26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2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47"/>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22"/>
        </w:trPr>
        <w:tc>
          <w:tcPr>
            <w:tcW w:w="5280" w:type="dxa"/>
            <w:vAlign w:val="bottom"/>
          </w:tcPr>
          <w:p>
            <w:pPr>
              <w:ind w:left="20"/>
              <w:spacing w:after="0"/>
              <w:rPr>
                <w:sz w:val="20"/>
                <w:szCs w:val="20"/>
                <w:color w:val="auto"/>
              </w:rPr>
            </w:pPr>
            <w:r>
              <w:rPr>
                <w:rFonts w:ascii="Arial" w:cs="Arial" w:eastAsia="Arial" w:hAnsi="Arial"/>
                <w:sz w:val="15"/>
                <w:szCs w:val="15"/>
                <w:color w:val="auto"/>
              </w:rPr>
              <w:t>Restructuring costs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1,425</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722</w:t>
            </w:r>
          </w:p>
        </w:tc>
        <w:tc>
          <w:tcPr>
            <w:tcW w:w="1360" w:type="dxa"/>
            <w:vAlign w:val="bottom"/>
            <w:gridSpan w:val="4"/>
          </w:tcPr>
          <w:p>
            <w:pPr>
              <w:jc w:val="right"/>
              <w:ind w:right="120"/>
              <w:spacing w:after="0"/>
              <w:rPr>
                <w:sz w:val="20"/>
                <w:szCs w:val="20"/>
                <w:color w:val="auto"/>
              </w:rPr>
            </w:pPr>
            <w:r>
              <w:rPr>
                <w:rFonts w:ascii="Arial" w:cs="Arial" w:eastAsia="Arial" w:hAnsi="Arial"/>
                <w:sz w:val="15"/>
                <w:szCs w:val="15"/>
                <w:color w:val="auto"/>
              </w:rPr>
              <w:t>97%  $</w:t>
            </w:r>
          </w:p>
        </w:tc>
        <w:tc>
          <w:tcPr>
            <w:tcW w:w="760" w:type="dxa"/>
            <w:vAlign w:val="bottom"/>
          </w:tcPr>
          <w:p>
            <w:pPr>
              <w:jc w:val="right"/>
              <w:ind w:right="129"/>
              <w:spacing w:after="0"/>
              <w:rPr>
                <w:sz w:val="20"/>
                <w:szCs w:val="20"/>
                <w:color w:val="auto"/>
              </w:rPr>
            </w:pPr>
            <w:r>
              <w:rPr>
                <w:rFonts w:ascii="Arial" w:cs="Arial" w:eastAsia="Arial" w:hAnsi="Arial"/>
                <w:sz w:val="15"/>
                <w:szCs w:val="15"/>
                <w:color w:val="auto"/>
              </w:rPr>
              <w:t>1,909</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87"/>
              <w:spacing w:after="0"/>
              <w:rPr>
                <w:sz w:val="20"/>
                <w:szCs w:val="20"/>
                <w:color w:val="auto"/>
              </w:rPr>
            </w:pPr>
            <w:r>
              <w:rPr>
                <w:rFonts w:ascii="Arial" w:cs="Arial" w:eastAsia="Arial" w:hAnsi="Arial"/>
                <w:sz w:val="15"/>
                <w:szCs w:val="15"/>
                <w:color w:val="auto"/>
              </w:rPr>
              <w:t>2,806</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(32)%</w:t>
            </w:r>
          </w:p>
        </w:tc>
      </w:tr>
      <w:tr>
        <w:trPr>
          <w:trHeight w:val="30"/>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4"/>
        </w:trPr>
        <w:tc>
          <w:tcPr>
            <w:tcW w:w="5280" w:type="dxa"/>
            <w:vAlign w:val="bottom"/>
            <w:shd w:val="clear" w:color="auto" w:fill="CCFFCC"/>
          </w:tcPr>
          <w:p>
            <w:pPr>
              <w:ind w:left="20"/>
              <w:spacing w:after="0"/>
              <w:rPr>
                <w:sz w:val="20"/>
                <w:szCs w:val="20"/>
                <w:color w:val="auto"/>
              </w:rPr>
            </w:pPr>
            <w:r>
              <w:rPr>
                <w:rFonts w:ascii="Arial" w:cs="Arial" w:eastAsia="Arial" w:hAnsi="Arial"/>
                <w:sz w:val="15"/>
                <w:szCs w:val="15"/>
                <w:color w:val="auto"/>
              </w:rPr>
              <w:t>Percentage of total revenue</w:t>
            </w: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9"/>
              <w:spacing w:after="0"/>
              <w:rPr>
                <w:sz w:val="20"/>
                <w:szCs w:val="20"/>
                <w:color w:val="auto"/>
              </w:rPr>
            </w:pPr>
            <w:r>
              <w:rPr>
                <w:rFonts w:ascii="Arial" w:cs="Arial" w:eastAsia="Arial" w:hAnsi="Arial"/>
                <w:sz w:val="15"/>
                <w:szCs w:val="15"/>
                <w:color w:val="auto"/>
              </w:rPr>
              <w:t>2%</w:t>
            </w:r>
          </w:p>
        </w:tc>
        <w:tc>
          <w:tcPr>
            <w:tcW w:w="26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760" w:type="dxa"/>
            <w:vAlign w:val="bottom"/>
            <w:shd w:val="clear" w:color="auto" w:fill="CCFFCC"/>
          </w:tcPr>
          <w:p>
            <w:pPr>
              <w:jc w:val="right"/>
              <w:ind w:right="9"/>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FFCC"/>
          </w:tcPr>
          <w:p>
            <w:pPr>
              <w:spacing w:after="0"/>
              <w:rPr>
                <w:sz w:val="19"/>
                <w:szCs w:val="19"/>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r>
      <w:tr>
        <w:trPr>
          <w:trHeight w:val="30"/>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r>
    </w:tbl>
    <w:p>
      <w:pPr>
        <w:spacing w:after="0" w:line="89"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Restructuring costs increased by 97% in the three months ended to approximately $1.4 million from $0.7 million and comparable period in 2018. Restructuring costs decreased by 32% to approximately $1.9 million during the nine months ended September 30, 2019 from $2.8 million in the comparable period in 2018. This variance was primarily attributable to a increase of severance costs. Severance costs are associated with re-prioritizing and reallocating resources to focus on areas showing high growth potential.</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Amortization of Purchased Intangibles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7"/>
        </w:trPr>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1"/>
                <w:szCs w:val="21"/>
                <w:color w:val="auto"/>
              </w:rPr>
            </w:pPr>
          </w:p>
        </w:tc>
        <w:tc>
          <w:tcPr>
            <w:tcW w:w="700" w:type="dxa"/>
            <w:vAlign w:val="bottom"/>
          </w:tcPr>
          <w:p>
            <w:pPr>
              <w:jc w:val="right"/>
              <w:ind w:right="24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jc w:val="right"/>
              <w:ind w:right="30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1"/>
                <w:szCs w:val="21"/>
                <w:color w:val="auto"/>
              </w:rPr>
            </w:pPr>
          </w:p>
        </w:tc>
        <w:tc>
          <w:tcPr>
            <w:tcW w:w="700" w:type="dxa"/>
            <w:vAlign w:val="bottom"/>
          </w:tcPr>
          <w:p>
            <w:pPr>
              <w:jc w:val="right"/>
              <w:ind w:right="24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32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7"/>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940" w:type="dxa"/>
            <w:vAlign w:val="bottom"/>
            <w:tcBorders>
              <w:top w:val="single" w:sz="8" w:color="auto"/>
              <w:bottom w:val="single" w:sz="8" w:color="CCFFCC"/>
            </w:tcBorders>
          </w:tcPr>
          <w:p>
            <w:pPr>
              <w:spacing w:after="0"/>
              <w:rPr>
                <w:sz w:val="21"/>
                <w:szCs w:val="21"/>
                <w:color w:val="auto"/>
              </w:rPr>
            </w:pPr>
          </w:p>
        </w:tc>
        <w:tc>
          <w:tcPr>
            <w:tcW w:w="10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7"/>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940" w:type="dxa"/>
            <w:vAlign w:val="bottom"/>
            <w:tcBorders>
              <w:top w:val="single" w:sz="8" w:color="auto"/>
              <w:bottom w:val="single" w:sz="8" w:color="CCFFCC"/>
            </w:tcBorders>
          </w:tcPr>
          <w:p>
            <w:pPr>
              <w:spacing w:after="0"/>
              <w:rPr>
                <w:sz w:val="21"/>
                <w:szCs w:val="21"/>
                <w:color w:val="auto"/>
              </w:rPr>
            </w:pPr>
          </w:p>
        </w:tc>
      </w:tr>
      <w:tr>
        <w:trPr>
          <w:trHeight w:val="232"/>
        </w:trPr>
        <w:tc>
          <w:tcPr>
            <w:tcW w:w="53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5"/>
                <w:szCs w:val="15"/>
                <w:color w:val="auto"/>
              </w:rPr>
              <w:t>Amortization of purchased intangibles</w:t>
            </w:r>
          </w:p>
        </w:tc>
        <w:tc>
          <w:tcPr>
            <w:tcW w:w="22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FFCC"/>
            </w:tcBorders>
            <w:shd w:val="clear" w:color="auto" w:fill="CCFFCC"/>
          </w:tcPr>
          <w:p>
            <w:pPr>
              <w:jc w:val="right"/>
              <w:ind w:right="129"/>
              <w:spacing w:after="0"/>
              <w:rPr>
                <w:sz w:val="20"/>
                <w:szCs w:val="20"/>
                <w:color w:val="auto"/>
              </w:rPr>
            </w:pPr>
            <w:r>
              <w:rPr>
                <w:rFonts w:ascii="Arial" w:cs="Arial" w:eastAsia="Arial" w:hAnsi="Arial"/>
                <w:sz w:val="15"/>
                <w:szCs w:val="15"/>
                <w:color w:val="auto"/>
              </w:rPr>
              <w:t>447</w:t>
            </w:r>
          </w:p>
        </w:tc>
        <w:tc>
          <w:tcPr>
            <w:tcW w:w="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FFCC"/>
            </w:tcBorders>
            <w:shd w:val="clear" w:color="auto" w:fill="CCFFCC"/>
          </w:tcPr>
          <w:p>
            <w:pPr>
              <w:jc w:val="right"/>
              <w:ind w:right="67"/>
              <w:spacing w:after="0"/>
              <w:rPr>
                <w:sz w:val="20"/>
                <w:szCs w:val="20"/>
                <w:color w:val="auto"/>
              </w:rPr>
            </w:pPr>
            <w:r>
              <w:rPr>
                <w:rFonts w:ascii="Arial" w:cs="Arial" w:eastAsia="Arial" w:hAnsi="Arial"/>
                <w:sz w:val="15"/>
                <w:szCs w:val="15"/>
                <w:color w:val="auto"/>
              </w:rPr>
              <w:t>424</w:t>
            </w:r>
          </w:p>
        </w:tc>
        <w:tc>
          <w:tcPr>
            <w:tcW w:w="136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5"/>
                <w:szCs w:val="15"/>
                <w:color w:val="auto"/>
              </w:rPr>
              <w:t>5%  $</w:t>
            </w:r>
          </w:p>
        </w:tc>
        <w:tc>
          <w:tcPr>
            <w:tcW w:w="760" w:type="dxa"/>
            <w:vAlign w:val="bottom"/>
            <w:tcBorders>
              <w:bottom w:val="single" w:sz="8" w:color="CCFFCC"/>
            </w:tcBorders>
            <w:shd w:val="clear" w:color="auto" w:fill="CCFFCC"/>
          </w:tcPr>
          <w:p>
            <w:pPr>
              <w:jc w:val="right"/>
              <w:ind w:right="129"/>
              <w:spacing w:after="0"/>
              <w:rPr>
                <w:sz w:val="20"/>
                <w:szCs w:val="20"/>
                <w:color w:val="auto"/>
              </w:rPr>
            </w:pPr>
            <w:r>
              <w:rPr>
                <w:rFonts w:ascii="Arial" w:cs="Arial" w:eastAsia="Arial" w:hAnsi="Arial"/>
                <w:sz w:val="15"/>
                <w:szCs w:val="15"/>
                <w:color w:val="auto"/>
              </w:rPr>
              <w:t>1,346</w:t>
            </w:r>
          </w:p>
        </w:tc>
        <w:tc>
          <w:tcPr>
            <w:tcW w:w="280" w:type="dxa"/>
            <w:vAlign w:val="bottom"/>
            <w:tcBorders>
              <w:bottom w:val="single" w:sz="8" w:color="CCFFCC"/>
            </w:tcBorders>
            <w:shd w:val="clear" w:color="auto" w:fill="CCFFCC"/>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FFCC"/>
            </w:tcBorders>
            <w:shd w:val="clear" w:color="auto" w:fill="CCFFCC"/>
          </w:tcPr>
          <w:p>
            <w:pPr>
              <w:jc w:val="right"/>
              <w:ind w:right="67"/>
              <w:spacing w:after="0"/>
              <w:rPr>
                <w:sz w:val="20"/>
                <w:szCs w:val="20"/>
                <w:color w:val="auto"/>
              </w:rPr>
            </w:pPr>
            <w:r>
              <w:rPr>
                <w:rFonts w:ascii="Arial" w:cs="Arial" w:eastAsia="Arial" w:hAnsi="Arial"/>
                <w:sz w:val="15"/>
                <w:szCs w:val="15"/>
                <w:color w:val="auto"/>
              </w:rPr>
              <w:t>1,272</w:t>
            </w:r>
          </w:p>
        </w:tc>
        <w:tc>
          <w:tcPr>
            <w:tcW w:w="10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5"/>
                <w:szCs w:val="15"/>
                <w:color w:val="auto"/>
              </w:rPr>
              <w:t>6%</w:t>
            </w:r>
          </w:p>
        </w:tc>
      </w:tr>
      <w:tr>
        <w:trPr>
          <w:trHeight w:val="224"/>
        </w:trPr>
        <w:tc>
          <w:tcPr>
            <w:tcW w:w="5320" w:type="dxa"/>
            <w:vAlign w:val="bottom"/>
          </w:tcPr>
          <w:p>
            <w:pPr>
              <w:ind w:left="20"/>
              <w:spacing w:after="0"/>
              <w:rPr>
                <w:sz w:val="20"/>
                <w:szCs w:val="20"/>
                <w:color w:val="auto"/>
              </w:rPr>
            </w:pPr>
            <w:r>
              <w:rPr>
                <w:rFonts w:ascii="Arial" w:cs="Arial" w:eastAsia="Arial" w:hAnsi="Arial"/>
                <w:sz w:val="15"/>
                <w:szCs w:val="15"/>
                <w:color w:val="auto"/>
              </w:rPr>
              <w:t>Percentage of total revenues</w:t>
            </w:r>
          </w:p>
        </w:tc>
        <w:tc>
          <w:tcPr>
            <w:tcW w:w="22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Amortization expense for purchased intangibles remained relatively flat for the three and nine months ended September 30, 2019 and 2018.</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Additional amortization expense in the amount of $0.3 million and $0.9 million in the three and nine months ended September 30, 2019 and 2018 is included in cost of revenue.</w:t>
      </w:r>
    </w:p>
    <w:p>
      <w:pPr>
        <w:spacing w:after="0" w:line="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Expense, net</w:t>
      </w:r>
    </w:p>
    <w:p>
      <w:pPr>
        <w:spacing w:after="0" w:line="110" w:lineRule="exact"/>
        <w:rPr>
          <w:sz w:val="20"/>
          <w:szCs w:val="20"/>
          <w:color w:val="auto"/>
        </w:rPr>
      </w:pPr>
    </w:p>
    <w:p>
      <w:pPr>
        <w:jc w:val="both"/>
        <w:ind w:firstLine="610"/>
        <w:spacing w:after="0" w:line="341" w:lineRule="auto"/>
        <w:rPr>
          <w:sz w:val="20"/>
          <w:szCs w:val="20"/>
          <w:color w:val="auto"/>
        </w:rPr>
      </w:pPr>
      <w:r>
        <w:rPr>
          <w:rFonts w:ascii="Arial" w:cs="Arial" w:eastAsia="Arial" w:hAnsi="Arial"/>
          <w:sz w:val="15"/>
          <w:szCs w:val="15"/>
          <w:color w:val="auto"/>
        </w:rPr>
        <w:t>Other expense,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7"/>
        </w:trPr>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1"/>
                <w:szCs w:val="21"/>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38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FFCC"/>
            </w:tcBorders>
          </w:tcPr>
          <w:p>
            <w:pPr>
              <w:spacing w:after="0"/>
              <w:rPr>
                <w:sz w:val="21"/>
                <w:szCs w:val="21"/>
                <w:color w:val="auto"/>
              </w:rPr>
            </w:pPr>
          </w:p>
        </w:tc>
        <w:tc>
          <w:tcPr>
            <w:tcW w:w="960" w:type="dxa"/>
            <w:vAlign w:val="bottom"/>
            <w:tcBorders>
              <w:top w:val="single" w:sz="8" w:color="auto"/>
              <w:bottom w:val="single" w:sz="8" w:color="CCFFCC"/>
            </w:tcBorders>
          </w:tcPr>
          <w:p>
            <w:pPr>
              <w:spacing w:after="0"/>
              <w:rPr>
                <w:sz w:val="21"/>
                <w:szCs w:val="21"/>
                <w:color w:val="auto"/>
              </w:rPr>
            </w:pPr>
          </w:p>
        </w:tc>
        <w:tc>
          <w:tcPr>
            <w:tcW w:w="12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940" w:type="dxa"/>
            <w:vAlign w:val="bottom"/>
            <w:tcBorders>
              <w:top w:val="single" w:sz="8" w:color="auto"/>
              <w:bottom w:val="single" w:sz="8" w:color="CCFFCC"/>
            </w:tcBorders>
          </w:tcPr>
          <w:p>
            <w:pPr>
              <w:spacing w:after="0"/>
              <w:rPr>
                <w:sz w:val="21"/>
                <w:szCs w:val="21"/>
                <w:color w:val="auto"/>
              </w:rPr>
            </w:pPr>
          </w:p>
        </w:tc>
      </w:tr>
      <w:tr>
        <w:trPr>
          <w:trHeight w:val="222"/>
        </w:trPr>
        <w:tc>
          <w:tcPr>
            <w:tcW w:w="5380" w:type="dxa"/>
            <w:vAlign w:val="bottom"/>
            <w:shd w:val="clear" w:color="auto" w:fill="CCFFCC"/>
          </w:tcPr>
          <w:p>
            <w:pPr>
              <w:ind w:left="20"/>
              <w:spacing w:after="0"/>
              <w:rPr>
                <w:sz w:val="20"/>
                <w:szCs w:val="20"/>
                <w:color w:val="auto"/>
              </w:rPr>
            </w:pPr>
            <w:r>
              <w:rPr>
                <w:rFonts w:ascii="Arial" w:cs="Arial" w:eastAsia="Arial" w:hAnsi="Arial"/>
                <w:sz w:val="15"/>
                <w:szCs w:val="15"/>
                <w:color w:val="auto"/>
              </w:rPr>
              <w:t>Other expense, net</w:t>
            </w:r>
          </w:p>
        </w:tc>
        <w:tc>
          <w:tcPr>
            <w:tcW w:w="200" w:type="dxa"/>
            <w:vAlign w:val="bottom"/>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FFCC"/>
          </w:tcPr>
          <w:p>
            <w:pPr>
              <w:jc w:val="right"/>
              <w:ind w:right="50"/>
              <w:spacing w:after="0"/>
              <w:rPr>
                <w:sz w:val="20"/>
                <w:szCs w:val="20"/>
                <w:color w:val="auto"/>
              </w:rPr>
            </w:pPr>
            <w:r>
              <w:rPr>
                <w:rFonts w:ascii="Arial" w:cs="Arial" w:eastAsia="Arial" w:hAnsi="Arial"/>
                <w:sz w:val="15"/>
                <w:szCs w:val="15"/>
                <w:color w:val="auto"/>
              </w:rPr>
              <w:t>(1,810)</w:t>
            </w:r>
          </w:p>
        </w:tc>
        <w:tc>
          <w:tcPr>
            <w:tcW w:w="280" w:type="dxa"/>
            <w:vAlign w:val="bottom"/>
            <w:shd w:val="clear" w:color="auto" w:fill="CCFFCC"/>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(213)</w:t>
            </w:r>
          </w:p>
        </w:tc>
        <w:tc>
          <w:tcPr>
            <w:tcW w:w="1400" w:type="dxa"/>
            <w:vAlign w:val="bottom"/>
            <w:gridSpan w:val="4"/>
            <w:shd w:val="clear" w:color="auto" w:fill="CCFFCC"/>
          </w:tcPr>
          <w:p>
            <w:pPr>
              <w:jc w:val="right"/>
              <w:ind w:right="100"/>
              <w:spacing w:after="0"/>
              <w:rPr>
                <w:sz w:val="20"/>
                <w:szCs w:val="20"/>
                <w:color w:val="auto"/>
              </w:rPr>
            </w:pPr>
            <w:r>
              <w:rPr>
                <w:rFonts w:ascii="Arial" w:cs="Arial" w:eastAsia="Arial" w:hAnsi="Arial"/>
                <w:sz w:val="15"/>
                <w:szCs w:val="15"/>
                <w:color w:val="auto"/>
              </w:rPr>
              <w:t>750%   $</w:t>
            </w:r>
          </w:p>
        </w:tc>
        <w:tc>
          <w:tcPr>
            <w:tcW w:w="720" w:type="dxa"/>
            <w:vAlign w:val="bottom"/>
            <w:shd w:val="clear" w:color="auto" w:fill="CCFFCC"/>
          </w:tcPr>
          <w:p>
            <w:pPr>
              <w:jc w:val="right"/>
              <w:ind w:right="10"/>
              <w:spacing w:after="0"/>
              <w:rPr>
                <w:sz w:val="20"/>
                <w:szCs w:val="20"/>
                <w:color w:val="auto"/>
              </w:rPr>
            </w:pPr>
            <w:r>
              <w:rPr>
                <w:rFonts w:ascii="Arial" w:cs="Arial" w:eastAsia="Arial" w:hAnsi="Arial"/>
                <w:sz w:val="15"/>
                <w:szCs w:val="15"/>
                <w:color w:val="auto"/>
              </w:rPr>
              <w:t>(4,011)</w:t>
            </w:r>
          </w:p>
        </w:tc>
        <w:tc>
          <w:tcPr>
            <w:tcW w:w="260" w:type="dxa"/>
            <w:vAlign w:val="bottom"/>
            <w:shd w:val="clear" w:color="auto" w:fill="CCFFCC"/>
          </w:tcPr>
          <w:p>
            <w:pPr>
              <w:jc w:val="right"/>
              <w:ind w:right="24"/>
              <w:spacing w:after="0"/>
              <w:rPr>
                <w:sz w:val="20"/>
                <w:szCs w:val="20"/>
                <w:color w:val="auto"/>
              </w:rPr>
            </w:pPr>
            <w:r>
              <w:rPr>
                <w:rFonts w:ascii="Arial" w:cs="Arial" w:eastAsia="Arial" w:hAnsi="Arial"/>
                <w:sz w:val="15"/>
                <w:szCs w:val="15"/>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(53)</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7,468%</w:t>
            </w:r>
          </w:p>
        </w:tc>
      </w:tr>
      <w:tr>
        <w:trPr>
          <w:trHeight w:val="30"/>
        </w:trPr>
        <w:tc>
          <w:tcPr>
            <w:tcW w:w="53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r>
    </w:tbl>
    <w:p>
      <w:pPr>
        <w:spacing w:after="0" w:line="89"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6"/>
          <w:szCs w:val="16"/>
          <w:color w:val="auto"/>
        </w:rPr>
        <w:t>Other expense, net increased to $1.8 million and $4.0 million in the three and nine months ended September 30, 2019, respectively, from other expense, net of $0.2 million and $0.1 million in the comparable periods in 2018 due to interest expense attributable to the 0.750% Convertible Senior Notes due 2024 (the "Notes") partially offset by interest income on cash and cash equivalents and financial income which is attributable to currency rate fluctuations.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559" w:right="239" w:bottom="1440" w:gutter="0" w:footer="0" w:header="0"/>
        </w:sectPr>
      </w:pPr>
    </w:p>
    <w:bookmarkStart w:id="46" w:name="page47"/>
    <w:bookmarkEnd w:id="46"/>
    <w:p>
      <w:pPr>
        <w:ind w:left="620"/>
        <w:spacing w:after="0"/>
        <w:rPr>
          <w:sz w:val="20"/>
          <w:szCs w:val="20"/>
          <w:color w:val="auto"/>
        </w:rPr>
      </w:pPr>
      <w:r>
        <w:rPr>
          <w:rFonts w:ascii="Arial" w:cs="Arial" w:eastAsia="Arial" w:hAnsi="Arial"/>
          <w:sz w:val="17"/>
          <w:szCs w:val="17"/>
          <w:i w:val="1"/>
          <w:iCs w:val="1"/>
          <w:color w:val="auto"/>
        </w:rPr>
        <w:t>Provision For Income Taxes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7"/>
        </w:trPr>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1"/>
                <w:szCs w:val="21"/>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jc w:val="right"/>
              <w:ind w:right="25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1"/>
                <w:szCs w:val="21"/>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247"/>
        </w:trPr>
        <w:tc>
          <w:tcPr>
            <w:tcW w:w="5380" w:type="dxa"/>
            <w:vAlign w:val="bottom"/>
            <w:tcBorders>
              <w:bottom w:val="single" w:sz="8" w:color="CCFFC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FFCC"/>
            </w:tcBorders>
          </w:tcPr>
          <w:p>
            <w:pPr>
              <w:spacing w:after="0"/>
              <w:rPr>
                <w:sz w:val="21"/>
                <w:szCs w:val="21"/>
                <w:color w:val="auto"/>
              </w:rPr>
            </w:pPr>
          </w:p>
        </w:tc>
        <w:tc>
          <w:tcPr>
            <w:tcW w:w="980" w:type="dxa"/>
            <w:vAlign w:val="bottom"/>
            <w:tcBorders>
              <w:top w:val="single" w:sz="8" w:color="auto"/>
              <w:bottom w:val="single" w:sz="8" w:color="CCFFCC"/>
            </w:tcBorders>
          </w:tcPr>
          <w:p>
            <w:pPr>
              <w:spacing w:after="0"/>
              <w:rPr>
                <w:sz w:val="21"/>
                <w:szCs w:val="21"/>
                <w:color w:val="auto"/>
              </w:rPr>
            </w:pPr>
          </w:p>
        </w:tc>
        <w:tc>
          <w:tcPr>
            <w:tcW w:w="100" w:type="dxa"/>
            <w:vAlign w:val="bottom"/>
            <w:tcBorders>
              <w:bottom w:val="single" w:sz="8" w:color="CCFFC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1"/>
                <w:szCs w:val="21"/>
                <w:color w:val="auto"/>
              </w:rPr>
            </w:pPr>
          </w:p>
        </w:tc>
        <w:tc>
          <w:tcPr>
            <w:tcW w:w="940" w:type="dxa"/>
            <w:vAlign w:val="bottom"/>
            <w:tcBorders>
              <w:top w:val="single" w:sz="8" w:color="auto"/>
              <w:bottom w:val="single" w:sz="8" w:color="CCFFCC"/>
            </w:tcBorders>
          </w:tcPr>
          <w:p>
            <w:pPr>
              <w:spacing w:after="0"/>
              <w:rPr>
                <w:sz w:val="21"/>
                <w:szCs w:val="21"/>
                <w:color w:val="auto"/>
              </w:rPr>
            </w:pPr>
          </w:p>
        </w:tc>
      </w:tr>
      <w:tr>
        <w:trPr>
          <w:trHeight w:val="222"/>
        </w:trPr>
        <w:tc>
          <w:tcPr>
            <w:tcW w:w="5380" w:type="dxa"/>
            <w:vAlign w:val="bottom"/>
            <w:shd w:val="clear" w:color="auto" w:fill="CCFFCC"/>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shd w:val="clear" w:color="auto" w:fill="CCFFCC"/>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FFCC"/>
          </w:tcPr>
          <w:p>
            <w:pPr>
              <w:jc w:val="right"/>
              <w:ind w:right="50"/>
              <w:spacing w:after="0"/>
              <w:rPr>
                <w:sz w:val="20"/>
                <w:szCs w:val="20"/>
                <w:color w:val="auto"/>
              </w:rPr>
            </w:pPr>
            <w:r>
              <w:rPr>
                <w:rFonts w:ascii="Arial" w:cs="Arial" w:eastAsia="Arial" w:hAnsi="Arial"/>
                <w:sz w:val="15"/>
                <w:szCs w:val="15"/>
                <w:color w:val="auto"/>
              </w:rPr>
              <w:t>936</w:t>
            </w:r>
          </w:p>
        </w:tc>
        <w:tc>
          <w:tcPr>
            <w:tcW w:w="320" w:type="dxa"/>
            <w:vAlign w:val="bottom"/>
            <w:shd w:val="clear" w:color="auto" w:fill="CCFFCC"/>
          </w:tcPr>
          <w:p>
            <w:pPr>
              <w:jc w:val="right"/>
              <w:ind w:right="44"/>
              <w:spacing w:after="0"/>
              <w:rPr>
                <w:sz w:val="20"/>
                <w:szCs w:val="20"/>
                <w:color w:val="auto"/>
              </w:rPr>
            </w:pPr>
            <w:r>
              <w:rPr>
                <w:rFonts w:ascii="Arial" w:cs="Arial" w:eastAsia="Arial" w:hAnsi="Arial"/>
                <w:sz w:val="15"/>
                <w:szCs w:val="15"/>
                <w:color w:val="auto"/>
              </w:rPr>
              <w:t>$</w:t>
            </w:r>
          </w:p>
        </w:tc>
        <w:tc>
          <w:tcPr>
            <w:tcW w:w="700" w:type="dxa"/>
            <w:vAlign w:val="bottom"/>
            <w:shd w:val="clear" w:color="auto" w:fill="CCFFCC"/>
          </w:tcPr>
          <w:p>
            <w:pPr>
              <w:jc w:val="right"/>
              <w:ind w:right="48"/>
              <w:spacing w:after="0"/>
              <w:rPr>
                <w:sz w:val="20"/>
                <w:szCs w:val="20"/>
                <w:color w:val="auto"/>
              </w:rPr>
            </w:pPr>
            <w:r>
              <w:rPr>
                <w:rFonts w:ascii="Arial" w:cs="Arial" w:eastAsia="Arial" w:hAnsi="Arial"/>
                <w:sz w:val="15"/>
                <w:szCs w:val="15"/>
                <w:color w:val="auto"/>
              </w:rPr>
              <w:t>2,004</w:t>
            </w:r>
          </w:p>
        </w:tc>
        <w:tc>
          <w:tcPr>
            <w:tcW w:w="1420" w:type="dxa"/>
            <w:vAlign w:val="bottom"/>
            <w:gridSpan w:val="4"/>
            <w:shd w:val="clear" w:color="auto" w:fill="CCFFCC"/>
          </w:tcPr>
          <w:p>
            <w:pPr>
              <w:jc w:val="right"/>
              <w:ind w:right="100"/>
              <w:spacing w:after="0"/>
              <w:rPr>
                <w:sz w:val="20"/>
                <w:szCs w:val="20"/>
                <w:color w:val="auto"/>
              </w:rPr>
            </w:pPr>
            <w:r>
              <w:rPr>
                <w:rFonts w:ascii="Arial" w:cs="Arial" w:eastAsia="Arial" w:hAnsi="Arial"/>
                <w:sz w:val="15"/>
                <w:szCs w:val="15"/>
                <w:color w:val="auto"/>
              </w:rPr>
              <w:t>(53)%  $</w:t>
            </w:r>
          </w:p>
        </w:tc>
        <w:tc>
          <w:tcPr>
            <w:tcW w:w="680" w:type="dxa"/>
            <w:vAlign w:val="bottom"/>
            <w:shd w:val="clear" w:color="auto" w:fill="CCFFCC"/>
          </w:tcPr>
          <w:p>
            <w:pPr>
              <w:jc w:val="right"/>
              <w:ind w:right="50"/>
              <w:spacing w:after="0"/>
              <w:rPr>
                <w:sz w:val="20"/>
                <w:szCs w:val="20"/>
                <w:color w:val="auto"/>
              </w:rPr>
            </w:pPr>
            <w:r>
              <w:rPr>
                <w:rFonts w:ascii="Arial" w:cs="Arial" w:eastAsia="Arial" w:hAnsi="Arial"/>
                <w:sz w:val="15"/>
                <w:szCs w:val="15"/>
                <w:color w:val="auto"/>
              </w:rPr>
              <w:t>2,227</w:t>
            </w:r>
          </w:p>
        </w:tc>
        <w:tc>
          <w:tcPr>
            <w:tcW w:w="280" w:type="dxa"/>
            <w:vAlign w:val="bottom"/>
            <w:shd w:val="clear" w:color="auto" w:fill="CCFFCC"/>
          </w:tcPr>
          <w:p>
            <w:pPr>
              <w:jc w:val="right"/>
              <w:ind w:right="24"/>
              <w:spacing w:after="0"/>
              <w:rPr>
                <w:sz w:val="20"/>
                <w:szCs w:val="20"/>
                <w:color w:val="auto"/>
              </w:rPr>
            </w:pPr>
            <w:r>
              <w:rPr>
                <w:rFonts w:ascii="Arial" w:cs="Arial" w:eastAsia="Arial" w:hAnsi="Arial"/>
                <w:sz w:val="15"/>
                <w:szCs w:val="15"/>
                <w:color w:val="auto"/>
              </w:rPr>
              <w:t>$</w:t>
            </w:r>
          </w:p>
        </w:tc>
        <w:tc>
          <w:tcPr>
            <w:tcW w:w="680" w:type="dxa"/>
            <w:vAlign w:val="bottom"/>
            <w:shd w:val="clear" w:color="auto" w:fill="CCFFCC"/>
          </w:tcPr>
          <w:p>
            <w:pPr>
              <w:jc w:val="right"/>
              <w:ind w:right="28"/>
              <w:spacing w:after="0"/>
              <w:rPr>
                <w:sz w:val="20"/>
                <w:szCs w:val="20"/>
                <w:color w:val="auto"/>
              </w:rPr>
            </w:pPr>
            <w:r>
              <w:rPr>
                <w:rFonts w:ascii="Arial" w:cs="Arial" w:eastAsia="Arial" w:hAnsi="Arial"/>
                <w:sz w:val="15"/>
                <w:szCs w:val="15"/>
                <w:color w:val="auto"/>
              </w:rPr>
              <w:t>2,051</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9%</w:t>
            </w:r>
          </w:p>
        </w:tc>
      </w:tr>
      <w:tr>
        <w:trPr>
          <w:trHeight w:val="30"/>
        </w:trPr>
        <w:tc>
          <w:tcPr>
            <w:tcW w:w="538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r>
    </w:tbl>
    <w:p>
      <w:pPr>
        <w:spacing w:after="0" w:line="89"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Provision for income taxes increased to $0.9 million and $2.2 million in the three and nine months ended September 30, 2019, respectively, from $2.0 million in the comparable periods in 2018. Our consolidated effective tax rate was impacted by the statutory income tax rates applicable to each of the jurisdictions in which we operate.</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Net Loss</w:t>
      </w:r>
    </w:p>
    <w:p>
      <w:pPr>
        <w:spacing w:after="0" w:line="110"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We had a net loss of $25.9 million in the three months ended September 30, 2019 compared to a net loss of $7.0 million for the three months ended September 30, 2018. During the three months ended September 30, 2019, there were increases in revenue of approximately $11.0 million, increases in operating expenses of approximately $29.3 million, increases in other (expense) income, net of approximately $1.6 million, and decrease in provision for income taxes of approximately $1.1 million.</w:t>
      </w:r>
    </w:p>
    <w:p>
      <w:pPr>
        <w:spacing w:after="0" w:line="78"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We had a net loss of $68.7 million in the nine months ended September 30, 2019 compared to a net loss of $18.6 million for the nine months ended September 30, 2018. During the nine months ended September 30, 2019, there were increases in revenue of approximately $28.4 million, increases in operating expenses of approximately $74.5 million, increases in other (expense) income, net of approximately $4.0 million, and increase in provision for income taxes of approximately $0.2 million.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Liquidity and Capital Resources</w:t>
      </w:r>
    </w:p>
    <w:p>
      <w:pPr>
        <w:sectPr>
          <w:pgSz w:w="11900" w:h="16838" w:orient="portrait"/>
          <w:cols w:equalWidth="0" w:num="1">
            <w:col w:w="11420"/>
          </w:cols>
          <w:pgMar w:left="240" w:top="5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Consolidated Statements of Cash Flows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254875" cy="169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6954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7254875" cy="161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612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flows used in investing activities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flows provided by financing activities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Nine Months Ended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662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r>
      <w:tr>
        <w:trPr>
          <w:trHeight w:val="234"/>
        </w:trPr>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20"/>
                <w:szCs w:val="20"/>
                <w:color w:val="auto"/>
              </w:rPr>
            </w:pPr>
          </w:p>
        </w:tc>
      </w:tr>
      <w:tr>
        <w:trPr>
          <w:trHeight w:val="476"/>
        </w:trPr>
        <w:tc>
          <w:tcPr>
            <w:tcW w:w="2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147"/>
              <w:spacing w:after="0"/>
              <w:rPr>
                <w:sz w:val="20"/>
                <w:szCs w:val="20"/>
                <w:color w:val="auto"/>
              </w:rPr>
            </w:pPr>
            <w:r>
              <w:rPr>
                <w:rFonts w:ascii="Arial" w:cs="Arial" w:eastAsia="Arial" w:hAnsi="Arial"/>
                <w:sz w:val="15"/>
                <w:szCs w:val="15"/>
                <w:color w:val="auto"/>
              </w:rPr>
              <w:t>(40,444)</w:t>
            </w:r>
          </w:p>
        </w:tc>
        <w:tc>
          <w:tcPr>
            <w:tcW w:w="5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(7,108)</w:t>
            </w:r>
          </w:p>
        </w:tc>
      </w:tr>
      <w:tr>
        <w:trPr>
          <w:trHeight w:val="254"/>
        </w:trPr>
        <w:tc>
          <w:tcPr>
            <w:tcW w:w="280" w:type="dxa"/>
            <w:vAlign w:val="bottom"/>
          </w:tcPr>
          <w:p>
            <w:pPr>
              <w:spacing w:after="0"/>
              <w:rPr>
                <w:sz w:val="22"/>
                <w:szCs w:val="22"/>
                <w:color w:val="auto"/>
              </w:rPr>
            </w:pPr>
          </w:p>
        </w:tc>
        <w:tc>
          <w:tcPr>
            <w:tcW w:w="1020" w:type="dxa"/>
            <w:vAlign w:val="bottom"/>
          </w:tcPr>
          <w:p>
            <w:pPr>
              <w:jc w:val="right"/>
              <w:ind w:right="147"/>
              <w:spacing w:after="0"/>
              <w:rPr>
                <w:sz w:val="20"/>
                <w:szCs w:val="20"/>
                <w:color w:val="auto"/>
              </w:rPr>
            </w:pPr>
            <w:r>
              <w:rPr>
                <w:rFonts w:ascii="Arial" w:cs="Arial" w:eastAsia="Arial" w:hAnsi="Arial"/>
                <w:sz w:val="15"/>
                <w:szCs w:val="15"/>
                <w:color w:val="auto"/>
              </w:rPr>
              <w:t>(34,254)</w:t>
            </w:r>
          </w:p>
        </w:tc>
        <w:tc>
          <w:tcPr>
            <w:tcW w:w="5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(13,883)</w:t>
            </w:r>
          </w:p>
        </w:tc>
      </w:tr>
      <w:tr>
        <w:trPr>
          <w:trHeight w:val="254"/>
        </w:trPr>
        <w:tc>
          <w:tcPr>
            <w:tcW w:w="280" w:type="dxa"/>
            <w:vAlign w:val="bottom"/>
          </w:tcPr>
          <w:p>
            <w:pPr>
              <w:spacing w:after="0"/>
              <w:rPr>
                <w:sz w:val="22"/>
                <w:szCs w:val="22"/>
                <w:color w:val="auto"/>
              </w:rPr>
            </w:pPr>
          </w:p>
        </w:tc>
        <w:tc>
          <w:tcPr>
            <w:tcW w:w="1020" w:type="dxa"/>
            <w:vAlign w:val="bottom"/>
          </w:tcPr>
          <w:p>
            <w:pPr>
              <w:jc w:val="right"/>
              <w:ind w:right="187"/>
              <w:spacing w:after="0"/>
              <w:rPr>
                <w:sz w:val="20"/>
                <w:szCs w:val="20"/>
                <w:color w:val="auto"/>
              </w:rPr>
            </w:pPr>
            <w:r>
              <w:rPr>
                <w:rFonts w:ascii="Arial" w:cs="Arial" w:eastAsia="Arial" w:hAnsi="Arial"/>
                <w:sz w:val="15"/>
                <w:szCs w:val="15"/>
                <w:color w:val="auto"/>
              </w:rPr>
              <w:t>214,763</w:t>
            </w:r>
          </w:p>
        </w:tc>
        <w:tc>
          <w:tcPr>
            <w:tcW w:w="540" w:type="dxa"/>
            <w:vAlign w:val="bottom"/>
          </w:tcPr>
          <w:p>
            <w:pPr>
              <w:spacing w:after="0"/>
              <w:rPr>
                <w:sz w:val="22"/>
                <w:szCs w:val="22"/>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31,367</w:t>
            </w:r>
          </w:p>
        </w:tc>
      </w:tr>
    </w:tbl>
    <w:p>
      <w:pPr>
        <w:spacing w:after="0" w:line="119" w:lineRule="exact"/>
        <w:rPr>
          <w:sz w:val="20"/>
          <w:szCs w:val="20"/>
          <w:color w:val="auto"/>
        </w:rPr>
      </w:pPr>
    </w:p>
    <w:p>
      <w:pPr>
        <w:sectPr>
          <w:pgSz w:w="11900" w:h="16838" w:orient="portrait"/>
          <w:cols w:equalWidth="0" w:num="2">
            <w:col w:w="8080" w:space="720"/>
            <w:col w:w="2620"/>
          </w:cols>
          <w:pgMar w:left="240" w:top="559" w:right="239" w:bottom="1440" w:gutter="0" w:footer="0" w:header="0"/>
          <w:type w:val="continuous"/>
        </w:sectPr>
      </w:pPr>
    </w:p>
    <w:p>
      <w:pPr>
        <w:jc w:val="both"/>
        <w:ind w:firstLine="610"/>
        <w:spacing w:after="0" w:line="254" w:lineRule="auto"/>
        <w:rPr>
          <w:sz w:val="20"/>
          <w:szCs w:val="20"/>
          <w:color w:val="auto"/>
        </w:rPr>
      </w:pPr>
      <w:r>
        <w:rPr>
          <w:rFonts w:ascii="Arial" w:cs="Arial" w:eastAsia="Arial" w:hAnsi="Arial"/>
          <w:sz w:val="17"/>
          <w:szCs w:val="17"/>
          <w:color w:val="auto"/>
        </w:rPr>
        <w:t>As of September 30, 2019, we had approximately $205.2 million in cash and cash equivalents, an increase of approximately $138.7 million from December 31, 2018. The increase is primarily attributable to cash provided by investing activities relating to issuance of the Notes, as described in Note 8 to the Condensed Consolidated Financial Statements, and cash provided by financing activities relating to issuance of common stock and increase in deferred revenue. This was partially offset by purchases of capped calls, as described in Note 8 to the Condensed Consolidated Financial Statements, fixed assets for our co-location facilities and capitalization of internally developed software, and debt issuance costs, as well as decreases in accrued expenses and accounts payable and increases in prepaid expenses and accounts receivable.</w:t>
      </w:r>
    </w:p>
    <w:p>
      <w:pPr>
        <w:spacing w:after="0" w:line="80"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Net cash used in operating activities was $40.4 million for the nine months ended September 30, 2019 and consisted primarily of net loss, a decrease in accrued expenses and accounts payable and increases in prepaid expenses and accounts receivable. This was partially offset by increases in deferred revenue and non-cash expenses related to depreciation, stock compensation, accretion of debt discount, and amortization of purchased intangibles. The increase in deferred revenue was primarily related to changes in our billing terms for some of our larger customers. Net cash used in operating activities was $7.1 million for the nine months ended September 30, 2018 and consisted primarily of net loss and increases in prepaid expenses and other current assets and accounts receivable and decreases in accrued expenses. This was partially offset by increases in deferred revenue and non-cash expenses related to depreciation, stock compensation, and amortization of purchased intangibles. The increase in accounts receivable and deferred revenue was primarily related to changes in our billing terms for some of our larger customers.</w:t>
      </w:r>
    </w:p>
    <w:p>
      <w:pPr>
        <w:spacing w:after="0" w:line="56" w:lineRule="exact"/>
        <w:rPr>
          <w:sz w:val="20"/>
          <w:szCs w:val="20"/>
          <w:color w:val="auto"/>
        </w:rPr>
      </w:pPr>
    </w:p>
    <w:p>
      <w:pPr>
        <w:jc w:val="both"/>
        <w:ind w:firstLine="610"/>
        <w:spacing w:after="0" w:line="278" w:lineRule="auto"/>
        <w:rPr>
          <w:sz w:val="20"/>
          <w:szCs w:val="20"/>
          <w:color w:val="auto"/>
        </w:rPr>
      </w:pPr>
      <w:r>
        <w:rPr>
          <w:rFonts w:ascii="Arial" w:cs="Arial" w:eastAsia="Arial" w:hAnsi="Arial"/>
          <w:sz w:val="16"/>
          <w:szCs w:val="16"/>
          <w:color w:val="auto"/>
        </w:rPr>
        <w:t>Net cash used in investing activities was $34.3 million in the nine months ended September 30, 2019 and consisted primarily of the purchase of fixed assets for our co-location facilities and capitalization of internally developed software. Net cash used in investing activities was $13.9 million in the nine months ended September 30, 2018 and was due primarily to the purchase of fixed assets for our co-location facilities and capitalization of internally developed software and the BotCentral assets acquired, partially offset by a release of restricted cash used with foreign currency forward contracts.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559" w:right="239" w:bottom="1440" w:gutter="0" w:footer="0" w:header="0"/>
          <w:type w:val="continuous"/>
        </w:sectPr>
      </w:pPr>
    </w:p>
    <w:bookmarkStart w:id="47" w:name="page48"/>
    <w:bookmarkEnd w:id="47"/>
    <w:p>
      <w:pPr>
        <w:jc w:val="both"/>
        <w:ind w:firstLine="610"/>
        <w:spacing w:after="0" w:line="273" w:lineRule="auto"/>
        <w:rPr>
          <w:sz w:val="20"/>
          <w:szCs w:val="20"/>
          <w:color w:val="auto"/>
        </w:rPr>
      </w:pPr>
      <w:r>
        <w:rPr>
          <w:rFonts w:ascii="Arial" w:cs="Arial" w:eastAsia="Arial" w:hAnsi="Arial"/>
          <w:sz w:val="16"/>
          <w:szCs w:val="16"/>
          <w:color w:val="auto"/>
        </w:rPr>
        <w:t>Net cash provided by financing activities was $214.8 million in the nine months ended September 30, 2019 and consisted primarily of proceeds from issuance of the Notes and proceeds from issuance of common stock in connection with the exercise of stock options by employees. This was partially offset by purchases of capped calls, debt issuance costs, and repurchase of our common stock. The net proceeds of the Notes was approximately $221.0 million, after deducting initial purchaser debt issuance costs paid or payable by us, from issuance of the Notes, as described in Note 8 to the Condensed Consolidated Financial Statements. Net cash provided by financing activities was $31.4 million in the nine months ended September 30, 2018. This was due primarily to proceeds from the issuance of common stock in connection with the exercise of stock options by employees, partially offset by repurchase of our common stock.</w:t>
      </w:r>
    </w:p>
    <w:p>
      <w:pPr>
        <w:spacing w:after="0" w:line="66"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September 30, 2019, we had an accumulated deficit of approximately $256.2 million.</w:t>
      </w:r>
    </w:p>
    <w:p>
      <w:pPr>
        <w:spacing w:after="0" w:line="78" w:lineRule="exact"/>
        <w:rPr>
          <w:sz w:val="20"/>
          <w:szCs w:val="20"/>
          <w:color w:val="auto"/>
        </w:rPr>
      </w:pPr>
    </w:p>
    <w:p>
      <w:pPr>
        <w:jc w:val="both"/>
        <w:ind w:firstLine="610"/>
        <w:spacing w:after="0" w:line="291" w:lineRule="auto"/>
        <w:rPr>
          <w:sz w:val="20"/>
          <w:szCs w:val="20"/>
          <w:color w:val="auto"/>
        </w:rPr>
      </w:pPr>
      <w:r>
        <w:rPr>
          <w:rFonts w:ascii="Arial" w:cs="Arial" w:eastAsia="Arial" w:hAnsi="Arial"/>
          <w:sz w:val="15"/>
          <w:szCs w:val="15"/>
          <w:color w:val="auto"/>
        </w:rPr>
        <w:t>Our principal source of liquidity is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5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Off-Balance Sheet Arrangements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do not engage in off-balance sheet financing arrangements.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Risks</w:t>
      </w:r>
    </w:p>
    <w:p>
      <w:pPr>
        <w:spacing w:after="0" w:line="110" w:lineRule="exact"/>
        <w:rPr>
          <w:sz w:val="20"/>
          <w:szCs w:val="20"/>
          <w:color w:val="auto"/>
        </w:rPr>
      </w:pPr>
    </w:p>
    <w:p>
      <w:pPr>
        <w:jc w:val="both"/>
        <w:ind w:firstLine="610"/>
        <w:spacing w:after="0" w:line="252" w:lineRule="auto"/>
        <w:rPr>
          <w:sz w:val="20"/>
          <w:szCs w:val="20"/>
          <w:color w:val="auto"/>
        </w:rPr>
      </w:pPr>
      <w:r>
        <w:rPr>
          <w:rFonts w:ascii="Arial" w:cs="Arial" w:eastAsia="Arial" w:hAnsi="Arial"/>
          <w:sz w:val="17"/>
          <w:szCs w:val="17"/>
          <w:color w:val="auto"/>
        </w:rPr>
        <w:t>Our Israeli operations have currency rate fluctuation risk associated with the exchange rate movement of the U.S. dollar against the New Israeli Shekel (“NIS”). During the three months ended September 30, 2019, the U.S. dollar depreciated by approximately 2% as compared to the NIS and the exchange rate depreciated approximately 1% during the nine months ended September 30, 2019. During the three and nine months ended September 30, 2019, expenses generated by our Israeli operations totaled approximately $17.5 million and $48.0 million respectively.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Collection Risks</w:t>
      </w:r>
    </w:p>
    <w:p>
      <w:pPr>
        <w:spacing w:after="0" w:line="110"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2019, our allowance for doubtful accounts increased by $0.6 million to approximately $2.9 million. During the year ended December 31, 2018, our allowance for doubtful accounts increased by $1.0 million to approximately $2.3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its recorded allowance when we have exhausted collection efforts without success. We adjust our allowance for doubtful accounts when accounts previously reserved have been collected.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0"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Our investments consist of cash and cash equivalents. Therefore, changes in the market’s interest rates do not affect in any material respect the value of the investments as recorded by us.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559" w:right="239" w:bottom="1440" w:gutter="0" w:footer="0" w:header="0"/>
        </w:sectPr>
      </w:pPr>
    </w:p>
    <w:bookmarkStart w:id="48" w:name="page49"/>
    <w:bookmarkEnd w:id="48"/>
    <w:p>
      <w:pPr>
        <w:jc w:val="both"/>
        <w:ind w:firstLine="610"/>
        <w:spacing w:after="0" w:line="261" w:lineRule="auto"/>
        <w:rPr>
          <w:sz w:val="20"/>
          <w:szCs w:val="20"/>
          <w:color w:val="auto"/>
        </w:rPr>
      </w:pPr>
      <w:r>
        <w:rPr>
          <w:rFonts w:ascii="Arial" w:cs="Arial" w:eastAsia="Arial" w:hAnsi="Arial"/>
          <w:sz w:val="17"/>
          <w:szCs w:val="17"/>
          <w:color w:val="auto"/>
        </w:rPr>
        <w:t>In March 2019, we issued $230.0 million in aggregate principal amount of the Notes, as discussed in Note 8 to the Condensed Consolidated Financial Statements. As the Notes have a fixed annual interest rate, we have no financial and economic interest exposure associated with changes in interest rates. However, the fair value of the Notes changes when the market price of our stock fluctuates or interest rates change.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Inflation Risk</w:t>
      </w:r>
    </w:p>
    <w:p>
      <w:pPr>
        <w:spacing w:after="0" w:line="11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559"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color w:val="auto"/>
        </w:rPr>
        <w:t>Item 4.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10"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2019. Based on that evaluation, the Chief Executive Officer and Chief Financial Officer concluded that our disclosure controls and procedures were effective as of September 30, 2019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There were no changes in our internal control over financial reporting during the quarter ended September 30, 2019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of the Effectiveness of Internal Control</w:t>
      </w:r>
    </w:p>
    <w:p>
      <w:pPr>
        <w:spacing w:after="0" w:line="11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Part II. Other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317" w:lineRule="exact"/>
        <w:rPr>
          <w:sz w:val="20"/>
          <w:szCs w:val="20"/>
          <w:color w:val="auto"/>
        </w:rPr>
      </w:pPr>
    </w:p>
    <w:p>
      <w:pPr>
        <w:jc w:val="both"/>
        <w:ind w:firstLine="610"/>
        <w:spacing w:after="0" w:line="292" w:lineRule="auto"/>
        <w:rPr>
          <w:sz w:val="20"/>
          <w:szCs w:val="20"/>
          <w:color w:val="auto"/>
        </w:rPr>
      </w:pPr>
      <w:r>
        <w:rPr>
          <w:rFonts w:ascii="Arial" w:cs="Arial" w:eastAsia="Arial" w:hAnsi="Arial"/>
          <w:sz w:val="15"/>
          <w:szCs w:val="15"/>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our favor have invalidated the majority of [24]7 patents that were asserted in the patent cases. Trial for our intellectual property and other claims asserted against [24]7 in the original litigation is currently set for January 21, 2020. We believe the claims filed by [24]7 are entirely without merit and intend to defend them vigorously.</w:t>
      </w:r>
    </w:p>
    <w:p>
      <w:pPr>
        <w:spacing w:after="0" w:line="56"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7"/>
          <w:szCs w:val="17"/>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4" w:lineRule="exact"/>
        <w:rPr>
          <w:sz w:val="20"/>
          <w:szCs w:val="20"/>
          <w:color w:val="auto"/>
        </w:rPr>
      </w:pPr>
    </w:p>
    <w:p>
      <w:pPr>
        <w:jc w:val="both"/>
        <w:ind w:firstLine="610"/>
        <w:spacing w:after="0" w:line="269"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70" w:lineRule="exact"/>
        <w:rPr>
          <w:sz w:val="20"/>
          <w:szCs w:val="20"/>
          <w:color w:val="auto"/>
        </w:rPr>
      </w:pPr>
    </w:p>
    <w:p>
      <w:pPr>
        <w:jc w:val="both"/>
        <w:ind w:firstLine="610"/>
        <w:spacing w:after="0" w:line="302" w:lineRule="auto"/>
        <w:rPr>
          <w:sz w:val="20"/>
          <w:szCs w:val="20"/>
          <w:color w:val="auto"/>
        </w:rPr>
      </w:pPr>
      <w:r>
        <w:rPr>
          <w:rFonts w:ascii="Arial" w:cs="Arial" w:eastAsia="Arial" w:hAnsi="Arial"/>
          <w:sz w:val="15"/>
          <w:szCs w:val="15"/>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559" w:right="239" w:bottom="1440" w:gutter="0" w:footer="0" w:header="0"/>
        </w:sectPr>
      </w:pPr>
    </w:p>
    <w:bookmarkStart w:id="50" w:name="page51"/>
    <w:bookmarkEnd w:id="50"/>
    <w:p>
      <w:pPr>
        <w:spacing w:after="0" w:line="273" w:lineRule="auto"/>
        <w:rPr>
          <w:sz w:val="20"/>
          <w:szCs w:val="20"/>
          <w:color w:val="auto"/>
        </w:rPr>
      </w:pPr>
      <w:r>
        <w:rPr>
          <w:rFonts w:ascii="Arial" w:cs="Arial" w:eastAsia="Arial" w:hAnsi="Arial"/>
          <w:sz w:val="17"/>
          <w:szCs w:val="17"/>
          <w:color w:val="auto"/>
        </w:rPr>
        <w:t>claims. Regardless of the outcome, litigation can have an adverse impact on us because of defense and settlement costs, diversion of management resources and other factors.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Item 1A. Risk Factors</w:t>
      </w:r>
    </w:p>
    <w:p>
      <w:pPr>
        <w:spacing w:after="0" w:line="110" w:lineRule="exact"/>
        <w:rPr>
          <w:sz w:val="20"/>
          <w:szCs w:val="20"/>
          <w:color w:val="auto"/>
        </w:rPr>
      </w:pPr>
    </w:p>
    <w:p>
      <w:pPr>
        <w:ind w:firstLine="610"/>
        <w:spacing w:after="0" w:line="256" w:lineRule="auto"/>
        <w:rPr>
          <w:sz w:val="20"/>
          <w:szCs w:val="20"/>
          <w:color w:val="auto"/>
        </w:rPr>
      </w:pPr>
      <w:r>
        <w:rPr>
          <w:rFonts w:ascii="Arial" w:cs="Arial" w:eastAsia="Arial" w:hAnsi="Arial"/>
          <w:sz w:val="17"/>
          <w:szCs w:val="17"/>
          <w:color w:val="auto"/>
        </w:rPr>
        <w:t>Our operations and financial results are subject to various risks and uncertainties, including those described in Part I, Item 1A. “Risk Factors” in our Annual Report on Form 10-K for the year ended December 31, 2018, filed on February 25, 2019,</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which could adversely affect our business, financial condition, results of operations, cash flows, and the trading price of our common stock. Other than as set forth below, there have been no material changes to the risk factors described in our most recent Annual Report on Form 10-K.</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Risks Related to Our Notes</w:t>
      </w:r>
    </w:p>
    <w:p>
      <w:pPr>
        <w:spacing w:after="0" w:line="249"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Servicing our future debt may require a significant amount of cash, and we may not have sufficient cash flow from our business to pay our indebtedness.</w:t>
      </w:r>
    </w:p>
    <w:p>
      <w:pPr>
        <w:spacing w:after="0" w:line="223" w:lineRule="exact"/>
        <w:rPr>
          <w:sz w:val="20"/>
          <w:szCs w:val="20"/>
          <w:color w:val="auto"/>
        </w:rPr>
      </w:pPr>
    </w:p>
    <w:p>
      <w:pPr>
        <w:jc w:val="both"/>
        <w:ind w:left="80" w:firstLine="521"/>
        <w:spacing w:after="0" w:line="27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68"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i w:val="1"/>
          <w:iCs w:val="1"/>
          <w:color w:val="auto"/>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spacing w:after="0" w:line="165" w:lineRule="exact"/>
        <w:rPr>
          <w:sz w:val="20"/>
          <w:szCs w:val="20"/>
          <w:color w:val="auto"/>
        </w:rPr>
      </w:pPr>
    </w:p>
    <w:p>
      <w:pPr>
        <w:jc w:val="both"/>
        <w:ind w:firstLine="610"/>
        <w:spacing w:after="0" w:line="289" w:lineRule="auto"/>
        <w:rPr>
          <w:sz w:val="20"/>
          <w:szCs w:val="20"/>
          <w:color w:val="auto"/>
        </w:rPr>
      </w:pPr>
      <w:r>
        <w:rPr>
          <w:rFonts w:ascii="Arial" w:cs="Arial" w:eastAsia="Arial" w:hAnsi="Arial"/>
          <w:sz w:val="15"/>
          <w:szCs w:val="15"/>
          <w:color w:val="auto"/>
        </w:rPr>
        <w:t>Holders of the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are required to make cash payments in respect of the Notes being converted. However, we may not have enough available cash or be able to obtain financing at the time we are required to make repurchases of Notes surrendered therefor or pay cash with respect to Notes being converted. In addition, our ability to repurchase Notes or to pay cash upon conversions of Notes may be limited by law, regulatory authority, or any agreements governing our future indebtedness. Our failure to repurchase Notes at a time when the repurchase is required by the indenture or to pay any cash upon conversions of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grace periods, we may not have sufficient funds to repay the indebtedness and repurchase the Notes or to pay cash upon conversions of Notes.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conditional conversion feature of the Notes, if triggered, may adversely affect our financial condition and operating results.</w:t>
      </w:r>
    </w:p>
    <w:p>
      <w:pPr>
        <w:spacing w:after="0" w:line="211" w:lineRule="exact"/>
        <w:rPr>
          <w:sz w:val="20"/>
          <w:szCs w:val="20"/>
          <w:color w:val="auto"/>
        </w:rPr>
      </w:pPr>
    </w:p>
    <w:p>
      <w:pPr>
        <w:jc w:val="both"/>
        <w:ind w:firstLine="610"/>
        <w:spacing w:after="0" w:line="254" w:lineRule="auto"/>
        <w:rPr>
          <w:sz w:val="20"/>
          <w:szCs w:val="20"/>
          <w:color w:val="auto"/>
        </w:rPr>
      </w:pPr>
      <w:r>
        <w:rPr>
          <w:rFonts w:ascii="Arial" w:cs="Arial" w:eastAsia="Arial" w:hAnsi="Arial"/>
          <w:sz w:val="17"/>
          <w:szCs w:val="17"/>
          <w:color w:val="auto"/>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559" w:right="239" w:bottom="1440" w:gutter="0" w:footer="0" w:header="0"/>
        </w:sectPr>
      </w:pPr>
    </w:p>
    <w:bookmarkStart w:id="51" w:name="page52"/>
    <w:bookmarkEnd w:id="51"/>
    <w:p>
      <w:pPr>
        <w:spacing w:after="0"/>
        <w:rPr>
          <w:sz w:val="20"/>
          <w:szCs w:val="20"/>
          <w:color w:val="auto"/>
        </w:rPr>
      </w:pPr>
      <w:r>
        <w:rPr>
          <w:rFonts w:ascii="Arial" w:cs="Arial" w:eastAsia="Arial" w:hAnsi="Arial"/>
          <w:sz w:val="15"/>
          <w:szCs w:val="15"/>
          <w:i w:val="1"/>
          <w:iCs w:val="1"/>
          <w:color w:val="auto"/>
        </w:rPr>
        <w:t>The accounting method for convertible debt securities that may be settled in cash, such as the Notes, could have a material effect on our reported financial results.</w:t>
      </w:r>
    </w:p>
    <w:p>
      <w:pPr>
        <w:spacing w:after="0" w:line="234"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6"/>
          <w:szCs w:val="16"/>
          <w:color w:val="auto"/>
        </w:rPr>
        <w:t xml:space="preserve">Under Accounting Standards Codification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or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net of issuance costs, is required to be included in the additional paid-in capital section of stockholders’ equity on our condensed consolidated balance sheet at the issuance date and the value of the equity component is treated as original issue discount for purposes of accounting for the liability component of the Notes. As a result, we are required to record a greater amount of non-cash interest expense in current periods presented as a result of the amortization of the discounted carrying value of the Notes to their face amount over the term of the Notes. We will report larger net losses (or lower net income) in our financial results because ASC 470-20 requires interest to include both the current period’s amortization of the debt discount and the instrument’s non-convertible coupon interest rate, which could adversely affect our reported or future financial results, the trading price of our common stock and the trading price of the Notes.</w:t>
      </w:r>
    </w:p>
    <w:p>
      <w:pPr>
        <w:spacing w:after="0" w:line="170" w:lineRule="exact"/>
        <w:rPr>
          <w:sz w:val="20"/>
          <w:szCs w:val="20"/>
          <w:color w:val="auto"/>
        </w:rPr>
      </w:pPr>
    </w:p>
    <w:p>
      <w:pPr>
        <w:jc w:val="both"/>
        <w:ind w:firstLine="610"/>
        <w:spacing w:after="0" w:line="294" w:lineRule="auto"/>
        <w:rPr>
          <w:sz w:val="20"/>
          <w:szCs w:val="20"/>
          <w:color w:val="auto"/>
        </w:rPr>
      </w:pPr>
      <w:r>
        <w:rPr>
          <w:rFonts w:ascii="Arial" w:cs="Arial" w:eastAsia="Arial" w:hAnsi="Arial"/>
          <w:sz w:val="15"/>
          <w:szCs w:val="15"/>
          <w:color w:val="auto"/>
        </w:rPr>
        <w:t>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Notes, then our diluted earnings per share would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capped call transactions may affect the value of the Notes and our common stock.</w:t>
      </w:r>
    </w:p>
    <w:p>
      <w:pPr>
        <w:spacing w:after="0" w:line="211" w:lineRule="exact"/>
        <w:rPr>
          <w:sz w:val="20"/>
          <w:szCs w:val="20"/>
          <w:color w:val="auto"/>
        </w:rPr>
      </w:pPr>
    </w:p>
    <w:p>
      <w:pPr>
        <w:jc w:val="both"/>
        <w:ind w:firstLine="610"/>
        <w:spacing w:after="0" w:line="312" w:lineRule="auto"/>
        <w:rPr>
          <w:sz w:val="20"/>
          <w:szCs w:val="20"/>
          <w:color w:val="auto"/>
        </w:rPr>
      </w:pPr>
      <w:r>
        <w:rPr>
          <w:rFonts w:ascii="Arial" w:cs="Arial" w:eastAsia="Arial" w:hAnsi="Arial"/>
          <w:sz w:val="15"/>
          <w:szCs w:val="15"/>
          <w:color w:val="auto"/>
        </w:rPr>
        <w:t>In connection with the transaction in which we issued the Notes, we entered into capped call transactions with certain option counterparties. The capped call transactions are expected generally to reduce the potential dilution to our common stock upon any conversion of Notes and/or offset any cash payments we are required to make in excess of the principal amount of the converted Notes, as the case may be, upon any conversion of Notes, with such reduction and/or offset subject to a cap.</w:t>
      </w:r>
    </w:p>
    <w:p>
      <w:pPr>
        <w:spacing w:after="0" w:line="141" w:lineRule="exact"/>
        <w:rPr>
          <w:sz w:val="20"/>
          <w:szCs w:val="20"/>
          <w:color w:val="auto"/>
        </w:rPr>
      </w:pPr>
    </w:p>
    <w:p>
      <w:pPr>
        <w:jc w:val="both"/>
        <w:ind w:firstLine="610"/>
        <w:spacing w:after="0" w:line="253" w:lineRule="auto"/>
        <w:rPr>
          <w:sz w:val="20"/>
          <w:szCs w:val="20"/>
          <w:color w:val="auto"/>
        </w:rPr>
      </w:pPr>
      <w:r>
        <w:rPr>
          <w:rFonts w:ascii="Arial" w:cs="Arial" w:eastAsia="Arial" w:hAnsi="Arial"/>
          <w:sz w:val="17"/>
          <w:szCs w:val="17"/>
          <w:color w:val="auto"/>
        </w:rPr>
        <w:t>The option counterparties or their respective affiliates are expected to modify their hedge positions by entering into or unwinding various derivatives with respect to our common stock and/or purchasing or selling our common stock, the Notes or other of our securities or instruments (if any), in secondary market transactions prior to the maturity of the Notes (and are likely to do so during any observation period related to a conversion of Notes occurring on or after November 1, 2023 or following any earlier conversion or any repurchase of Notes by us on any fundamental change repurchase date or otherwise). This activity could also cause or avoid an increase or a decrease in the market price of our common stock or the Notes, which could affect a holder’s ability to convert the Notes and, to the extent the activity occurs during any observation period related to a conversion of Notes, it could affect the amount and value of the consideration that a holder will receive upon conversion of such Notes.</w:t>
      </w:r>
    </w:p>
    <w:p>
      <w:pPr>
        <w:spacing w:after="0" w:line="184" w:lineRule="exact"/>
        <w:rPr>
          <w:sz w:val="20"/>
          <w:szCs w:val="20"/>
          <w:color w:val="auto"/>
        </w:rPr>
      </w:pPr>
    </w:p>
    <w:p>
      <w:pPr>
        <w:jc w:val="both"/>
        <w:ind w:firstLine="610"/>
        <w:spacing w:after="0" w:line="257" w:lineRule="auto"/>
        <w:rPr>
          <w:sz w:val="20"/>
          <w:szCs w:val="20"/>
          <w:color w:val="auto"/>
        </w:rPr>
      </w:pPr>
      <w:r>
        <w:rPr>
          <w:rFonts w:ascii="Arial" w:cs="Arial" w:eastAsia="Arial" w:hAnsi="Arial"/>
          <w:sz w:val="17"/>
          <w:szCs w:val="17"/>
          <w:color w:val="auto"/>
        </w:rPr>
        <w:t>The potential effect, if any, of these transactions and activities on the market price of our common stock or the Notes will depend in part on market conditions and cannot be ascertained at this time. Any of these activities could adversely affect the value of our common stock and the value of the Notes (and as a result, the amount and value of the consideration that a holder would receive upon the conversion of any Notes) and, under certain circumstances, a holder’s ability to convert his or her Notes.</w:t>
      </w:r>
    </w:p>
    <w:p>
      <w:pPr>
        <w:spacing w:after="0" w:line="179"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price of our common stock or the Notes. In addition, we do not make any representation that the option counterparties or their respective affiliates will engage in these transactions or that these transactions, once commenced, will not be discontinued without notice.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subject to counterparty risk with respect to the capped calls.</w:t>
      </w:r>
    </w:p>
    <w:p>
      <w:pPr>
        <w:spacing w:after="0" w:line="211" w:lineRule="exact"/>
        <w:rPr>
          <w:sz w:val="20"/>
          <w:szCs w:val="20"/>
          <w:color w:val="auto"/>
        </w:rPr>
      </w:pPr>
    </w:p>
    <w:p>
      <w:pPr>
        <w:jc w:val="both"/>
        <w:ind w:firstLine="610"/>
        <w:spacing w:after="0" w:line="273" w:lineRule="auto"/>
        <w:rPr>
          <w:sz w:val="20"/>
          <w:szCs w:val="20"/>
          <w:color w:val="auto"/>
        </w:rPr>
      </w:pPr>
      <w:r>
        <w:rPr>
          <w:rFonts w:ascii="Arial" w:cs="Arial" w:eastAsia="Arial" w:hAnsi="Arial"/>
          <w:sz w:val="16"/>
          <w:szCs w:val="16"/>
          <w:color w:val="auto"/>
        </w:rPr>
        <w:t>The option counterparties to the capped call transactions are financial institutions, and we are subject to the risk that any or all of them may default under the capped calls. Our exposure to the credit risk of the option counterparties is not secured by any collateral. Global economic conditions have in the recent past resulted in, and may again result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depends on many factors but, generally, an increase in our exposure will be correlated to an increase in the market price and in the volatility of our common stock. In addition, upon a default by an option counterparty,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59" w:right="239" w:bottom="1440" w:gutter="0" w:footer="0" w:header="0"/>
        </w:sectPr>
      </w:pPr>
    </w:p>
    <w:bookmarkStart w:id="52" w:name="page53"/>
    <w:bookmarkEnd w:id="52"/>
    <w:p>
      <w:pPr>
        <w:spacing w:after="0" w:line="273" w:lineRule="auto"/>
        <w:rPr>
          <w:sz w:val="20"/>
          <w:szCs w:val="20"/>
          <w:color w:val="auto"/>
        </w:rPr>
      </w:pPr>
      <w:r>
        <w:rPr>
          <w:rFonts w:ascii="Arial" w:cs="Arial" w:eastAsia="Arial" w:hAnsi="Arial"/>
          <w:sz w:val="17"/>
          <w:szCs w:val="17"/>
          <w:color w:val="auto"/>
        </w:rPr>
        <w:t>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Item 2. Unregistered Sales of Equity Securities and Use of Proceeds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Unregistered Sales of Equity Securities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unregistered sales of equity securities by the issuer during the three months ended September 30, 2019.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of Equity Securities by the Issuer</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repurchases of equity securities by the issuer during the three months ended September 30, 2019.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Item 3. Defaults Upon Senior Securities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Item 4. Mine Safety Disclosures</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Item 5. Other Information</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559" w:right="239" w:bottom="1440" w:gutter="0" w:footer="0" w:header="0"/>
        </w:sectPr>
      </w:pPr>
    </w:p>
    <w:bookmarkStart w:id="53" w:name="page54"/>
    <w:bookmarkEnd w:id="53"/>
    <w:tbl>
      <w:tblPr>
        <w:tblLayout w:type="fixed"/>
        <w:tblInd w:w="36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9600" w:type="dxa"/>
            <w:vAlign w:val="bottom"/>
          </w:tcPr>
          <w:p>
            <w:pPr>
              <w:ind w:left="3500"/>
              <w:spacing w:after="0"/>
              <w:rPr>
                <w:sz w:val="20"/>
                <w:szCs w:val="20"/>
                <w:color w:val="auto"/>
              </w:rPr>
            </w:pPr>
            <w:r>
              <w:rPr>
                <w:rFonts w:ascii="Arial" w:cs="Arial" w:eastAsia="Arial" w:hAnsi="Arial"/>
                <w:sz w:val="17"/>
                <w:szCs w:val="17"/>
                <w:color w:val="auto"/>
              </w:rPr>
              <w:t>ITEM 6. EXHIBITS</w:t>
            </w:r>
          </w:p>
        </w:tc>
      </w:tr>
      <w:tr>
        <w:trPr>
          <w:trHeight w:val="745"/>
        </w:trPr>
        <w:tc>
          <w:tcPr>
            <w:tcW w:w="1160" w:type="dxa"/>
            <w:vAlign w:val="bottom"/>
          </w:tcPr>
          <w:p>
            <w:pPr>
              <w:jc w:val="right"/>
              <w:ind w:right="775"/>
              <w:spacing w:after="0"/>
              <w:rPr>
                <w:sz w:val="20"/>
                <w:szCs w:val="20"/>
                <w:color w:val="auto"/>
              </w:rPr>
            </w:pPr>
            <w:r>
              <w:rPr>
                <w:rFonts w:ascii="Arial" w:cs="Arial" w:eastAsia="Arial" w:hAnsi="Arial"/>
                <w:sz w:val="17"/>
                <w:szCs w:val="17"/>
                <w:color w:val="auto"/>
                <w:w w:val="84"/>
              </w:rPr>
              <w:t>31.1</w:t>
            </w:r>
          </w:p>
        </w:tc>
        <w:tc>
          <w:tcPr>
            <w:tcW w:w="9600" w:type="dxa"/>
            <w:vAlign w:val="bottom"/>
            <w:tcBorders>
              <w:bottom w:val="single" w:sz="8" w:color="0000FF"/>
            </w:tcBorders>
          </w:tcPr>
          <w:p>
            <w:pPr>
              <w:spacing w:after="0"/>
              <w:rPr>
                <w:rFonts w:ascii="Arial" w:cs="Arial" w:eastAsia="Arial" w:hAnsi="Arial"/>
                <w:sz w:val="17"/>
                <w:szCs w:val="17"/>
                <w:color w:val="0000FF"/>
                <w:w w:val="90"/>
              </w:rPr>
            </w:pPr>
            <w:hyperlink w:anchor="page56">
              <w:r>
                <w:rPr>
                  <w:rFonts w:ascii="Arial" w:cs="Arial" w:eastAsia="Arial" w:hAnsi="Arial"/>
                  <w:sz w:val="17"/>
                  <w:szCs w:val="17"/>
                  <w:color w:val="0000FF"/>
                  <w:w w:val="90"/>
                </w:rPr>
                <w:t>Certification by Chief Executive Officer pursuant to Exchange Act Rule 13a-14(a), as adopted pursuant to Section 302 of the Sarbanes-Oxley</w:t>
              </w:r>
            </w:hyperlink>
          </w:p>
        </w:tc>
      </w:tr>
    </w:tbl>
    <w:p>
      <w:pPr>
        <w:ind w:left="1520" w:hanging="464"/>
        <w:spacing w:after="0"/>
        <w:tabs>
          <w:tab w:leader="none" w:pos="1520" w:val="left"/>
        </w:tabs>
        <w:numPr>
          <w:ilvl w:val="0"/>
          <w:numId w:val="24"/>
        </w:numPr>
        <w:rPr>
          <w:rFonts w:ascii="Arial" w:cs="Arial" w:eastAsia="Arial" w:hAnsi="Arial"/>
          <w:sz w:val="17"/>
          <w:szCs w:val="17"/>
          <w:u w:val="single" w:color="auto"/>
          <w:color w:val="0000FF"/>
        </w:rPr>
      </w:pPr>
      <w:hyperlink w:anchor="page56">
        <w:r>
          <w:rPr>
            <w:rFonts w:ascii="Arial" w:cs="Arial" w:eastAsia="Arial" w:hAnsi="Arial"/>
            <w:sz w:val="17"/>
            <w:szCs w:val="17"/>
            <w:u w:val="single" w:color="auto"/>
            <w:color w:val="0000FF"/>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22490" cy="177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177800"/>
                    </a:xfrm>
                    <a:prstGeom prst="rect">
                      <a:avLst/>
                    </a:prstGeom>
                    <a:noFill/>
                  </pic:spPr>
                </pic:pic>
              </a:graphicData>
            </a:graphic>
          </wp:anchor>
        </w:drawing>
      </w:r>
    </w:p>
    <w:p>
      <w:pPr>
        <w:spacing w:after="0" w:line="286"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160" w:type="dxa"/>
            <w:vAlign w:val="bottom"/>
          </w:tcPr>
          <w:p>
            <w:pPr>
              <w:jc w:val="right"/>
              <w:ind w:right="775"/>
              <w:spacing w:after="0"/>
              <w:rPr>
                <w:sz w:val="20"/>
                <w:szCs w:val="20"/>
                <w:color w:val="auto"/>
              </w:rPr>
            </w:pPr>
            <w:r>
              <w:rPr>
                <w:rFonts w:ascii="Arial" w:cs="Arial" w:eastAsia="Arial" w:hAnsi="Arial"/>
                <w:sz w:val="17"/>
                <w:szCs w:val="17"/>
                <w:color w:val="auto"/>
                <w:w w:val="84"/>
              </w:rPr>
              <w:t>31.2</w:t>
            </w:r>
          </w:p>
        </w:tc>
        <w:tc>
          <w:tcPr>
            <w:tcW w:w="9540" w:type="dxa"/>
            <w:vAlign w:val="bottom"/>
            <w:tcBorders>
              <w:bottom w:val="single" w:sz="8" w:color="0000FF"/>
            </w:tcBorders>
          </w:tcPr>
          <w:p>
            <w:pPr>
              <w:spacing w:after="0"/>
              <w:rPr>
                <w:rFonts w:ascii="Arial" w:cs="Arial" w:eastAsia="Arial" w:hAnsi="Arial"/>
                <w:sz w:val="17"/>
                <w:szCs w:val="17"/>
                <w:color w:val="0000FF"/>
                <w:w w:val="90"/>
              </w:rPr>
            </w:pPr>
            <w:hyperlink w:anchor="page57">
              <w:r>
                <w:rPr>
                  <w:rFonts w:ascii="Arial" w:cs="Arial" w:eastAsia="Arial" w:hAnsi="Arial"/>
                  <w:sz w:val="17"/>
                  <w:szCs w:val="17"/>
                  <w:color w:val="0000FF"/>
                  <w:w w:val="90"/>
                </w:rPr>
                <w:t>Certification by Chief Financial Officer pursuant to Exchange Act Rule 13a-14(a), as adopted pursuant to Section 302 of the Sarbanes-Oxley</w:t>
              </w:r>
            </w:hyperlink>
          </w:p>
        </w:tc>
      </w:tr>
    </w:tbl>
    <w:p>
      <w:pPr>
        <w:ind w:left="1520" w:hanging="464"/>
        <w:spacing w:after="0"/>
        <w:tabs>
          <w:tab w:leader="none" w:pos="1520" w:val="left"/>
        </w:tabs>
        <w:numPr>
          <w:ilvl w:val="0"/>
          <w:numId w:val="25"/>
        </w:numPr>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22490" cy="193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193675"/>
                    </a:xfrm>
                    <a:prstGeom prst="rect">
                      <a:avLst/>
                    </a:prstGeom>
                    <a:noFill/>
                  </pic:spPr>
                </pic:pic>
              </a:graphicData>
            </a:graphic>
          </wp:anchor>
        </w:drawing>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160" w:type="dxa"/>
            <w:vAlign w:val="bottom"/>
          </w:tcPr>
          <w:p>
            <w:pPr>
              <w:jc w:val="right"/>
              <w:ind w:right="775"/>
              <w:spacing w:after="0"/>
              <w:rPr>
                <w:sz w:val="20"/>
                <w:szCs w:val="20"/>
                <w:color w:val="auto"/>
              </w:rPr>
            </w:pPr>
            <w:r>
              <w:rPr>
                <w:rFonts w:ascii="Arial" w:cs="Arial" w:eastAsia="Arial" w:hAnsi="Arial"/>
                <w:sz w:val="17"/>
                <w:szCs w:val="17"/>
                <w:color w:val="auto"/>
                <w:w w:val="84"/>
              </w:rPr>
              <w:t>32.1</w:t>
            </w:r>
          </w:p>
        </w:tc>
        <w:tc>
          <w:tcPr>
            <w:tcW w:w="9640" w:type="dxa"/>
            <w:vAlign w:val="bottom"/>
            <w:tcBorders>
              <w:bottom w:val="single" w:sz="8" w:color="0000FF"/>
            </w:tcBorders>
          </w:tcPr>
          <w:p>
            <w:pPr>
              <w:spacing w:after="0"/>
              <w:rPr>
                <w:rFonts w:ascii="Arial" w:cs="Arial" w:eastAsia="Arial" w:hAnsi="Arial"/>
                <w:sz w:val="17"/>
                <w:szCs w:val="17"/>
                <w:color w:val="0000FF"/>
                <w:w w:val="90"/>
              </w:rPr>
            </w:pPr>
            <w:hyperlink w:anchor="page58">
              <w:r>
                <w:rPr>
                  <w:rFonts w:ascii="Arial" w:cs="Arial" w:eastAsia="Arial" w:hAnsi="Arial"/>
                  <w:sz w:val="17"/>
                  <w:szCs w:val="17"/>
                  <w:color w:val="0000FF"/>
                  <w:w w:val="90"/>
                </w:rPr>
                <w:t>Certification by Chief Executive Officer pursuant to 18 U.S.C. Section 1350, as adopted pursuant to Section 906 of the Sarbanes-Oxley Act of</w:t>
              </w:r>
            </w:hyperlink>
          </w:p>
        </w:tc>
      </w:tr>
    </w:tbl>
    <w:p>
      <w:pPr>
        <w:ind w:left="1520" w:hanging="464"/>
        <w:spacing w:after="0"/>
        <w:tabs>
          <w:tab w:leader="none" w:pos="1520" w:val="left"/>
        </w:tabs>
        <w:numPr>
          <w:ilvl w:val="0"/>
          <w:numId w:val="26"/>
        </w:numPr>
        <w:rPr>
          <w:rFonts w:ascii="Arial" w:cs="Arial" w:eastAsia="Arial" w:hAnsi="Arial"/>
          <w:sz w:val="17"/>
          <w:szCs w:val="17"/>
          <w:u w:val="single" w:color="auto"/>
          <w:color w:val="0000FF"/>
        </w:rPr>
      </w:pPr>
      <w:hyperlink w:anchor="page58">
        <w:r>
          <w:rPr>
            <w:rFonts w:ascii="Arial" w:cs="Arial" w:eastAsia="Arial" w:hAnsi="Arial"/>
            <w:sz w:val="17"/>
            <w:szCs w:val="17"/>
            <w:u w:val="single" w:color="auto"/>
            <w:color w:val="0000FF"/>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22490" cy="193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193675"/>
                    </a:xfrm>
                    <a:prstGeom prst="rect">
                      <a:avLst/>
                    </a:prstGeom>
                    <a:noFill/>
                  </pic:spPr>
                </pic:pic>
              </a:graphicData>
            </a:graphic>
          </wp:anchor>
        </w:drawing>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160" w:type="dxa"/>
            <w:vAlign w:val="bottom"/>
          </w:tcPr>
          <w:p>
            <w:pPr>
              <w:jc w:val="right"/>
              <w:ind w:right="775"/>
              <w:spacing w:after="0"/>
              <w:rPr>
                <w:sz w:val="20"/>
                <w:szCs w:val="20"/>
                <w:color w:val="auto"/>
              </w:rPr>
            </w:pPr>
            <w:r>
              <w:rPr>
                <w:rFonts w:ascii="Arial" w:cs="Arial" w:eastAsia="Arial" w:hAnsi="Arial"/>
                <w:sz w:val="17"/>
                <w:szCs w:val="17"/>
                <w:color w:val="auto"/>
                <w:w w:val="84"/>
              </w:rPr>
              <w:t>32.2</w:t>
            </w:r>
          </w:p>
        </w:tc>
        <w:tc>
          <w:tcPr>
            <w:tcW w:w="9600" w:type="dxa"/>
            <w:vAlign w:val="bottom"/>
            <w:tcBorders>
              <w:bottom w:val="single" w:sz="8" w:color="0000FF"/>
            </w:tcBorders>
          </w:tcPr>
          <w:p>
            <w:pPr>
              <w:spacing w:after="0"/>
              <w:rPr>
                <w:rFonts w:ascii="Arial" w:cs="Arial" w:eastAsia="Arial" w:hAnsi="Arial"/>
                <w:sz w:val="17"/>
                <w:szCs w:val="17"/>
                <w:color w:val="0000FF"/>
                <w:w w:val="90"/>
              </w:rPr>
            </w:pPr>
            <w:hyperlink w:anchor="page59">
              <w:r>
                <w:rPr>
                  <w:rFonts w:ascii="Arial" w:cs="Arial" w:eastAsia="Arial" w:hAnsi="Arial"/>
                  <w:sz w:val="17"/>
                  <w:szCs w:val="17"/>
                  <w:color w:val="0000FF"/>
                  <w:w w:val="90"/>
                </w:rPr>
                <w:t>Certification by Chief Financial Officer pursuant to 18 U.S.C. Section 1350, as adopted pursuant to Section 906 of the Sarbanes-Oxley Act of</w:t>
              </w:r>
            </w:hyperlink>
          </w:p>
        </w:tc>
      </w:tr>
    </w:tbl>
    <w:p>
      <w:pPr>
        <w:ind w:left="1520" w:hanging="464"/>
        <w:spacing w:after="0"/>
        <w:tabs>
          <w:tab w:leader="none" w:pos="1520" w:val="left"/>
        </w:tabs>
        <w:numPr>
          <w:ilvl w:val="0"/>
          <w:numId w:val="27"/>
        </w:numPr>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22490" cy="193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193675"/>
                    </a:xfrm>
                    <a:prstGeom prst="rect">
                      <a:avLst/>
                    </a:prstGeom>
                    <a:noFill/>
                  </pic:spPr>
                </pic:pic>
              </a:graphicData>
            </a:graphic>
          </wp:anchor>
        </w:drawing>
      </w:r>
    </w:p>
    <w:p>
      <w:pPr>
        <w:spacing w:after="0" w:line="330"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920" w:type="dxa"/>
            <w:vAlign w:val="bottom"/>
          </w:tcPr>
          <w:p>
            <w:pPr>
              <w:spacing w:after="0"/>
              <w:rPr>
                <w:sz w:val="20"/>
                <w:szCs w:val="20"/>
                <w:color w:val="auto"/>
              </w:rPr>
            </w:pPr>
            <w:r>
              <w:rPr>
                <w:rFonts w:ascii="Arial" w:cs="Arial" w:eastAsia="Arial" w:hAnsi="Arial"/>
                <w:sz w:val="17"/>
                <w:szCs w:val="17"/>
                <w:color w:val="auto"/>
              </w:rPr>
              <w:t>101.INS</w:t>
            </w:r>
          </w:p>
        </w:tc>
        <w:tc>
          <w:tcPr>
            <w:tcW w:w="9900" w:type="dxa"/>
            <w:vAlign w:val="bottom"/>
          </w:tcPr>
          <w:p>
            <w:pPr>
              <w:ind w:left="360"/>
              <w:spacing w:after="0"/>
              <w:rPr>
                <w:sz w:val="20"/>
                <w:szCs w:val="20"/>
                <w:color w:val="auto"/>
              </w:rPr>
            </w:pPr>
            <w:r>
              <w:rPr>
                <w:rFonts w:ascii="Arial" w:cs="Arial" w:eastAsia="Arial" w:hAnsi="Arial"/>
                <w:sz w:val="17"/>
                <w:szCs w:val="17"/>
                <w:color w:val="auto"/>
                <w:w w:val="89"/>
              </w:rPr>
              <w:t>Inline XBRL Instance Document -- The instance document does not appear in the Interactive Data File because its XBRL tags are embedded</w:t>
            </w:r>
          </w:p>
        </w:tc>
      </w:tr>
    </w:tbl>
    <w:p>
      <w:pPr>
        <w:ind w:left="1520" w:hanging="464"/>
        <w:spacing w:after="0"/>
        <w:tabs>
          <w:tab w:leader="none" w:pos="1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222490" cy="193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19367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ind w:left="200"/>
              <w:spacing w:after="0"/>
              <w:rPr>
                <w:sz w:val="20"/>
                <w:szCs w:val="20"/>
                <w:color w:val="auto"/>
              </w:rPr>
            </w:pPr>
            <w:r>
              <w:rPr>
                <w:rFonts w:ascii="Arial" w:cs="Arial" w:eastAsia="Arial" w:hAnsi="Arial"/>
                <w:sz w:val="17"/>
                <w:szCs w:val="17"/>
                <w:color w:val="auto"/>
              </w:rPr>
              <w:t>101.SCH</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60" w:type="dxa"/>
            <w:vAlign w:val="bottom"/>
          </w:tcPr>
          <w:p>
            <w:pPr>
              <w:ind w:left="200"/>
              <w:spacing w:after="0"/>
              <w:rPr>
                <w:sz w:val="20"/>
                <w:szCs w:val="20"/>
                <w:color w:val="auto"/>
              </w:rPr>
            </w:pPr>
            <w:r>
              <w:rPr>
                <w:rFonts w:ascii="Arial" w:cs="Arial" w:eastAsia="Arial" w:hAnsi="Arial"/>
                <w:sz w:val="17"/>
                <w:szCs w:val="17"/>
                <w:color w:val="auto"/>
              </w:rPr>
              <w:t>Inline XBRL Taxonomy Extension Schema Document</w:t>
            </w:r>
          </w:p>
        </w:tc>
      </w:tr>
      <w:tr>
        <w:trPr>
          <w:trHeight w:val="26"/>
        </w:trPr>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60" w:type="dxa"/>
            <w:vAlign w:val="bottom"/>
          </w:tcPr>
          <w:p>
            <w:pPr>
              <w:spacing w:after="0"/>
              <w:rPr>
                <w:sz w:val="2"/>
                <w:szCs w:val="2"/>
                <w:color w:val="auto"/>
              </w:rPr>
            </w:pPr>
          </w:p>
        </w:tc>
      </w:tr>
      <w:tr>
        <w:trPr>
          <w:trHeight w:val="305"/>
        </w:trPr>
        <w:tc>
          <w:tcPr>
            <w:tcW w:w="9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10060" w:type="dxa"/>
            <w:vAlign w:val="bottom"/>
            <w:shd w:val="clear" w:color="auto" w:fill="CCFFCC"/>
          </w:tcPr>
          <w:p>
            <w:pPr>
              <w:spacing w:after="0"/>
              <w:rPr>
                <w:sz w:val="24"/>
                <w:szCs w:val="24"/>
                <w:color w:val="auto"/>
              </w:rPr>
            </w:pPr>
          </w:p>
        </w:tc>
      </w:tr>
      <w:tr>
        <w:trPr>
          <w:trHeight w:val="228"/>
        </w:trPr>
        <w:tc>
          <w:tcPr>
            <w:tcW w:w="940" w:type="dxa"/>
            <w:vAlign w:val="bottom"/>
          </w:tcPr>
          <w:p>
            <w:pPr>
              <w:ind w:left="200"/>
              <w:spacing w:after="0"/>
              <w:rPr>
                <w:sz w:val="20"/>
                <w:szCs w:val="20"/>
                <w:color w:val="auto"/>
              </w:rPr>
            </w:pPr>
            <w:r>
              <w:rPr>
                <w:rFonts w:ascii="Arial" w:cs="Arial" w:eastAsia="Arial" w:hAnsi="Arial"/>
                <w:sz w:val="17"/>
                <w:szCs w:val="17"/>
                <w:color w:val="auto"/>
              </w:rPr>
              <w:t>101.CAL</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60" w:type="dxa"/>
            <w:vAlign w:val="bottom"/>
          </w:tcPr>
          <w:p>
            <w:pPr>
              <w:ind w:left="20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6"/>
        </w:trPr>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60" w:type="dxa"/>
            <w:vAlign w:val="bottom"/>
          </w:tcPr>
          <w:p>
            <w:pPr>
              <w:spacing w:after="0"/>
              <w:rPr>
                <w:sz w:val="2"/>
                <w:szCs w:val="2"/>
                <w:color w:val="auto"/>
              </w:rPr>
            </w:pPr>
          </w:p>
        </w:tc>
      </w:tr>
      <w:tr>
        <w:trPr>
          <w:trHeight w:val="305"/>
        </w:trPr>
        <w:tc>
          <w:tcPr>
            <w:tcW w:w="9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10060" w:type="dxa"/>
            <w:vAlign w:val="bottom"/>
            <w:shd w:val="clear" w:color="auto" w:fill="CCFFCC"/>
          </w:tcPr>
          <w:p>
            <w:pPr>
              <w:spacing w:after="0"/>
              <w:rPr>
                <w:sz w:val="24"/>
                <w:szCs w:val="24"/>
                <w:color w:val="auto"/>
              </w:rPr>
            </w:pPr>
          </w:p>
        </w:tc>
      </w:tr>
      <w:tr>
        <w:trPr>
          <w:trHeight w:val="228"/>
        </w:trPr>
        <w:tc>
          <w:tcPr>
            <w:tcW w:w="940" w:type="dxa"/>
            <w:vAlign w:val="bottom"/>
          </w:tcPr>
          <w:p>
            <w:pPr>
              <w:ind w:left="200"/>
              <w:spacing w:after="0"/>
              <w:rPr>
                <w:sz w:val="20"/>
                <w:szCs w:val="20"/>
                <w:color w:val="auto"/>
              </w:rPr>
            </w:pPr>
            <w:r>
              <w:rPr>
                <w:rFonts w:ascii="Arial" w:cs="Arial" w:eastAsia="Arial" w:hAnsi="Arial"/>
                <w:sz w:val="17"/>
                <w:szCs w:val="17"/>
                <w:color w:val="auto"/>
              </w:rPr>
              <w:t>101.DEF</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60" w:type="dxa"/>
            <w:vAlign w:val="bottom"/>
          </w:tcPr>
          <w:p>
            <w:pPr>
              <w:ind w:left="20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6"/>
        </w:trPr>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60" w:type="dxa"/>
            <w:vAlign w:val="bottom"/>
          </w:tcPr>
          <w:p>
            <w:pPr>
              <w:spacing w:after="0"/>
              <w:rPr>
                <w:sz w:val="2"/>
                <w:szCs w:val="2"/>
                <w:color w:val="auto"/>
              </w:rPr>
            </w:pPr>
          </w:p>
        </w:tc>
      </w:tr>
      <w:tr>
        <w:trPr>
          <w:trHeight w:val="305"/>
        </w:trPr>
        <w:tc>
          <w:tcPr>
            <w:tcW w:w="9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10060" w:type="dxa"/>
            <w:vAlign w:val="bottom"/>
            <w:shd w:val="clear" w:color="auto" w:fill="CCFFCC"/>
          </w:tcPr>
          <w:p>
            <w:pPr>
              <w:spacing w:after="0"/>
              <w:rPr>
                <w:sz w:val="24"/>
                <w:szCs w:val="24"/>
                <w:color w:val="auto"/>
              </w:rPr>
            </w:pPr>
          </w:p>
        </w:tc>
      </w:tr>
      <w:tr>
        <w:trPr>
          <w:trHeight w:val="228"/>
        </w:trPr>
        <w:tc>
          <w:tcPr>
            <w:tcW w:w="940" w:type="dxa"/>
            <w:vAlign w:val="bottom"/>
          </w:tcPr>
          <w:p>
            <w:pPr>
              <w:ind w:left="200"/>
              <w:spacing w:after="0"/>
              <w:rPr>
                <w:sz w:val="20"/>
                <w:szCs w:val="20"/>
                <w:color w:val="auto"/>
              </w:rPr>
            </w:pPr>
            <w:r>
              <w:rPr>
                <w:rFonts w:ascii="Arial" w:cs="Arial" w:eastAsia="Arial" w:hAnsi="Arial"/>
                <w:sz w:val="17"/>
                <w:szCs w:val="17"/>
                <w:color w:val="auto"/>
              </w:rPr>
              <w:t>101.LAB</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60" w:type="dxa"/>
            <w:vAlign w:val="bottom"/>
          </w:tcPr>
          <w:p>
            <w:pPr>
              <w:ind w:left="20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6"/>
        </w:trPr>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60" w:type="dxa"/>
            <w:vAlign w:val="bottom"/>
          </w:tcPr>
          <w:p>
            <w:pPr>
              <w:spacing w:after="0"/>
              <w:rPr>
                <w:sz w:val="2"/>
                <w:szCs w:val="2"/>
                <w:color w:val="auto"/>
              </w:rPr>
            </w:pPr>
          </w:p>
        </w:tc>
      </w:tr>
      <w:tr>
        <w:trPr>
          <w:trHeight w:val="305"/>
        </w:trPr>
        <w:tc>
          <w:tcPr>
            <w:tcW w:w="9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10060" w:type="dxa"/>
            <w:vAlign w:val="bottom"/>
            <w:shd w:val="clear" w:color="auto" w:fill="CCFFCC"/>
          </w:tcPr>
          <w:p>
            <w:pPr>
              <w:spacing w:after="0"/>
              <w:rPr>
                <w:sz w:val="24"/>
                <w:szCs w:val="24"/>
                <w:color w:val="auto"/>
              </w:rPr>
            </w:pPr>
          </w:p>
        </w:tc>
      </w:tr>
      <w:tr>
        <w:trPr>
          <w:trHeight w:val="228"/>
        </w:trPr>
        <w:tc>
          <w:tcPr>
            <w:tcW w:w="940" w:type="dxa"/>
            <w:vAlign w:val="bottom"/>
          </w:tcPr>
          <w:p>
            <w:pPr>
              <w:ind w:left="220"/>
              <w:spacing w:after="0"/>
              <w:rPr>
                <w:sz w:val="20"/>
                <w:szCs w:val="20"/>
                <w:color w:val="auto"/>
              </w:rPr>
            </w:pPr>
            <w:r>
              <w:rPr>
                <w:rFonts w:ascii="Arial" w:cs="Arial" w:eastAsia="Arial" w:hAnsi="Arial"/>
                <w:sz w:val="17"/>
                <w:szCs w:val="17"/>
                <w:color w:val="auto"/>
              </w:rPr>
              <w:t>101.PRE</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60" w:type="dxa"/>
            <w:vAlign w:val="bottom"/>
          </w:tcPr>
          <w:p>
            <w:pPr>
              <w:ind w:left="20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6"/>
        </w:trPr>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60" w:type="dxa"/>
            <w:vAlign w:val="bottom"/>
          </w:tcPr>
          <w:p>
            <w:pPr>
              <w:spacing w:after="0"/>
              <w:rPr>
                <w:sz w:val="2"/>
                <w:szCs w:val="2"/>
                <w:color w:val="auto"/>
              </w:rPr>
            </w:pPr>
          </w:p>
        </w:tc>
      </w:tr>
      <w:tr>
        <w:trPr>
          <w:trHeight w:val="305"/>
        </w:trPr>
        <w:tc>
          <w:tcPr>
            <w:tcW w:w="94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10060" w:type="dxa"/>
            <w:vAlign w:val="bottom"/>
            <w:shd w:val="clear" w:color="auto" w:fill="CCFFCC"/>
          </w:tcPr>
          <w:p>
            <w:pPr>
              <w:spacing w:after="0"/>
              <w:rPr>
                <w:sz w:val="24"/>
                <w:szCs w:val="24"/>
                <w:color w:val="auto"/>
              </w:rPr>
            </w:pPr>
          </w:p>
        </w:tc>
      </w:tr>
    </w:tbl>
    <w:p>
      <w:pPr>
        <w:spacing w:after="0" w:line="13" w:lineRule="exact"/>
        <w:rPr>
          <w:sz w:val="20"/>
          <w:szCs w:val="20"/>
          <w:color w:val="auto"/>
        </w:rPr>
      </w:pPr>
    </w:p>
    <w:p>
      <w:pPr>
        <w:ind w:right="5720" w:firstLine="389"/>
        <w:spacing w:after="0" w:line="390" w:lineRule="auto"/>
        <w:tabs>
          <w:tab w:leader="none" w:pos="1055" w:val="left"/>
        </w:tabs>
        <w:numPr>
          <w:ilvl w:val="1"/>
          <w:numId w:val="29"/>
        </w:numPr>
        <w:rPr>
          <w:rFonts w:ascii="Arial" w:cs="Arial" w:eastAsia="Arial" w:hAnsi="Arial"/>
          <w:sz w:val="17"/>
          <w:szCs w:val="17"/>
          <w:color w:val="auto"/>
        </w:rPr>
      </w:pPr>
      <w:r>
        <w:rPr>
          <w:rFonts w:ascii="Arial" w:cs="Arial" w:eastAsia="Arial" w:hAnsi="Arial"/>
          <w:sz w:val="17"/>
          <w:szCs w:val="17"/>
          <w:color w:val="auto"/>
        </w:rPr>
        <w:t>* Cover Page Interactive Data File (formatted as Inline XBRL) * Filed herewith</w:t>
      </w:r>
    </w:p>
    <w:p>
      <w:pPr>
        <w:ind w:left="340" w:hanging="338"/>
        <w:spacing w:after="0"/>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380"/>
          </w:cols>
          <w:pgMar w:left="240" w:top="559" w:right="279" w:bottom="1440" w:gutter="0" w:footer="0" w:header="0"/>
        </w:sectPr>
      </w:pPr>
    </w:p>
    <w:bookmarkStart w:id="54" w:name="page55"/>
    <w:bookmarkEnd w:id="54"/>
    <w:p>
      <w:pPr>
        <w:jc w:val="center"/>
        <w:ind w:right="-219"/>
        <w:spacing w:after="0"/>
        <w:rPr>
          <w:sz w:val="20"/>
          <w:szCs w:val="20"/>
          <w:color w:val="auto"/>
        </w:rPr>
      </w:pPr>
      <w:r>
        <w:rPr>
          <w:rFonts w:ascii="Arial" w:cs="Arial" w:eastAsia="Arial" w:hAnsi="Arial"/>
          <w:sz w:val="17"/>
          <w:szCs w:val="17"/>
          <w:b w:val="1"/>
          <w:bCs w:val="1"/>
          <w:color w:val="auto"/>
        </w:rPr>
        <w:t>SIGNATURES</w:t>
      </w:r>
    </w:p>
    <w:p>
      <w:pPr>
        <w:spacing w:after="0" w:line="114" w:lineRule="exact"/>
        <w:rPr>
          <w:sz w:val="20"/>
          <w:szCs w:val="20"/>
          <w:color w:val="auto"/>
        </w:rPr>
      </w:pPr>
    </w:p>
    <w:p>
      <w:pPr>
        <w:ind w:right="40" w:firstLine="610"/>
        <w:spacing w:after="0" w:line="27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7680" w:type="dxa"/>
            <w:vAlign w:val="bottom"/>
            <w:gridSpan w:val="2"/>
          </w:tcPr>
          <w:p>
            <w:pPr>
              <w:ind w:left="1560"/>
              <w:spacing w:after="0"/>
              <w:rPr>
                <w:sz w:val="20"/>
                <w:szCs w:val="20"/>
                <w:color w:val="auto"/>
              </w:rPr>
            </w:pPr>
            <w:r>
              <w:rPr>
                <w:rFonts w:ascii="Arial" w:cs="Arial" w:eastAsia="Arial" w:hAnsi="Arial"/>
                <w:sz w:val="17"/>
                <w:szCs w:val="17"/>
                <w:b w:val="1"/>
                <w:bCs w:val="1"/>
                <w:color w:val="auto"/>
              </w:rPr>
              <w:t>LIVEPERSON, INC.</w:t>
            </w:r>
          </w:p>
        </w:tc>
      </w:tr>
      <w:tr>
        <w:trPr>
          <w:trHeight w:val="254"/>
        </w:trPr>
        <w:tc>
          <w:tcPr>
            <w:tcW w:w="5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420" w:type="dxa"/>
            <w:vAlign w:val="bottom"/>
          </w:tcPr>
          <w:p>
            <w:pPr>
              <w:ind w:left="1560"/>
              <w:spacing w:after="0"/>
              <w:rPr>
                <w:sz w:val="20"/>
                <w:szCs w:val="20"/>
                <w:color w:val="auto"/>
              </w:rPr>
            </w:pPr>
            <w:r>
              <w:rPr>
                <w:rFonts w:ascii="Arial" w:cs="Arial" w:eastAsia="Arial" w:hAnsi="Arial"/>
                <w:sz w:val="17"/>
                <w:szCs w:val="17"/>
                <w:color w:val="auto"/>
                <w:w w:val="94"/>
              </w:rPr>
              <w:t>(Registrant)</w:t>
            </w:r>
          </w:p>
        </w:tc>
        <w:tc>
          <w:tcPr>
            <w:tcW w:w="5260" w:type="dxa"/>
            <w:vAlign w:val="bottom"/>
          </w:tcPr>
          <w:p>
            <w:pPr>
              <w:spacing w:after="0"/>
              <w:rPr>
                <w:sz w:val="22"/>
                <w:szCs w:val="22"/>
                <w:color w:val="auto"/>
              </w:rPr>
            </w:pPr>
          </w:p>
        </w:tc>
      </w:tr>
      <w:tr>
        <w:trPr>
          <w:trHeight w:val="508"/>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2980" w:type="dxa"/>
            <w:vAlign w:val="bottom"/>
          </w:tcPr>
          <w:p>
            <w:pPr>
              <w:ind w:left="160"/>
              <w:spacing w:after="0"/>
              <w:rPr>
                <w:sz w:val="20"/>
                <w:szCs w:val="20"/>
                <w:color w:val="auto"/>
              </w:rPr>
            </w:pPr>
            <w:r>
              <w:rPr>
                <w:rFonts w:ascii="Arial" w:cs="Arial" w:eastAsia="Arial" w:hAnsi="Arial"/>
                <w:sz w:val="17"/>
                <w:szCs w:val="17"/>
                <w:color w:val="auto"/>
              </w:rPr>
              <w:t>November 8, 2019</w:t>
            </w:r>
          </w:p>
        </w:tc>
        <w:tc>
          <w:tcPr>
            <w:tcW w:w="2420" w:type="dxa"/>
            <w:vAlign w:val="bottom"/>
          </w:tcPr>
          <w:p>
            <w:pPr>
              <w:ind w:left="1560"/>
              <w:spacing w:after="0"/>
              <w:rPr>
                <w:sz w:val="20"/>
                <w:szCs w:val="20"/>
                <w:color w:val="auto"/>
              </w:rPr>
            </w:pPr>
            <w:r>
              <w:rPr>
                <w:rFonts w:ascii="Arial" w:cs="Arial" w:eastAsia="Arial" w:hAnsi="Arial"/>
                <w:sz w:val="17"/>
                <w:szCs w:val="17"/>
                <w:color w:val="auto"/>
              </w:rPr>
              <w:t>By:</w:t>
            </w:r>
          </w:p>
        </w:tc>
        <w:tc>
          <w:tcPr>
            <w:tcW w:w="5260" w:type="dxa"/>
            <w:vAlign w:val="bottom"/>
          </w:tcPr>
          <w:p>
            <w:pPr>
              <w:ind w:left="20"/>
              <w:spacing w:after="0"/>
              <w:rPr>
                <w:sz w:val="20"/>
                <w:szCs w:val="20"/>
                <w:color w:val="auto"/>
              </w:rPr>
            </w:pPr>
            <w:r>
              <w:rPr>
                <w:rFonts w:ascii="Arial" w:cs="Arial" w:eastAsia="Arial" w:hAnsi="Arial"/>
                <w:sz w:val="17"/>
                <w:szCs w:val="17"/>
                <w:color w:val="auto"/>
              </w:rPr>
              <w:t>/s/ ROBERT P. LOCASCIO</w:t>
            </w:r>
          </w:p>
        </w:tc>
      </w:tr>
      <w:tr>
        <w:trPr>
          <w:trHeight w:val="26"/>
        </w:trPr>
        <w:tc>
          <w:tcPr>
            <w:tcW w:w="5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21"/>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420" w:type="dxa"/>
            <w:vAlign w:val="bottom"/>
          </w:tcPr>
          <w:p>
            <w:pPr>
              <w:ind w:left="1560"/>
              <w:spacing w:after="0"/>
              <w:rPr>
                <w:sz w:val="20"/>
                <w:szCs w:val="20"/>
                <w:color w:val="auto"/>
              </w:rPr>
            </w:pPr>
            <w:r>
              <w:rPr>
                <w:rFonts w:ascii="Arial" w:cs="Arial" w:eastAsia="Arial" w:hAnsi="Arial"/>
                <w:sz w:val="17"/>
                <w:szCs w:val="17"/>
                <w:color w:val="auto"/>
              </w:rPr>
              <w:t>Name:</w:t>
            </w:r>
          </w:p>
        </w:tc>
        <w:tc>
          <w:tcPr>
            <w:tcW w:w="5260" w:type="dxa"/>
            <w:vAlign w:val="bottom"/>
          </w:tcPr>
          <w:p>
            <w:pPr>
              <w:ind w:left="20"/>
              <w:spacing w:after="0"/>
              <w:rPr>
                <w:sz w:val="20"/>
                <w:szCs w:val="20"/>
                <w:color w:val="auto"/>
              </w:rPr>
            </w:pPr>
            <w:r>
              <w:rPr>
                <w:rFonts w:ascii="Arial" w:cs="Arial" w:eastAsia="Arial" w:hAnsi="Arial"/>
                <w:sz w:val="17"/>
                <w:szCs w:val="17"/>
                <w:color w:val="auto"/>
              </w:rPr>
              <w:t>Robert P. LoCascio</w:t>
            </w:r>
          </w:p>
        </w:tc>
      </w:tr>
      <w:tr>
        <w:trPr>
          <w:trHeight w:val="254"/>
        </w:trPr>
        <w:tc>
          <w:tcPr>
            <w:tcW w:w="5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420" w:type="dxa"/>
            <w:vAlign w:val="bottom"/>
          </w:tcPr>
          <w:p>
            <w:pPr>
              <w:ind w:left="1560"/>
              <w:spacing w:after="0"/>
              <w:rPr>
                <w:sz w:val="20"/>
                <w:szCs w:val="20"/>
                <w:color w:val="auto"/>
              </w:rPr>
            </w:pPr>
            <w:r>
              <w:rPr>
                <w:rFonts w:ascii="Arial" w:cs="Arial" w:eastAsia="Arial" w:hAnsi="Arial"/>
                <w:sz w:val="17"/>
                <w:szCs w:val="17"/>
                <w:color w:val="auto"/>
              </w:rPr>
              <w:t>Title:</w:t>
            </w:r>
          </w:p>
        </w:tc>
        <w:tc>
          <w:tcPr>
            <w:tcW w:w="5260" w:type="dxa"/>
            <w:vAlign w:val="bottom"/>
          </w:tcPr>
          <w:p>
            <w:pPr>
              <w:ind w:left="20"/>
              <w:spacing w:after="0"/>
              <w:rPr>
                <w:sz w:val="20"/>
                <w:szCs w:val="20"/>
                <w:color w:val="auto"/>
              </w:rPr>
            </w:pPr>
            <w:r>
              <w:rPr>
                <w:rFonts w:ascii="Arial" w:cs="Arial" w:eastAsia="Arial" w:hAnsi="Arial"/>
                <w:sz w:val="17"/>
                <w:szCs w:val="17"/>
                <w:color w:val="auto"/>
              </w:rPr>
              <w:t>Chief Executive Officer (principal executive officer)</w:t>
            </w:r>
          </w:p>
        </w:tc>
      </w:tr>
      <w:tr>
        <w:trPr>
          <w:trHeight w:val="508"/>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2980" w:type="dxa"/>
            <w:vAlign w:val="bottom"/>
          </w:tcPr>
          <w:p>
            <w:pPr>
              <w:ind w:left="160"/>
              <w:spacing w:after="0"/>
              <w:rPr>
                <w:sz w:val="20"/>
                <w:szCs w:val="20"/>
                <w:color w:val="auto"/>
              </w:rPr>
            </w:pPr>
            <w:r>
              <w:rPr>
                <w:rFonts w:ascii="Arial" w:cs="Arial" w:eastAsia="Arial" w:hAnsi="Arial"/>
                <w:sz w:val="17"/>
                <w:szCs w:val="17"/>
                <w:color w:val="auto"/>
              </w:rPr>
              <w:t>November 8, 2019</w:t>
            </w:r>
          </w:p>
        </w:tc>
        <w:tc>
          <w:tcPr>
            <w:tcW w:w="2420" w:type="dxa"/>
            <w:vAlign w:val="bottom"/>
          </w:tcPr>
          <w:p>
            <w:pPr>
              <w:ind w:left="1560"/>
              <w:spacing w:after="0"/>
              <w:rPr>
                <w:sz w:val="20"/>
                <w:szCs w:val="20"/>
                <w:color w:val="auto"/>
              </w:rPr>
            </w:pPr>
            <w:r>
              <w:rPr>
                <w:rFonts w:ascii="Arial" w:cs="Arial" w:eastAsia="Arial" w:hAnsi="Arial"/>
                <w:sz w:val="17"/>
                <w:szCs w:val="17"/>
                <w:color w:val="auto"/>
              </w:rPr>
              <w:t>By:</w:t>
            </w:r>
          </w:p>
        </w:tc>
        <w:tc>
          <w:tcPr>
            <w:tcW w:w="5260" w:type="dxa"/>
            <w:vAlign w:val="bottom"/>
          </w:tcPr>
          <w:p>
            <w:pPr>
              <w:ind w:left="20"/>
              <w:spacing w:after="0"/>
              <w:rPr>
                <w:sz w:val="20"/>
                <w:szCs w:val="20"/>
                <w:color w:val="auto"/>
              </w:rPr>
            </w:pPr>
            <w:r>
              <w:rPr>
                <w:rFonts w:ascii="Arial" w:cs="Arial" w:eastAsia="Arial" w:hAnsi="Arial"/>
                <w:sz w:val="17"/>
                <w:szCs w:val="17"/>
                <w:color w:val="auto"/>
              </w:rPr>
              <w:t>/s/ CHRISTOPHER E. GREINER</w:t>
            </w:r>
          </w:p>
        </w:tc>
      </w:tr>
      <w:tr>
        <w:trPr>
          <w:trHeight w:val="26"/>
        </w:trPr>
        <w:tc>
          <w:tcPr>
            <w:tcW w:w="5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21"/>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420" w:type="dxa"/>
            <w:vAlign w:val="bottom"/>
          </w:tcPr>
          <w:p>
            <w:pPr>
              <w:ind w:left="1560"/>
              <w:spacing w:after="0"/>
              <w:rPr>
                <w:sz w:val="20"/>
                <w:szCs w:val="20"/>
                <w:color w:val="auto"/>
              </w:rPr>
            </w:pPr>
            <w:r>
              <w:rPr>
                <w:rFonts w:ascii="Arial" w:cs="Arial" w:eastAsia="Arial" w:hAnsi="Arial"/>
                <w:sz w:val="17"/>
                <w:szCs w:val="17"/>
                <w:color w:val="auto"/>
              </w:rPr>
              <w:t>Name:</w:t>
            </w:r>
          </w:p>
        </w:tc>
        <w:tc>
          <w:tcPr>
            <w:tcW w:w="5260" w:type="dxa"/>
            <w:vAlign w:val="bottom"/>
          </w:tcPr>
          <w:p>
            <w:pPr>
              <w:ind w:left="20"/>
              <w:spacing w:after="0"/>
              <w:rPr>
                <w:sz w:val="20"/>
                <w:szCs w:val="20"/>
                <w:color w:val="auto"/>
              </w:rPr>
            </w:pPr>
            <w:r>
              <w:rPr>
                <w:rFonts w:ascii="Arial" w:cs="Arial" w:eastAsia="Arial" w:hAnsi="Arial"/>
                <w:sz w:val="17"/>
                <w:szCs w:val="17"/>
                <w:color w:val="auto"/>
              </w:rPr>
              <w:t>Christopher E. Greiner</w:t>
            </w:r>
          </w:p>
        </w:tc>
      </w:tr>
      <w:tr>
        <w:trPr>
          <w:trHeight w:val="254"/>
        </w:trPr>
        <w:tc>
          <w:tcPr>
            <w:tcW w:w="5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420" w:type="dxa"/>
            <w:vAlign w:val="bottom"/>
          </w:tcPr>
          <w:p>
            <w:pPr>
              <w:ind w:left="1560"/>
              <w:spacing w:after="0"/>
              <w:rPr>
                <w:sz w:val="20"/>
                <w:szCs w:val="20"/>
                <w:color w:val="auto"/>
              </w:rPr>
            </w:pPr>
            <w:r>
              <w:rPr>
                <w:rFonts w:ascii="Arial" w:cs="Arial" w:eastAsia="Arial" w:hAnsi="Arial"/>
                <w:sz w:val="17"/>
                <w:szCs w:val="17"/>
                <w:color w:val="auto"/>
              </w:rPr>
              <w:t>Title:</w:t>
            </w:r>
          </w:p>
        </w:tc>
        <w:tc>
          <w:tcPr>
            <w:tcW w:w="5260" w:type="dxa"/>
            <w:vAlign w:val="bottom"/>
          </w:tcPr>
          <w:p>
            <w:pPr>
              <w:ind w:left="20"/>
              <w:spacing w:after="0"/>
              <w:rPr>
                <w:sz w:val="20"/>
                <w:szCs w:val="20"/>
                <w:color w:val="auto"/>
              </w:rPr>
            </w:pPr>
            <w:r>
              <w:rPr>
                <w:rFonts w:ascii="Arial" w:cs="Arial" w:eastAsia="Arial" w:hAnsi="Arial"/>
                <w:sz w:val="17"/>
                <w:szCs w:val="17"/>
                <w:color w:val="auto"/>
              </w:rPr>
              <w:t>Chief Financial Officer (principal financial officer)</w:t>
            </w:r>
          </w:p>
        </w:tc>
      </w:tr>
      <w:tr>
        <w:trPr>
          <w:trHeight w:val="559"/>
        </w:trPr>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ind w:left="2100"/>
              <w:spacing w:after="0"/>
              <w:rPr>
                <w:sz w:val="20"/>
                <w:szCs w:val="20"/>
                <w:color w:val="auto"/>
              </w:rPr>
            </w:pPr>
            <w:r>
              <w:rPr>
                <w:rFonts w:ascii="Arial" w:cs="Arial" w:eastAsia="Arial" w:hAnsi="Arial"/>
                <w:sz w:val="17"/>
                <w:szCs w:val="17"/>
                <w:color w:val="auto"/>
              </w:rPr>
              <w:t>55</w:t>
            </w:r>
          </w:p>
        </w:tc>
        <w:tc>
          <w:tcPr>
            <w:tcW w:w="5260" w:type="dxa"/>
            <w:vAlign w:val="bottom"/>
          </w:tcPr>
          <w:p>
            <w:pPr>
              <w:spacing w:after="0"/>
              <w:rPr>
                <w:sz w:val="24"/>
                <w:szCs w:val="24"/>
                <w:color w:val="auto"/>
              </w:rPr>
            </w:pPr>
          </w:p>
        </w:tc>
      </w:tr>
    </w:tbl>
    <w:p>
      <w:pPr>
        <w:sectPr>
          <w:pgSz w:w="11900" w:h="16838" w:orient="portrait"/>
          <w:cols w:equalWidth="0" w:num="1">
            <w:col w:w="11200"/>
          </w:cols>
          <w:pgMar w:left="240" w:top="555" w:right="45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u w:val="single" w:color="auto"/>
          <w:color w:val="auto"/>
        </w:rPr>
        <w:t>Exhibit 31.1</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certify that:</w:t>
      </w:r>
    </w:p>
    <w:p>
      <w:pPr>
        <w:spacing w:after="0" w:line="160" w:lineRule="exact"/>
        <w:rPr>
          <w:sz w:val="20"/>
          <w:szCs w:val="20"/>
          <w:color w:val="auto"/>
        </w:rPr>
      </w:pPr>
    </w:p>
    <w:p>
      <w:pPr>
        <w:ind w:left="300" w:hanging="298"/>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LivePerson, Inc.;</w:t>
      </w:r>
    </w:p>
    <w:p>
      <w:pPr>
        <w:spacing w:after="0" w:line="160" w:lineRule="exact"/>
        <w:rPr>
          <w:rFonts w:ascii="Arial" w:cs="Arial" w:eastAsia="Arial" w:hAnsi="Arial"/>
          <w:sz w:val="17"/>
          <w:szCs w:val="17"/>
          <w:color w:val="auto"/>
        </w:rPr>
      </w:pPr>
    </w:p>
    <w:p>
      <w:pPr>
        <w:ind w:left="300" w:right="60" w:hanging="298"/>
        <w:spacing w:after="0" w:line="305"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6"/>
          <w:szCs w:val="16"/>
          <w:color w:val="auto"/>
        </w:rPr>
      </w:pPr>
    </w:p>
    <w:p>
      <w:pPr>
        <w:ind w:left="300" w:right="600" w:hanging="298"/>
        <w:spacing w:after="0" w:line="273"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7"/>
          <w:szCs w:val="17"/>
          <w:color w:val="auto"/>
        </w:rPr>
      </w:pPr>
    </w:p>
    <w:p>
      <w:pPr>
        <w:ind w:left="300" w:right="260" w:hanging="298"/>
        <w:spacing w:after="0" w:line="261" w:lineRule="auto"/>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sz w:val="20"/>
          <w:szCs w:val="20"/>
          <w:color w:val="auto"/>
        </w:rPr>
      </w:pPr>
    </w:p>
    <w:p>
      <w:pPr>
        <w:jc w:val="both"/>
        <w:ind w:left="300" w:right="120" w:hanging="298"/>
        <w:spacing w:after="0" w:line="261"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300" w:right="180" w:hanging="298"/>
        <w:spacing w:after="0" w:line="261"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300" w:right="620" w:hanging="298"/>
        <w:spacing w:after="0" w:line="273"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7"/>
          <w:szCs w:val="17"/>
          <w:color w:val="auto"/>
        </w:rPr>
      </w:pPr>
    </w:p>
    <w:p>
      <w:pPr>
        <w:ind w:left="300" w:right="260" w:hanging="298"/>
        <w:spacing w:after="0" w:line="261"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sz w:val="20"/>
          <w:szCs w:val="20"/>
          <w:color w:val="auto"/>
        </w:rPr>
      </w:pPr>
    </w:p>
    <w:p>
      <w:pPr>
        <w:ind w:left="300" w:right="180" w:hanging="298"/>
        <w:spacing w:after="0" w:line="273" w:lineRule="auto"/>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sz w:val="20"/>
          <w:szCs w:val="20"/>
          <w:color w:val="auto"/>
        </w:rPr>
      </w:pPr>
    </w:p>
    <w:p>
      <w:pPr>
        <w:ind w:left="300" w:right="120" w:hanging="298"/>
        <w:spacing w:after="0" w:line="273" w:lineRule="auto"/>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7"/>
          <w:szCs w:val="17"/>
          <w:color w:val="auto"/>
        </w:rPr>
      </w:pPr>
    </w:p>
    <w:p>
      <w:pPr>
        <w:ind w:left="300" w:right="400" w:hanging="298"/>
        <w:spacing w:after="0" w:line="273" w:lineRule="auto"/>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3180" w:type="dxa"/>
            <w:vAlign w:val="bottom"/>
          </w:tcPr>
          <w:p>
            <w:pPr>
              <w:ind w:left="280"/>
              <w:spacing w:after="0"/>
              <w:rPr>
                <w:sz w:val="20"/>
                <w:szCs w:val="20"/>
                <w:color w:val="auto"/>
              </w:rPr>
            </w:pPr>
            <w:r>
              <w:rPr>
                <w:rFonts w:ascii="Arial" w:cs="Arial" w:eastAsia="Arial" w:hAnsi="Arial"/>
                <w:sz w:val="17"/>
                <w:szCs w:val="17"/>
                <w:color w:val="auto"/>
              </w:rPr>
              <w:t>November 8, 2019</w:t>
            </w:r>
          </w:p>
        </w:tc>
        <w:tc>
          <w:tcPr>
            <w:tcW w:w="2400" w:type="dxa"/>
            <w:vAlign w:val="bottom"/>
          </w:tcPr>
          <w:p>
            <w:pPr>
              <w:ind w:left="1620"/>
              <w:spacing w:after="0"/>
              <w:rPr>
                <w:sz w:val="20"/>
                <w:szCs w:val="20"/>
                <w:color w:val="auto"/>
              </w:rPr>
            </w:pPr>
            <w:r>
              <w:rPr>
                <w:rFonts w:ascii="Arial" w:cs="Arial" w:eastAsia="Arial" w:hAnsi="Arial"/>
                <w:sz w:val="17"/>
                <w:szCs w:val="17"/>
                <w:color w:val="auto"/>
              </w:rPr>
              <w:t>By:</w:t>
            </w:r>
          </w:p>
        </w:tc>
        <w:tc>
          <w:tcPr>
            <w:tcW w:w="5080" w:type="dxa"/>
            <w:vAlign w:val="bottom"/>
          </w:tcPr>
          <w:p>
            <w:pPr>
              <w:ind w:left="20"/>
              <w:spacing w:after="0"/>
              <w:rPr>
                <w:sz w:val="20"/>
                <w:szCs w:val="20"/>
                <w:color w:val="auto"/>
              </w:rPr>
            </w:pPr>
            <w:r>
              <w:rPr>
                <w:rFonts w:ascii="Arial" w:cs="Arial" w:eastAsia="Arial" w:hAnsi="Arial"/>
                <w:sz w:val="17"/>
                <w:szCs w:val="17"/>
                <w:color w:val="auto"/>
              </w:rPr>
              <w:t>/s/ ROBERT P. LOCASCIO</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0" w:type="dxa"/>
            <w:vAlign w:val="bottom"/>
            <w:vMerge w:val="restart"/>
          </w:tcPr>
          <w:p>
            <w:pPr>
              <w:ind w:left="1620"/>
              <w:spacing w:after="0"/>
              <w:rPr>
                <w:sz w:val="20"/>
                <w:szCs w:val="20"/>
                <w:color w:val="auto"/>
              </w:rPr>
            </w:pPr>
            <w:r>
              <w:rPr>
                <w:rFonts w:ascii="Arial" w:cs="Arial" w:eastAsia="Arial" w:hAnsi="Arial"/>
                <w:sz w:val="17"/>
                <w:szCs w:val="17"/>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0" w:type="dxa"/>
            <w:vAlign w:val="bottom"/>
            <w:vMerge w:val="continue"/>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Robert P. LoCascio</w:t>
            </w:r>
          </w:p>
        </w:tc>
        <w:tc>
          <w:tcPr>
            <w:tcW w:w="0" w:type="dxa"/>
            <w:vAlign w:val="bottom"/>
          </w:tcPr>
          <w:p>
            <w:pPr>
              <w:spacing w:after="0"/>
              <w:rPr>
                <w:sz w:val="1"/>
                <w:szCs w:val="1"/>
                <w:color w:val="auto"/>
              </w:rPr>
            </w:pPr>
          </w:p>
        </w:tc>
      </w:tr>
      <w:tr>
        <w:trPr>
          <w:trHeight w:val="254"/>
        </w:trPr>
        <w:tc>
          <w:tcPr>
            <w:tcW w:w="6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400" w:type="dxa"/>
            <w:vAlign w:val="bottom"/>
          </w:tcPr>
          <w:p>
            <w:pPr>
              <w:ind w:left="1620"/>
              <w:spacing w:after="0"/>
              <w:rPr>
                <w:sz w:val="20"/>
                <w:szCs w:val="20"/>
                <w:color w:val="auto"/>
              </w:rPr>
            </w:pPr>
            <w:r>
              <w:rPr>
                <w:rFonts w:ascii="Arial" w:cs="Arial" w:eastAsia="Arial" w:hAnsi="Arial"/>
                <w:sz w:val="17"/>
                <w:szCs w:val="17"/>
                <w:color w:val="auto"/>
              </w:rPr>
              <w:t>Title:</w:t>
            </w:r>
          </w:p>
        </w:tc>
        <w:tc>
          <w:tcPr>
            <w:tcW w:w="5080" w:type="dxa"/>
            <w:vAlign w:val="bottom"/>
          </w:tcPr>
          <w:p>
            <w:pPr>
              <w:ind w:left="20"/>
              <w:spacing w:after="0"/>
              <w:rPr>
                <w:sz w:val="20"/>
                <w:szCs w:val="20"/>
                <w:color w:val="auto"/>
              </w:rPr>
            </w:pPr>
            <w:r>
              <w:rPr>
                <w:rFonts w:ascii="Arial" w:cs="Arial" w:eastAsia="Arial" w:hAnsi="Arial"/>
                <w:sz w:val="17"/>
                <w:szCs w:val="17"/>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u w:val="single" w:color="auto"/>
          <w:color w:val="auto"/>
        </w:rPr>
        <w:t>Exhibit 31.2</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I, Christopher E. Greiner, certify that:</w:t>
      </w:r>
    </w:p>
    <w:p>
      <w:pPr>
        <w:spacing w:after="0" w:line="160" w:lineRule="exact"/>
        <w:rPr>
          <w:sz w:val="20"/>
          <w:szCs w:val="20"/>
          <w:color w:val="auto"/>
        </w:rPr>
      </w:pPr>
    </w:p>
    <w:p>
      <w:pPr>
        <w:ind w:left="300" w:hanging="298"/>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LivePerson, Inc.;</w:t>
      </w:r>
    </w:p>
    <w:p>
      <w:pPr>
        <w:spacing w:after="0" w:line="160" w:lineRule="exact"/>
        <w:rPr>
          <w:rFonts w:ascii="Arial" w:cs="Arial" w:eastAsia="Arial" w:hAnsi="Arial"/>
          <w:sz w:val="17"/>
          <w:szCs w:val="17"/>
          <w:color w:val="auto"/>
        </w:rPr>
      </w:pPr>
    </w:p>
    <w:p>
      <w:pPr>
        <w:ind w:left="300" w:right="60" w:hanging="298"/>
        <w:spacing w:after="0" w:line="305" w:lineRule="auto"/>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6"/>
          <w:szCs w:val="16"/>
          <w:color w:val="auto"/>
        </w:rPr>
      </w:pPr>
    </w:p>
    <w:p>
      <w:pPr>
        <w:ind w:left="300" w:right="600" w:hanging="298"/>
        <w:spacing w:after="0" w:line="273" w:lineRule="auto"/>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7"/>
          <w:szCs w:val="17"/>
          <w:color w:val="auto"/>
        </w:rPr>
      </w:pPr>
    </w:p>
    <w:p>
      <w:pPr>
        <w:ind w:left="300" w:right="260" w:hanging="298"/>
        <w:spacing w:after="0" w:line="261" w:lineRule="auto"/>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sz w:val="20"/>
          <w:szCs w:val="20"/>
          <w:color w:val="auto"/>
        </w:rPr>
      </w:pPr>
    </w:p>
    <w:p>
      <w:pPr>
        <w:jc w:val="both"/>
        <w:ind w:left="300" w:right="120" w:hanging="298"/>
        <w:spacing w:after="0" w:line="261"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300" w:right="180" w:hanging="298"/>
        <w:spacing w:after="0" w:line="261"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300" w:right="620" w:hanging="298"/>
        <w:spacing w:after="0" w:line="273"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7"/>
          <w:szCs w:val="17"/>
          <w:color w:val="auto"/>
        </w:rPr>
      </w:pPr>
    </w:p>
    <w:p>
      <w:pPr>
        <w:ind w:left="300" w:right="260" w:hanging="298"/>
        <w:spacing w:after="0" w:line="261" w:lineRule="auto"/>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sz w:val="20"/>
          <w:szCs w:val="20"/>
          <w:color w:val="auto"/>
        </w:rPr>
      </w:pPr>
    </w:p>
    <w:p>
      <w:pPr>
        <w:ind w:left="300" w:right="180" w:hanging="298"/>
        <w:spacing w:after="0" w:line="273"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sz w:val="20"/>
          <w:szCs w:val="20"/>
          <w:color w:val="auto"/>
        </w:rPr>
      </w:pPr>
    </w:p>
    <w:p>
      <w:pPr>
        <w:ind w:left="300" w:right="120" w:hanging="298"/>
        <w:spacing w:after="0" w:line="273" w:lineRule="auto"/>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7"/>
          <w:szCs w:val="17"/>
          <w:color w:val="auto"/>
        </w:rPr>
      </w:pPr>
    </w:p>
    <w:p>
      <w:pPr>
        <w:ind w:left="300" w:right="400" w:hanging="298"/>
        <w:spacing w:after="0" w:line="273" w:lineRule="auto"/>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3040" w:type="dxa"/>
            <w:vAlign w:val="bottom"/>
          </w:tcPr>
          <w:p>
            <w:pPr>
              <w:ind w:left="280"/>
              <w:spacing w:after="0"/>
              <w:rPr>
                <w:sz w:val="20"/>
                <w:szCs w:val="20"/>
                <w:color w:val="auto"/>
              </w:rPr>
            </w:pPr>
            <w:r>
              <w:rPr>
                <w:rFonts w:ascii="Arial" w:cs="Arial" w:eastAsia="Arial" w:hAnsi="Arial"/>
                <w:sz w:val="17"/>
                <w:szCs w:val="17"/>
                <w:color w:val="auto"/>
              </w:rPr>
              <w:t>November 8, 2019</w:t>
            </w:r>
          </w:p>
        </w:tc>
        <w:tc>
          <w:tcPr>
            <w:tcW w:w="2280" w:type="dxa"/>
            <w:vAlign w:val="bottom"/>
          </w:tcPr>
          <w:p>
            <w:pPr>
              <w:ind w:left="1520"/>
              <w:spacing w:after="0"/>
              <w:rPr>
                <w:sz w:val="20"/>
                <w:szCs w:val="20"/>
                <w:color w:val="auto"/>
              </w:rPr>
            </w:pPr>
            <w:r>
              <w:rPr>
                <w:rFonts w:ascii="Arial" w:cs="Arial" w:eastAsia="Arial" w:hAnsi="Arial"/>
                <w:sz w:val="17"/>
                <w:szCs w:val="17"/>
                <w:color w:val="auto"/>
              </w:rPr>
              <w:t>By:</w:t>
            </w:r>
          </w:p>
        </w:tc>
        <w:tc>
          <w:tcPr>
            <w:tcW w:w="5300" w:type="dxa"/>
            <w:vAlign w:val="bottom"/>
          </w:tcPr>
          <w:p>
            <w:pPr>
              <w:ind w:left="20"/>
              <w:spacing w:after="0"/>
              <w:rPr>
                <w:sz w:val="20"/>
                <w:szCs w:val="20"/>
                <w:color w:val="auto"/>
              </w:rPr>
            </w:pPr>
            <w:r>
              <w:rPr>
                <w:rFonts w:ascii="Arial" w:cs="Arial" w:eastAsia="Arial" w:hAnsi="Arial"/>
                <w:sz w:val="17"/>
                <w:szCs w:val="17"/>
                <w:color w:val="auto"/>
              </w:rPr>
              <w:t>/s/ CHRISTOPHER E. GREINER</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80" w:type="dxa"/>
            <w:vAlign w:val="bottom"/>
            <w:vMerge w:val="restart"/>
          </w:tcPr>
          <w:p>
            <w:pPr>
              <w:ind w:left="1520"/>
              <w:spacing w:after="0"/>
              <w:rPr>
                <w:sz w:val="20"/>
                <w:szCs w:val="20"/>
                <w:color w:val="auto"/>
              </w:rPr>
            </w:pPr>
            <w:r>
              <w:rPr>
                <w:rFonts w:ascii="Arial" w:cs="Arial" w:eastAsia="Arial" w:hAnsi="Arial"/>
                <w:sz w:val="17"/>
                <w:szCs w:val="17"/>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7"/>
                <w:szCs w:val="17"/>
                <w:color w:val="auto"/>
              </w:rPr>
              <w:t>Christopher E. Greiner</w:t>
            </w:r>
          </w:p>
        </w:tc>
        <w:tc>
          <w:tcPr>
            <w:tcW w:w="0" w:type="dxa"/>
            <w:vAlign w:val="bottom"/>
          </w:tcPr>
          <w:p>
            <w:pPr>
              <w:spacing w:after="0"/>
              <w:rPr>
                <w:sz w:val="1"/>
                <w:szCs w:val="1"/>
                <w:color w:val="auto"/>
              </w:rPr>
            </w:pPr>
          </w:p>
        </w:tc>
      </w:tr>
      <w:tr>
        <w:trPr>
          <w:trHeight w:val="254"/>
        </w:trPr>
        <w:tc>
          <w:tcPr>
            <w:tcW w:w="6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280" w:type="dxa"/>
            <w:vAlign w:val="bottom"/>
          </w:tcPr>
          <w:p>
            <w:pPr>
              <w:ind w:left="1520"/>
              <w:spacing w:after="0"/>
              <w:rPr>
                <w:sz w:val="20"/>
                <w:szCs w:val="20"/>
                <w:color w:val="auto"/>
              </w:rPr>
            </w:pPr>
            <w:r>
              <w:rPr>
                <w:rFonts w:ascii="Arial" w:cs="Arial" w:eastAsia="Arial" w:hAnsi="Arial"/>
                <w:sz w:val="17"/>
                <w:szCs w:val="17"/>
                <w:color w:val="auto"/>
              </w:rPr>
              <w:t>Title:</w:t>
            </w:r>
          </w:p>
        </w:tc>
        <w:tc>
          <w:tcPr>
            <w:tcW w:w="5300" w:type="dxa"/>
            <w:vAlign w:val="bottom"/>
          </w:tcPr>
          <w:p>
            <w:pPr>
              <w:ind w:left="20"/>
              <w:spacing w:after="0"/>
              <w:rPr>
                <w:sz w:val="20"/>
                <w:szCs w:val="20"/>
                <w:color w:val="auto"/>
              </w:rPr>
            </w:pPr>
            <w:r>
              <w:rPr>
                <w:rFonts w:ascii="Arial" w:cs="Arial" w:eastAsia="Arial" w:hAnsi="Arial"/>
                <w:sz w:val="17"/>
                <w:szCs w:val="17"/>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u w:val="single" w:color="auto"/>
          <w:color w:val="auto"/>
        </w:rPr>
        <w:t>Exhibit 32.1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 Section 906 of the Sarbanes-Oxley Act of 2002, that:</w:t>
      </w:r>
    </w:p>
    <w:p>
      <w:pPr>
        <w:spacing w:after="0" w:line="114" w:lineRule="exact"/>
        <w:rPr>
          <w:sz w:val="20"/>
          <w:szCs w:val="20"/>
          <w:color w:val="auto"/>
        </w:rPr>
      </w:pPr>
    </w:p>
    <w:p>
      <w:pPr>
        <w:ind w:left="620" w:right="360" w:hanging="313"/>
        <w:spacing w:after="0" w:line="273"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September 30, 2019, as filed with the Securities and Exchange Commission (the “Report”), fully complies with the requirements of Section 13(a) or 15(d) of the Securities Exchange Act of 1934; and</w:t>
      </w:r>
    </w:p>
    <w:p>
      <w:pPr>
        <w:spacing w:after="0" w:line="114" w:lineRule="exact"/>
        <w:rPr>
          <w:rFonts w:ascii="Arial" w:cs="Arial" w:eastAsia="Arial" w:hAnsi="Arial"/>
          <w:sz w:val="17"/>
          <w:szCs w:val="17"/>
          <w:color w:val="auto"/>
        </w:rPr>
      </w:pPr>
    </w:p>
    <w:p>
      <w:pPr>
        <w:ind w:left="620" w:hanging="313"/>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7"/>
                <w:szCs w:val="17"/>
                <w:color w:val="auto"/>
              </w:rPr>
              <w:t>Date:</w:t>
            </w:r>
          </w:p>
        </w:tc>
        <w:tc>
          <w:tcPr>
            <w:tcW w:w="3140" w:type="dxa"/>
            <w:vAlign w:val="bottom"/>
          </w:tcPr>
          <w:p>
            <w:pPr>
              <w:ind w:left="220"/>
              <w:spacing w:after="0"/>
              <w:rPr>
                <w:sz w:val="20"/>
                <w:szCs w:val="20"/>
                <w:color w:val="auto"/>
              </w:rPr>
            </w:pPr>
            <w:r>
              <w:rPr>
                <w:rFonts w:ascii="Arial" w:cs="Arial" w:eastAsia="Arial" w:hAnsi="Arial"/>
                <w:sz w:val="17"/>
                <w:szCs w:val="17"/>
                <w:color w:val="auto"/>
              </w:rPr>
              <w:t>November 8, 2019</w:t>
            </w:r>
          </w:p>
        </w:tc>
        <w:tc>
          <w:tcPr>
            <w:tcW w:w="2400" w:type="dxa"/>
            <w:vAlign w:val="bottom"/>
          </w:tcPr>
          <w:p>
            <w:pPr>
              <w:ind w:left="1640"/>
              <w:spacing w:after="0"/>
              <w:rPr>
                <w:sz w:val="20"/>
                <w:szCs w:val="20"/>
                <w:color w:val="auto"/>
              </w:rPr>
            </w:pPr>
            <w:r>
              <w:rPr>
                <w:rFonts w:ascii="Arial" w:cs="Arial" w:eastAsia="Arial" w:hAnsi="Arial"/>
                <w:sz w:val="17"/>
                <w:szCs w:val="17"/>
                <w:color w:val="auto"/>
              </w:rPr>
              <w:t>By:</w:t>
            </w:r>
          </w:p>
        </w:tc>
        <w:tc>
          <w:tcPr>
            <w:tcW w:w="5000" w:type="dxa"/>
            <w:vAlign w:val="bottom"/>
          </w:tcPr>
          <w:p>
            <w:pPr>
              <w:ind w:left="20"/>
              <w:spacing w:after="0"/>
              <w:rPr>
                <w:sz w:val="20"/>
                <w:szCs w:val="20"/>
                <w:color w:val="auto"/>
              </w:rPr>
            </w:pPr>
            <w:r>
              <w:rPr>
                <w:rFonts w:ascii="Arial" w:cs="Arial" w:eastAsia="Arial" w:hAnsi="Arial"/>
                <w:sz w:val="17"/>
                <w:szCs w:val="17"/>
                <w:color w:val="auto"/>
              </w:rPr>
              <w:t>/s/ ROBERT P. LOCASCIO</w:t>
            </w: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0" w:type="dxa"/>
            <w:vAlign w:val="bottom"/>
            <w:vMerge w:val="restart"/>
          </w:tcPr>
          <w:p>
            <w:pPr>
              <w:ind w:left="1640"/>
              <w:spacing w:after="0"/>
              <w:rPr>
                <w:sz w:val="20"/>
                <w:szCs w:val="20"/>
                <w:color w:val="auto"/>
              </w:rPr>
            </w:pPr>
            <w:r>
              <w:rPr>
                <w:rFonts w:ascii="Arial" w:cs="Arial" w:eastAsia="Arial" w:hAnsi="Arial"/>
                <w:sz w:val="17"/>
                <w:szCs w:val="17"/>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400" w:type="dxa"/>
            <w:vAlign w:val="bottom"/>
            <w:vMerge w:val="continue"/>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Robert P. LoCascio</w:t>
            </w:r>
          </w:p>
        </w:tc>
        <w:tc>
          <w:tcPr>
            <w:tcW w:w="0" w:type="dxa"/>
            <w:vAlign w:val="bottom"/>
          </w:tcPr>
          <w:p>
            <w:pPr>
              <w:spacing w:after="0"/>
              <w:rPr>
                <w:sz w:val="1"/>
                <w:szCs w:val="1"/>
                <w:color w:val="auto"/>
              </w:rPr>
            </w:pPr>
          </w:p>
        </w:tc>
      </w:tr>
      <w:tr>
        <w:trPr>
          <w:trHeight w:val="254"/>
        </w:trPr>
        <w:tc>
          <w:tcPr>
            <w:tcW w:w="5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400" w:type="dxa"/>
            <w:vAlign w:val="bottom"/>
          </w:tcPr>
          <w:p>
            <w:pPr>
              <w:ind w:left="1640"/>
              <w:spacing w:after="0"/>
              <w:rPr>
                <w:sz w:val="20"/>
                <w:szCs w:val="20"/>
                <w:color w:val="auto"/>
              </w:rPr>
            </w:pPr>
            <w:r>
              <w:rPr>
                <w:rFonts w:ascii="Arial" w:cs="Arial" w:eastAsia="Arial" w:hAnsi="Arial"/>
                <w:sz w:val="17"/>
                <w:szCs w:val="17"/>
                <w:color w:val="auto"/>
              </w:rPr>
              <w:t>Title:</w:t>
            </w:r>
          </w:p>
        </w:tc>
        <w:tc>
          <w:tcPr>
            <w:tcW w:w="5000" w:type="dxa"/>
            <w:vAlign w:val="bottom"/>
          </w:tcPr>
          <w:p>
            <w:pPr>
              <w:ind w:left="20"/>
              <w:spacing w:after="0"/>
              <w:rPr>
                <w:sz w:val="20"/>
                <w:szCs w:val="20"/>
                <w:color w:val="auto"/>
              </w:rPr>
            </w:pPr>
            <w:r>
              <w:rPr>
                <w:rFonts w:ascii="Arial" w:cs="Arial" w:eastAsia="Arial" w:hAnsi="Arial"/>
                <w:sz w:val="17"/>
                <w:szCs w:val="17"/>
                <w:color w:val="auto"/>
              </w:rPr>
              <w:t>Chief Executive Officer (principal executive officer)</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u w:val="single" w:color="auto"/>
          <w:color w:val="auto"/>
        </w:rPr>
        <w:t>Exhibit 32.2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9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 Christopher E. Greiner, Chief Financial Officer of LivePerson, Inc. (the “Company”), certify, pursuant to 18 U.S.C. Section 1350, as adopted pursuant to Section 906 of the Sarbanes-Oxley Act of 2002, that:</w:t>
      </w:r>
    </w:p>
    <w:p>
      <w:pPr>
        <w:spacing w:after="0" w:line="114" w:lineRule="exact"/>
        <w:rPr>
          <w:sz w:val="20"/>
          <w:szCs w:val="20"/>
          <w:color w:val="auto"/>
        </w:rPr>
      </w:pPr>
    </w:p>
    <w:p>
      <w:pPr>
        <w:ind w:left="620" w:right="360" w:hanging="313"/>
        <w:spacing w:after="0" w:line="273"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September 30, 2019, as filed with the Securities and Exchange Commission (the “Report”), fully complies with the requirements of Section 13(a) or 15(d) of the Securities Exchange Act of 1934; and</w:t>
      </w:r>
    </w:p>
    <w:p>
      <w:pPr>
        <w:spacing w:after="0" w:line="114" w:lineRule="exact"/>
        <w:rPr>
          <w:rFonts w:ascii="Arial" w:cs="Arial" w:eastAsia="Arial" w:hAnsi="Arial"/>
          <w:sz w:val="17"/>
          <w:szCs w:val="17"/>
          <w:color w:val="auto"/>
        </w:rPr>
      </w:pPr>
    </w:p>
    <w:p>
      <w:pPr>
        <w:ind w:left="620" w:hanging="313"/>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320"/>
              <w:spacing w:after="0"/>
              <w:rPr>
                <w:sz w:val="20"/>
                <w:szCs w:val="20"/>
                <w:color w:val="auto"/>
              </w:rPr>
            </w:pPr>
            <w:r>
              <w:rPr>
                <w:rFonts w:ascii="Arial" w:cs="Arial" w:eastAsia="Arial" w:hAnsi="Arial"/>
                <w:sz w:val="17"/>
                <w:szCs w:val="17"/>
                <w:color w:val="auto"/>
              </w:rPr>
              <w:t>November 8, 2019</w:t>
            </w:r>
          </w:p>
        </w:tc>
        <w:tc>
          <w:tcPr>
            <w:tcW w:w="2420" w:type="dxa"/>
            <w:vAlign w:val="bottom"/>
          </w:tcPr>
          <w:p>
            <w:pPr>
              <w:ind w:left="1680"/>
              <w:spacing w:after="0"/>
              <w:rPr>
                <w:sz w:val="20"/>
                <w:szCs w:val="20"/>
                <w:color w:val="auto"/>
              </w:rPr>
            </w:pPr>
            <w:r>
              <w:rPr>
                <w:rFonts w:ascii="Arial" w:cs="Arial" w:eastAsia="Arial" w:hAnsi="Arial"/>
                <w:sz w:val="17"/>
                <w:szCs w:val="17"/>
                <w:color w:val="auto"/>
              </w:rPr>
              <w:t>By:</w:t>
            </w:r>
          </w:p>
        </w:tc>
        <w:tc>
          <w:tcPr>
            <w:tcW w:w="4820" w:type="dxa"/>
            <w:vAlign w:val="bottom"/>
          </w:tcPr>
          <w:p>
            <w:pPr>
              <w:ind w:left="40"/>
              <w:spacing w:after="0"/>
              <w:rPr>
                <w:sz w:val="20"/>
                <w:szCs w:val="20"/>
                <w:color w:val="auto"/>
              </w:rPr>
            </w:pPr>
            <w:r>
              <w:rPr>
                <w:rFonts w:ascii="Arial" w:cs="Arial" w:eastAsia="Arial" w:hAnsi="Arial"/>
                <w:sz w:val="17"/>
                <w:szCs w:val="17"/>
                <w:color w:val="auto"/>
              </w:rPr>
              <w:t>/s/ CHRISTOPHER E. GREINER</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20" w:type="dxa"/>
            <w:vAlign w:val="bottom"/>
            <w:vMerge w:val="restart"/>
          </w:tcPr>
          <w:p>
            <w:pPr>
              <w:ind w:left="1680"/>
              <w:spacing w:after="0"/>
              <w:rPr>
                <w:sz w:val="20"/>
                <w:szCs w:val="20"/>
                <w:color w:val="auto"/>
              </w:rPr>
            </w:pPr>
            <w:r>
              <w:rPr>
                <w:rFonts w:ascii="Arial" w:cs="Arial" w:eastAsia="Arial" w:hAnsi="Arial"/>
                <w:sz w:val="17"/>
                <w:szCs w:val="17"/>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4820" w:type="dxa"/>
            <w:vAlign w:val="bottom"/>
          </w:tcPr>
          <w:p>
            <w:pPr>
              <w:ind w:left="40"/>
              <w:spacing w:after="0"/>
              <w:rPr>
                <w:sz w:val="20"/>
                <w:szCs w:val="20"/>
                <w:color w:val="auto"/>
              </w:rPr>
            </w:pPr>
            <w:r>
              <w:rPr>
                <w:rFonts w:ascii="Arial" w:cs="Arial" w:eastAsia="Arial" w:hAnsi="Arial"/>
                <w:sz w:val="17"/>
                <w:szCs w:val="17"/>
                <w:color w:val="auto"/>
              </w:rPr>
              <w:t>Christopher E. Greiner</w:t>
            </w:r>
          </w:p>
        </w:tc>
        <w:tc>
          <w:tcPr>
            <w:tcW w:w="0" w:type="dxa"/>
            <w:vAlign w:val="bottom"/>
          </w:tcPr>
          <w:p>
            <w:pPr>
              <w:spacing w:after="0"/>
              <w:rPr>
                <w:sz w:val="1"/>
                <w:szCs w:val="1"/>
                <w:color w:val="auto"/>
              </w:rPr>
            </w:pPr>
          </w:p>
        </w:tc>
      </w:tr>
      <w:tr>
        <w:trPr>
          <w:trHeight w:val="254"/>
        </w:trPr>
        <w:tc>
          <w:tcPr>
            <w:tcW w:w="7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420" w:type="dxa"/>
            <w:vAlign w:val="bottom"/>
          </w:tcPr>
          <w:p>
            <w:pPr>
              <w:ind w:left="1680"/>
              <w:spacing w:after="0"/>
              <w:rPr>
                <w:sz w:val="20"/>
                <w:szCs w:val="20"/>
                <w:color w:val="auto"/>
              </w:rPr>
            </w:pPr>
            <w:r>
              <w:rPr>
                <w:rFonts w:ascii="Arial" w:cs="Arial" w:eastAsia="Arial" w:hAnsi="Arial"/>
                <w:sz w:val="17"/>
                <w:szCs w:val="17"/>
                <w:color w:val="auto"/>
              </w:rPr>
              <w:t>Title:</w:t>
            </w:r>
          </w:p>
        </w:tc>
        <w:tc>
          <w:tcPr>
            <w:tcW w:w="4820" w:type="dxa"/>
            <w:vAlign w:val="bottom"/>
          </w:tcPr>
          <w:p>
            <w:pPr>
              <w:ind w:left="40"/>
              <w:spacing w:after="0"/>
              <w:rPr>
                <w:sz w:val="20"/>
                <w:szCs w:val="20"/>
                <w:color w:val="auto"/>
              </w:rPr>
            </w:pPr>
            <w:r>
              <w:rPr>
                <w:rFonts w:ascii="Arial" w:cs="Arial" w:eastAsia="Arial" w:hAnsi="Arial"/>
                <w:sz w:val="17"/>
                <w:szCs w:val="17"/>
                <w:color w:val="auto"/>
              </w:rPr>
              <w:t>Chief Financial Officer (principal financial officer)</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4"/>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decimal"/>
      <w:start w:val="7"/>
    </w:lvl>
  </w:abstractNum>
  <w:abstractNum w:abstractNumId="10">
    <w:nsid w:val="4353D0CD"/>
    <w:multiLevelType w:val="hybridMultilevel"/>
    <w:lvl w:ilvl="0">
      <w:lvlJc w:val="left"/>
      <w:lvlText w:val="%1."/>
      <w:numFmt w:val="decimal"/>
      <w:start w:val="8"/>
    </w:lvl>
  </w:abstractNum>
  <w:abstractNum w:abstractNumId="11">
    <w:nsid w:val="B03E0C6"/>
    <w:multiLevelType w:val="hybridMultilevel"/>
    <w:lvl w:ilvl="0">
      <w:lvlJc w:val="left"/>
      <w:lvlText w:val="%1."/>
      <w:numFmt w:val="decimal"/>
      <w:start w:val="9"/>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lvl w:ilvl="1">
      <w:lvlJc w:val="left"/>
      <w:lvlText w:val="%2"/>
      <w:numFmt w:val="decimal"/>
      <w:start w:val="104"/>
    </w:lvl>
  </w:abstractNum>
  <w:abstractNum w:abstractNumId="29">
    <w:nsid w:val="5577F8E1"/>
    <w:multiLevelType w:val="hybridMultilevel"/>
    <w:lvl w:ilvl="0">
      <w:lvlJc w:val="left"/>
      <w:lvlText w:val="**"/>
      <w:numFmt w:val="bullet"/>
      <w:start w:val="1"/>
    </w:lvl>
    <w:lvl w:ilvl="1">
      <w:lvlJc w:val="left"/>
      <w:lvlText w:val="%2"/>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2019-12-28T01:56:43Z</dcterms:created>
  <dcterms:modified xsi:type="dcterms:W3CDTF">2019-12-28T01:56:43Z</dcterms:modified>
</cp:coreProperties>
</file>