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 w:lineRule="exact"/>
        <w:rPr>
          <w:sz w:val="24"/>
          <w:szCs w:val="24"/>
          <w:color w:val="auto"/>
        </w:rPr>
      </w:pPr>
    </w:p>
    <w:p>
      <w:pPr>
        <w:jc w:val="center"/>
        <w:ind w:left="4640" w:right="2140" w:hanging="2499"/>
        <w:spacing w:after="0" w:line="266" w:lineRule="auto"/>
        <w:tabs>
          <w:tab w:leader="none" w:pos="235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jc w:val="center"/>
        <w:ind w:left="4640" w:right="2120" w:hanging="2505"/>
        <w:spacing w:after="0" w:line="286" w:lineRule="auto"/>
        <w:tabs>
          <w:tab w:leader="none" w:pos="235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7"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____________________ to 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000-30141</w:t>
      </w:r>
    </w:p>
    <w:p>
      <w:pPr>
        <w:spacing w:after="0" w:line="25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691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1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80" w:type="dxa"/>
            <w:vAlign w:val="bottom"/>
          </w:tcPr>
          <w:p>
            <w:pPr>
              <w:jc w:val="right"/>
              <w:ind w:right="2070"/>
              <w:spacing w:after="0"/>
              <w:rPr>
                <w:sz w:val="20"/>
                <w:szCs w:val="20"/>
                <w:color w:val="auto"/>
              </w:rPr>
            </w:pPr>
            <w:r>
              <w:rPr>
                <w:rFonts w:ascii="Times New Roman" w:cs="Times New Roman" w:eastAsia="Times New Roman" w:hAnsi="Times New Roman"/>
                <w:sz w:val="18"/>
                <w:szCs w:val="18"/>
                <w:b w:val="1"/>
                <w:bCs w:val="1"/>
                <w:color w:val="auto"/>
              </w:rPr>
              <w:t>13-3861628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5"/>
        </w:trPr>
        <w:tc>
          <w:tcPr>
            <w:tcW w:w="61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5180" w:type="dxa"/>
            <w:vAlign w:val="bottom"/>
          </w:tcPr>
          <w:p>
            <w:pPr>
              <w:spacing w:after="0"/>
              <w:rPr>
                <w:sz w:val="19"/>
                <w:szCs w:val="19"/>
                <w:color w:val="auto"/>
              </w:rPr>
            </w:pPr>
          </w:p>
        </w:tc>
      </w:tr>
      <w:tr>
        <w:trPr>
          <w:trHeight w:val="234"/>
        </w:trPr>
        <w:tc>
          <w:tcPr>
            <w:tcW w:w="61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45"/>
        </w:trPr>
        <w:tc>
          <w:tcPr>
            <w:tcW w:w="61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475 Tenth Avenue, 5th Floor</w:t>
            </w:r>
          </w:p>
        </w:tc>
        <w:tc>
          <w:tcPr>
            <w:tcW w:w="5180" w:type="dxa"/>
            <w:vAlign w:val="bottom"/>
          </w:tcPr>
          <w:p>
            <w:pPr>
              <w:spacing w:after="0"/>
              <w:rPr>
                <w:sz w:val="24"/>
                <w:szCs w:val="24"/>
                <w:color w:val="auto"/>
              </w:rPr>
            </w:pPr>
          </w:p>
        </w:tc>
      </w:tr>
      <w:tr>
        <w:trPr>
          <w:trHeight w:val="238"/>
        </w:trPr>
        <w:tc>
          <w:tcPr>
            <w:tcW w:w="61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5180" w:type="dxa"/>
            <w:vAlign w:val="bottom"/>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43"/>
        </w:trPr>
        <w:tc>
          <w:tcPr>
            <w:tcW w:w="61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75"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(212) 609-4200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691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44"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54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1" w:lineRule="exact"/>
        <w:rPr>
          <w:sz w:val="24"/>
          <w:szCs w:val="24"/>
          <w:color w:val="auto"/>
        </w:rPr>
      </w:pPr>
    </w:p>
    <w:p>
      <w:pPr>
        <w:ind w:left="40"/>
        <w:spacing w:after="0" w:line="207" w:lineRule="exact"/>
        <w:tabs>
          <w:tab w:leader="none" w:pos="56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76" w:lineRule="exact"/>
        <w:rPr>
          <w:sz w:val="24"/>
          <w:szCs w:val="24"/>
          <w:color w:val="auto"/>
        </w:rPr>
      </w:pPr>
    </w:p>
    <w:p>
      <w:pPr>
        <w:ind w:left="40"/>
        <w:spacing w:after="0" w:line="207" w:lineRule="exact"/>
        <w:tabs>
          <w:tab w:leader="none" w:pos="566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63" w:lineRule="exact"/>
        <w:rPr>
          <w:sz w:val="24"/>
          <w:szCs w:val="24"/>
          <w:color w:val="auto"/>
        </w:rPr>
      </w:pPr>
    </w:p>
    <w:p>
      <w:pPr>
        <w:ind w:left="56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60"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3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LPSN</w:t>
            </w:r>
          </w:p>
        </w:tc>
        <w:tc>
          <w:tcPr>
            <w:tcW w:w="4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4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LPSN</w:t>
            </w: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The Tel Aviv Stock Exchange</w:t>
            </w:r>
          </w:p>
        </w:tc>
      </w:tr>
    </w:tbl>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April 25, 2019, 64,845,886 shares of the registrant’s common stock were outstanding.</w:t>
      </w:r>
    </w:p>
    <w:p>
      <w:pPr>
        <w:sectPr>
          <w:pgSz w:w="11900" w:h="16838" w:orient="portrait"/>
          <w:cols w:equalWidth="0" w:num="1">
            <w:col w:w="11420"/>
          </w:cols>
          <w:pgMar w:left="240" w:top="684" w:right="239" w:bottom="1440" w:gutter="0" w:footer="0" w:header="0"/>
        </w:sect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684"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10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1040" w:type="dxa"/>
            <w:vAlign w:val="bottom"/>
            <w:tcBorders>
              <w:bottom w:val="single" w:sz="8" w:color="CCFFCC"/>
            </w:tcBorders>
          </w:tcPr>
          <w:p>
            <w:pPr>
              <w:spacing w:after="0"/>
              <w:rPr>
                <w:sz w:val="2"/>
                <w:szCs w:val="2"/>
                <w:color w:val="auto"/>
              </w:rPr>
            </w:pPr>
          </w:p>
        </w:tc>
        <w:tc>
          <w:tcPr>
            <w:tcW w:w="9360" w:type="dxa"/>
            <w:vAlign w:val="bottom"/>
            <w:tcBorders>
              <w:bottom w:val="single" w:sz="8" w:color="CCFFCC"/>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1040" w:type="dxa"/>
            <w:vAlign w:val="bottom"/>
            <w:shd w:val="clear" w:color="auto" w:fill="CCFFCC"/>
          </w:tcPr>
          <w:p>
            <w:pPr>
              <w:ind w:left="40"/>
              <w:spacing w:after="0" w:line="196" w:lineRule="exact"/>
              <w:rPr>
                <w:sz w:val="20"/>
                <w:szCs w:val="20"/>
                <w:color w:val="auto"/>
              </w:rPr>
            </w:pPr>
            <w:r>
              <w:rPr>
                <w:rFonts w:ascii="Times New Roman" w:cs="Times New Roman" w:eastAsia="Times New Roman" w:hAnsi="Times New Roman"/>
                <w:sz w:val="18"/>
                <w:szCs w:val="18"/>
                <w:color w:val="auto"/>
              </w:rPr>
              <w:t>Part I.</w:t>
            </w:r>
          </w:p>
        </w:tc>
        <w:tc>
          <w:tcPr>
            <w:tcW w:w="9360" w:type="dxa"/>
            <w:vAlign w:val="bottom"/>
            <w:shd w:val="clear" w:color="auto" w:fill="CCFFCC"/>
          </w:tcPr>
          <w:p>
            <w:pPr>
              <w:ind w:left="260"/>
              <w:spacing w:after="0" w:line="196" w:lineRule="exact"/>
              <w:rPr>
                <w:sz w:val="20"/>
                <w:szCs w:val="20"/>
                <w:color w:val="auto"/>
              </w:rPr>
            </w:pPr>
            <w:r>
              <w:rPr>
                <w:rFonts w:ascii="Times New Roman" w:cs="Times New Roman" w:eastAsia="Times New Roman" w:hAnsi="Times New Roman"/>
                <w:sz w:val="18"/>
                <w:szCs w:val="18"/>
                <w:color w:val="auto"/>
              </w:rPr>
              <w:t>Financial Information</w:t>
            </w:r>
          </w:p>
        </w:tc>
        <w:tc>
          <w:tcPr>
            <w:tcW w:w="1020" w:type="dxa"/>
            <w:vAlign w:val="bottom"/>
            <w:gridSpan w:val="4"/>
            <w:shd w:val="clear" w:color="auto" w:fill="CCFFCC"/>
          </w:tcPr>
          <w:p>
            <w:pPr>
              <w:jc w:val="right"/>
              <w:ind w:right="100"/>
              <w:spacing w:after="0" w:line="196"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74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Times New Roman" w:cs="Times New Roman" w:eastAsia="Times New Roman" w:hAnsi="Times New Roman"/>
                <w:sz w:val="18"/>
                <w:szCs w:val="18"/>
                <w:color w:val="auto"/>
              </w:rPr>
              <w:t>Financial Statements (Unaudited):</w:t>
            </w: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74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Times New Roman" w:cs="Times New Roman" w:eastAsia="Times New Roman" w:hAnsi="Times New Roman"/>
                <w:sz w:val="18"/>
                <w:szCs w:val="18"/>
                <w:color w:val="auto"/>
              </w:rPr>
              <w:t>Condensed Consolidated Balance Sheets as of March 31, 2019 and December 31, 2018</w:t>
            </w: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74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Operations for the Three Months Ended March 31, 2019 and 2018</w:t>
            </w: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74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Comprehensive Loss for the Three Months Ended March 31, 2019 and 2018</w:t>
            </w: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74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Shareholder's Equity for the Three Months Ended March 31, 2019 and 2018</w:t>
            </w:r>
          </w:p>
        </w:tc>
        <w:tc>
          <w:tcPr>
            <w:tcW w:w="1020" w:type="dxa"/>
            <w:vAlign w:val="bottom"/>
            <w:gridSpan w:val="4"/>
            <w:shd w:val="clear" w:color="auto" w:fill="CCFFCC"/>
          </w:tcPr>
          <w:p>
            <w:pPr>
              <w:jc w:val="right"/>
              <w:ind w:right="100"/>
              <w:spacing w:after="0" w:line="202" w:lineRule="exact"/>
              <w:rPr>
                <w:sz w:val="20"/>
                <w:szCs w:val="20"/>
                <w:color w:val="auto"/>
              </w:rPr>
            </w:pPr>
            <w:r>
              <w:rPr>
                <w:rFonts w:ascii="Times New Roman" w:cs="Times New Roman" w:eastAsia="Times New Roman" w:hAnsi="Times New Roman"/>
                <w:sz w:val="18"/>
                <w:szCs w:val="18"/>
                <w:color w:val="0000FF"/>
              </w:rPr>
              <w:t>7</w:t>
            </w:r>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74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March 31, 2019 and 2018</w:t>
            </w: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8</w:t>
              </w:r>
            </w:hyperlink>
          </w:p>
        </w:tc>
      </w:tr>
      <w:tr>
        <w:trPr>
          <w:trHeight w:val="324"/>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spacing w:after="0"/>
              <w:rPr>
                <w:sz w:val="24"/>
                <w:szCs w:val="24"/>
                <w:color w:val="auto"/>
              </w:rPr>
            </w:pPr>
          </w:p>
        </w:tc>
        <w:tc>
          <w:tcPr>
            <w:tcW w:w="74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74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74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44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74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Times New Roman" w:cs="Times New Roman" w:eastAsia="Times New Roman" w:hAnsi="Times New Roman"/>
                <w:sz w:val="18"/>
                <w:szCs w:val="18"/>
                <w:color w:val="auto"/>
              </w:rPr>
              <w:t>Controls and Procedures</w:t>
            </w: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74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Times New Roman" w:cs="Times New Roman" w:eastAsia="Times New Roman" w:hAnsi="Times New Roman"/>
                <w:sz w:val="18"/>
                <w:szCs w:val="18"/>
                <w:color w:val="auto"/>
              </w:rPr>
              <w:t>Part II.</w:t>
            </w:r>
          </w:p>
        </w:tc>
        <w:tc>
          <w:tcPr>
            <w:tcW w:w="9360" w:type="dxa"/>
            <w:vAlign w:val="bottom"/>
            <w:shd w:val="clear" w:color="auto" w:fill="CCFFCC"/>
          </w:tcPr>
          <w:p>
            <w:pPr>
              <w:ind w:left="260"/>
              <w:spacing w:after="0" w:line="202" w:lineRule="exact"/>
              <w:rPr>
                <w:sz w:val="20"/>
                <w:szCs w:val="20"/>
                <w:color w:val="auto"/>
              </w:rPr>
            </w:pPr>
            <w:r>
              <w:rPr>
                <w:rFonts w:ascii="Times New Roman" w:cs="Times New Roman" w:eastAsia="Times New Roman" w:hAnsi="Times New Roman"/>
                <w:sz w:val="18"/>
                <w:szCs w:val="18"/>
                <w:color w:val="auto"/>
              </w:rPr>
              <w:t>Other Information</w:t>
            </w: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74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Times New Roman" w:cs="Times New Roman" w:eastAsia="Times New Roman" w:hAnsi="Times New Roman"/>
                <w:sz w:val="18"/>
                <w:szCs w:val="18"/>
                <w:color w:val="auto"/>
              </w:rPr>
              <w:t>Legal Proceedings</w:t>
            </w: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74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9360" w:type="dxa"/>
            <w:vAlign w:val="bottom"/>
            <w:shd w:val="clear" w:color="auto" w:fill="CCFFCC"/>
          </w:tcPr>
          <w:p>
            <w:pPr>
              <w:ind w:left="260"/>
              <w:spacing w:after="0" w:line="202" w:lineRule="exact"/>
              <w:rPr>
                <w:sz w:val="20"/>
                <w:szCs w:val="20"/>
                <w:color w:val="auto"/>
              </w:rPr>
            </w:pPr>
            <w:r>
              <w:rPr>
                <w:rFonts w:ascii="Times New Roman" w:cs="Times New Roman" w:eastAsia="Times New Roman" w:hAnsi="Times New Roman"/>
                <w:sz w:val="18"/>
                <w:szCs w:val="18"/>
                <w:color w:val="auto"/>
              </w:rPr>
              <w:t>Risk Factors</w:t>
            </w: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46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74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49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74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Times New Roman" w:cs="Times New Roman" w:eastAsia="Times New Roman" w:hAnsi="Times New Roman"/>
                <w:sz w:val="18"/>
                <w:szCs w:val="18"/>
                <w:color w:val="auto"/>
              </w:rPr>
              <w:t>Defaults Upon Senior Securities</w:t>
            </w: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49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74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Times New Roman" w:cs="Times New Roman" w:eastAsia="Times New Roman" w:hAnsi="Times New Roman"/>
                <w:sz w:val="18"/>
                <w:szCs w:val="18"/>
                <w:color w:val="auto"/>
              </w:rPr>
              <w:t>Mine Safety Disclosures</w:t>
            </w: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49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74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360" w:type="dxa"/>
            <w:vAlign w:val="bottom"/>
            <w:shd w:val="clear" w:color="auto" w:fill="CCFFCC"/>
          </w:tcPr>
          <w:p>
            <w:pPr>
              <w:ind w:left="260"/>
              <w:spacing w:after="0" w:line="202" w:lineRule="exact"/>
              <w:rPr>
                <w:sz w:val="20"/>
                <w:szCs w:val="20"/>
                <w:color w:val="auto"/>
              </w:rPr>
            </w:pPr>
            <w:r>
              <w:rPr>
                <w:rFonts w:ascii="Times New Roman" w:cs="Times New Roman" w:eastAsia="Times New Roman" w:hAnsi="Times New Roman"/>
                <w:sz w:val="18"/>
                <w:szCs w:val="18"/>
                <w:color w:val="auto"/>
              </w:rPr>
              <w:t>Other Information</w:t>
            </w: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49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74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9360" w:type="dxa"/>
            <w:vAlign w:val="bottom"/>
            <w:shd w:val="clear" w:color="auto" w:fill="CCFFCC"/>
          </w:tcPr>
          <w:p>
            <w:pPr>
              <w:ind w:left="260"/>
              <w:spacing w:after="0" w:line="202" w:lineRule="exact"/>
              <w:rPr>
                <w:sz w:val="20"/>
                <w:szCs w:val="20"/>
                <w:color w:val="auto"/>
              </w:rPr>
            </w:pPr>
            <w:r>
              <w:rPr>
                <w:rFonts w:ascii="Times New Roman" w:cs="Times New Roman" w:eastAsia="Times New Roman" w:hAnsi="Times New Roman"/>
                <w:sz w:val="18"/>
                <w:szCs w:val="18"/>
                <w:color w:val="auto"/>
              </w:rPr>
              <w:t>Exhibits</w:t>
            </w: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50</w:t>
              </w:r>
            </w:hyperlink>
          </w:p>
        </w:tc>
      </w:tr>
      <w:tr>
        <w:trPr>
          <w:trHeight w:val="324"/>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spacing w:after="0"/>
              <w:rPr>
                <w:sz w:val="24"/>
                <w:szCs w:val="24"/>
                <w:color w:val="auto"/>
              </w:rPr>
            </w:pPr>
          </w:p>
        </w:tc>
        <w:tc>
          <w:tcPr>
            <w:tcW w:w="74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Times New Roman" w:cs="Times New Roman" w:eastAsia="Times New Roman" w:hAnsi="Times New Roman"/>
                <w:sz w:val="18"/>
                <w:szCs w:val="18"/>
                <w:color w:val="auto"/>
              </w:rPr>
              <w:t>Signatures</w:t>
            </w:r>
          </w:p>
        </w:tc>
        <w:tc>
          <w:tcPr>
            <w:tcW w:w="9360" w:type="dxa"/>
            <w:vAlign w:val="bottom"/>
            <w:shd w:val="clear" w:color="auto" w:fill="CCFFCC"/>
          </w:tcPr>
          <w:p>
            <w:pPr>
              <w:spacing w:after="0"/>
              <w:rPr>
                <w:sz w:val="21"/>
                <w:szCs w:val="21"/>
                <w:color w:val="auto"/>
              </w:rPr>
            </w:pPr>
          </w:p>
        </w:tc>
        <w:tc>
          <w:tcPr>
            <w:tcW w:w="1020" w:type="dxa"/>
            <w:vAlign w:val="bottom"/>
            <w:gridSpan w:val="4"/>
            <w:shd w:val="clear" w:color="auto" w:fill="CCFFCC"/>
          </w:tcPr>
          <w:p>
            <w:pPr>
              <w:jc w:val="right"/>
              <w:ind w:right="100"/>
              <w:spacing w:after="0" w:line="202"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51</w:t>
              </w:r>
            </w:hyperlink>
          </w:p>
        </w:tc>
      </w:tr>
      <w:tr>
        <w:trPr>
          <w:trHeight w:val="459"/>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765"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QUARTERLY REPORT ON FORM 10-Q ABOUT LIVEPERSON, INC. (“LIVEPERSON”)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3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4"/>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 1)</w:t>
            </w:r>
          </w:p>
        </w:tc>
      </w:tr>
      <w:tr>
        <w:trPr>
          <w:trHeight w:val="255"/>
        </w:trPr>
        <w:tc>
          <w:tcPr>
            <w:tcW w:w="834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Borders>
              <w:bottom w:val="single" w:sz="8" w:color="CCFFCC"/>
            </w:tcBorders>
            <w:shd w:val="clear" w:color="auto" w:fill="CCFFC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237,787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66,449</w:t>
            </w: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$2,728 and $2,276 as of March 31, 2019 and December 31,</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2018, respectively</w:t>
            </w:r>
          </w:p>
        </w:tc>
        <w:tc>
          <w:tcPr>
            <w:tcW w:w="26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51,285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46,023</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29,290</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22,613</w:t>
            </w:r>
          </w:p>
        </w:tc>
      </w:tr>
      <w:tr>
        <w:trPr>
          <w:trHeight w:val="21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318,362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135,085</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Operating lease right of use asset</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14,817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48,432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43,735</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Intangibles, net</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13,077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13,832</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94,987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95,031</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713</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1,707</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492,211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290,103</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Borders>
              <w:bottom w:val="single" w:sz="8" w:color="CCFFCC"/>
            </w:tcBorders>
            <w:shd w:val="clear" w:color="auto" w:fill="CCFFC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7,331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8,174</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35,897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50,662</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66,210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55,015</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115,665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113,851</w:t>
            </w:r>
          </w:p>
        </w:tc>
      </w:tr>
      <w:tr>
        <w:trPr>
          <w:trHeight w:val="21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222</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Convertible senior notes, net</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171,294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4,205</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12,566</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liability</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1,096</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301,172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119,374</w:t>
            </w:r>
          </w:p>
        </w:tc>
      </w:tr>
      <w:tr>
        <w:trPr>
          <w:trHeight w:val="318"/>
        </w:trPr>
        <w:tc>
          <w:tcPr>
            <w:tcW w:w="8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64</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401,996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362,590</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Treasury stock</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(187,491)</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(4,638)</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(4,431)</w:t>
            </w:r>
          </w:p>
        </w:tc>
      </w:tr>
      <w:tr>
        <w:trPr>
          <w:trHeight w:val="21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191,039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170,729</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492,211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290,103</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75"/>
        </w:trPr>
        <w:tc>
          <w:tcPr>
            <w:tcW w:w="92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gridSpan w:val="4"/>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64"/>
        </w:trPr>
        <w:tc>
          <w:tcPr>
            <w:tcW w:w="928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5"/>
        </w:trPr>
        <w:tc>
          <w:tcPr>
            <w:tcW w:w="928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Times New Roman" w:cs="Times New Roman" w:eastAsia="Times New Roman" w:hAnsi="Times New Roman"/>
                <w:sz w:val="16"/>
                <w:szCs w:val="16"/>
                <w:color w:val="auto"/>
              </w:rPr>
              <w:t>66,402</w:t>
            </w: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Times New Roman" w:cs="Times New Roman" w:eastAsia="Times New Roman" w:hAnsi="Times New Roman"/>
                <w:sz w:val="16"/>
                <w:szCs w:val="16"/>
                <w:color w:val="auto"/>
              </w:rPr>
              <w:t>58,241</w:t>
            </w:r>
          </w:p>
        </w:tc>
      </w:tr>
      <w:tr>
        <w:trPr>
          <w:trHeight w:val="250"/>
        </w:trPr>
        <w:tc>
          <w:tcPr>
            <w:tcW w:w="9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Costs and expenses </w:t>
            </w:r>
            <w:r>
              <w:rPr>
                <w:rFonts w:ascii="Times New Roman" w:cs="Times New Roman" w:eastAsia="Times New Roman" w:hAnsi="Times New Roman"/>
                <w:sz w:val="21"/>
                <w:szCs w:val="21"/>
                <w:color w:val="auto"/>
                <w:vertAlign w:val="superscript"/>
              </w:rPr>
              <w:t>(1) (2)</w:t>
            </w: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70"/>
        </w:trPr>
        <w:tc>
          <w:tcPr>
            <w:tcW w:w="9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3"/>
              <w:spacing w:after="0"/>
              <w:rPr>
                <w:sz w:val="20"/>
                <w:szCs w:val="20"/>
                <w:color w:val="auto"/>
              </w:rPr>
            </w:pPr>
            <w:r>
              <w:rPr>
                <w:rFonts w:ascii="Times New Roman" w:cs="Times New Roman" w:eastAsia="Times New Roman" w:hAnsi="Times New Roman"/>
                <w:sz w:val="16"/>
                <w:szCs w:val="16"/>
                <w:color w:val="auto"/>
              </w:rPr>
              <w:t>18,649</w:t>
            </w: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2"/>
              <w:spacing w:after="0"/>
              <w:rPr>
                <w:sz w:val="20"/>
                <w:szCs w:val="20"/>
                <w:color w:val="auto"/>
              </w:rPr>
            </w:pPr>
            <w:r>
              <w:rPr>
                <w:rFonts w:ascii="Times New Roman" w:cs="Times New Roman" w:eastAsia="Times New Roman" w:hAnsi="Times New Roman"/>
                <w:sz w:val="16"/>
                <w:szCs w:val="16"/>
                <w:color w:val="auto"/>
              </w:rPr>
              <w:t>13,954</w:t>
            </w:r>
          </w:p>
        </w:tc>
      </w:tr>
      <w:tr>
        <w:trPr>
          <w:trHeight w:val="237"/>
        </w:trPr>
        <w:tc>
          <w:tcPr>
            <w:tcW w:w="9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 and marketing</w:t>
            </w: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33,036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24,131</w:t>
            </w:r>
          </w:p>
        </w:tc>
      </w:tr>
      <w:tr>
        <w:trPr>
          <w:trHeight w:val="33"/>
        </w:trPr>
        <w:tc>
          <w:tcPr>
            <w:tcW w:w="9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28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Times New Roman" w:cs="Times New Roman" w:eastAsia="Times New Roman" w:hAnsi="Times New Roman"/>
                <w:sz w:val="16"/>
                <w:szCs w:val="16"/>
                <w:color w:val="auto"/>
              </w:rPr>
              <w:t>14,167</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Times New Roman" w:cs="Times New Roman" w:eastAsia="Times New Roman" w:hAnsi="Times New Roman"/>
                <w:sz w:val="16"/>
                <w:szCs w:val="16"/>
                <w:color w:val="auto"/>
              </w:rPr>
              <w:t>10,123</w:t>
            </w:r>
          </w:p>
        </w:tc>
      </w:tr>
      <w:tr>
        <w:trPr>
          <w:trHeight w:val="237"/>
        </w:trPr>
        <w:tc>
          <w:tcPr>
            <w:tcW w:w="9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 development</w:t>
            </w: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18,173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13,252</w:t>
            </w:r>
          </w:p>
        </w:tc>
      </w:tr>
      <w:tr>
        <w:trPr>
          <w:trHeight w:val="33"/>
        </w:trPr>
        <w:tc>
          <w:tcPr>
            <w:tcW w:w="9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28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Restructuring costs</w:t>
            </w: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Times New Roman" w:cs="Times New Roman" w:eastAsia="Times New Roman" w:hAnsi="Times New Roman"/>
                <w:sz w:val="16"/>
                <w:szCs w:val="16"/>
                <w:color w:val="auto"/>
              </w:rPr>
              <w:t>178</w:t>
            </w:r>
          </w:p>
        </w:tc>
      </w:tr>
      <w:tr>
        <w:trPr>
          <w:trHeight w:val="237"/>
        </w:trPr>
        <w:tc>
          <w:tcPr>
            <w:tcW w:w="9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424</w:t>
            </w:r>
          </w:p>
        </w:tc>
      </w:tr>
      <w:tr>
        <w:trPr>
          <w:trHeight w:val="33"/>
        </w:trPr>
        <w:tc>
          <w:tcPr>
            <w:tcW w:w="928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928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Times New Roman" w:cs="Times New Roman" w:eastAsia="Times New Roman" w:hAnsi="Times New Roman"/>
                <w:sz w:val="16"/>
                <w:szCs w:val="16"/>
                <w:color w:val="auto"/>
              </w:rPr>
              <w:t>84,765</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Times New Roman" w:cs="Times New Roman" w:eastAsia="Times New Roman" w:hAnsi="Times New Roman"/>
                <w:sz w:val="16"/>
                <w:szCs w:val="16"/>
                <w:color w:val="auto"/>
              </w:rPr>
              <w:t>62,062</w:t>
            </w:r>
          </w:p>
        </w:tc>
      </w:tr>
      <w:tr>
        <w:trPr>
          <w:trHeight w:val="217"/>
        </w:trPr>
        <w:tc>
          <w:tcPr>
            <w:tcW w:w="9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from operations</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(18,363)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(3,821)</w:t>
            </w:r>
          </w:p>
        </w:tc>
      </w:tr>
      <w:tr>
        <w:trPr>
          <w:trHeight w:val="33"/>
        </w:trPr>
        <w:tc>
          <w:tcPr>
            <w:tcW w:w="9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28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Other income , net</w:t>
            </w: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2"/>
              <w:spacing w:after="0"/>
              <w:rPr>
                <w:sz w:val="20"/>
                <w:szCs w:val="20"/>
                <w:color w:val="auto"/>
              </w:rPr>
            </w:pPr>
            <w:r>
              <w:rPr>
                <w:rFonts w:ascii="Times New Roman" w:cs="Times New Roman" w:eastAsia="Times New Roman" w:hAnsi="Times New Roman"/>
                <w:sz w:val="16"/>
                <w:szCs w:val="16"/>
                <w:color w:val="auto"/>
              </w:rPr>
              <w:t>129</w:t>
            </w:r>
          </w:p>
        </w:tc>
      </w:tr>
      <w:tr>
        <w:trPr>
          <w:trHeight w:val="217"/>
        </w:trPr>
        <w:tc>
          <w:tcPr>
            <w:tcW w:w="9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before provision for (benefit from) income taxes</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(18,297)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(3,692)</w:t>
            </w:r>
          </w:p>
        </w:tc>
      </w:tr>
      <w:tr>
        <w:trPr>
          <w:trHeight w:val="33"/>
        </w:trPr>
        <w:tc>
          <w:tcPr>
            <w:tcW w:w="9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28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84"/>
        </w:trPr>
        <w:tc>
          <w:tcPr>
            <w:tcW w:w="9280" w:type="dxa"/>
            <w:vAlign w:val="bottom"/>
            <w:tcBorders>
              <w:bottom w:val="single" w:sz="8" w:color="CCFFCC"/>
            </w:tcBorders>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(18,890)</w:t>
            </w:r>
          </w:p>
        </w:tc>
        <w:tc>
          <w:tcPr>
            <w:tcW w:w="10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(3,203)</w:t>
            </w:r>
          </w:p>
        </w:tc>
      </w:tr>
      <w:tr>
        <w:trPr>
          <w:trHeight w:val="284"/>
        </w:trPr>
        <w:tc>
          <w:tcPr>
            <w:tcW w:w="928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37"/>
        </w:trPr>
        <w:tc>
          <w:tcPr>
            <w:tcW w:w="9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per share of common stock:</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9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28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Borders>
              <w:bottom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0"/>
        </w:trPr>
        <w:tc>
          <w:tcPr>
            <w:tcW w:w="9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7"/>
        </w:trPr>
        <w:tc>
          <w:tcPr>
            <w:tcW w:w="9280" w:type="dxa"/>
            <w:vAlign w:val="bottom"/>
            <w:tcBorders>
              <w:bottom w:val="single" w:sz="8" w:color="CCFFCC"/>
            </w:tcBorders>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84"/>
        </w:trPr>
        <w:tc>
          <w:tcPr>
            <w:tcW w:w="928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37"/>
        </w:trPr>
        <w:tc>
          <w:tcPr>
            <w:tcW w:w="9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shares used to compute net loss per share: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9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28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3"/>
              <w:spacing w:after="0"/>
              <w:rPr>
                <w:sz w:val="20"/>
                <w:szCs w:val="20"/>
                <w:color w:val="auto"/>
              </w:rPr>
            </w:pPr>
            <w:r>
              <w:rPr>
                <w:rFonts w:ascii="Times New Roman" w:cs="Times New Roman" w:eastAsia="Times New Roman" w:hAnsi="Times New Roman"/>
                <w:sz w:val="16"/>
                <w:szCs w:val="16"/>
                <w:color w:val="auto"/>
              </w:rPr>
              <w:t>61,422,227</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2"/>
              <w:spacing w:after="0"/>
              <w:rPr>
                <w:sz w:val="20"/>
                <w:szCs w:val="20"/>
                <w:color w:val="auto"/>
              </w:rPr>
            </w:pPr>
            <w:r>
              <w:rPr>
                <w:rFonts w:ascii="Times New Roman" w:cs="Times New Roman" w:eastAsia="Times New Roman" w:hAnsi="Times New Roman"/>
                <w:sz w:val="16"/>
                <w:szCs w:val="16"/>
                <w:color w:val="auto"/>
              </w:rPr>
              <w:t>57,309,707</w:t>
            </w:r>
          </w:p>
        </w:tc>
      </w:tr>
      <w:tr>
        <w:trPr>
          <w:trHeight w:val="20"/>
        </w:trPr>
        <w:tc>
          <w:tcPr>
            <w:tcW w:w="9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7"/>
        </w:trPr>
        <w:tc>
          <w:tcPr>
            <w:tcW w:w="9280" w:type="dxa"/>
            <w:vAlign w:val="bottom"/>
            <w:tcBorders>
              <w:bottom w:val="single" w:sz="8" w:color="CCFFCC"/>
            </w:tcBorders>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61,422,227</w:t>
            </w: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57,309,707</w:t>
            </w:r>
          </w:p>
        </w:tc>
      </w:tr>
      <w:tr>
        <w:trPr>
          <w:trHeight w:val="284"/>
        </w:trPr>
        <w:tc>
          <w:tcPr>
            <w:tcW w:w="928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r>
      <w:tr>
        <w:trPr>
          <w:trHeight w:val="297"/>
        </w:trPr>
        <w:tc>
          <w:tcPr>
            <w:tcW w:w="9280" w:type="dxa"/>
            <w:vAlign w:val="bottom"/>
            <w:tcBorders>
              <w:bottom w:val="single" w:sz="8" w:color="auto"/>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r>
      <w:tr>
        <w:trPr>
          <w:trHeight w:val="250"/>
        </w:trPr>
        <w:tc>
          <w:tcPr>
            <w:tcW w:w="9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4"/>
                <w:szCs w:val="14"/>
                <w:color w:val="auto"/>
              </w:rPr>
              <w:t>Amounts include stock-based compensation expense, as follows:</w:t>
            </w: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r>
      <w:tr>
        <w:trPr>
          <w:trHeight w:val="265"/>
        </w:trPr>
        <w:tc>
          <w:tcPr>
            <w:tcW w:w="9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Cost of revenue</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4"/>
                <w:szCs w:val="14"/>
                <w:color w:val="auto"/>
              </w:rPr>
              <w:t>154</w:t>
            </w:r>
          </w:p>
        </w:tc>
      </w:tr>
      <w:tr>
        <w:trPr>
          <w:trHeight w:val="275"/>
        </w:trPr>
        <w:tc>
          <w:tcPr>
            <w:tcW w:w="9280" w:type="dxa"/>
            <w:vAlign w:val="bottom"/>
            <w:shd w:val="clear" w:color="auto" w:fill="CCFFCC"/>
          </w:tcPr>
          <w:p>
            <w:pPr>
              <w:ind w:left="380"/>
              <w:spacing w:after="0"/>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3"/>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2"/>
              <w:spacing w:after="0"/>
              <w:rPr>
                <w:sz w:val="20"/>
                <w:szCs w:val="20"/>
                <w:color w:val="auto"/>
              </w:rPr>
            </w:pPr>
            <w:r>
              <w:rPr>
                <w:rFonts w:ascii="Times New Roman" w:cs="Times New Roman" w:eastAsia="Times New Roman" w:hAnsi="Times New Roman"/>
                <w:sz w:val="14"/>
                <w:szCs w:val="14"/>
                <w:color w:val="auto"/>
              </w:rPr>
              <w:t>886</w:t>
            </w:r>
          </w:p>
        </w:tc>
      </w:tr>
      <w:tr>
        <w:trPr>
          <w:trHeight w:val="265"/>
        </w:trPr>
        <w:tc>
          <w:tcPr>
            <w:tcW w:w="9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4"/>
                <w:szCs w:val="14"/>
                <w:color w:val="auto"/>
              </w:rPr>
              <w:t>2,566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4"/>
                <w:szCs w:val="14"/>
                <w:color w:val="auto"/>
              </w:rPr>
              <w:t>840</w:t>
            </w:r>
          </w:p>
        </w:tc>
      </w:tr>
      <w:tr>
        <w:trPr>
          <w:trHeight w:val="275"/>
        </w:trPr>
        <w:tc>
          <w:tcPr>
            <w:tcW w:w="9280" w:type="dxa"/>
            <w:vAlign w:val="bottom"/>
            <w:shd w:val="clear" w:color="auto" w:fill="CCFFCC"/>
          </w:tcPr>
          <w:p>
            <w:pPr>
              <w:ind w:left="380"/>
              <w:spacing w:after="0"/>
              <w:rPr>
                <w:sz w:val="20"/>
                <w:szCs w:val="20"/>
                <w:color w:val="auto"/>
              </w:rPr>
            </w:pPr>
            <w:r>
              <w:rPr>
                <w:rFonts w:ascii="Times New Roman" w:cs="Times New Roman" w:eastAsia="Times New Roman" w:hAnsi="Times New Roman"/>
                <w:sz w:val="14"/>
                <w:szCs w:val="14"/>
                <w:color w:val="auto"/>
              </w:rPr>
              <w:t>Product development</w:t>
            </w: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3"/>
              <w:spacing w:after="0"/>
              <w:rPr>
                <w:sz w:val="20"/>
                <w:szCs w:val="20"/>
                <w:color w:val="auto"/>
              </w:rPr>
            </w:pPr>
            <w:r>
              <w:rPr>
                <w:rFonts w:ascii="Times New Roman" w:cs="Times New Roman" w:eastAsia="Times New Roman" w:hAnsi="Times New Roman"/>
                <w:sz w:val="14"/>
                <w:szCs w:val="14"/>
                <w:color w:val="auto"/>
              </w:rPr>
              <w:t>2,381</w:t>
            </w: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2"/>
              <w:spacing w:after="0"/>
              <w:rPr>
                <w:sz w:val="20"/>
                <w:szCs w:val="20"/>
                <w:color w:val="auto"/>
              </w:rPr>
            </w:pPr>
            <w:r>
              <w:rPr>
                <w:rFonts w:ascii="Times New Roman" w:cs="Times New Roman" w:eastAsia="Times New Roman" w:hAnsi="Times New Roman"/>
                <w:sz w:val="14"/>
                <w:szCs w:val="14"/>
                <w:color w:val="auto"/>
              </w:rPr>
              <w:t>558</w:t>
            </w:r>
          </w:p>
        </w:tc>
      </w:tr>
      <w:tr>
        <w:trPr>
          <w:trHeight w:val="270"/>
        </w:trPr>
        <w:tc>
          <w:tcPr>
            <w:tcW w:w="9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9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color w:val="auto"/>
              </w:rPr>
              <w:t>Amounts include depreciation expense, as follows:</w:t>
            </w: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r>
      <w:tr>
        <w:trPr>
          <w:trHeight w:val="265"/>
        </w:trPr>
        <w:tc>
          <w:tcPr>
            <w:tcW w:w="9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Cost of revenue</w:t>
            </w:r>
          </w:p>
        </w:tc>
        <w:tc>
          <w:tcPr>
            <w:tcW w:w="1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4"/>
                <w:szCs w:val="14"/>
                <w:color w:val="auto"/>
              </w:rPr>
              <w:t>1,916</w:t>
            </w:r>
          </w:p>
        </w:tc>
      </w:tr>
      <w:tr>
        <w:trPr>
          <w:trHeight w:val="275"/>
        </w:trPr>
        <w:tc>
          <w:tcPr>
            <w:tcW w:w="9280" w:type="dxa"/>
            <w:vAlign w:val="bottom"/>
            <w:shd w:val="clear" w:color="auto" w:fill="CCFFCC"/>
          </w:tcPr>
          <w:p>
            <w:pPr>
              <w:ind w:left="380"/>
              <w:spacing w:after="0"/>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3"/>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2"/>
              <w:spacing w:after="0"/>
              <w:rPr>
                <w:sz w:val="20"/>
                <w:szCs w:val="20"/>
                <w:color w:val="auto"/>
              </w:rPr>
            </w:pPr>
            <w:r>
              <w:rPr>
                <w:rFonts w:ascii="Times New Roman" w:cs="Times New Roman" w:eastAsia="Times New Roman" w:hAnsi="Times New Roman"/>
                <w:sz w:val="14"/>
                <w:szCs w:val="14"/>
                <w:color w:val="auto"/>
              </w:rPr>
              <w:t>356</w:t>
            </w:r>
          </w:p>
        </w:tc>
      </w:tr>
      <w:tr>
        <w:trPr>
          <w:trHeight w:val="265"/>
        </w:trPr>
        <w:tc>
          <w:tcPr>
            <w:tcW w:w="92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4"/>
                <w:szCs w:val="14"/>
                <w:color w:val="auto"/>
              </w:rPr>
              <w:t>246</w:t>
            </w:r>
          </w:p>
        </w:tc>
      </w:tr>
      <w:tr>
        <w:trPr>
          <w:trHeight w:val="275"/>
        </w:trPr>
        <w:tc>
          <w:tcPr>
            <w:tcW w:w="9280" w:type="dxa"/>
            <w:vAlign w:val="bottom"/>
            <w:shd w:val="clear" w:color="auto" w:fill="CCFFCC"/>
          </w:tcPr>
          <w:p>
            <w:pPr>
              <w:ind w:left="380"/>
              <w:spacing w:after="0"/>
              <w:rPr>
                <w:sz w:val="20"/>
                <w:szCs w:val="20"/>
                <w:color w:val="auto"/>
              </w:rPr>
            </w:pPr>
            <w:r>
              <w:rPr>
                <w:rFonts w:ascii="Times New Roman" w:cs="Times New Roman" w:eastAsia="Times New Roman" w:hAnsi="Times New Roman"/>
                <w:sz w:val="14"/>
                <w:szCs w:val="14"/>
                <w:color w:val="auto"/>
              </w:rPr>
              <w:t>Product development</w:t>
            </w: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3"/>
              <w:spacing w:after="0"/>
              <w:rPr>
                <w:sz w:val="20"/>
                <w:szCs w:val="20"/>
                <w:color w:val="auto"/>
              </w:rPr>
            </w:pPr>
            <w:r>
              <w:rPr>
                <w:rFonts w:ascii="Times New Roman" w:cs="Times New Roman" w:eastAsia="Times New Roman" w:hAnsi="Times New Roman"/>
                <w:sz w:val="14"/>
                <w:szCs w:val="14"/>
                <w:color w:val="auto"/>
              </w:rPr>
              <w:t>1,266</w:t>
            </w: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2"/>
              <w:spacing w:after="0"/>
              <w:rPr>
                <w:sz w:val="20"/>
                <w:szCs w:val="20"/>
                <w:color w:val="auto"/>
              </w:rPr>
            </w:pPr>
            <w:r>
              <w:rPr>
                <w:rFonts w:ascii="Times New Roman" w:cs="Times New Roman" w:eastAsia="Times New Roman" w:hAnsi="Times New Roman"/>
                <w:sz w:val="14"/>
                <w:szCs w:val="14"/>
                <w:color w:val="auto"/>
              </w:rPr>
              <w:t>840</w:t>
            </w:r>
          </w:p>
        </w:tc>
      </w:tr>
      <w:tr>
        <w:trPr>
          <w:trHeight w:val="265"/>
        </w:trPr>
        <w:tc>
          <w:tcPr>
            <w:tcW w:w="92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 xml:space="preserve">(3) </w:t>
            </w:r>
            <w:r>
              <w:rPr>
                <w:rFonts w:ascii="Times New Roman" w:cs="Times New Roman" w:eastAsia="Times New Roman" w:hAnsi="Times New Roman"/>
                <w:sz w:val="14"/>
                <w:szCs w:val="14"/>
                <w:color w:val="auto"/>
              </w:rPr>
              <w:t>Amounts include amortization of purchased intangibles, as follows:</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9280" w:type="dxa"/>
            <w:vAlign w:val="bottom"/>
            <w:shd w:val="clear" w:color="auto" w:fill="CCFFCC"/>
          </w:tcPr>
          <w:p>
            <w:pPr>
              <w:ind w:left="380"/>
              <w:spacing w:after="0"/>
              <w:rPr>
                <w:sz w:val="20"/>
                <w:szCs w:val="20"/>
                <w:color w:val="auto"/>
              </w:rPr>
            </w:pPr>
            <w:r>
              <w:rPr>
                <w:rFonts w:ascii="Times New Roman" w:cs="Times New Roman" w:eastAsia="Times New Roman" w:hAnsi="Times New Roman"/>
                <w:sz w:val="14"/>
                <w:szCs w:val="14"/>
                <w:color w:val="auto"/>
              </w:rPr>
              <w:t>Cost of revenue</w:t>
            </w: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23"/>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FFCC"/>
          </w:tcPr>
          <w:p>
            <w:pPr>
              <w:jc w:val="right"/>
              <w:ind w:right="22"/>
              <w:spacing w:after="0"/>
              <w:rPr>
                <w:sz w:val="20"/>
                <w:szCs w:val="20"/>
                <w:color w:val="auto"/>
              </w:rPr>
            </w:pPr>
            <w:r>
              <w:rPr>
                <w:rFonts w:ascii="Times New Roman" w:cs="Times New Roman" w:eastAsia="Times New Roman" w:hAnsi="Times New Roman"/>
                <w:sz w:val="14"/>
                <w:szCs w:val="14"/>
                <w:color w:val="auto"/>
              </w:rPr>
              <w:t>287</w:t>
            </w: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ectPr>
          <w:pgSz w:w="11900" w:h="16838" w:orient="portrait"/>
          <w:cols w:equalWidth="0" w:num="1">
            <w:col w:w="11420"/>
          </w:cols>
          <w:pgMar w:left="240" w:top="76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765" w:right="239" w:bottom="1440" w:gutter="0" w:footer="0" w:header="0"/>
          <w:type w:val="continuous"/>
        </w:sectPr>
      </w:pPr>
    </w:p>
    <w:bookmarkStart w:id="5" w:name="page6"/>
    <w:bookmarkEnd w:id="5"/>
    <w:p>
      <w:pPr>
        <w:ind w:left="490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75"/>
        </w:trPr>
        <w:tc>
          <w:tcPr>
            <w:tcW w:w="93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23"/>
                <w:szCs w:val="23"/>
                <w:color w:val="auto"/>
              </w:rPr>
            </w:pPr>
          </w:p>
        </w:tc>
      </w:tr>
      <w:tr>
        <w:trPr>
          <w:trHeight w:val="264"/>
        </w:trPr>
        <w:tc>
          <w:tcPr>
            <w:tcW w:w="936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936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(18,890)</w:t>
            </w: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(3,203)</w:t>
            </w:r>
          </w:p>
        </w:tc>
      </w:tr>
      <w:tr>
        <w:trPr>
          <w:trHeight w:val="237"/>
        </w:trPr>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r>
      <w:tr>
        <w:trPr>
          <w:trHeight w:val="33"/>
        </w:trPr>
        <w:tc>
          <w:tcPr>
            <w:tcW w:w="936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Comprehensive loss</w:t>
            </w:r>
          </w:p>
        </w:tc>
        <w:tc>
          <w:tcPr>
            <w:tcW w:w="260" w:type="dxa"/>
            <w:vAlign w:val="bottom"/>
            <w:tcBorders>
              <w:bottom w:val="single" w:sz="8" w:color="auto"/>
            </w:tcBorders>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(18,683)</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(3,762)</w:t>
            </w:r>
          </w:p>
        </w:tc>
      </w:tr>
      <w:tr>
        <w:trPr>
          <w:trHeight w:val="20"/>
        </w:trPr>
        <w:tc>
          <w:tcPr>
            <w:tcW w:w="9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765" w:right="239" w:bottom="1440" w:gutter="0" w:footer="0" w:header="0"/>
        </w:sectPr>
      </w:pPr>
    </w:p>
    <w:bookmarkStart w:id="6" w:name="page7"/>
    <w:bookmarkEnd w:id="6"/>
    <w:p>
      <w:pPr>
        <w:ind w:left="490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88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880" w:type="dxa"/>
            <w:vAlign w:val="bottom"/>
            <w:gridSpan w:val="5"/>
            <w:vMerge w:val="continue"/>
          </w:tcPr>
          <w:p>
            <w:pPr>
              <w:spacing w:after="0"/>
              <w:rPr>
                <w:sz w:val="13"/>
                <w:szCs w:val="13"/>
                <w:color w:val="auto"/>
              </w:rPr>
            </w:pPr>
          </w:p>
        </w:tc>
        <w:tc>
          <w:tcPr>
            <w:tcW w:w="1840" w:type="dxa"/>
            <w:vAlign w:val="bottom"/>
            <w:gridSpan w:val="5"/>
            <w:vMerge w:val="continue"/>
          </w:tcPr>
          <w:p>
            <w:pPr>
              <w:spacing w:after="0"/>
              <w:rPr>
                <w:sz w:val="13"/>
                <w:szCs w:val="13"/>
                <w:color w:val="auto"/>
              </w:rPr>
            </w:pPr>
          </w:p>
        </w:tc>
        <w:tc>
          <w:tcPr>
            <w:tcW w:w="900" w:type="dxa"/>
            <w:vAlign w:val="bottom"/>
            <w:gridSpan w:val="3"/>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2"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0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90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2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40" w:type="dxa"/>
            <w:vAlign w:val="bottom"/>
          </w:tcPr>
          <w:p>
            <w:pPr>
              <w:spacing w:after="0"/>
              <w:rPr>
                <w:sz w:val="16"/>
                <w:szCs w:val="16"/>
                <w:color w:val="auto"/>
              </w:rPr>
            </w:pPr>
          </w:p>
        </w:tc>
        <w:tc>
          <w:tcPr>
            <w:tcW w:w="6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2"/>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8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63,676,229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21"/>
                <w:szCs w:val="21"/>
                <w:color w:val="auto"/>
              </w:rPr>
            </w:pPr>
          </w:p>
        </w:tc>
        <w:tc>
          <w:tcPr>
            <w:tcW w:w="8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(2,681,285)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362,590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(187,491)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170,729</w:t>
            </w:r>
          </w:p>
        </w:tc>
        <w:tc>
          <w:tcPr>
            <w:tcW w:w="0" w:type="dxa"/>
            <w:vAlign w:val="bottom"/>
          </w:tcPr>
          <w:p>
            <w:pPr>
              <w:spacing w:after="0"/>
              <w:rPr>
                <w:sz w:val="1"/>
                <w:szCs w:val="1"/>
                <w:color w:val="auto"/>
              </w:rPr>
            </w:pPr>
          </w:p>
        </w:tc>
      </w:tr>
      <w:tr>
        <w:trPr>
          <w:trHeight w:val="275"/>
        </w:trPr>
        <w:tc>
          <w:tcPr>
            <w:tcW w:w="400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4"/>
                <w:szCs w:val="14"/>
                <w:color w:val="auto"/>
              </w:rPr>
              <w:t>Common stock issued upon exercise of stock options</w:t>
            </w:r>
          </w:p>
        </w:tc>
        <w:tc>
          <w:tcPr>
            <w:tcW w:w="820" w:type="dxa"/>
            <w:vAlign w:val="bottom"/>
            <w:shd w:val="clear" w:color="auto" w:fill="CCFFCC"/>
          </w:tcPr>
          <w:p>
            <w:pPr>
              <w:jc w:val="right"/>
              <w:ind w:right="49"/>
              <w:spacing w:after="0"/>
              <w:rPr>
                <w:sz w:val="20"/>
                <w:szCs w:val="20"/>
                <w:color w:val="auto"/>
              </w:rPr>
            </w:pPr>
            <w:r>
              <w:rPr>
                <w:rFonts w:ascii="Times New Roman" w:cs="Times New Roman" w:eastAsia="Times New Roman" w:hAnsi="Times New Roman"/>
                <w:sz w:val="14"/>
                <w:szCs w:val="14"/>
                <w:color w:val="auto"/>
              </w:rPr>
              <w:t>626,478</w:t>
            </w: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680" w:type="dxa"/>
            <w:vAlign w:val="bottom"/>
            <w:shd w:val="clear" w:color="auto" w:fill="CCFFC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FFCC"/>
          </w:tcPr>
          <w:p>
            <w:pPr>
              <w:spacing w:after="0"/>
              <w:rPr>
                <w:sz w:val="23"/>
                <w:szCs w:val="23"/>
                <w:color w:val="auto"/>
              </w:rPr>
            </w:pPr>
          </w:p>
        </w:tc>
        <w:tc>
          <w:tcPr>
            <w:tcW w:w="9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ind w:right="29"/>
              <w:spacing w:after="0"/>
              <w:rPr>
                <w:sz w:val="20"/>
                <w:szCs w:val="20"/>
                <w:color w:val="auto"/>
              </w:rPr>
            </w:pPr>
            <w:r>
              <w:rPr>
                <w:rFonts w:ascii="Times New Roman" w:cs="Times New Roman" w:eastAsia="Times New Roman" w:hAnsi="Times New Roman"/>
                <w:sz w:val="14"/>
                <w:szCs w:val="14"/>
                <w:color w:val="auto"/>
              </w:rPr>
              <w:t>6,476</w:t>
            </w:r>
          </w:p>
        </w:tc>
        <w:tc>
          <w:tcPr>
            <w:tcW w:w="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FCC"/>
          </w:tcPr>
          <w:p>
            <w:pPr>
              <w:spacing w:after="0"/>
              <w:rPr>
                <w:sz w:val="23"/>
                <w:szCs w:val="23"/>
                <w:color w:val="auto"/>
              </w:rPr>
            </w:pPr>
          </w:p>
        </w:tc>
        <w:tc>
          <w:tcPr>
            <w:tcW w:w="10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6,477</w:t>
            </w:r>
          </w:p>
        </w:tc>
        <w:tc>
          <w:tcPr>
            <w:tcW w:w="0" w:type="dxa"/>
            <w:vAlign w:val="bottom"/>
          </w:tcPr>
          <w:p>
            <w:pPr>
              <w:spacing w:after="0"/>
              <w:rPr>
                <w:sz w:val="1"/>
                <w:szCs w:val="1"/>
                <w:color w:val="auto"/>
              </w:rPr>
            </w:pPr>
          </w:p>
        </w:tc>
      </w:tr>
      <w:tr>
        <w:trPr>
          <w:trHeight w:val="265"/>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Common stock issued upon vesting of restricted stock units</w:t>
            </w: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414,742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00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80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ind w:right="29"/>
              <w:spacing w:after="0"/>
              <w:rPr>
                <w:sz w:val="20"/>
                <w:szCs w:val="20"/>
                <w:color w:val="auto"/>
              </w:rPr>
            </w:pPr>
            <w:r>
              <w:rPr>
                <w:rFonts w:ascii="Times New Roman" w:cs="Times New Roman" w:eastAsia="Times New Roman" w:hAnsi="Times New Roman"/>
                <w:sz w:val="14"/>
                <w:szCs w:val="14"/>
                <w:color w:val="auto"/>
              </w:rPr>
              <w:t>5,188</w:t>
            </w:r>
          </w:p>
        </w:tc>
        <w:tc>
          <w:tcPr>
            <w:tcW w:w="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FCC"/>
          </w:tcPr>
          <w:p>
            <w:pPr>
              <w:spacing w:after="0"/>
              <w:rPr>
                <w:sz w:val="23"/>
                <w:szCs w:val="23"/>
                <w:color w:val="auto"/>
              </w:rPr>
            </w:pPr>
          </w:p>
        </w:tc>
        <w:tc>
          <w:tcPr>
            <w:tcW w:w="10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5,188</w:t>
            </w:r>
          </w:p>
        </w:tc>
        <w:tc>
          <w:tcPr>
            <w:tcW w:w="0" w:type="dxa"/>
            <w:vAlign w:val="bottom"/>
          </w:tcPr>
          <w:p>
            <w:pPr>
              <w:spacing w:after="0"/>
              <w:rPr>
                <w:sz w:val="1"/>
                <w:szCs w:val="1"/>
                <w:color w:val="auto"/>
              </w:rPr>
            </w:pPr>
          </w:p>
        </w:tc>
      </w:tr>
      <w:tr>
        <w:trPr>
          <w:trHeight w:val="265"/>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Common stock issued under Employee Stock Purchase Plan</w:t>
            </w: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30,349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275"/>
        </w:trPr>
        <w:tc>
          <w:tcPr>
            <w:tcW w:w="400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4"/>
                <w:szCs w:val="14"/>
                <w:color w:val="auto"/>
              </w:rPr>
              <w:t>Common stock repurchase</w:t>
            </w:r>
          </w:p>
        </w:tc>
        <w:tc>
          <w:tcPr>
            <w:tcW w:w="9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80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FFCC"/>
          </w:tcPr>
          <w:p>
            <w:pPr>
              <w:jc w:val="right"/>
              <w:ind w:right="9"/>
              <w:spacing w:after="0"/>
              <w:rPr>
                <w:sz w:val="20"/>
                <w:szCs w:val="20"/>
                <w:color w:val="auto"/>
              </w:rPr>
            </w:pPr>
            <w:r>
              <w:rPr>
                <w:rFonts w:ascii="Times New Roman" w:cs="Times New Roman" w:eastAsia="Times New Roman" w:hAnsi="Times New Roman"/>
                <w:sz w:val="14"/>
                <w:szCs w:val="14"/>
                <w:color w:val="auto"/>
              </w:rPr>
              <w:t>(23,421)</w:t>
            </w:r>
          </w:p>
        </w:tc>
        <w:tc>
          <w:tcPr>
            <w:tcW w:w="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FCC"/>
          </w:tcPr>
          <w:p>
            <w:pPr>
              <w:spacing w:after="0"/>
              <w:rPr>
                <w:sz w:val="23"/>
                <w:szCs w:val="23"/>
                <w:color w:val="auto"/>
              </w:rPr>
            </w:pPr>
          </w:p>
        </w:tc>
        <w:tc>
          <w:tcPr>
            <w:tcW w:w="10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265"/>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Equity component of convertible senior notes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52,900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52,900</w:t>
            </w:r>
          </w:p>
        </w:tc>
        <w:tc>
          <w:tcPr>
            <w:tcW w:w="0" w:type="dxa"/>
            <w:vAlign w:val="bottom"/>
          </w:tcPr>
          <w:p>
            <w:pPr>
              <w:spacing w:after="0"/>
              <w:rPr>
                <w:sz w:val="1"/>
                <w:szCs w:val="1"/>
                <w:color w:val="auto"/>
              </w:rPr>
            </w:pPr>
          </w:p>
        </w:tc>
      </w:tr>
      <w:tr>
        <w:trPr>
          <w:trHeight w:val="275"/>
        </w:trPr>
        <w:tc>
          <w:tcPr>
            <w:tcW w:w="400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4"/>
                <w:szCs w:val="14"/>
                <w:color w:val="auto"/>
              </w:rPr>
              <w:t>Equity component of convertible senior notes issuance costs</w:t>
            </w:r>
          </w:p>
        </w:tc>
        <w:tc>
          <w:tcPr>
            <w:tcW w:w="9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80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FCC"/>
          </w:tcPr>
          <w:p>
            <w:pPr>
              <w:spacing w:after="0"/>
              <w:rPr>
                <w:sz w:val="23"/>
                <w:szCs w:val="23"/>
                <w:color w:val="auto"/>
              </w:rPr>
            </w:pPr>
          </w:p>
        </w:tc>
        <w:tc>
          <w:tcPr>
            <w:tcW w:w="10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0" w:type="dxa"/>
            <w:vAlign w:val="bottom"/>
          </w:tcPr>
          <w:p>
            <w:pPr>
              <w:spacing w:after="0"/>
              <w:rPr>
                <w:sz w:val="1"/>
                <w:szCs w:val="1"/>
                <w:color w:val="auto"/>
              </w:rPr>
            </w:pPr>
          </w:p>
        </w:tc>
      </w:tr>
      <w:tr>
        <w:trPr>
          <w:trHeight w:val="265"/>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 of capped call option</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(23,184)</w:t>
            </w:r>
          </w:p>
        </w:tc>
        <w:tc>
          <w:tcPr>
            <w:tcW w:w="0" w:type="dxa"/>
            <w:vAlign w:val="bottom"/>
          </w:tcPr>
          <w:p>
            <w:pPr>
              <w:spacing w:after="0"/>
              <w:rPr>
                <w:sz w:val="1"/>
                <w:szCs w:val="1"/>
                <w:color w:val="auto"/>
              </w:rPr>
            </w:pPr>
          </w:p>
        </w:tc>
      </w:tr>
      <w:tr>
        <w:trPr>
          <w:trHeight w:val="275"/>
        </w:trPr>
        <w:tc>
          <w:tcPr>
            <w:tcW w:w="400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80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7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FFCC"/>
          </w:tcPr>
          <w:p>
            <w:pPr>
              <w:spacing w:after="0"/>
              <w:rPr>
                <w:sz w:val="23"/>
                <w:szCs w:val="23"/>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(18,890)</w:t>
            </w: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(18,890)</w:t>
            </w:r>
          </w:p>
        </w:tc>
        <w:tc>
          <w:tcPr>
            <w:tcW w:w="0" w:type="dxa"/>
            <w:vAlign w:val="bottom"/>
          </w:tcPr>
          <w:p>
            <w:pPr>
              <w:spacing w:after="0"/>
              <w:rPr>
                <w:sz w:val="1"/>
                <w:szCs w:val="1"/>
                <w:color w:val="auto"/>
              </w:rPr>
            </w:pPr>
          </w:p>
        </w:tc>
      </w:tr>
      <w:tr>
        <w:trPr>
          <w:trHeight w:val="265"/>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42"/>
        </w:trPr>
        <w:tc>
          <w:tcPr>
            <w:tcW w:w="400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4"/>
                <w:szCs w:val="14"/>
                <w:color w:val="auto"/>
              </w:rPr>
              <w:t>Balance at March 31, 2019</w:t>
            </w:r>
          </w:p>
        </w:tc>
        <w:tc>
          <w:tcPr>
            <w:tcW w:w="820" w:type="dxa"/>
            <w:vAlign w:val="bottom"/>
            <w:tcBorders>
              <w:top w:val="single" w:sz="8" w:color="auto"/>
              <w:bottom w:val="single" w:sz="8" w:color="auto"/>
            </w:tcBorders>
            <w:shd w:val="clear" w:color="auto" w:fill="CCFFCC"/>
          </w:tcPr>
          <w:p>
            <w:pPr>
              <w:jc w:val="right"/>
              <w:ind w:right="49"/>
              <w:spacing w:after="0"/>
              <w:rPr>
                <w:sz w:val="20"/>
                <w:szCs w:val="20"/>
                <w:color w:val="auto"/>
              </w:rPr>
            </w:pPr>
            <w:r>
              <w:rPr>
                <w:rFonts w:ascii="Times New Roman" w:cs="Times New Roman" w:eastAsia="Times New Roman" w:hAnsi="Times New Roman"/>
                <w:sz w:val="14"/>
                <w:szCs w:val="14"/>
                <w:color w:val="auto"/>
              </w:rPr>
              <w:t>64,747,798</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FFCC"/>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8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Times New Roman" w:cs="Times New Roman" w:eastAsia="Times New Roman" w:hAnsi="Times New Roman"/>
                <w:sz w:val="14"/>
                <w:szCs w:val="14"/>
                <w:color w:val="auto"/>
              </w:rPr>
              <w:t>(2,704,706)</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FFCC"/>
          </w:tcPr>
          <w:p>
            <w:pPr>
              <w:jc w:val="right"/>
              <w:ind w:right="29"/>
              <w:spacing w:after="0"/>
              <w:rPr>
                <w:sz w:val="20"/>
                <w:szCs w:val="20"/>
                <w:color w:val="auto"/>
              </w:rPr>
            </w:pPr>
            <w:r>
              <w:rPr>
                <w:rFonts w:ascii="Times New Roman" w:cs="Times New Roman" w:eastAsia="Times New Roman" w:hAnsi="Times New Roman"/>
                <w:sz w:val="14"/>
                <w:szCs w:val="14"/>
                <w:color w:val="auto"/>
              </w:rPr>
              <w:t>401,996</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(206,381)</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191,039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0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000" w:type="dxa"/>
            <w:vAlign w:val="bottom"/>
          </w:tcPr>
          <w:p>
            <w:pPr>
              <w:spacing w:after="0"/>
              <w:rPr>
                <w:sz w:val="13"/>
                <w:szCs w:val="13"/>
                <w:color w:val="auto"/>
              </w:rPr>
            </w:pPr>
          </w:p>
        </w:tc>
        <w:tc>
          <w:tcPr>
            <w:tcW w:w="188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880" w:type="dxa"/>
            <w:vAlign w:val="bottom"/>
            <w:gridSpan w:val="5"/>
            <w:vMerge w:val="continue"/>
          </w:tcPr>
          <w:p>
            <w:pPr>
              <w:spacing w:after="0"/>
              <w:rPr>
                <w:sz w:val="13"/>
                <w:szCs w:val="13"/>
                <w:color w:val="auto"/>
              </w:rPr>
            </w:pPr>
          </w:p>
        </w:tc>
        <w:tc>
          <w:tcPr>
            <w:tcW w:w="1840" w:type="dxa"/>
            <w:vAlign w:val="bottom"/>
            <w:gridSpan w:val="5"/>
            <w:vMerge w:val="continue"/>
          </w:tcPr>
          <w:p>
            <w:pPr>
              <w:spacing w:after="0"/>
              <w:rPr>
                <w:sz w:val="13"/>
                <w:szCs w:val="13"/>
                <w:color w:val="auto"/>
              </w:rPr>
            </w:pPr>
          </w:p>
        </w:tc>
        <w:tc>
          <w:tcPr>
            <w:tcW w:w="900" w:type="dxa"/>
            <w:vAlign w:val="bottom"/>
            <w:gridSpan w:val="3"/>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2"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0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90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2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40" w:type="dxa"/>
            <w:vAlign w:val="bottom"/>
          </w:tcPr>
          <w:p>
            <w:pPr>
              <w:spacing w:after="0"/>
              <w:rPr>
                <w:sz w:val="16"/>
                <w:szCs w:val="16"/>
                <w:color w:val="auto"/>
              </w:rPr>
            </w:pPr>
          </w:p>
        </w:tc>
        <w:tc>
          <w:tcPr>
            <w:tcW w:w="6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2"/>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at December 31, 2017</w:t>
            </w:r>
          </w:p>
        </w:tc>
        <w:tc>
          <w:tcPr>
            <w:tcW w:w="8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59,663,969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21"/>
                <w:szCs w:val="21"/>
                <w:color w:val="auto"/>
              </w:rPr>
            </w:pPr>
          </w:p>
        </w:tc>
        <w:tc>
          <w:tcPr>
            <w:tcW w:w="8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(2,587,535)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305,676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(163,135)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140,063</w:t>
            </w:r>
          </w:p>
        </w:tc>
        <w:tc>
          <w:tcPr>
            <w:tcW w:w="0" w:type="dxa"/>
            <w:vAlign w:val="bottom"/>
          </w:tcPr>
          <w:p>
            <w:pPr>
              <w:spacing w:after="0"/>
              <w:rPr>
                <w:sz w:val="1"/>
                <w:szCs w:val="1"/>
                <w:color w:val="auto"/>
              </w:rPr>
            </w:pPr>
          </w:p>
        </w:tc>
      </w:tr>
      <w:tr>
        <w:trPr>
          <w:trHeight w:val="275"/>
        </w:trPr>
        <w:tc>
          <w:tcPr>
            <w:tcW w:w="400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4"/>
                <w:szCs w:val="14"/>
                <w:color w:val="auto"/>
              </w:rPr>
              <w:t>Common stock issued upon exercise of stock options</w:t>
            </w:r>
          </w:p>
        </w:tc>
        <w:tc>
          <w:tcPr>
            <w:tcW w:w="820" w:type="dxa"/>
            <w:vAlign w:val="bottom"/>
            <w:shd w:val="clear" w:color="auto" w:fill="CCFFCC"/>
          </w:tcPr>
          <w:p>
            <w:pPr>
              <w:jc w:val="right"/>
              <w:ind w:right="49"/>
              <w:spacing w:after="0"/>
              <w:rPr>
                <w:sz w:val="20"/>
                <w:szCs w:val="20"/>
                <w:color w:val="auto"/>
              </w:rPr>
            </w:pPr>
            <w:r>
              <w:rPr>
                <w:rFonts w:ascii="Times New Roman" w:cs="Times New Roman" w:eastAsia="Times New Roman" w:hAnsi="Times New Roman"/>
                <w:sz w:val="14"/>
                <w:szCs w:val="14"/>
                <w:color w:val="auto"/>
              </w:rPr>
              <w:t>644,830</w:t>
            </w: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0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ind w:right="29"/>
              <w:spacing w:after="0"/>
              <w:rPr>
                <w:sz w:val="20"/>
                <w:szCs w:val="20"/>
                <w:color w:val="auto"/>
              </w:rPr>
            </w:pPr>
            <w:r>
              <w:rPr>
                <w:rFonts w:ascii="Times New Roman" w:cs="Times New Roman" w:eastAsia="Times New Roman" w:hAnsi="Times New Roman"/>
                <w:sz w:val="14"/>
                <w:szCs w:val="14"/>
                <w:color w:val="auto"/>
              </w:rPr>
              <w:t>5,440</w:t>
            </w:r>
          </w:p>
        </w:tc>
        <w:tc>
          <w:tcPr>
            <w:tcW w:w="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FCC"/>
          </w:tcPr>
          <w:p>
            <w:pPr>
              <w:spacing w:after="0"/>
              <w:rPr>
                <w:sz w:val="23"/>
                <w:szCs w:val="23"/>
                <w:color w:val="auto"/>
              </w:rPr>
            </w:pPr>
          </w:p>
        </w:tc>
        <w:tc>
          <w:tcPr>
            <w:tcW w:w="10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5,440</w:t>
            </w:r>
          </w:p>
        </w:tc>
        <w:tc>
          <w:tcPr>
            <w:tcW w:w="0" w:type="dxa"/>
            <w:vAlign w:val="bottom"/>
          </w:tcPr>
          <w:p>
            <w:pPr>
              <w:spacing w:after="0"/>
              <w:rPr>
                <w:sz w:val="1"/>
                <w:szCs w:val="1"/>
                <w:color w:val="auto"/>
              </w:rPr>
            </w:pPr>
          </w:p>
        </w:tc>
      </w:tr>
      <w:tr>
        <w:trPr>
          <w:trHeight w:val="265"/>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Common stock issued upon vesting of restricted stock units</w:t>
            </w: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103,339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00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80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ind w:right="29"/>
              <w:spacing w:after="0"/>
              <w:rPr>
                <w:sz w:val="20"/>
                <w:szCs w:val="20"/>
                <w:color w:val="auto"/>
              </w:rPr>
            </w:pPr>
            <w:r>
              <w:rPr>
                <w:rFonts w:ascii="Times New Roman" w:cs="Times New Roman" w:eastAsia="Times New Roman" w:hAnsi="Times New Roman"/>
                <w:sz w:val="14"/>
                <w:szCs w:val="14"/>
                <w:color w:val="auto"/>
              </w:rPr>
              <w:t>2,437</w:t>
            </w:r>
          </w:p>
        </w:tc>
        <w:tc>
          <w:tcPr>
            <w:tcW w:w="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FCC"/>
          </w:tcPr>
          <w:p>
            <w:pPr>
              <w:spacing w:after="0"/>
              <w:rPr>
                <w:sz w:val="23"/>
                <w:szCs w:val="23"/>
                <w:color w:val="auto"/>
              </w:rPr>
            </w:pPr>
          </w:p>
        </w:tc>
        <w:tc>
          <w:tcPr>
            <w:tcW w:w="10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2,437</w:t>
            </w:r>
          </w:p>
        </w:tc>
        <w:tc>
          <w:tcPr>
            <w:tcW w:w="0" w:type="dxa"/>
            <w:vAlign w:val="bottom"/>
          </w:tcPr>
          <w:p>
            <w:pPr>
              <w:spacing w:after="0"/>
              <w:rPr>
                <w:sz w:val="1"/>
                <w:szCs w:val="1"/>
                <w:color w:val="auto"/>
              </w:rPr>
            </w:pPr>
          </w:p>
        </w:tc>
      </w:tr>
      <w:tr>
        <w:trPr>
          <w:trHeight w:val="265"/>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Common stock issued under Employee Stock Purchase Plan</w:t>
            </w: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39,888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275"/>
        </w:trPr>
        <w:tc>
          <w:tcPr>
            <w:tcW w:w="400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4"/>
                <w:szCs w:val="14"/>
                <w:color w:val="auto"/>
              </w:rPr>
              <w:t>Common stock repurchase</w:t>
            </w:r>
          </w:p>
        </w:tc>
        <w:tc>
          <w:tcPr>
            <w:tcW w:w="9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80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FFCC"/>
          </w:tcPr>
          <w:p>
            <w:pPr>
              <w:jc w:val="right"/>
              <w:ind w:right="9"/>
              <w:spacing w:after="0"/>
              <w:rPr>
                <w:sz w:val="20"/>
                <w:szCs w:val="20"/>
                <w:color w:val="auto"/>
              </w:rPr>
            </w:pPr>
            <w:r>
              <w:rPr>
                <w:rFonts w:ascii="Times New Roman" w:cs="Times New Roman" w:eastAsia="Times New Roman" w:hAnsi="Times New Roman"/>
                <w:sz w:val="14"/>
                <w:szCs w:val="14"/>
                <w:color w:val="auto"/>
              </w:rPr>
              <w:t>(93,750)</w:t>
            </w:r>
          </w:p>
        </w:tc>
        <w:tc>
          <w:tcPr>
            <w:tcW w:w="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FCC"/>
          </w:tcPr>
          <w:p>
            <w:pPr>
              <w:spacing w:after="0"/>
              <w:rPr>
                <w:sz w:val="23"/>
                <w:szCs w:val="23"/>
                <w:color w:val="auto"/>
              </w:rPr>
            </w:pPr>
          </w:p>
        </w:tc>
        <w:tc>
          <w:tcPr>
            <w:tcW w:w="10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0" w:type="dxa"/>
            <w:vAlign w:val="bottom"/>
          </w:tcPr>
          <w:p>
            <w:pPr>
              <w:spacing w:after="0"/>
              <w:rPr>
                <w:sz w:val="1"/>
                <w:szCs w:val="1"/>
                <w:color w:val="auto"/>
              </w:rPr>
            </w:pPr>
          </w:p>
        </w:tc>
      </w:tr>
      <w:tr>
        <w:trPr>
          <w:trHeight w:val="265"/>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ASC 606 prior period adjustment (see note 1)</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58"/>
        </w:trPr>
        <w:tc>
          <w:tcPr>
            <w:tcW w:w="4000" w:type="dxa"/>
            <w:vAlign w:val="bottom"/>
            <w:shd w:val="clear" w:color="auto" w:fill="CCFFCC"/>
          </w:tcPr>
          <w:p>
            <w:pPr>
              <w:ind w:left="280"/>
              <w:spacing w:after="0" w:line="158" w:lineRule="exact"/>
              <w:rPr>
                <w:sz w:val="20"/>
                <w:szCs w:val="20"/>
                <w:color w:val="auto"/>
              </w:rPr>
            </w:pPr>
            <w:r>
              <w:rPr>
                <w:rFonts w:ascii="Times New Roman" w:cs="Times New Roman" w:eastAsia="Times New Roman" w:hAnsi="Times New Roman"/>
                <w:sz w:val="14"/>
                <w:szCs w:val="14"/>
                <w:color w:val="auto"/>
              </w:rPr>
              <w:t>Issuance of common stock in connection with acquisitions (see</w:t>
            </w:r>
          </w:p>
        </w:tc>
        <w:tc>
          <w:tcPr>
            <w:tcW w:w="820" w:type="dxa"/>
            <w:vAlign w:val="bottom"/>
            <w:vMerge w:val="restart"/>
            <w:shd w:val="clear" w:color="auto" w:fill="CCFFCC"/>
          </w:tcPr>
          <w:p>
            <w:pPr>
              <w:jc w:val="right"/>
              <w:ind w:right="49"/>
              <w:spacing w:after="0"/>
              <w:rPr>
                <w:sz w:val="20"/>
                <w:szCs w:val="20"/>
                <w:color w:val="auto"/>
              </w:rPr>
            </w:pPr>
            <w:r>
              <w:rPr>
                <w:rFonts w:ascii="Times New Roman" w:cs="Times New Roman" w:eastAsia="Times New Roman" w:hAnsi="Times New Roman"/>
                <w:sz w:val="14"/>
                <w:szCs w:val="14"/>
                <w:color w:val="auto"/>
              </w:rPr>
              <w:t>85,681</w:t>
            </w:r>
          </w:p>
        </w:tc>
        <w:tc>
          <w:tcPr>
            <w:tcW w:w="1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800" w:type="dxa"/>
            <w:vAlign w:val="bottom"/>
            <w:gridSpan w:val="2"/>
            <w:vMerge w:val="restart"/>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FFCC"/>
          </w:tcPr>
          <w:p>
            <w:pPr>
              <w:spacing w:after="0"/>
              <w:rPr>
                <w:sz w:val="13"/>
                <w:szCs w:val="13"/>
                <w:color w:val="auto"/>
              </w:rPr>
            </w:pPr>
          </w:p>
        </w:tc>
        <w:tc>
          <w:tcPr>
            <w:tcW w:w="780" w:type="dxa"/>
            <w:vAlign w:val="bottom"/>
            <w:gridSpan w:val="2"/>
            <w:vMerge w:val="restart"/>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13"/>
                <w:szCs w:val="13"/>
                <w:color w:val="auto"/>
              </w:rPr>
            </w:pPr>
          </w:p>
        </w:tc>
        <w:tc>
          <w:tcPr>
            <w:tcW w:w="640" w:type="dxa"/>
            <w:vAlign w:val="bottom"/>
            <w:vMerge w:val="restart"/>
            <w:shd w:val="clear" w:color="auto" w:fill="CCFFCC"/>
          </w:tcPr>
          <w:p>
            <w:pPr>
              <w:jc w:val="right"/>
              <w:ind w:right="29"/>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780" w:type="dxa"/>
            <w:vAlign w:val="bottom"/>
            <w:gridSpan w:val="2"/>
            <w:vMerge w:val="restart"/>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FCC"/>
          </w:tcPr>
          <w:p>
            <w:pPr>
              <w:spacing w:after="0"/>
              <w:rPr>
                <w:sz w:val="13"/>
                <w:szCs w:val="13"/>
                <w:color w:val="auto"/>
              </w:rPr>
            </w:pPr>
          </w:p>
        </w:tc>
        <w:tc>
          <w:tcPr>
            <w:tcW w:w="1020" w:type="dxa"/>
            <w:vAlign w:val="bottom"/>
            <w:gridSpan w:val="2"/>
            <w:vMerge w:val="restart"/>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13"/>
                <w:szCs w:val="13"/>
                <w:color w:val="auto"/>
              </w:rPr>
            </w:pPr>
          </w:p>
        </w:tc>
        <w:tc>
          <w:tcPr>
            <w:tcW w:w="640" w:type="dxa"/>
            <w:vAlign w:val="bottom"/>
            <w:vMerge w:val="restart"/>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8"/>
        </w:trPr>
        <w:tc>
          <w:tcPr>
            <w:tcW w:w="400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4"/>
                <w:szCs w:val="14"/>
                <w:color w:val="auto"/>
              </w:rPr>
              <w:t>note 9)</w:t>
            </w:r>
          </w:p>
        </w:tc>
        <w:tc>
          <w:tcPr>
            <w:tcW w:w="820" w:type="dxa"/>
            <w:vAlign w:val="bottom"/>
            <w:vMerge w:val="continue"/>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0" w:type="dxa"/>
            <w:vAlign w:val="bottom"/>
            <w:gridSpan w:val="2"/>
            <w:vMerge w:val="continue"/>
            <w:shd w:val="clear" w:color="auto" w:fill="CCFFCC"/>
          </w:tcPr>
          <w:p>
            <w:pPr>
              <w:spacing w:after="0"/>
              <w:rPr>
                <w:sz w:val="17"/>
                <w:szCs w:val="17"/>
                <w:color w:val="auto"/>
              </w:rPr>
            </w:pPr>
          </w:p>
        </w:tc>
        <w:tc>
          <w:tcPr>
            <w:tcW w:w="940" w:type="dxa"/>
            <w:vAlign w:val="bottom"/>
            <w:gridSpan w:val="2"/>
            <w:vMerge w:val="continue"/>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gridSpan w:val="2"/>
            <w:vMerge w:val="continue"/>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40" w:type="dxa"/>
            <w:vAlign w:val="bottom"/>
            <w:vMerge w:val="continue"/>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gridSpan w:val="2"/>
            <w:vMerge w:val="continue"/>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gridSpan w:val="2"/>
            <w:vMerge w:val="continue"/>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40" w:type="dxa"/>
            <w:vAlign w:val="bottom"/>
            <w:vMerge w:val="continue"/>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w:t>
            </w:r>
          </w:p>
        </w:tc>
        <w:tc>
          <w:tcPr>
            <w:tcW w:w="0" w:type="dxa"/>
            <w:vAlign w:val="bottom"/>
          </w:tcPr>
          <w:p>
            <w:pPr>
              <w:spacing w:after="0"/>
              <w:rPr>
                <w:sz w:val="1"/>
                <w:szCs w:val="1"/>
                <w:color w:val="auto"/>
              </w:rPr>
            </w:pPr>
          </w:p>
        </w:tc>
      </w:tr>
      <w:tr>
        <w:trPr>
          <w:trHeight w:val="270"/>
        </w:trPr>
        <w:tc>
          <w:tcPr>
            <w:tcW w:w="400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80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FFCC"/>
          </w:tcPr>
          <w:p>
            <w:pPr>
              <w:spacing w:after="0"/>
              <w:rPr>
                <w:sz w:val="23"/>
                <w:szCs w:val="23"/>
                <w:color w:val="auto"/>
              </w:rPr>
            </w:pPr>
          </w:p>
        </w:tc>
        <w:tc>
          <w:tcPr>
            <w:tcW w:w="7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jc w:val="right"/>
              <w:ind w:right="29"/>
              <w:spacing w:after="0"/>
              <w:rPr>
                <w:sz w:val="20"/>
                <w:szCs w:val="20"/>
                <w:color w:val="auto"/>
              </w:rPr>
            </w:pPr>
            <w:r>
              <w:rPr>
                <w:rFonts w:ascii="Times New Roman" w:cs="Times New Roman" w:eastAsia="Times New Roman" w:hAnsi="Times New Roman"/>
                <w:sz w:val="14"/>
                <w:szCs w:val="14"/>
                <w:color w:val="auto"/>
              </w:rPr>
              <w:t>559</w:t>
            </w: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242"/>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at March 31, 2018</w:t>
            </w:r>
          </w:p>
        </w:tc>
        <w:tc>
          <w:tcPr>
            <w:tcW w:w="8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60,537,707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(2,681,285)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313,698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(165,662)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146,117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1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19685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Borders>
              <w:bottom w:val="single" w:sz="8" w:color="CCFFCC"/>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7"/>
        </w:trPr>
        <w:tc>
          <w:tcPr>
            <w:tcW w:w="83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900" w:type="dxa"/>
            <w:vAlign w:val="bottom"/>
            <w:shd w:val="clear" w:color="auto" w:fill="CCFFCC"/>
          </w:tcPr>
          <w:p>
            <w:pPr>
              <w:spacing w:after="0"/>
              <w:rPr>
                <w:sz w:val="22"/>
                <w:szCs w:val="22"/>
                <w:color w:val="auto"/>
              </w:rPr>
            </w:pPr>
          </w:p>
        </w:tc>
        <w:tc>
          <w:tcPr>
            <w:tcW w:w="6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(18,890)</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w:t>
            </w:r>
          </w:p>
        </w:tc>
      </w:tr>
      <w:tr>
        <w:trPr>
          <w:trHeight w:val="275"/>
        </w:trPr>
        <w:tc>
          <w:tcPr>
            <w:tcW w:w="83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00" w:type="dxa"/>
            <w:vAlign w:val="bottom"/>
            <w:shd w:val="clear" w:color="auto" w:fill="CCFFCC"/>
          </w:tcPr>
          <w:p>
            <w:pPr>
              <w:spacing w:after="0"/>
              <w:rPr>
                <w:sz w:val="23"/>
                <w:szCs w:val="23"/>
                <w:color w:val="auto"/>
              </w:rPr>
            </w:pPr>
          </w:p>
        </w:tc>
        <w:tc>
          <w:tcPr>
            <w:tcW w:w="6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7,166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2,438</w:t>
            </w:r>
          </w:p>
        </w:tc>
      </w:tr>
      <w:tr>
        <w:trPr>
          <w:trHeight w:val="275"/>
        </w:trPr>
        <w:tc>
          <w:tcPr>
            <w:tcW w:w="83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4"/>
                <w:szCs w:val="14"/>
                <w:color w:val="auto"/>
              </w:rPr>
              <w:t>Depreciation</w:t>
            </w:r>
          </w:p>
        </w:tc>
        <w:tc>
          <w:tcPr>
            <w:tcW w:w="900" w:type="dxa"/>
            <w:vAlign w:val="bottom"/>
            <w:shd w:val="clear" w:color="auto" w:fill="CCFFCC"/>
          </w:tcPr>
          <w:p>
            <w:pPr>
              <w:spacing w:after="0"/>
              <w:rPr>
                <w:sz w:val="23"/>
                <w:szCs w:val="23"/>
                <w:color w:val="auto"/>
              </w:rPr>
            </w:pPr>
          </w:p>
        </w:tc>
        <w:tc>
          <w:tcPr>
            <w:tcW w:w="600" w:type="dxa"/>
            <w:vAlign w:val="bottom"/>
            <w:shd w:val="clear" w:color="auto" w:fill="CCFFCC"/>
          </w:tcPr>
          <w:p>
            <w:pPr>
              <w:jc w:val="right"/>
              <w:ind w:right="48"/>
              <w:spacing w:after="0"/>
              <w:rPr>
                <w:sz w:val="20"/>
                <w:szCs w:val="20"/>
                <w:color w:val="auto"/>
              </w:rPr>
            </w:pPr>
            <w:r>
              <w:rPr>
                <w:rFonts w:ascii="Times New Roman" w:cs="Times New Roman" w:eastAsia="Times New Roman" w:hAnsi="Times New Roman"/>
                <w:sz w:val="14"/>
                <w:szCs w:val="14"/>
                <w:color w:val="auto"/>
              </w:rPr>
              <w:t>3,881</w:t>
            </w: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3,358</w:t>
            </w: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purchased intangibles</w:t>
            </w:r>
          </w:p>
        </w:tc>
        <w:tc>
          <w:tcPr>
            <w:tcW w:w="9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711</w:t>
            </w:r>
          </w:p>
        </w:tc>
      </w:tr>
      <w:tr>
        <w:trPr>
          <w:trHeight w:val="275"/>
        </w:trPr>
        <w:tc>
          <w:tcPr>
            <w:tcW w:w="83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900" w:type="dxa"/>
            <w:vAlign w:val="bottom"/>
            <w:shd w:val="clear" w:color="auto" w:fill="CCFFCC"/>
          </w:tcPr>
          <w:p>
            <w:pPr>
              <w:spacing w:after="0"/>
              <w:rPr>
                <w:sz w:val="23"/>
                <w:szCs w:val="23"/>
                <w:color w:val="auto"/>
              </w:rPr>
            </w:pPr>
          </w:p>
        </w:tc>
        <w:tc>
          <w:tcPr>
            <w:tcW w:w="600" w:type="dxa"/>
            <w:vAlign w:val="bottom"/>
            <w:shd w:val="clear" w:color="auto" w:fill="CCFFCC"/>
          </w:tcPr>
          <w:p>
            <w:pPr>
              <w:jc w:val="right"/>
              <w:ind w:right="48"/>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Accretion of debt discount on convertible senior notes</w:t>
            </w:r>
          </w:p>
        </w:tc>
        <w:tc>
          <w:tcPr>
            <w:tcW w:w="9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3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4"/>
                <w:szCs w:val="14"/>
                <w:color w:val="auto"/>
              </w:rPr>
              <w:t>Amortization of tenant allowance</w:t>
            </w:r>
          </w:p>
        </w:tc>
        <w:tc>
          <w:tcPr>
            <w:tcW w:w="900" w:type="dxa"/>
            <w:vAlign w:val="bottom"/>
            <w:shd w:val="clear" w:color="auto" w:fill="CCFFCC"/>
          </w:tcPr>
          <w:p>
            <w:pPr>
              <w:spacing w:after="0"/>
              <w:rPr>
                <w:sz w:val="23"/>
                <w:szCs w:val="23"/>
                <w:color w:val="auto"/>
              </w:rPr>
            </w:pPr>
          </w:p>
        </w:tc>
        <w:tc>
          <w:tcPr>
            <w:tcW w:w="600" w:type="dxa"/>
            <w:vAlign w:val="bottom"/>
            <w:shd w:val="clear" w:color="auto" w:fill="CCFFCC"/>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9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r>
      <w:tr>
        <w:trPr>
          <w:trHeight w:val="275"/>
        </w:trPr>
        <w:tc>
          <w:tcPr>
            <w:tcW w:w="83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900" w:type="dxa"/>
            <w:vAlign w:val="bottom"/>
            <w:shd w:val="clear" w:color="auto" w:fill="CCFFCC"/>
          </w:tcPr>
          <w:p>
            <w:pPr>
              <w:spacing w:after="0"/>
              <w:rPr>
                <w:sz w:val="23"/>
                <w:szCs w:val="23"/>
                <w:color w:val="auto"/>
              </w:rPr>
            </w:pPr>
          </w:p>
        </w:tc>
        <w:tc>
          <w:tcPr>
            <w:tcW w:w="600" w:type="dxa"/>
            <w:vAlign w:val="bottom"/>
            <w:shd w:val="clear" w:color="auto" w:fill="CCFFCC"/>
          </w:tcPr>
          <w:p>
            <w:pPr>
              <w:jc w:val="right"/>
              <w:ind w:right="48"/>
              <w:spacing w:after="0"/>
              <w:rPr>
                <w:sz w:val="20"/>
                <w:szCs w:val="20"/>
                <w:color w:val="auto"/>
              </w:rPr>
            </w:pPr>
            <w:r>
              <w:rPr>
                <w:rFonts w:ascii="Times New Roman" w:cs="Times New Roman" w:eastAsia="Times New Roman" w:hAnsi="Times New Roman"/>
                <w:sz w:val="14"/>
                <w:szCs w:val="14"/>
                <w:color w:val="auto"/>
              </w:rPr>
              <w:t>502</w:t>
            </w: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496</w:t>
            </w: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8340" w:type="dxa"/>
            <w:vAlign w:val="bottom"/>
            <w:shd w:val="clear" w:color="auto" w:fill="CCFFCC"/>
          </w:tcPr>
          <w:p>
            <w:pPr>
              <w:ind w:left="380"/>
              <w:spacing w:after="0"/>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shd w:val="clear" w:color="auto" w:fill="CCFFCC"/>
          </w:tcPr>
          <w:p>
            <w:pPr>
              <w:spacing w:after="0"/>
              <w:rPr>
                <w:sz w:val="23"/>
                <w:szCs w:val="23"/>
                <w:color w:val="auto"/>
              </w:rPr>
            </w:pPr>
          </w:p>
        </w:tc>
        <w:tc>
          <w:tcPr>
            <w:tcW w:w="600" w:type="dxa"/>
            <w:vAlign w:val="bottom"/>
            <w:shd w:val="clear" w:color="auto" w:fill="CCFFCC"/>
          </w:tcPr>
          <w:p>
            <w:pPr>
              <w:jc w:val="right"/>
              <w:ind w:right="8"/>
              <w:spacing w:after="0"/>
              <w:rPr>
                <w:sz w:val="20"/>
                <w:szCs w:val="20"/>
                <w:color w:val="auto"/>
              </w:rPr>
            </w:pPr>
            <w:r>
              <w:rPr>
                <w:rFonts w:ascii="Times New Roman" w:cs="Times New Roman" w:eastAsia="Times New Roman" w:hAnsi="Times New Roman"/>
                <w:sz w:val="14"/>
                <w:szCs w:val="14"/>
                <w:color w:val="auto"/>
              </w:rPr>
              <w:t>(5,763)</w:t>
            </w: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(8,467)</w:t>
            </w:r>
          </w:p>
        </w:tc>
      </w:tr>
      <w:tr>
        <w:trPr>
          <w:trHeight w:val="265"/>
        </w:trPr>
        <w:tc>
          <w:tcPr>
            <w:tcW w:w="8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(5,841)</w:t>
            </w:r>
          </w:p>
        </w:tc>
      </w:tr>
      <w:tr>
        <w:trPr>
          <w:trHeight w:val="275"/>
        </w:trPr>
        <w:tc>
          <w:tcPr>
            <w:tcW w:w="8340" w:type="dxa"/>
            <w:vAlign w:val="bottom"/>
            <w:shd w:val="clear" w:color="auto" w:fill="CCFFCC"/>
          </w:tcPr>
          <w:p>
            <w:pPr>
              <w:ind w:left="380"/>
              <w:spacing w:after="0"/>
              <w:rPr>
                <w:sz w:val="20"/>
                <w:szCs w:val="20"/>
                <w:color w:val="auto"/>
              </w:rPr>
            </w:pPr>
            <w:r>
              <w:rPr>
                <w:rFonts w:ascii="Times New Roman" w:cs="Times New Roman" w:eastAsia="Times New Roman" w:hAnsi="Times New Roman"/>
                <w:sz w:val="14"/>
                <w:szCs w:val="14"/>
                <w:color w:val="auto"/>
              </w:rPr>
              <w:t>Other assets</w:t>
            </w:r>
          </w:p>
        </w:tc>
        <w:tc>
          <w:tcPr>
            <w:tcW w:w="900" w:type="dxa"/>
            <w:vAlign w:val="bottom"/>
            <w:shd w:val="clear" w:color="auto" w:fill="CCFFCC"/>
          </w:tcPr>
          <w:p>
            <w:pPr>
              <w:spacing w:after="0"/>
              <w:rPr>
                <w:sz w:val="23"/>
                <w:szCs w:val="23"/>
                <w:color w:val="auto"/>
              </w:rPr>
            </w:pPr>
          </w:p>
        </w:tc>
        <w:tc>
          <w:tcPr>
            <w:tcW w:w="600" w:type="dxa"/>
            <w:vAlign w:val="bottom"/>
            <w:shd w:val="clear" w:color="auto" w:fill="CCFFCC"/>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65"/>
        </w:trPr>
        <w:tc>
          <w:tcPr>
            <w:tcW w:w="8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275"/>
        </w:trPr>
        <w:tc>
          <w:tcPr>
            <w:tcW w:w="8340" w:type="dxa"/>
            <w:vAlign w:val="bottom"/>
            <w:shd w:val="clear" w:color="auto" w:fill="CCFFCC"/>
          </w:tcPr>
          <w:p>
            <w:pPr>
              <w:ind w:left="3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00" w:type="dxa"/>
            <w:vAlign w:val="bottom"/>
            <w:shd w:val="clear" w:color="auto" w:fill="CCFFCC"/>
          </w:tcPr>
          <w:p>
            <w:pPr>
              <w:spacing w:after="0"/>
              <w:rPr>
                <w:sz w:val="23"/>
                <w:szCs w:val="23"/>
                <w:color w:val="auto"/>
              </w:rPr>
            </w:pPr>
          </w:p>
        </w:tc>
        <w:tc>
          <w:tcPr>
            <w:tcW w:w="600" w:type="dxa"/>
            <w:vAlign w:val="bottom"/>
            <w:shd w:val="clear" w:color="auto" w:fill="CCFFCC"/>
          </w:tcPr>
          <w:p>
            <w:pPr>
              <w:jc w:val="right"/>
              <w:ind w:right="8"/>
              <w:spacing w:after="0"/>
              <w:rPr>
                <w:sz w:val="20"/>
                <w:szCs w:val="20"/>
                <w:color w:val="auto"/>
              </w:rPr>
            </w:pPr>
            <w:r>
              <w:rPr>
                <w:rFonts w:ascii="Times New Roman" w:cs="Times New Roman" w:eastAsia="Times New Roman" w:hAnsi="Times New Roman"/>
                <w:sz w:val="14"/>
                <w:szCs w:val="14"/>
                <w:color w:val="auto"/>
              </w:rPr>
              <w:t>(17,932)</w:t>
            </w: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(9,782)</w:t>
            </w:r>
          </w:p>
        </w:tc>
      </w:tr>
      <w:tr>
        <w:trPr>
          <w:trHeight w:val="265"/>
        </w:trPr>
        <w:tc>
          <w:tcPr>
            <w:tcW w:w="8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11,150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19,921</w:t>
            </w:r>
          </w:p>
        </w:tc>
      </w:tr>
      <w:tr>
        <w:trPr>
          <w:trHeight w:val="270"/>
        </w:trPr>
        <w:tc>
          <w:tcPr>
            <w:tcW w:w="8340" w:type="dxa"/>
            <w:vAlign w:val="bottom"/>
            <w:shd w:val="clear" w:color="auto" w:fill="CCFFCC"/>
          </w:tcPr>
          <w:p>
            <w:pPr>
              <w:ind w:left="380"/>
              <w:spacing w:after="0"/>
              <w:rPr>
                <w:sz w:val="20"/>
                <w:szCs w:val="20"/>
                <w:color w:val="auto"/>
              </w:rPr>
            </w:pPr>
            <w:r>
              <w:rPr>
                <w:rFonts w:ascii="Times New Roman" w:cs="Times New Roman" w:eastAsia="Times New Roman" w:hAnsi="Times New Roman"/>
                <w:sz w:val="14"/>
                <w:szCs w:val="14"/>
                <w:color w:val="auto"/>
              </w:rPr>
              <w:t>Other liabilities</w:t>
            </w:r>
          </w:p>
        </w:tc>
        <w:tc>
          <w:tcPr>
            <w:tcW w:w="900" w:type="dxa"/>
            <w:vAlign w:val="bottom"/>
            <w:tcBorders>
              <w:bottom w:val="single" w:sz="8" w:color="auto"/>
            </w:tcBorders>
            <w:shd w:val="clear" w:color="auto" w:fill="CCFFCC"/>
          </w:tcPr>
          <w:p>
            <w:pPr>
              <w:spacing w:after="0"/>
              <w:rPr>
                <w:sz w:val="23"/>
                <w:szCs w:val="23"/>
                <w:color w:val="auto"/>
              </w:rPr>
            </w:pPr>
          </w:p>
        </w:tc>
        <w:tc>
          <w:tcPr>
            <w:tcW w:w="600" w:type="dxa"/>
            <w:vAlign w:val="bottom"/>
            <w:tcBorders>
              <w:bottom w:val="single" w:sz="8" w:color="auto"/>
            </w:tcBorders>
            <w:shd w:val="clear" w:color="auto" w:fill="CCFFCC"/>
          </w:tcPr>
          <w:p>
            <w:pPr>
              <w:jc w:val="right"/>
              <w:ind w:right="48"/>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(25,691)</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w:t>
            </w:r>
          </w:p>
        </w:tc>
      </w:tr>
      <w:tr>
        <w:trPr>
          <w:trHeight w:val="120"/>
        </w:trPr>
        <w:tc>
          <w:tcPr>
            <w:tcW w:w="834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1120" w:type="dxa"/>
            <w:vAlign w:val="bottom"/>
            <w:shd w:val="clear" w:color="auto" w:fill="CCFFCC"/>
          </w:tcPr>
          <w:p>
            <w:pPr>
              <w:spacing w:after="0"/>
              <w:rPr>
                <w:sz w:val="10"/>
                <w:szCs w:val="10"/>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83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4"/>
                <w:szCs w:val="14"/>
                <w:color w:val="auto"/>
              </w:rPr>
              <w:t>Purchases of property and equipment, including capitalized software</w:t>
            </w:r>
          </w:p>
        </w:tc>
        <w:tc>
          <w:tcPr>
            <w:tcW w:w="900" w:type="dxa"/>
            <w:vAlign w:val="bottom"/>
            <w:shd w:val="clear" w:color="auto" w:fill="CCFFCC"/>
          </w:tcPr>
          <w:p>
            <w:pPr>
              <w:spacing w:after="0"/>
              <w:rPr>
                <w:sz w:val="23"/>
                <w:szCs w:val="23"/>
                <w:color w:val="auto"/>
              </w:rPr>
            </w:pPr>
          </w:p>
        </w:tc>
        <w:tc>
          <w:tcPr>
            <w:tcW w:w="600" w:type="dxa"/>
            <w:vAlign w:val="bottom"/>
            <w:shd w:val="clear" w:color="auto" w:fill="CCFFCC"/>
          </w:tcPr>
          <w:p>
            <w:pPr>
              <w:jc w:val="right"/>
              <w:ind w:right="8"/>
              <w:spacing w:after="0"/>
              <w:rPr>
                <w:sz w:val="20"/>
                <w:szCs w:val="20"/>
                <w:color w:val="auto"/>
              </w:rPr>
            </w:pPr>
            <w:r>
              <w:rPr>
                <w:rFonts w:ascii="Times New Roman" w:cs="Times New Roman" w:eastAsia="Times New Roman" w:hAnsi="Times New Roman"/>
                <w:sz w:val="14"/>
                <w:szCs w:val="14"/>
                <w:color w:val="auto"/>
              </w:rPr>
              <w:t>(8,335)</w:t>
            </w: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(4,595)</w:t>
            </w: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held as collateral for foreign exchange forward contracts</w:t>
            </w:r>
          </w:p>
        </w:tc>
        <w:tc>
          <w:tcPr>
            <w:tcW w:w="9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1,235</w:t>
            </w:r>
          </w:p>
        </w:tc>
      </w:tr>
      <w:tr>
        <w:trPr>
          <w:trHeight w:val="270"/>
        </w:trPr>
        <w:tc>
          <w:tcPr>
            <w:tcW w:w="83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4"/>
                <w:szCs w:val="14"/>
                <w:color w:val="auto"/>
              </w:rPr>
              <w:t>Payments for acquisitions and intangible assets, net of cash acquired</w:t>
            </w:r>
          </w:p>
        </w:tc>
        <w:tc>
          <w:tcPr>
            <w:tcW w:w="900" w:type="dxa"/>
            <w:vAlign w:val="bottom"/>
            <w:tcBorders>
              <w:bottom w:val="single" w:sz="8" w:color="auto"/>
            </w:tcBorders>
            <w:shd w:val="clear" w:color="auto" w:fill="CCFFCC"/>
          </w:tcPr>
          <w:p>
            <w:pPr>
              <w:spacing w:after="0"/>
              <w:rPr>
                <w:sz w:val="23"/>
                <w:szCs w:val="23"/>
                <w:color w:val="auto"/>
              </w:rPr>
            </w:pPr>
          </w:p>
        </w:tc>
        <w:tc>
          <w:tcPr>
            <w:tcW w:w="600" w:type="dxa"/>
            <w:vAlign w:val="bottom"/>
            <w:tcBorders>
              <w:bottom w:val="single" w:sz="8" w:color="auto"/>
            </w:tcBorders>
            <w:shd w:val="clear" w:color="auto" w:fill="CCFFCC"/>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(263)</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(8,337)</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(3,623)</w:t>
            </w:r>
          </w:p>
        </w:tc>
      </w:tr>
      <w:tr>
        <w:trPr>
          <w:trHeight w:val="120"/>
        </w:trPr>
        <w:tc>
          <w:tcPr>
            <w:tcW w:w="834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1120" w:type="dxa"/>
            <w:vAlign w:val="bottom"/>
            <w:shd w:val="clear" w:color="auto" w:fill="CCFFCC"/>
          </w:tcPr>
          <w:p>
            <w:pPr>
              <w:spacing w:after="0"/>
              <w:rPr>
                <w:sz w:val="10"/>
                <w:szCs w:val="10"/>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83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convertible senior notes</w:t>
            </w:r>
          </w:p>
        </w:tc>
        <w:tc>
          <w:tcPr>
            <w:tcW w:w="900" w:type="dxa"/>
            <w:vAlign w:val="bottom"/>
            <w:shd w:val="clear" w:color="auto" w:fill="CCFFCC"/>
          </w:tcPr>
          <w:p>
            <w:pPr>
              <w:spacing w:after="0"/>
              <w:rPr>
                <w:sz w:val="23"/>
                <w:szCs w:val="23"/>
                <w:color w:val="auto"/>
              </w:rPr>
            </w:pPr>
          </w:p>
        </w:tc>
        <w:tc>
          <w:tcPr>
            <w:tcW w:w="600" w:type="dxa"/>
            <w:vAlign w:val="bottom"/>
            <w:shd w:val="clear" w:color="auto" w:fill="CCFFCC"/>
          </w:tcPr>
          <w:p>
            <w:pPr>
              <w:jc w:val="right"/>
              <w:ind w:right="48"/>
              <w:spacing w:after="0"/>
              <w:rPr>
                <w:sz w:val="20"/>
                <w:szCs w:val="20"/>
                <w:color w:val="auto"/>
              </w:rPr>
            </w:pPr>
            <w:r>
              <w:rPr>
                <w:rFonts w:ascii="Times New Roman" w:cs="Times New Roman" w:eastAsia="Times New Roman" w:hAnsi="Times New Roman"/>
                <w:sz w:val="14"/>
                <w:szCs w:val="14"/>
                <w:color w:val="auto"/>
              </w:rPr>
              <w:t>230,000</w:t>
            </w: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of issuance costs in connection with convertible senior notes</w:t>
            </w:r>
          </w:p>
        </w:tc>
        <w:tc>
          <w:tcPr>
            <w:tcW w:w="9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(7,329)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3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4"/>
                <w:szCs w:val="14"/>
                <w:color w:val="auto"/>
              </w:rPr>
              <w:t>Purchase of capped call option</w:t>
            </w:r>
          </w:p>
        </w:tc>
        <w:tc>
          <w:tcPr>
            <w:tcW w:w="900" w:type="dxa"/>
            <w:vAlign w:val="bottom"/>
            <w:shd w:val="clear" w:color="auto" w:fill="CCFFCC"/>
          </w:tcPr>
          <w:p>
            <w:pPr>
              <w:spacing w:after="0"/>
              <w:rPr>
                <w:sz w:val="23"/>
                <w:szCs w:val="23"/>
                <w:color w:val="auto"/>
              </w:rPr>
            </w:pPr>
          </w:p>
        </w:tc>
        <w:tc>
          <w:tcPr>
            <w:tcW w:w="600" w:type="dxa"/>
            <w:vAlign w:val="bottom"/>
            <w:shd w:val="clear" w:color="auto" w:fill="CCFFCC"/>
          </w:tcPr>
          <w:p>
            <w:pPr>
              <w:jc w:val="right"/>
              <w:ind w:right="8"/>
              <w:spacing w:after="0"/>
              <w:rPr>
                <w:sz w:val="20"/>
                <w:szCs w:val="20"/>
                <w:color w:val="auto"/>
              </w:rPr>
            </w:pPr>
            <w:r>
              <w:rPr>
                <w:rFonts w:ascii="Times New Roman" w:cs="Times New Roman" w:eastAsia="Times New Roman" w:hAnsi="Times New Roman"/>
                <w:sz w:val="14"/>
                <w:szCs w:val="14"/>
                <w:color w:val="auto"/>
              </w:rPr>
              <w:t>(23,184)</w:t>
            </w: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related to contingent consideration</w:t>
            </w:r>
          </w:p>
        </w:tc>
        <w:tc>
          <w:tcPr>
            <w:tcW w:w="9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3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 in connection with the exercise of options</w:t>
            </w:r>
          </w:p>
        </w:tc>
        <w:tc>
          <w:tcPr>
            <w:tcW w:w="900" w:type="dxa"/>
            <w:vAlign w:val="bottom"/>
            <w:shd w:val="clear" w:color="auto" w:fill="CCFFCC"/>
          </w:tcPr>
          <w:p>
            <w:pPr>
              <w:spacing w:after="0"/>
              <w:rPr>
                <w:sz w:val="23"/>
                <w:szCs w:val="23"/>
                <w:color w:val="auto"/>
              </w:rPr>
            </w:pPr>
          </w:p>
        </w:tc>
        <w:tc>
          <w:tcPr>
            <w:tcW w:w="600" w:type="dxa"/>
            <w:vAlign w:val="bottom"/>
            <w:shd w:val="clear" w:color="auto" w:fill="CCFFCC"/>
          </w:tcPr>
          <w:p>
            <w:pPr>
              <w:jc w:val="right"/>
              <w:ind w:right="48"/>
              <w:spacing w:after="0"/>
              <w:rPr>
                <w:sz w:val="20"/>
                <w:szCs w:val="20"/>
                <w:color w:val="auto"/>
              </w:rPr>
            </w:pPr>
            <w:r>
              <w:rPr>
                <w:rFonts w:ascii="Times New Roman" w:cs="Times New Roman" w:eastAsia="Times New Roman" w:hAnsi="Times New Roman"/>
                <w:sz w:val="14"/>
                <w:szCs w:val="14"/>
                <w:color w:val="auto"/>
              </w:rPr>
              <w:t>7,198</w:t>
            </w: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5,949</w:t>
            </w:r>
          </w:p>
        </w:tc>
      </w:tr>
      <w:tr>
        <w:trPr>
          <w:trHeight w:val="265"/>
        </w:trPr>
        <w:tc>
          <w:tcPr>
            <w:tcW w:w="8340" w:type="dxa"/>
            <w:vAlign w:val="bottom"/>
            <w:tcBorders>
              <w:bottom w:val="single" w:sz="8" w:color="CCFFCC"/>
            </w:tcBorders>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(709)</w:t>
            </w:r>
          </w:p>
        </w:tc>
        <w:tc>
          <w:tcPr>
            <w:tcW w:w="120" w:type="dxa"/>
            <w:vAlign w:val="bottom"/>
            <w:tcBorders>
              <w:bottom w:val="single" w:sz="8" w:color="CCFFC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w:t>
            </w:r>
          </w:p>
        </w:tc>
      </w:tr>
      <w:tr>
        <w:trPr>
          <w:trHeight w:val="250"/>
        </w:trPr>
        <w:tc>
          <w:tcPr>
            <w:tcW w:w="8340" w:type="dxa"/>
            <w:vAlign w:val="bottom"/>
            <w:shd w:val="clear" w:color="auto" w:fill="CCFFCC"/>
          </w:tcPr>
          <w:p>
            <w:pPr>
              <w:ind w:left="6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00" w:type="dxa"/>
            <w:vAlign w:val="bottom"/>
            <w:tcBorders>
              <w:bottom w:val="single" w:sz="8" w:color="auto"/>
            </w:tcBorders>
            <w:shd w:val="clear" w:color="auto" w:fill="CCFFCC"/>
          </w:tcPr>
          <w:p>
            <w:pPr>
              <w:spacing w:after="0"/>
              <w:rPr>
                <w:sz w:val="21"/>
                <w:szCs w:val="21"/>
                <w:color w:val="auto"/>
              </w:rPr>
            </w:pPr>
          </w:p>
        </w:tc>
        <w:tc>
          <w:tcPr>
            <w:tcW w:w="600" w:type="dxa"/>
            <w:vAlign w:val="bottom"/>
            <w:tcBorders>
              <w:bottom w:val="single" w:sz="8" w:color="auto"/>
            </w:tcBorders>
            <w:shd w:val="clear" w:color="auto" w:fill="CCFFCC"/>
          </w:tcPr>
          <w:p>
            <w:pPr>
              <w:jc w:val="right"/>
              <w:ind w:right="48"/>
              <w:spacing w:after="0"/>
              <w:rPr>
                <w:sz w:val="20"/>
                <w:szCs w:val="20"/>
                <w:color w:val="auto"/>
              </w:rPr>
            </w:pPr>
            <w:r>
              <w:rPr>
                <w:rFonts w:ascii="Times New Roman" w:cs="Times New Roman" w:eastAsia="Times New Roman" w:hAnsi="Times New Roman"/>
                <w:sz w:val="14"/>
                <w:szCs w:val="14"/>
                <w:color w:val="auto"/>
              </w:rPr>
              <w:t>205,489</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4,604</w:t>
            </w:r>
          </w:p>
        </w:tc>
      </w:tr>
      <w:tr>
        <w:trPr>
          <w:trHeight w:val="250"/>
        </w:trPr>
        <w:tc>
          <w:tcPr>
            <w:tcW w:w="8340" w:type="dxa"/>
            <w:vAlign w:val="bottom"/>
            <w:tcBorders>
              <w:bottom w:val="single" w:sz="8" w:color="CCFFCC"/>
            </w:tcBorders>
          </w:tcPr>
          <w:p>
            <w:pPr>
              <w:ind w:left="4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9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1,061</w:t>
            </w:r>
          </w:p>
        </w:tc>
      </w:tr>
      <w:tr>
        <w:trPr>
          <w:trHeight w:val="255"/>
        </w:trPr>
        <w:tc>
          <w:tcPr>
            <w:tcW w:w="83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4"/>
                <w:szCs w:val="14"/>
                <w:color w:val="auto"/>
              </w:rPr>
              <w:t>CHANGE IN CASH AND CASH EQUIVALENTS</w:t>
            </w:r>
          </w:p>
        </w:tc>
        <w:tc>
          <w:tcPr>
            <w:tcW w:w="900" w:type="dxa"/>
            <w:vAlign w:val="bottom"/>
            <w:shd w:val="clear" w:color="auto" w:fill="CCFFCC"/>
          </w:tcPr>
          <w:p>
            <w:pPr>
              <w:spacing w:after="0"/>
              <w:rPr>
                <w:sz w:val="22"/>
                <w:szCs w:val="22"/>
                <w:color w:val="auto"/>
              </w:rPr>
            </w:pPr>
          </w:p>
        </w:tc>
        <w:tc>
          <w:tcPr>
            <w:tcW w:w="600" w:type="dxa"/>
            <w:vAlign w:val="bottom"/>
            <w:shd w:val="clear" w:color="auto" w:fill="CCFFCC"/>
          </w:tcPr>
          <w:p>
            <w:pPr>
              <w:jc w:val="right"/>
              <w:ind w:right="48"/>
              <w:spacing w:after="0"/>
              <w:rPr>
                <w:sz w:val="20"/>
                <w:szCs w:val="20"/>
                <w:color w:val="auto"/>
              </w:rPr>
            </w:pPr>
            <w:r>
              <w:rPr>
                <w:rFonts w:ascii="Times New Roman" w:cs="Times New Roman" w:eastAsia="Times New Roman" w:hAnsi="Times New Roman"/>
                <w:sz w:val="14"/>
                <w:szCs w:val="14"/>
                <w:color w:val="auto"/>
              </w:rPr>
              <w:t>171,338</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1,365</w:t>
            </w:r>
          </w:p>
        </w:tc>
      </w:tr>
      <w:tr>
        <w:trPr>
          <w:trHeight w:val="265"/>
        </w:trPr>
        <w:tc>
          <w:tcPr>
            <w:tcW w:w="8340" w:type="dxa"/>
            <w:vAlign w:val="bottom"/>
            <w:tcBorders>
              <w:bottom w:val="single" w:sz="8" w:color="CCFFCC"/>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 Beginning of the period</w:t>
            </w:r>
          </w:p>
        </w:tc>
        <w:tc>
          <w:tcPr>
            <w:tcW w:w="9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66,449</w:t>
            </w:r>
          </w:p>
        </w:tc>
        <w:tc>
          <w:tcPr>
            <w:tcW w:w="120" w:type="dxa"/>
            <w:vAlign w:val="bottom"/>
            <w:tcBorders>
              <w:bottom w:val="single" w:sz="8" w:color="CCFFC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56,115</w:t>
            </w:r>
          </w:p>
        </w:tc>
      </w:tr>
      <w:tr>
        <w:trPr>
          <w:trHeight w:val="242"/>
        </w:trPr>
        <w:tc>
          <w:tcPr>
            <w:tcW w:w="834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4"/>
                <w:szCs w:val="14"/>
                <w:color w:val="auto"/>
              </w:rPr>
              <w:t>CASH AND CASH EQUIVALENTS - End of the period</w:t>
            </w:r>
          </w:p>
        </w:tc>
        <w:tc>
          <w:tcPr>
            <w:tcW w:w="900" w:type="dxa"/>
            <w:vAlign w:val="bottom"/>
            <w:tcBorders>
              <w:bottom w:val="single" w:sz="8" w:color="auto"/>
            </w:tcBorders>
            <w:shd w:val="clear" w:color="auto" w:fill="CCFFCC"/>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FFCC"/>
          </w:tcPr>
          <w:p>
            <w:pPr>
              <w:jc w:val="right"/>
              <w:ind w:right="48"/>
              <w:spacing w:after="0"/>
              <w:rPr>
                <w:sz w:val="20"/>
                <w:szCs w:val="20"/>
                <w:color w:val="auto"/>
              </w:rPr>
            </w:pPr>
            <w:r>
              <w:rPr>
                <w:rFonts w:ascii="Times New Roman" w:cs="Times New Roman" w:eastAsia="Times New Roman" w:hAnsi="Times New Roman"/>
                <w:sz w:val="14"/>
                <w:szCs w:val="14"/>
                <w:color w:val="auto"/>
              </w:rPr>
              <w:t>237,787</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57,480</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4"/>
                <w:szCs w:val="14"/>
                <w:color w:val="auto"/>
              </w:rPr>
              <w:t>SUPPLEMENTAL DISCLOSURE OF OTHER CASH FLOW INFORMATION:</w:t>
            </w:r>
          </w:p>
        </w:tc>
        <w:tc>
          <w:tcPr>
            <w:tcW w:w="900" w:type="dxa"/>
            <w:vAlign w:val="bottom"/>
            <w:shd w:val="clear" w:color="auto" w:fill="CCFFCC"/>
          </w:tcPr>
          <w:p>
            <w:pPr>
              <w:spacing w:after="0"/>
              <w:rPr>
                <w:sz w:val="23"/>
                <w:szCs w:val="23"/>
                <w:color w:val="auto"/>
              </w:rPr>
            </w:pPr>
          </w:p>
        </w:tc>
        <w:tc>
          <w:tcPr>
            <w:tcW w:w="6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97"/>
        </w:trPr>
        <w:tc>
          <w:tcPr>
            <w:tcW w:w="8340" w:type="dxa"/>
            <w:vAlign w:val="bottom"/>
            <w:tcBorders>
              <w:bottom w:val="single" w:sz="8" w:color="CCFFCC"/>
            </w:tcBorders>
          </w:tcPr>
          <w:p>
            <w:pPr>
              <w:ind w:left="18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553</w:t>
            </w:r>
          </w:p>
        </w:tc>
      </w:tr>
      <w:tr>
        <w:trPr>
          <w:trHeight w:val="156"/>
        </w:trPr>
        <w:tc>
          <w:tcPr>
            <w:tcW w:w="8340" w:type="dxa"/>
            <w:vAlign w:val="bottom"/>
            <w:shd w:val="clear" w:color="auto" w:fill="CCFFCC"/>
          </w:tcPr>
          <w:p>
            <w:pPr>
              <w:spacing w:after="0"/>
              <w:rPr>
                <w:sz w:val="13"/>
                <w:szCs w:val="13"/>
                <w:color w:val="auto"/>
              </w:rPr>
            </w:pPr>
          </w:p>
        </w:tc>
        <w:tc>
          <w:tcPr>
            <w:tcW w:w="900" w:type="dxa"/>
            <w:vAlign w:val="bottom"/>
            <w:shd w:val="clear" w:color="auto" w:fill="CCFFCC"/>
          </w:tcPr>
          <w:p>
            <w:pPr>
              <w:spacing w:after="0"/>
              <w:rPr>
                <w:sz w:val="13"/>
                <w:szCs w:val="13"/>
                <w:color w:val="auto"/>
              </w:rPr>
            </w:pPr>
          </w:p>
        </w:tc>
        <w:tc>
          <w:tcPr>
            <w:tcW w:w="6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340" w:type="dxa"/>
            <w:vAlign w:val="bottom"/>
            <w:shd w:val="clear" w:color="auto" w:fill="CCFFCC"/>
          </w:tcPr>
          <w:p>
            <w:pPr>
              <w:spacing w:after="0"/>
              <w:rPr>
                <w:sz w:val="13"/>
                <w:szCs w:val="13"/>
                <w:color w:val="auto"/>
              </w:rPr>
            </w:pPr>
          </w:p>
        </w:tc>
        <w:tc>
          <w:tcPr>
            <w:tcW w:w="1120" w:type="dxa"/>
            <w:vAlign w:val="bottom"/>
            <w:shd w:val="clear" w:color="auto" w:fill="CCFFCC"/>
          </w:tcPr>
          <w:p>
            <w:pPr>
              <w:spacing w:after="0"/>
              <w:rPr>
                <w:sz w:val="13"/>
                <w:szCs w:val="13"/>
                <w:color w:val="auto"/>
              </w:rPr>
            </w:pPr>
          </w:p>
        </w:tc>
      </w:tr>
      <w:tr>
        <w:trPr>
          <w:trHeight w:val="26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83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4"/>
                <w:szCs w:val="14"/>
                <w:color w:val="auto"/>
              </w:rPr>
              <w:t>Purchase of property and equipment recorded in accounts payable</w:t>
            </w:r>
          </w:p>
        </w:tc>
        <w:tc>
          <w:tcPr>
            <w:tcW w:w="900" w:type="dxa"/>
            <w:vAlign w:val="bottom"/>
            <w:shd w:val="clear" w:color="auto" w:fill="CCFFCC"/>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FFCC"/>
          </w:tcPr>
          <w:p>
            <w:pPr>
              <w:jc w:val="right"/>
              <w:ind w:right="48"/>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292</w:t>
            </w:r>
          </w:p>
        </w:tc>
      </w:tr>
      <w:tr>
        <w:trPr>
          <w:trHeight w:val="26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85,861 shares of common stock in connection with the BotCentral transaction on January 22, 2018</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r>
      <w:tr>
        <w:trPr>
          <w:trHeight w:val="275"/>
        </w:trPr>
        <w:tc>
          <w:tcPr>
            <w:tcW w:w="83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4"/>
                <w:szCs w:val="14"/>
                <w:color w:val="auto"/>
              </w:rPr>
              <w:t>Debt offering costs, accrued but not paid</w:t>
            </w:r>
          </w:p>
        </w:tc>
        <w:tc>
          <w:tcPr>
            <w:tcW w:w="900" w:type="dxa"/>
            <w:vAlign w:val="bottom"/>
            <w:shd w:val="clear" w:color="auto" w:fill="CCFFCC"/>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FFCC"/>
          </w:tcPr>
          <w:p>
            <w:pPr>
              <w:jc w:val="right"/>
              <w:ind w:right="48"/>
              <w:spacing w:after="0"/>
              <w:rPr>
                <w:sz w:val="20"/>
                <w:szCs w:val="20"/>
                <w:color w:val="auto"/>
              </w:rPr>
            </w:pPr>
            <w:r>
              <w:rPr>
                <w:rFonts w:ascii="Times New Roman" w:cs="Times New Roman" w:eastAsia="Times New Roman" w:hAnsi="Times New Roman"/>
                <w:sz w:val="14"/>
                <w:szCs w:val="14"/>
                <w:color w:val="auto"/>
              </w:rPr>
              <w:t>1,306</w:t>
            </w: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ectPr>
          <w:pgSz w:w="11900" w:h="16838" w:orient="portrait"/>
          <w:cols w:equalWidth="0" w:num="1">
            <w:col w:w="11420"/>
          </w:cols>
          <w:pgMar w:left="240" w:top="765" w:right="239" w:bottom="59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765" w:right="239" w:bottom="59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Austin (Texas), Mountain View (California) and Seattle (Washington), and international offices in Amsterdam (Netherlands), Berlin (Germany), London (United Kingdom), Mannheim (Germany), Melbourne (Australia), Milan (Italy), Paris (France), Ra'anana (Israel), Reading (United Kingdom), Sydney (Australia), Tel Aviv (Israel), and Tokyo (Japan).</w:t>
      </w:r>
    </w:p>
    <w:p>
      <w:pPr>
        <w:spacing w:after="0" w:line="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LivePerson makes life easier by transforming how people communicate with brands. During the past decade, the consumer has made the mobile device the center of their digital lives, and they have made mobile messaging the center of communication with friends, family and peers. The Company’s technology enables consumers to connect with businesses through these same preferred conversational interfaces, including Facebook Messenger,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and brick and mortar engagements. For example, consumers can look up product info like ratings, images and pricing, search for stores, see products in the store, schedule appointments, apply for credit, approve repairs, make purchases or payments - all without ever leaving the messaging channel. LivePerson calls these AI and human-assisted conversational experiences over messaging Conversational Commerce.</w:t>
      </w:r>
    </w:p>
    <w:p>
      <w:pPr>
        <w:spacing w:after="0" w:line="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LiveEngage, the Company’s enterprise-class, cloud-based platform, was designed for Conversational Commerce, enabling businesses to securely deploy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 (SMS), social media and third-party consumer messaging platforms. Brands can also use LiveEngage to message consumers when they dial a 1-800 number instead of having them navigate interactive voice response systems (IVRs) and wait on hold.</w:t>
      </w:r>
    </w:p>
    <w:p>
      <w:pPr>
        <w:spacing w:after="0" w:line="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robust, cloud-based suite of rich mobile messaging and real-time chat offerings features intelligent routing and capacity mapping, queue prioritization, customer sentiment, real-time analytics and reporting, content delivery, Payment Card Industry (PCI) compliance, cobrowsing and a sophisticated proactive targeting engine. With LiveEngage, agents can manage all conversations with consumers through a single console interface, regardless of which disparate messaging endpoints the consumers originate from: i.e., WhatsApp, Line, Apple Business Chat, IVR, or Google Home. An extensible application programming interface (API) stack facilitates a lower cost of ownership by facilitating robust integration into back-end systems, as well as enabling developers to build their own programs and services on top of the platform. More than three dozen APIs are available on LiveEngage.</w:t>
      </w:r>
    </w:p>
    <w:p>
      <w:pPr>
        <w:spacing w:after="0" w:line="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LiveEngage also features Maven, a robust AI engine that was custom designed for Conversational Commerce. Maven, announced in December 2018, puts the power of bot development, training and management into the hands of the contact center and its agents, the teams most familiar with how to structure sales and service conversations to drive successful outcomes. The platform enables what the Company calls “the tango” of humans, AI and bots, whereby human agents act as bot managers, overseeing AI-powered conversations and seamlessly stepping into the flow when a personal touch is needed. Through Maven Assist, agents become ultra-efficient, leveraging the AI engine to serve up relevant content, define next-best actions and take over repetitive transactional work, so that the agent can focus on relationship building. By seamlessly integrating LiveEngage with Maven, as well as third-party bots, the platform provides businesses with a comprehensive view of all AI-based and human-based conversations from a single console.</w:t>
      </w:r>
    </w:p>
    <w:p>
      <w:pPr>
        <w:spacing w:after="0" w:line="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Complementing LiveEngage are teams of technical, solutions and consulting professionals that have developed deep domain expertise in Conversational Commerce across industries and messaging endpoints. The Company is positioned as an authority in Conversational Commerce, publishing a proprietary Conversational Quotient™ Index that measures each customer across multiple key indicators to ascertain their level of conversational maturity. Each business is then benchmarked against industry peers to determine their relative progression. The Company has developed a Transformation Model that is introduced to existing and prospective customers to help guide them on their journeys from legacy and oftentimes inefficient legacy voice, email and chat solutions to modern conversational ones powered by messaging and AI. LivePerson’s products, coupled with our domain knowledge, industry expertise and professional services, have been proven to maximize the effectiveness of Conversational Commerce and deliver measurable return on investment.</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71"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architecture that is maintained by LivePerson eliminate the majority of the time, server infrastructure costs, and IT resources required to implement, maintain, and support traditional on-premise software.</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March 31, 2019 and for the three months ended March 31, 2019 and 2018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March 31, 2019, and the consolidated results of operations, comprehensive loss and cash flows for the interim periods ended March 31, 2019 and 2018.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at December 31, 2018 has been derived from audited consolidated financial statements at that date.</w:t>
      </w:r>
    </w:p>
    <w:p>
      <w:pPr>
        <w:spacing w:after="0" w:line="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2018 included in the Company’s Annual Report on Form 10-K filed with the SEC on February 25, 2019.</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Company and its wholly-owned subsidiaries. All intercompany balances and transactions have been eliminated.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2018, the Financial Accounting Standards Board (“FASB”) issued Accounting Standards Update ("ASU") No. 2018-15 "Customer’s Accounting for Implementation Costs Incurred in a Cloud Computing Arrangement That Is a Service Contract; Disclosures for Implementation Costs Incurred for Internal-Use Software and Cloud Computing Arrangements" (“ASU 2018-15”). This standard aligns the accounting for implementation costs incurred in a hosting arrangement that is a service contract with the accounting for implementation costs incurred to develop or obtain internal-use software under Accounting Standards Codification ("ASC") 350-40, in order to determine which costs to capitalize and recognize as an asset. ASU 2018-15 is effective for annual reporting periods, and interim periods within those years, beginning after December 15, 2019, and can be applied either prospectively to implementation costs incurred after the date of adoption or retrospectively to all arrangements. The Company is currently in the process of evaluating the impact of the adoption of ASU 2018-230 on its consolidated financial statements.</w:t>
      </w:r>
    </w:p>
    <w:p>
      <w:pPr>
        <w:spacing w:after="0" w:line="7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2017, FASB issued ASU No. 2017-04, "Intangibles -Goodwill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The Company does not expect the adoption of ASU 2017-04 will have a material effect on its financial position, results of operations or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2016, the FASB issued ASU No. 2016-02, “Leases” (“ASU 2016-02”). ASU 2016-02 requires lessees to recognize the following for all leases (with the exception of short-term leases) at the commencement date: a lease liability, which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71"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Lessees (for capital and operating leases) and lessors (for sales-type, direct financing, and operating leases) may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adopted ASU No. 2016-02-Leases (Topic 842), as of January 1, 2019 using the modified transition approach. The modified transition approach provides a method for recording existing leases at adoption. As a result, the Company was not required to adjust its comparative period financial information for effects of the standard or make the new required lease disclosures for periods before the date of adoption (i.e. January 1, 2019). For its long-term operating lease, the Company recognized a right-of-use asset and a lease liability on its balance sheet. The lease liability is determined as the present value of future lease payments using an estimated rate of interest that the Company would have to pay to borrow equivalent funds on a collateralized basis at the lease commencement date. The right-of-use asset is based on the liability adjusted for any prepaid or deferred rent. The lease term at the commencement date is determined by considering whether renewal options and termination options are reasonably assured of exercise. Rent expense for the operating lease is recognized on a straight-line basis over the lease term and is included in operating expenses on the statements of operations. Variable lease payments include lease operating expenses. Adoption of the new standard resulted in the recording of additional net lease assets and lease liabilities of approximately $14.8 million and $18.8 million, respectively, as of March 31, 2019. The standard did not materially impact the Company's consolidated net earnings and had no impact on cash flows.</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June 2018, the FASB issued ASU No. 2018-07 "Compensation -Stock Compensation (Topic 718) -Improvements to Nonemployee Share-Based Payment Accounting" ("ASU 2018-07"). This new standard expands the scope of Topic 718, Compensation-Stock Compensation (which currently only includes share-based payments to employees) to include share-based payments issued to non-employees for goods or services. Consequently, the accounting for share-based payments to non-employees and employees will be substantially aligned. ASU 2018-07 is effective for public companies for fiscal years beginning after December 15, 2018, including interim periods within that fiscal year. The standard did not materially impact the Company's consolidated net earnings and had no impact on cash flows.</w:t>
      </w:r>
    </w:p>
    <w:p>
      <w:pPr>
        <w:spacing w:after="0" w:line="29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majority of the Company’s revenue is generated from monthly service revenues and related professional services from the sale of the LivePerson services. Revenues are recognized when control of these services is transferred to the Company's customers, in an amount that reflects the consideration the Company expects to be entitled to in exchange for those services.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144" w:lineRule="exact"/>
        <w:rPr>
          <w:sz w:val="20"/>
          <w:szCs w:val="20"/>
          <w:color w:val="auto"/>
        </w:rPr>
      </w:pPr>
    </w:p>
    <w:p>
      <w:pPr>
        <w:ind w:left="1360" w:hanging="204"/>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03" w:lineRule="exact"/>
        <w:rPr>
          <w:rFonts w:ascii="Times New Roman" w:cs="Times New Roman" w:eastAsia="Times New Roman" w:hAnsi="Times New Roman"/>
          <w:sz w:val="18"/>
          <w:szCs w:val="18"/>
          <w:color w:val="auto"/>
        </w:rPr>
      </w:pPr>
    </w:p>
    <w:p>
      <w:pPr>
        <w:ind w:left="1360" w:hanging="204"/>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03" w:lineRule="exact"/>
        <w:rPr>
          <w:rFonts w:ascii="Times New Roman" w:cs="Times New Roman" w:eastAsia="Times New Roman" w:hAnsi="Times New Roman"/>
          <w:sz w:val="18"/>
          <w:szCs w:val="18"/>
          <w:color w:val="auto"/>
        </w:rPr>
      </w:pPr>
    </w:p>
    <w:p>
      <w:pPr>
        <w:ind w:left="1360" w:hanging="204"/>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03" w:lineRule="exact"/>
        <w:rPr>
          <w:rFonts w:ascii="Times New Roman" w:cs="Times New Roman" w:eastAsia="Times New Roman" w:hAnsi="Times New Roman"/>
          <w:sz w:val="18"/>
          <w:szCs w:val="18"/>
          <w:color w:val="auto"/>
        </w:rPr>
      </w:pPr>
    </w:p>
    <w:p>
      <w:pPr>
        <w:ind w:left="1360" w:hanging="204"/>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03" w:lineRule="exact"/>
        <w:rPr>
          <w:rFonts w:ascii="Times New Roman" w:cs="Times New Roman" w:eastAsia="Times New Roman" w:hAnsi="Times New Roman"/>
          <w:sz w:val="18"/>
          <w:szCs w:val="18"/>
          <w:color w:val="auto"/>
        </w:rPr>
      </w:pPr>
    </w:p>
    <w:p>
      <w:pPr>
        <w:ind w:left="1360" w:hanging="204"/>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3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Total revenue of $66.4 million and $58.2 million recognized during the three months ended March 31, 2019 and 2018, respectively, under Topic 606, was not materially different from what would have been recognized under Topic 605.</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71"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Hosted Services- Business Revenue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Hosted Services Business revenue is reported at the amount that reflects the ultimate consideration expected to be received and primarily consist of fees that provide customers access to LiveEngage, the Company’s enterprise-class, cloud-based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 There is no significant variable consideration related to these arrangements. Additionally, 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Gainshare (formerly Pay for Performance) arrangements in accordance with ASC-606, "Principal Agent Considerations", the Company acts as a principal in a transaction if it controls the specified goods or services before they are transferred to the customer.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 Revenues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the Company expects to receive in exchange for such services. Control for the majority of the Company's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The Company determines the standalone selling prices based on its overall pricing objectives, taking into consideration market conditions and other factors, including the value of its contracts, the cloud applications sold, and the number and types of users within its contracts.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Hosted Services- Consumer Revenue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revenue from the Company's Consumer segment generated from online transactions between Experts and Users, revenue is recognized at an amount net of Expert fees in accordance with ASC 606,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consumer and retains a portion of the fee, and then remits the balance to the Expert. Revenue from these transactions is recognized at the point in time when the transaction is complete and no significant performance obligations remain.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or due in advance of its performance. The increase in the deferred revenue balance for the three months ended March 31, 2019 is primarily driven by cash payments received or due in advance of satisfying its performance obligations, partially offset by $16.9 million of revenues recognized that were included in the deferred revenue balance as of December 31, 2018.</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71"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deferred revenue by revenue source (amounts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4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Deferred Revenue</w:t>
            </w:r>
          </w:p>
        </w:tc>
        <w:tc>
          <w:tcPr>
            <w:tcW w:w="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 2019</w:t>
            </w:r>
          </w:p>
        </w:tc>
        <w:tc>
          <w:tcPr>
            <w:tcW w:w="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Hosted services – Business</w:t>
            </w:r>
          </w:p>
        </w:tc>
        <w:tc>
          <w:tcPr>
            <w:tcW w:w="4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61,463</w:t>
            </w:r>
          </w:p>
        </w:tc>
        <w:tc>
          <w:tcPr>
            <w:tcW w:w="660" w:type="dxa"/>
            <w:vAlign w:val="bottom"/>
            <w:gridSpan w:val="5"/>
          </w:tcPr>
          <w:p>
            <w:pPr>
              <w:jc w:val="right"/>
              <w:ind w:right="288"/>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52,232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4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Professional services – Business</w:t>
            </w:r>
          </w:p>
        </w:tc>
        <w:tc>
          <w:tcPr>
            <w:tcW w:w="46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8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4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gridSpan w:val="2"/>
            <w:shd w:val="clear" w:color="auto" w:fill="CCFFCC"/>
          </w:tcPr>
          <w:p>
            <w:pPr>
              <w:jc w:val="right"/>
              <w:ind w:right="21"/>
              <w:spacing w:after="0"/>
              <w:rPr>
                <w:sz w:val="20"/>
                <w:szCs w:val="20"/>
                <w:color w:val="auto"/>
              </w:rPr>
            </w:pPr>
            <w:r>
              <w:rPr>
                <w:rFonts w:ascii="Times New Roman" w:cs="Times New Roman" w:eastAsia="Times New Roman" w:hAnsi="Times New Roman"/>
                <w:sz w:val="16"/>
                <w:szCs w:val="16"/>
                <w:color w:val="auto"/>
              </w:rPr>
              <w:t>2,783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440" w:type="dxa"/>
            <w:vAlign w:val="bottom"/>
            <w:tcBorders>
              <w:bottom w:val="single" w:sz="8" w:color="CCFFCC"/>
            </w:tcBorders>
          </w:tcPr>
          <w:p>
            <w:pPr>
              <w:ind w:left="280"/>
              <w:spacing w:after="0"/>
              <w:rPr>
                <w:sz w:val="20"/>
                <w:szCs w:val="20"/>
                <w:color w:val="auto"/>
              </w:rPr>
            </w:pPr>
            <w:r>
              <w:rPr>
                <w:rFonts w:ascii="Times New Roman" w:cs="Times New Roman" w:eastAsia="Times New Roman" w:hAnsi="Times New Roman"/>
                <w:sz w:val="16"/>
                <w:szCs w:val="16"/>
                <w:color w:val="auto"/>
              </w:rPr>
              <w:t>Total deferred revenue - short term</w:t>
            </w:r>
          </w:p>
        </w:tc>
        <w:tc>
          <w:tcPr>
            <w:tcW w:w="46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66,210</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FFCC"/>
            </w:tcBorders>
            <w:gridSpan w:val="2"/>
          </w:tcPr>
          <w:p>
            <w:pPr>
              <w:spacing w:after="0"/>
              <w:rPr>
                <w:sz w:val="24"/>
                <w:szCs w:val="24"/>
                <w:color w:val="auto"/>
              </w:rPr>
            </w:pPr>
          </w:p>
        </w:tc>
        <w:tc>
          <w:tcPr>
            <w:tcW w:w="460" w:type="dxa"/>
            <w:vAlign w:val="bottom"/>
            <w:tcBorders>
              <w:top w:val="single" w:sz="8" w:color="auto"/>
              <w:bottom w:val="single" w:sz="8" w:color="auto"/>
            </w:tcBorders>
            <w:gridSpan w:val="2"/>
          </w:tcPr>
          <w:p>
            <w:pPr>
              <w:jc w:val="right"/>
              <w:ind w:right="288"/>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55,015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440" w:type="dxa"/>
            <w:vAlign w:val="bottom"/>
            <w:shd w:val="clear" w:color="auto" w:fill="CCFFCC"/>
          </w:tcPr>
          <w:p>
            <w:pPr>
              <w:spacing w:after="0"/>
              <w:rPr>
                <w:sz w:val="24"/>
                <w:szCs w:val="24"/>
                <w:color w:val="auto"/>
              </w:rPr>
            </w:pPr>
          </w:p>
        </w:tc>
        <w:tc>
          <w:tcPr>
            <w:tcW w:w="460" w:type="dxa"/>
            <w:vAlign w:val="bottom"/>
            <w:shd w:val="clear" w:color="auto" w:fill="CCFFCC"/>
          </w:tcPr>
          <w:p>
            <w:pPr>
              <w:spacing w:after="0"/>
              <w:rPr>
                <w:sz w:val="24"/>
                <w:szCs w:val="24"/>
                <w:color w:val="auto"/>
              </w:rPr>
            </w:pPr>
          </w:p>
        </w:tc>
        <w:tc>
          <w:tcPr>
            <w:tcW w:w="24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440" w:type="dxa"/>
            <w:vAlign w:val="bottom"/>
            <w:shd w:val="clear" w:color="auto" w:fill="CCFFCC"/>
          </w:tcPr>
          <w:p>
            <w:pPr>
              <w:spacing w:after="0"/>
              <w:rPr>
                <w:sz w:val="24"/>
                <w:szCs w:val="24"/>
                <w:color w:val="auto"/>
              </w:rPr>
            </w:pPr>
          </w:p>
        </w:tc>
        <w:tc>
          <w:tcPr>
            <w:tcW w:w="50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Hosted services – Business</w:t>
            </w:r>
          </w:p>
        </w:tc>
        <w:tc>
          <w:tcPr>
            <w:tcW w:w="4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60" w:type="dxa"/>
            <w:vAlign w:val="bottom"/>
            <w:gridSpan w:val="5"/>
          </w:tcPr>
          <w:p>
            <w:pPr>
              <w:jc w:val="right"/>
              <w:ind w:right="28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3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4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Professional services – Business</w:t>
            </w:r>
          </w:p>
        </w:tc>
        <w:tc>
          <w:tcPr>
            <w:tcW w:w="46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440" w:type="dxa"/>
            <w:vAlign w:val="bottom"/>
            <w:tcBorders>
              <w:bottom w:val="single" w:sz="8" w:color="CCFFCC"/>
            </w:tcBorders>
            <w:shd w:val="clear" w:color="auto" w:fill="CCFFCC"/>
          </w:tcPr>
          <w:p>
            <w:pPr>
              <w:spacing w:after="0"/>
              <w:rPr>
                <w:sz w:val="23"/>
                <w:szCs w:val="23"/>
                <w:color w:val="auto"/>
              </w:rPr>
            </w:pPr>
          </w:p>
        </w:tc>
        <w:tc>
          <w:tcPr>
            <w:tcW w:w="500" w:type="dxa"/>
            <w:vAlign w:val="bottom"/>
            <w:tcBorders>
              <w:bottom w:val="single" w:sz="8" w:color="CCFFCC"/>
            </w:tcBorders>
            <w:shd w:val="clear" w:color="auto" w:fill="CCFFCC"/>
          </w:tcPr>
          <w:p>
            <w:pPr>
              <w:spacing w:after="0"/>
              <w:rPr>
                <w:sz w:val="23"/>
                <w:szCs w:val="23"/>
                <w:color w:val="auto"/>
              </w:rPr>
            </w:pPr>
          </w:p>
        </w:tc>
        <w:tc>
          <w:tcPr>
            <w:tcW w:w="380" w:type="dxa"/>
            <w:vAlign w:val="bottom"/>
            <w:tcBorders>
              <w:bottom w:val="single" w:sz="8" w:color="CCFFCC"/>
            </w:tcBorders>
            <w:shd w:val="clear" w:color="auto" w:fill="CCFFCC"/>
          </w:tcPr>
          <w:p>
            <w:pPr>
              <w:jc w:val="right"/>
              <w:ind w:right="21"/>
              <w:spacing w:after="0"/>
              <w:rPr>
                <w:sz w:val="20"/>
                <w:szCs w:val="20"/>
                <w:color w:val="auto"/>
              </w:rPr>
            </w:pPr>
            <w:r>
              <w:rPr>
                <w:rFonts w:ascii="Times New Roman" w:cs="Times New Roman" w:eastAsia="Times New Roman" w:hAnsi="Times New Roman"/>
                <w:sz w:val="16"/>
                <w:szCs w:val="16"/>
                <w:color w:val="auto"/>
              </w:rPr>
              <w:t>203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deferred revenue - long term</w:t>
            </w:r>
          </w:p>
        </w:tc>
        <w:tc>
          <w:tcPr>
            <w:tcW w:w="46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460" w:type="dxa"/>
            <w:vAlign w:val="bottom"/>
            <w:tcBorders>
              <w:top w:val="single" w:sz="8" w:color="auto"/>
              <w:bottom w:val="single" w:sz="8" w:color="auto"/>
            </w:tcBorders>
            <w:gridSpan w:val="2"/>
          </w:tcPr>
          <w:p>
            <w:pPr>
              <w:jc w:val="right"/>
              <w:ind w:right="288"/>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4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revenue source (amounts in thousands):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60" w:type="dxa"/>
            <w:vAlign w:val="bottom"/>
            <w:gridSpan w:val="6"/>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CCFFCC"/>
              <w:bottom w:val="single" w:sz="8" w:color="CCFFCC"/>
            </w:tcBorders>
            <w:shd w:val="clear" w:color="auto" w:fill="CCFFCC"/>
          </w:tcPr>
          <w:p>
            <w:pPr>
              <w:spacing w:after="0"/>
              <w:rPr>
                <w:sz w:val="21"/>
                <w:szCs w:val="21"/>
                <w:color w:val="auto"/>
              </w:rPr>
            </w:pPr>
          </w:p>
        </w:tc>
        <w:tc>
          <w:tcPr>
            <w:tcW w:w="84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60" w:type="dxa"/>
            <w:vAlign w:val="bottom"/>
            <w:tcBorders>
              <w:top w:val="single" w:sz="8" w:color="CCFFCC"/>
              <w:bottom w:val="single" w:sz="8" w:color="CCFFCC"/>
            </w:tcBorders>
            <w:shd w:val="clear" w:color="auto" w:fill="CCFFCC"/>
          </w:tcPr>
          <w:p>
            <w:pPr>
              <w:spacing w:after="0"/>
              <w:rPr>
                <w:sz w:val="21"/>
                <w:szCs w:val="21"/>
                <w:color w:val="auto"/>
              </w:rPr>
            </w:pP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700" w:type="dxa"/>
            <w:vAlign w:val="bottom"/>
            <w:tcBorders>
              <w:top w:val="single" w:sz="8" w:color="auto"/>
              <w:bottom w:val="single" w:sz="8" w:color="CCFFCC"/>
            </w:tcBorders>
            <w:shd w:val="clear" w:color="auto" w:fill="CCFFCC"/>
          </w:tcPr>
          <w:p>
            <w:pPr>
              <w:spacing w:after="0"/>
              <w:rPr>
                <w:sz w:val="21"/>
                <w:szCs w:val="21"/>
                <w:color w:val="auto"/>
              </w:rPr>
            </w:pPr>
          </w:p>
        </w:tc>
        <w:tc>
          <w:tcPr>
            <w:tcW w:w="8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0" w:type="dxa"/>
            <w:vAlign w:val="bottom"/>
            <w:tcBorders>
              <w:top w:val="single" w:sz="8" w:color="CCFFCC"/>
              <w:bottom w:val="single" w:sz="8" w:color="CCFFCC"/>
            </w:tcBorders>
            <w:shd w:val="clear" w:color="auto" w:fill="CCFFCC"/>
          </w:tcPr>
          <w:p>
            <w:pPr>
              <w:spacing w:after="0"/>
              <w:rPr>
                <w:sz w:val="21"/>
                <w:szCs w:val="21"/>
                <w:color w:val="auto"/>
              </w:rPr>
            </w:pPr>
          </w:p>
        </w:tc>
        <w:tc>
          <w:tcPr>
            <w:tcW w:w="440" w:type="dxa"/>
            <w:vAlign w:val="bottom"/>
            <w:tcBorders>
              <w:top w:val="single" w:sz="8" w:color="auto"/>
              <w:bottom w:val="single" w:sz="8" w:color="CCFFCC"/>
            </w:tcBorders>
            <w:shd w:val="clear" w:color="auto" w:fill="CCFFCC"/>
          </w:tcPr>
          <w:p>
            <w:pPr>
              <w:spacing w:after="0"/>
              <w:rPr>
                <w:sz w:val="21"/>
                <w:szCs w:val="21"/>
                <w:color w:val="auto"/>
              </w:rPr>
            </w:pPr>
          </w:p>
        </w:tc>
        <w:tc>
          <w:tcPr>
            <w:tcW w:w="500" w:type="dxa"/>
            <w:vAlign w:val="bottom"/>
            <w:tcBorders>
              <w:top w:val="single" w:sz="8" w:color="auto"/>
              <w:bottom w:val="single" w:sz="8" w:color="CCFFCC"/>
            </w:tcBorders>
            <w:shd w:val="clear" w:color="auto" w:fill="CCFFCC"/>
          </w:tcPr>
          <w:p>
            <w:pPr>
              <w:spacing w:after="0"/>
              <w:rPr>
                <w:sz w:val="21"/>
                <w:szCs w:val="21"/>
                <w:color w:val="auto"/>
              </w:rPr>
            </w:pPr>
          </w:p>
        </w:tc>
        <w:tc>
          <w:tcPr>
            <w:tcW w:w="380" w:type="dxa"/>
            <w:vAlign w:val="bottom"/>
            <w:tcBorders>
              <w:top w:val="single" w:sz="8" w:color="auto"/>
              <w:bottom w:val="single" w:sz="8" w:color="CCFFCC"/>
            </w:tcBorders>
            <w:shd w:val="clear" w:color="auto" w:fill="CCFFCC"/>
          </w:tcPr>
          <w:p>
            <w:pPr>
              <w:spacing w:after="0"/>
              <w:rPr>
                <w:sz w:val="21"/>
                <w:szCs w:val="21"/>
                <w:color w:val="auto"/>
              </w:rPr>
            </w:pPr>
          </w:p>
        </w:tc>
        <w:tc>
          <w:tcPr>
            <w:tcW w:w="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Hosted services – Business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51,537</w:t>
            </w:r>
          </w:p>
        </w:tc>
        <w:tc>
          <w:tcPr>
            <w:tcW w:w="660" w:type="dxa"/>
            <w:vAlign w:val="bottom"/>
            <w:gridSpan w:val="5"/>
          </w:tcPr>
          <w:p>
            <w:pPr>
              <w:jc w:val="right"/>
              <w:ind w:right="26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47,427</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FFCC"/>
            </w:tcBorders>
            <w:shd w:val="clear" w:color="auto" w:fill="CCFFCC"/>
          </w:tcPr>
          <w:p>
            <w:pPr>
              <w:spacing w:after="0"/>
              <w:rPr>
                <w:sz w:val="21"/>
                <w:szCs w:val="21"/>
                <w:color w:val="auto"/>
              </w:rPr>
            </w:pPr>
          </w:p>
        </w:tc>
        <w:tc>
          <w:tcPr>
            <w:tcW w:w="844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6"/>
                <w:szCs w:val="16"/>
                <w:color w:val="auto"/>
                <w:shd w:val="clear" w:color="auto" w:fill="CCFFCC"/>
              </w:rPr>
              <w:t>Hosted services – Consumer</w:t>
            </w:r>
          </w:p>
        </w:tc>
        <w:tc>
          <w:tcPr>
            <w:tcW w:w="46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5,407</w:t>
            </w:r>
          </w:p>
        </w:tc>
        <w:tc>
          <w:tcPr>
            <w:tcW w:w="8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38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Professional services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FFCC"/>
            </w:tcBorders>
          </w:tcPr>
          <w:p>
            <w:pPr>
              <w:spacing w:after="0"/>
              <w:rPr>
                <w:sz w:val="2"/>
                <w:szCs w:val="2"/>
                <w:color w:val="auto"/>
              </w:rPr>
            </w:pPr>
          </w:p>
        </w:tc>
        <w:tc>
          <w:tcPr>
            <w:tcW w:w="8440" w:type="dxa"/>
            <w:vAlign w:val="bottom"/>
            <w:tcBorders>
              <w:bottom w:val="single" w:sz="8" w:color="CCFFCC"/>
            </w:tcBorders>
          </w:tcPr>
          <w:p>
            <w:pPr>
              <w:spacing w:after="0"/>
              <w:rPr>
                <w:sz w:val="2"/>
                <w:szCs w:val="2"/>
                <w:color w:val="auto"/>
              </w:rPr>
            </w:pPr>
          </w:p>
        </w:tc>
        <w:tc>
          <w:tcPr>
            <w:tcW w:w="4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FFCC"/>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FFCC"/>
            </w:tcBorders>
            <w:shd w:val="clear" w:color="auto" w:fill="CCFFCC"/>
          </w:tcPr>
          <w:p>
            <w:pPr>
              <w:spacing w:after="0"/>
              <w:rPr>
                <w:sz w:val="22"/>
                <w:szCs w:val="22"/>
                <w:color w:val="auto"/>
              </w:rPr>
            </w:pPr>
          </w:p>
        </w:tc>
        <w:tc>
          <w:tcPr>
            <w:tcW w:w="8440" w:type="dxa"/>
            <w:vAlign w:val="bottom"/>
            <w:tcBorders>
              <w:bottom w:val="single" w:sz="8" w:color="CCFFCC"/>
            </w:tcBorders>
            <w:shd w:val="clear" w:color="auto" w:fill="CCFFCC"/>
          </w:tcPr>
          <w:p>
            <w:pPr>
              <w:ind w:left="260"/>
              <w:spacing w:after="0"/>
              <w:rPr>
                <w:sz w:val="20"/>
                <w:szCs w:val="20"/>
                <w:color w:val="auto"/>
              </w:rPr>
            </w:pPr>
            <w:r>
              <w:rPr>
                <w:rFonts w:ascii="Times New Roman" w:cs="Times New Roman" w:eastAsia="Times New Roman" w:hAnsi="Times New Roman"/>
                <w:sz w:val="16"/>
                <w:szCs w:val="16"/>
                <w:color w:val="auto"/>
                <w:shd w:val="clear" w:color="auto" w:fill="CCFFCC"/>
              </w:rPr>
              <w:t>Total revenue</w:t>
            </w:r>
          </w:p>
        </w:tc>
        <w:tc>
          <w:tcPr>
            <w:tcW w:w="70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66,402</w:t>
            </w:r>
          </w:p>
        </w:tc>
        <w:tc>
          <w:tcPr>
            <w:tcW w:w="660" w:type="dxa"/>
            <w:vAlign w:val="bottom"/>
            <w:tcBorders>
              <w:bottom w:val="single" w:sz="8" w:color="CCFFCC"/>
            </w:tcBorders>
            <w:gridSpan w:val="5"/>
            <w:shd w:val="clear" w:color="auto" w:fill="CCFFCC"/>
          </w:tcPr>
          <w:p>
            <w:pPr>
              <w:jc w:val="right"/>
              <w:ind w:right="26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58,241</w:t>
            </w:r>
          </w:p>
        </w:tc>
        <w:tc>
          <w:tcPr>
            <w:tcW w:w="380" w:type="dxa"/>
            <w:vAlign w:val="bottom"/>
            <w:tcBorders>
              <w:bottom w:val="single" w:sz="8" w:color="CCFFCC"/>
            </w:tcBorders>
            <w:shd w:val="clear" w:color="auto" w:fill="CCFFCC"/>
          </w:tcPr>
          <w:p>
            <w:pPr>
              <w:spacing w:after="0"/>
              <w:rPr>
                <w:sz w:val="22"/>
                <w:szCs w:val="22"/>
                <w:color w:val="auto"/>
              </w:rPr>
            </w:pPr>
          </w:p>
        </w:tc>
        <w:tc>
          <w:tcPr>
            <w:tcW w:w="2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tcPr>
          <w:p>
            <w:pPr>
              <w:spacing w:after="0" w:line="20" w:lineRule="exact"/>
              <w:rPr>
                <w:sz w:val="1"/>
                <w:szCs w:val="1"/>
                <w:color w:val="auto"/>
              </w:rPr>
            </w:pPr>
          </w:p>
        </w:tc>
        <w:tc>
          <w:tcPr>
            <w:tcW w:w="8440" w:type="dxa"/>
            <w:vAlign w:val="bottom"/>
            <w:tcBorders>
              <w:top w:val="single" w:sz="8" w:color="CCFFCC"/>
              <w:bottom w:val="single" w:sz="8" w:color="CCFFCC"/>
            </w:tcBorders>
            <w:vMerge w:val="restart"/>
          </w:tcPr>
          <w:p>
            <w:pPr>
              <w:ind w:left="2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As noted above, prior period amounts have not been adjusted under the modified retrospective method.</w:t>
            </w:r>
          </w:p>
        </w:tc>
        <w:tc>
          <w:tcPr>
            <w:tcW w:w="46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844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Geographic Location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revenues attributable to domestic and foreign operations for the periods presented (amounts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52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6"/>
                <w:szCs w:val="16"/>
                <w:color w:val="auto"/>
              </w:rPr>
            </w:pPr>
          </w:p>
        </w:tc>
      </w:tr>
      <w:tr>
        <w:trPr>
          <w:trHeight w:val="275"/>
        </w:trPr>
        <w:tc>
          <w:tcPr>
            <w:tcW w:w="834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23"/>
                <w:szCs w:val="23"/>
                <w:color w:val="auto"/>
              </w:rPr>
            </w:pPr>
          </w:p>
        </w:tc>
      </w:tr>
      <w:tr>
        <w:trPr>
          <w:trHeight w:val="236"/>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60" w:type="dxa"/>
            <w:vAlign w:val="bottom"/>
          </w:tcPr>
          <w:p>
            <w:pPr>
              <w:spacing w:after="0"/>
              <w:rPr>
                <w:sz w:val="20"/>
                <w:szCs w:val="20"/>
                <w:color w:val="auto"/>
              </w:rPr>
            </w:pPr>
          </w:p>
        </w:tc>
      </w:tr>
      <w:tr>
        <w:trPr>
          <w:trHeight w:val="33"/>
        </w:trPr>
        <w:tc>
          <w:tcPr>
            <w:tcW w:w="834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United States</w:t>
            </w:r>
          </w:p>
        </w:tc>
        <w:tc>
          <w:tcPr>
            <w:tcW w:w="920" w:type="dxa"/>
            <w:vAlign w:val="bottom"/>
            <w:tcBorders>
              <w:bottom w:val="single" w:sz="8" w:color="CCFFCC"/>
            </w:tcBorders>
            <w:shd w:val="clear" w:color="auto" w:fill="CCFFCC"/>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w w:val="99"/>
              </w:rPr>
              <w:t>38,589</w:t>
            </w:r>
          </w:p>
        </w:tc>
        <w:tc>
          <w:tcPr>
            <w:tcW w:w="12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CCFFCC"/>
            </w:tcBorders>
            <w:shd w:val="clear" w:color="auto" w:fill="CCFFCC"/>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w w:val="99"/>
              </w:rPr>
              <w:t>34,071</w:t>
            </w:r>
          </w:p>
        </w:tc>
      </w:tr>
      <w:tr>
        <w:trPr>
          <w:trHeight w:val="270"/>
        </w:trPr>
        <w:tc>
          <w:tcPr>
            <w:tcW w:w="8340" w:type="dxa"/>
            <w:vAlign w:val="bottom"/>
            <w:tcBorders>
              <w:bottom w:val="single" w:sz="8" w:color="CCFFCC"/>
            </w:tcBorders>
          </w:tcPr>
          <w:p>
            <w:pPr>
              <w:ind w:left="40"/>
              <w:spacing w:after="0"/>
              <w:rPr>
                <w:sz w:val="20"/>
                <w:szCs w:val="20"/>
                <w:color w:val="auto"/>
              </w:rPr>
            </w:pPr>
            <w:r>
              <w:rPr>
                <w:rFonts w:ascii="Times New Roman" w:cs="Times New Roman" w:eastAsia="Times New Roman" w:hAnsi="Times New Roman"/>
                <w:sz w:val="16"/>
                <w:szCs w:val="16"/>
                <w:color w:val="auto"/>
              </w:rPr>
              <w:t xml:space="preserve">Other Americas </w:t>
            </w:r>
            <w:r>
              <w:rPr>
                <w:rFonts w:ascii="Times New Roman" w:cs="Times New Roman" w:eastAsia="Times New Roman" w:hAnsi="Times New Roman"/>
                <w:sz w:val="21"/>
                <w:szCs w:val="21"/>
                <w:color w:val="auto"/>
                <w:vertAlign w:val="superscript"/>
              </w:rPr>
              <w:t>(1)</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2,769</w:t>
            </w:r>
          </w:p>
        </w:tc>
        <w:tc>
          <w:tcPr>
            <w:tcW w:w="120" w:type="dxa"/>
            <w:vAlign w:val="bottom"/>
            <w:tcBorders>
              <w:bottom w:val="single" w:sz="8" w:color="CCFFCC"/>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1,259</w:t>
            </w:r>
          </w:p>
        </w:tc>
      </w:tr>
      <w:tr>
        <w:trPr>
          <w:trHeight w:val="230"/>
        </w:trPr>
        <w:tc>
          <w:tcPr>
            <w:tcW w:w="834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6"/>
                <w:szCs w:val="16"/>
                <w:color w:val="auto"/>
              </w:rPr>
              <w:t>Total Americas</w:t>
            </w:r>
          </w:p>
        </w:tc>
        <w:tc>
          <w:tcPr>
            <w:tcW w:w="920" w:type="dxa"/>
            <w:vAlign w:val="bottom"/>
            <w:tcBorders>
              <w:bottom w:val="single" w:sz="8" w:color="CCFFCC"/>
            </w:tcBorders>
            <w:shd w:val="clear" w:color="auto" w:fill="CCFFCC"/>
          </w:tcPr>
          <w:p>
            <w:pPr>
              <w:spacing w:after="0"/>
              <w:rPr>
                <w:sz w:val="20"/>
                <w:szCs w:val="20"/>
                <w:color w:val="auto"/>
              </w:rPr>
            </w:pPr>
          </w:p>
        </w:tc>
        <w:tc>
          <w:tcPr>
            <w:tcW w:w="58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w w:val="99"/>
              </w:rPr>
              <w:t>41,358</w:t>
            </w:r>
          </w:p>
        </w:tc>
        <w:tc>
          <w:tcPr>
            <w:tcW w:w="12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w w:val="99"/>
              </w:rPr>
              <w:t>35,330</w:t>
            </w:r>
          </w:p>
        </w:tc>
      </w:tr>
      <w:tr>
        <w:trPr>
          <w:trHeight w:val="270"/>
        </w:trPr>
        <w:tc>
          <w:tcPr>
            <w:tcW w:w="8340" w:type="dxa"/>
            <w:vAlign w:val="bottom"/>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EMEA</w:t>
            </w:r>
            <w:r>
              <w:rPr>
                <w:rFonts w:ascii="Times New Roman" w:cs="Times New Roman" w:eastAsia="Times New Roman" w:hAnsi="Times New Roman"/>
                <w:sz w:val="11"/>
                <w:szCs w:val="11"/>
                <w:color w:val="auto"/>
              </w:rPr>
              <w:t xml:space="preserve"> (2) (4)</w:t>
            </w:r>
          </w:p>
        </w:tc>
        <w:tc>
          <w:tcPr>
            <w:tcW w:w="920" w:type="dxa"/>
            <w:vAlign w:val="bottom"/>
          </w:tcPr>
          <w:p>
            <w:pPr>
              <w:spacing w:after="0"/>
              <w:rPr>
                <w:sz w:val="23"/>
                <w:szCs w:val="2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18,113</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16,919</w:t>
            </w:r>
          </w:p>
        </w:tc>
      </w:tr>
      <w:tr>
        <w:trPr>
          <w:trHeight w:val="270"/>
        </w:trPr>
        <w:tc>
          <w:tcPr>
            <w:tcW w:w="83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 xml:space="preserve">APAC </w:t>
            </w:r>
            <w:r>
              <w:rPr>
                <w:rFonts w:ascii="Times New Roman" w:cs="Times New Roman" w:eastAsia="Times New Roman" w:hAnsi="Times New Roman"/>
                <w:sz w:val="21"/>
                <w:szCs w:val="21"/>
                <w:color w:val="auto"/>
                <w:vertAlign w:val="superscript"/>
              </w:rPr>
              <w:t>(3)</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6,931</w:t>
            </w:r>
          </w:p>
        </w:tc>
        <w:tc>
          <w:tcPr>
            <w:tcW w:w="120" w:type="dxa"/>
            <w:vAlign w:val="bottom"/>
            <w:shd w:val="clear" w:color="auto" w:fill="CCFFCC"/>
          </w:tcPr>
          <w:p>
            <w:pPr>
              <w:spacing w:after="0"/>
              <w:rPr>
                <w:sz w:val="23"/>
                <w:szCs w:val="23"/>
                <w:color w:val="auto"/>
              </w:rPr>
            </w:pPr>
          </w:p>
        </w:tc>
        <w:tc>
          <w:tcPr>
            <w:tcW w:w="900" w:type="dxa"/>
            <w:vAlign w:val="bottom"/>
            <w:tcBorders>
              <w:bottom w:val="single" w:sz="8" w:color="auto"/>
            </w:tcBorders>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5,992</w:t>
            </w:r>
          </w:p>
        </w:tc>
      </w:tr>
      <w:tr>
        <w:trPr>
          <w:trHeight w:val="244"/>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revenue</w:t>
            </w:r>
          </w:p>
        </w:tc>
        <w:tc>
          <w:tcPr>
            <w:tcW w:w="9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66,402</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58,241</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Canada, Latin America and South America</w:t>
      </w:r>
    </w:p>
    <w:p>
      <w:pPr>
        <w:ind w:left="180" w:hanging="172"/>
        <w:spacing w:after="0" w:line="187" w:lineRule="auto"/>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Europe, the Middle East and Africa (“EMEA”)</w:t>
      </w:r>
    </w:p>
    <w:p>
      <w:pPr>
        <w:ind w:left="180" w:hanging="172"/>
        <w:spacing w:after="0" w:line="187" w:lineRule="auto"/>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Asia-Pacific (“APAC”)</w:t>
      </w:r>
    </w:p>
    <w:p>
      <w:pPr>
        <w:ind w:right="180" w:firstLine="8"/>
        <w:spacing w:after="0" w:line="234" w:lineRule="auto"/>
        <w:tabs>
          <w:tab w:leader="none" w:pos="167"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revenues from the United Kingdom of $11.7 million for the three months ended March 31, 2019 and 2018, respectively, and from the Netherlands of $2.5 million and $1.9 million for the three months ended March 31, 2019 and 2018,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about Contract Balances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Amounts collected in advance of services being provided are accounted for as deferred revenue. Nearly all of the Company's deferred revenue balance is related to </w:t>
      </w:r>
      <w:r>
        <w:rPr>
          <w:rFonts w:ascii="Times New Roman" w:cs="Times New Roman" w:eastAsia="Times New Roman" w:hAnsi="Times New Roman"/>
          <w:sz w:val="18"/>
          <w:szCs w:val="18"/>
          <w:i w:val="1"/>
          <w:iCs w:val="1"/>
          <w:color w:val="auto"/>
        </w:rPr>
        <w:t>Hosted Services- Business Revenue.</w:t>
      </w:r>
    </w:p>
    <w:p>
      <w:pPr>
        <w:sectPr>
          <w:pgSz w:w="11900" w:h="16838" w:orient="portrait"/>
          <w:cols w:equalWidth="0" w:num="1">
            <w:col w:w="11420"/>
          </w:cols>
          <w:pgMar w:left="240" w:top="171"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71" w:right="2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some arrangements, the Company allows customers to pay for access to LiveEngage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consolidated balance sheet. The opening and closing balances of the Company's accounts receivable, unbilled receivables, and deferred revenues are as follows (amounts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15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Unbilled Receivable</w:t>
            </w:r>
          </w:p>
        </w:tc>
        <w:tc>
          <w:tcPr>
            <w:tcW w:w="180" w:type="dxa"/>
            <w:vAlign w:val="bottom"/>
          </w:tcPr>
          <w:p>
            <w:pPr>
              <w:spacing w:after="0"/>
              <w:rPr>
                <w:sz w:val="13"/>
                <w:szCs w:val="13"/>
                <w:color w:val="auto"/>
              </w:rPr>
            </w:pPr>
          </w:p>
        </w:tc>
        <w:tc>
          <w:tcPr>
            <w:tcW w:w="118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Prepaid</w:t>
            </w:r>
          </w:p>
        </w:tc>
        <w:tc>
          <w:tcPr>
            <w:tcW w:w="20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Deferred Revenue</w:t>
            </w:r>
          </w:p>
        </w:tc>
        <w:tc>
          <w:tcPr>
            <w:tcW w:w="120" w:type="dxa"/>
            <w:vAlign w:val="bottom"/>
          </w:tcPr>
          <w:p>
            <w:pPr>
              <w:spacing w:after="0"/>
              <w:rPr>
                <w:sz w:val="13"/>
                <w:szCs w:val="13"/>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Deferred Revenue</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20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6"/>
                <w:szCs w:val="16"/>
                <w:color w:val="auto"/>
              </w:rPr>
            </w:pPr>
          </w:p>
        </w:tc>
        <w:tc>
          <w:tcPr>
            <w:tcW w:w="124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(long term)</w:t>
            </w:r>
          </w:p>
        </w:tc>
        <w:tc>
          <w:tcPr>
            <w:tcW w:w="0" w:type="dxa"/>
            <w:vAlign w:val="bottom"/>
          </w:tcPr>
          <w:p>
            <w:pPr>
              <w:spacing w:after="0"/>
              <w:rPr>
                <w:sz w:val="1"/>
                <w:szCs w:val="1"/>
                <w:color w:val="auto"/>
              </w:rPr>
            </w:pPr>
          </w:p>
        </w:tc>
      </w:tr>
      <w:tr>
        <w:trPr>
          <w:trHeight w:val="249"/>
        </w:trPr>
        <w:tc>
          <w:tcPr>
            <w:tcW w:w="412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Opening Balance as of December 31, 2018</w:t>
            </w:r>
          </w:p>
        </w:tc>
        <w:tc>
          <w:tcPr>
            <w:tcW w:w="480" w:type="dxa"/>
            <w:vAlign w:val="bottom"/>
            <w:tcBorders>
              <w:top w:val="single" w:sz="8" w:color="auto"/>
              <w:bottom w:val="single" w:sz="8" w:color="CCFFCC"/>
            </w:tcBorders>
            <w:shd w:val="clear" w:color="auto" w:fill="CCFFCC"/>
          </w:tcPr>
          <w:p>
            <w:pPr>
              <w:jc w:val="right"/>
              <w:ind w:right="28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34,211</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460" w:type="dxa"/>
            <w:vAlign w:val="bottom"/>
            <w:tcBorders>
              <w:top w:val="single" w:sz="8" w:color="auto"/>
              <w:bottom w:val="single" w:sz="8" w:color="CCFFCC"/>
            </w:tcBorders>
            <w:shd w:val="clear" w:color="auto" w:fill="CCFFCC"/>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CCFFCC"/>
            </w:tcBorders>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color w:val="auto"/>
              </w:rPr>
              <w:t>11,812</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CCFFCC"/>
            </w:tcBorders>
            <w:shd w:val="clear" w:color="auto" w:fill="CCFFCC"/>
          </w:tcPr>
          <w:p>
            <w:pPr>
              <w:jc w:val="right"/>
              <w:ind w:right="43"/>
              <w:spacing w:after="0"/>
              <w:rPr>
                <w:sz w:val="20"/>
                <w:szCs w:val="20"/>
                <w:color w:val="auto"/>
              </w:rPr>
            </w:pPr>
            <w:r>
              <w:rPr>
                <w:rFonts w:ascii="Times New Roman" w:cs="Times New Roman" w:eastAsia="Times New Roman" w:hAnsi="Times New Roman"/>
                <w:sz w:val="16"/>
                <w:szCs w:val="16"/>
                <w:color w:val="auto"/>
              </w:rPr>
              <w:t>13,361</w:t>
            </w:r>
          </w:p>
        </w:tc>
        <w:tc>
          <w:tcPr>
            <w:tcW w:w="20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CCFFCC"/>
            </w:tcBorders>
            <w:shd w:val="clear" w:color="auto" w:fill="CCFFCC"/>
          </w:tcPr>
          <w:p>
            <w:pPr>
              <w:jc w:val="right"/>
              <w:ind w:right="23"/>
              <w:spacing w:after="0"/>
              <w:rPr>
                <w:sz w:val="20"/>
                <w:szCs w:val="20"/>
                <w:color w:val="auto"/>
              </w:rPr>
            </w:pPr>
            <w:r>
              <w:rPr>
                <w:rFonts w:ascii="Times New Roman" w:cs="Times New Roman" w:eastAsia="Times New Roman" w:hAnsi="Times New Roman"/>
                <w:sz w:val="16"/>
                <w:szCs w:val="16"/>
                <w:color w:val="auto"/>
              </w:rPr>
              <w:t>55,015</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CCFFCC"/>
            </w:tcBorders>
            <w:shd w:val="clear" w:color="auto" w:fill="CCFFCC"/>
          </w:tcPr>
          <w:p>
            <w:pPr>
              <w:jc w:val="right"/>
              <w:ind w:right="23"/>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 (decrease), net</w:t>
            </w:r>
          </w:p>
        </w:tc>
        <w:tc>
          <w:tcPr>
            <w:tcW w:w="4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6,607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2,825</w:t>
            </w:r>
          </w:p>
        </w:tc>
        <w:tc>
          <w:tcPr>
            <w:tcW w:w="2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11,195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FFC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Ending Balance as of March 31, 2019</w:t>
            </w:r>
          </w:p>
        </w:tc>
        <w:tc>
          <w:tcPr>
            <w:tcW w:w="480" w:type="dxa"/>
            <w:vAlign w:val="bottom"/>
            <w:tcBorders>
              <w:bottom w:val="single" w:sz="8" w:color="auto"/>
            </w:tcBorders>
            <w:shd w:val="clear" w:color="auto" w:fill="CCFFCC"/>
          </w:tcPr>
          <w:p>
            <w:pPr>
              <w:jc w:val="right"/>
              <w:ind w:right="28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40,818</w:t>
            </w:r>
          </w:p>
        </w:tc>
        <w:tc>
          <w:tcPr>
            <w:tcW w:w="120" w:type="dxa"/>
            <w:vAlign w:val="bottom"/>
            <w:tcBorders>
              <w:bottom w:val="single" w:sz="8" w:color="CCFFCC"/>
            </w:tcBorders>
            <w:shd w:val="clear" w:color="auto" w:fill="CCFFCC"/>
          </w:tcPr>
          <w:p>
            <w:pPr>
              <w:spacing w:after="0"/>
              <w:rPr>
                <w:sz w:val="22"/>
                <w:szCs w:val="22"/>
                <w:color w:val="auto"/>
              </w:rPr>
            </w:pPr>
          </w:p>
        </w:tc>
        <w:tc>
          <w:tcPr>
            <w:tcW w:w="460" w:type="dxa"/>
            <w:vAlign w:val="bottom"/>
            <w:tcBorders>
              <w:bottom w:val="single" w:sz="8" w:color="auto"/>
            </w:tcBorders>
            <w:shd w:val="clear" w:color="auto" w:fill="CCFFCC"/>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color w:val="auto"/>
              </w:rPr>
              <w:t>10,467</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FFCC"/>
          </w:tcPr>
          <w:p>
            <w:pPr>
              <w:jc w:val="right"/>
              <w:ind w:right="43"/>
              <w:spacing w:after="0"/>
              <w:rPr>
                <w:sz w:val="20"/>
                <w:szCs w:val="20"/>
                <w:color w:val="auto"/>
              </w:rPr>
            </w:pPr>
            <w:r>
              <w:rPr>
                <w:rFonts w:ascii="Times New Roman" w:cs="Times New Roman" w:eastAsia="Times New Roman" w:hAnsi="Times New Roman"/>
                <w:sz w:val="16"/>
                <w:szCs w:val="16"/>
                <w:color w:val="auto"/>
              </w:rPr>
              <w:t>16,186</w:t>
            </w:r>
          </w:p>
        </w:tc>
        <w:tc>
          <w:tcPr>
            <w:tcW w:w="2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FFCC"/>
          </w:tcPr>
          <w:p>
            <w:pPr>
              <w:jc w:val="right"/>
              <w:ind w:right="23"/>
              <w:spacing w:after="0"/>
              <w:rPr>
                <w:sz w:val="20"/>
                <w:szCs w:val="20"/>
                <w:color w:val="auto"/>
              </w:rPr>
            </w:pPr>
            <w:r>
              <w:rPr>
                <w:rFonts w:ascii="Times New Roman" w:cs="Times New Roman" w:eastAsia="Times New Roman" w:hAnsi="Times New Roman"/>
                <w:sz w:val="16"/>
                <w:szCs w:val="16"/>
                <w:color w:val="auto"/>
              </w:rPr>
              <w:t>66,210</w:t>
            </w:r>
          </w:p>
        </w:tc>
        <w:tc>
          <w:tcPr>
            <w:tcW w:w="1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FFCC"/>
          </w:tcPr>
          <w:p>
            <w:pPr>
              <w:jc w:val="right"/>
              <w:ind w:right="23"/>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2019, the Company expects to recognize the long term performance obligations in 2020.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Diluted net loss per common share for the three months ended March 31, 2019 does not include the effect of 8,330,741 outstanding common stock awards, as the effect of their inclusion is anti-dilutive. Diluted net loss per common share for the three months ended March 31, 2018 does not include the effect of 10,074,809 outstanding common stock awards, as the effect of their inclusion is anti-dilutive.</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shares used in calculating basic and diluted net loss per share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480" w:type="dxa"/>
            <w:vAlign w:val="bottom"/>
            <w:gridSpan w:val="3"/>
          </w:tcPr>
          <w:p>
            <w:pPr>
              <w:jc w:val="center"/>
              <w:ind w:left="9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r>
      <w:tr>
        <w:trPr>
          <w:trHeight w:val="275"/>
        </w:trPr>
        <w:tc>
          <w:tcPr>
            <w:tcW w:w="7900" w:type="dxa"/>
            <w:vAlign w:val="bottom"/>
          </w:tcPr>
          <w:p>
            <w:pPr>
              <w:spacing w:after="0"/>
              <w:rPr>
                <w:sz w:val="23"/>
                <w:szCs w:val="23"/>
                <w:color w:val="auto"/>
              </w:rPr>
            </w:pPr>
          </w:p>
        </w:tc>
        <w:tc>
          <w:tcPr>
            <w:tcW w:w="2480" w:type="dxa"/>
            <w:vAlign w:val="bottom"/>
            <w:tcBorders>
              <w:bottom w:val="single" w:sz="8" w:color="auto"/>
            </w:tcBorders>
            <w:gridSpan w:val="3"/>
          </w:tcPr>
          <w:p>
            <w:pPr>
              <w:jc w:val="center"/>
              <w:ind w:left="98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23"/>
                <w:szCs w:val="23"/>
                <w:color w:val="auto"/>
              </w:rPr>
            </w:pPr>
          </w:p>
        </w:tc>
      </w:tr>
      <w:tr>
        <w:trPr>
          <w:trHeight w:val="264"/>
        </w:trPr>
        <w:tc>
          <w:tcPr>
            <w:tcW w:w="790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FFCC"/>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790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Basic</w:t>
            </w:r>
          </w:p>
        </w:tc>
        <w:tc>
          <w:tcPr>
            <w:tcW w:w="1720" w:type="dxa"/>
            <w:vAlign w:val="bottom"/>
            <w:tcBorders>
              <w:bottom w:val="single" w:sz="8" w:color="CCFFCC"/>
            </w:tcBorders>
            <w:shd w:val="clear" w:color="auto" w:fill="CCFFCC"/>
          </w:tcPr>
          <w:p>
            <w:pPr>
              <w:jc w:val="right"/>
              <w:ind w:right="43"/>
              <w:spacing w:after="0"/>
              <w:rPr>
                <w:sz w:val="20"/>
                <w:szCs w:val="20"/>
                <w:color w:val="auto"/>
              </w:rPr>
            </w:pPr>
            <w:r>
              <w:rPr>
                <w:rFonts w:ascii="Times New Roman" w:cs="Times New Roman" w:eastAsia="Times New Roman" w:hAnsi="Times New Roman"/>
                <w:sz w:val="16"/>
                <w:szCs w:val="16"/>
                <w:color w:val="auto"/>
              </w:rPr>
              <w:t>61,422,227</w:t>
            </w:r>
          </w:p>
        </w:tc>
        <w:tc>
          <w:tcPr>
            <w:tcW w:w="10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1"/>
              <w:spacing w:after="0"/>
              <w:rPr>
                <w:sz w:val="20"/>
                <w:szCs w:val="20"/>
                <w:color w:val="auto"/>
              </w:rPr>
            </w:pPr>
            <w:r>
              <w:rPr>
                <w:rFonts w:ascii="Times New Roman" w:cs="Times New Roman" w:eastAsia="Times New Roman" w:hAnsi="Times New Roman"/>
                <w:sz w:val="16"/>
                <w:szCs w:val="16"/>
                <w:color w:val="auto"/>
              </w:rPr>
              <w:t>57,309,707</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assumed exercised options</w:t>
            </w:r>
          </w:p>
        </w:tc>
        <w:tc>
          <w:tcPr>
            <w:tcW w:w="2480" w:type="dxa"/>
            <w:vAlign w:val="bottom"/>
            <w:gridSpan w:val="3"/>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Diluted</w:t>
            </w:r>
          </w:p>
        </w:tc>
        <w:tc>
          <w:tcPr>
            <w:tcW w:w="1720" w:type="dxa"/>
            <w:vAlign w:val="bottom"/>
            <w:tcBorders>
              <w:bottom w:val="single" w:sz="8" w:color="auto"/>
            </w:tcBorders>
            <w:shd w:val="clear" w:color="auto" w:fill="CCFFCC"/>
          </w:tcPr>
          <w:p>
            <w:pPr>
              <w:jc w:val="right"/>
              <w:ind w:right="43"/>
              <w:spacing w:after="0"/>
              <w:rPr>
                <w:sz w:val="20"/>
                <w:szCs w:val="20"/>
                <w:color w:val="auto"/>
              </w:rPr>
            </w:pPr>
            <w:r>
              <w:rPr>
                <w:rFonts w:ascii="Times New Roman" w:cs="Times New Roman" w:eastAsia="Times New Roman" w:hAnsi="Times New Roman"/>
                <w:sz w:val="16"/>
                <w:szCs w:val="16"/>
                <w:color w:val="auto"/>
              </w:rPr>
              <w:t>61,422,227</w:t>
            </w:r>
          </w:p>
        </w:tc>
        <w:tc>
          <w:tcPr>
            <w:tcW w:w="10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21"/>
              <w:spacing w:after="0"/>
              <w:rPr>
                <w:sz w:val="20"/>
                <w:szCs w:val="20"/>
                <w:color w:val="auto"/>
              </w:rPr>
            </w:pPr>
            <w:r>
              <w:rPr>
                <w:rFonts w:ascii="Times New Roman" w:cs="Times New Roman" w:eastAsia="Times New Roman" w:hAnsi="Times New Roman"/>
                <w:sz w:val="16"/>
                <w:szCs w:val="16"/>
                <w:color w:val="auto"/>
              </w:rPr>
              <w:t>57,309,707</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expects to settle the principal amount of its outstanding Notes (as defined below) in cash and any excess in shares of the Company’s common stock. The Company uses the treasury stock method for calculating any potential dilutive effect of the conversion spread on diluted net income per share, if applicable. The conversion spread will have a dilutive impact on diluted net income per share of common stock when the average market price of the Company’s common stock for a given period exceeds the initial conversion price of $38.58 per share for the Notes. See Note 8 of the Notes to Condensed Consolidated Financial Statements for a full description of the Notes.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71"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by segment for the three months ended March 31, 2019, based on the Company’s internal financial reporting system utilized by the Company’s chief operating decision maker, follows (amounts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6"/>
                <w:szCs w:val="16"/>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49"/>
        </w:trPr>
        <w:tc>
          <w:tcPr>
            <w:tcW w:w="61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CCFFCC"/>
            </w:tcBorders>
            <w:shd w:val="clear" w:color="auto" w:fill="CCFFCC"/>
          </w:tcPr>
          <w:p>
            <w:pPr>
              <w:spacing w:after="0"/>
              <w:rPr>
                <w:sz w:val="21"/>
                <w:szCs w:val="21"/>
                <w:color w:val="auto"/>
              </w:rPr>
            </w:pPr>
          </w:p>
        </w:tc>
        <w:tc>
          <w:tcPr>
            <w:tcW w:w="100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Hosted services – Business</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51,537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51,537</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5,407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5,407</w:t>
            </w:r>
          </w:p>
        </w:tc>
      </w:tr>
      <w:tr>
        <w:trPr>
          <w:trHeight w:val="237"/>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9,458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9,458</w:t>
            </w:r>
          </w:p>
        </w:tc>
      </w:tr>
      <w:tr>
        <w:trPr>
          <w:trHeight w:val="33"/>
        </w:trPr>
        <w:tc>
          <w:tcPr>
            <w:tcW w:w="61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60,995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5,407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66,402</w:t>
            </w:r>
          </w:p>
        </w:tc>
      </w:tr>
      <w:tr>
        <w:trPr>
          <w:trHeight w:val="217"/>
        </w:trPr>
        <w:tc>
          <w:tcPr>
            <w:tcW w:w="6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17,662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987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18,649</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30,092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2,944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33,036</w:t>
            </w:r>
          </w:p>
        </w:tc>
      </w:tr>
      <w:tr>
        <w:trPr>
          <w:trHeight w:val="237"/>
        </w:trPr>
        <w:tc>
          <w:tcPr>
            <w:tcW w:w="6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461</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16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Times New Roman" w:cs="Times New Roman" w:eastAsia="Times New Roman" w:hAnsi="Times New Roman"/>
                <w:sz w:val="16"/>
                <w:szCs w:val="16"/>
                <w:color w:val="auto"/>
              </w:rPr>
              <w:t>32,619</w:t>
            </w:r>
          </w:p>
        </w:tc>
        <w:tc>
          <w:tcPr>
            <w:tcW w:w="1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00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32,619</w:t>
            </w:r>
          </w:p>
        </w:tc>
      </w:tr>
      <w:tr>
        <w:trPr>
          <w:trHeight w:val="244"/>
        </w:trPr>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12,780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1,476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(32,619)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(18,363)</w:t>
            </w: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by segment for the three months ended March 31, 2018, based on the Company’s internal financial reporting system utilized by the Company’s chief operating decision maker, follows (amounts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49"/>
        </w:trPr>
        <w:tc>
          <w:tcPr>
            <w:tcW w:w="60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Hosted services – Business</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47,427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47,427</w:t>
            </w:r>
          </w:p>
        </w:tc>
      </w:tr>
      <w:tr>
        <w:trPr>
          <w:trHeight w:val="33"/>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4,680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4,680</w:t>
            </w:r>
          </w:p>
        </w:tc>
      </w:tr>
      <w:tr>
        <w:trPr>
          <w:trHeight w:val="237"/>
        </w:trPr>
        <w:tc>
          <w:tcPr>
            <w:tcW w:w="6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6,134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6,134</w:t>
            </w:r>
          </w:p>
        </w:tc>
      </w:tr>
      <w:tr>
        <w:trPr>
          <w:trHeight w:val="33"/>
        </w:trPr>
        <w:tc>
          <w:tcPr>
            <w:tcW w:w="60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4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53,561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4,680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58,241</w:t>
            </w:r>
          </w:p>
        </w:tc>
      </w:tr>
      <w:tr>
        <w:trPr>
          <w:trHeight w:val="217"/>
        </w:trPr>
        <w:tc>
          <w:tcPr>
            <w:tcW w:w="6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12,918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1,036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13,954</w:t>
            </w:r>
          </w:p>
        </w:tc>
      </w:tr>
      <w:tr>
        <w:trPr>
          <w:trHeight w:val="33"/>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21,723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2,408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24,131</w:t>
            </w:r>
          </w:p>
        </w:tc>
      </w:tr>
      <w:tr>
        <w:trPr>
          <w:trHeight w:val="237"/>
        </w:trPr>
        <w:tc>
          <w:tcPr>
            <w:tcW w:w="6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424</w:t>
            </w:r>
          </w:p>
        </w:tc>
      </w:tr>
      <w:tr>
        <w:trPr>
          <w:trHeight w:val="33"/>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4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23,553</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23,553</w:t>
            </w:r>
          </w:p>
        </w:tc>
      </w:tr>
      <w:tr>
        <w:trPr>
          <w:trHeight w:val="244"/>
        </w:trPr>
        <w:tc>
          <w:tcPr>
            <w:tcW w:w="6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18,496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1,236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(23,553)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(3,821)</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71"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domiciled in the United States and has international operations in Israel, the United Kingdom, Asia-Pacific and Australia, Latin America and Western Europe, particularly France, Germany and the Netherlands. The following table presents the Company’s long-lived assets by geographic region as of the dates presented (amounts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2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8320" w:type="dxa"/>
            <w:vAlign w:val="bottom"/>
            <w:tcBorders>
              <w:bottom w:val="single" w:sz="8" w:color="CCFFC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FFC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832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Borders>
              <w:bottom w:val="single" w:sz="8" w:color="CCFFCC"/>
            </w:tcBorders>
            <w:shd w:val="clear" w:color="auto" w:fill="CCFFC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135,894</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121,894</w:t>
            </w:r>
          </w:p>
        </w:tc>
      </w:tr>
      <w:tr>
        <w:trPr>
          <w:trHeight w:val="237"/>
        </w:trPr>
        <w:tc>
          <w:tcPr>
            <w:tcW w:w="8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Israel</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16,657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13,598</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Australia</w:t>
            </w:r>
          </w:p>
        </w:tc>
        <w:tc>
          <w:tcPr>
            <w:tcW w:w="28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9,293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8,970</w:t>
            </w:r>
          </w:p>
        </w:tc>
      </w:tr>
      <w:tr>
        <w:trPr>
          <w:trHeight w:val="237"/>
        </w:trPr>
        <w:tc>
          <w:tcPr>
            <w:tcW w:w="8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Netherlands</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7,344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7,426</w:t>
            </w:r>
          </w:p>
        </w:tc>
      </w:tr>
      <w:tr>
        <w:trPr>
          <w:trHeight w:val="33"/>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2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FFCC"/>
          </w:tcPr>
          <w:p>
            <w:pPr>
              <w:spacing w:after="0"/>
              <w:rPr>
                <w:sz w:val="23"/>
                <w:szCs w:val="23"/>
                <w:color w:val="auto"/>
              </w:rPr>
            </w:pPr>
          </w:p>
        </w:tc>
        <w:tc>
          <w:tcPr>
            <w:tcW w:w="1220" w:type="dxa"/>
            <w:vAlign w:val="bottom"/>
            <w:tcBorders>
              <w:bottom w:val="single" w:sz="8" w:color="auto"/>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4,661</w:t>
            </w:r>
          </w:p>
        </w:tc>
        <w:tc>
          <w:tcPr>
            <w:tcW w:w="120" w:type="dxa"/>
            <w:vAlign w:val="bottom"/>
            <w:shd w:val="clear" w:color="auto" w:fill="CCFFCC"/>
          </w:tcPr>
          <w:p>
            <w:pPr>
              <w:spacing w:after="0"/>
              <w:rPr>
                <w:sz w:val="23"/>
                <w:szCs w:val="23"/>
                <w:color w:val="auto"/>
              </w:rPr>
            </w:pPr>
          </w:p>
        </w:tc>
        <w:tc>
          <w:tcPr>
            <w:tcW w:w="200" w:type="dxa"/>
            <w:vAlign w:val="bottom"/>
            <w:tcBorders>
              <w:bottom w:val="single" w:sz="8" w:color="auto"/>
            </w:tcBorders>
            <w:shd w:val="clear" w:color="auto" w:fill="CCFFCC"/>
          </w:tcPr>
          <w:p>
            <w:pPr>
              <w:spacing w:after="0"/>
              <w:rPr>
                <w:sz w:val="23"/>
                <w:szCs w:val="23"/>
                <w:color w:val="auto"/>
              </w:rPr>
            </w:pPr>
          </w:p>
        </w:tc>
        <w:tc>
          <w:tcPr>
            <w:tcW w:w="1260" w:type="dxa"/>
            <w:vAlign w:val="bottom"/>
            <w:tcBorders>
              <w:bottom w:val="single" w:sz="8" w:color="auto"/>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3,130</w:t>
            </w:r>
          </w:p>
        </w:tc>
      </w:tr>
      <w:tr>
        <w:trPr>
          <w:trHeight w:val="244"/>
        </w:trPr>
        <w:tc>
          <w:tcPr>
            <w:tcW w:w="8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long-lived assets</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173,849</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155,018</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United Kingdom, Germany, Japan, France and Italy</w:t>
      </w:r>
    </w:p>
    <w:p>
      <w:pPr>
        <w:spacing w:after="0" w:line="13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individual customer accounted for 10% or more of consolidated revenue for any of the periods presented. No individual customer accounted for 10% or more of accounts receivable as of March 31, 2019. One customer exceeded 10% of our total accounts receivable in 2018.</w:t>
      </w:r>
    </w:p>
    <w:p>
      <w:pPr>
        <w:spacing w:after="0" w:line="266"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three months ended March 31, 2019 are as follows (amounts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20" w:type="dxa"/>
            <w:vAlign w:val="bottom"/>
          </w:tcPr>
          <w:p>
            <w:pPr>
              <w:spacing w:after="0"/>
              <w:rPr>
                <w:sz w:val="16"/>
                <w:szCs w:val="16"/>
                <w:color w:val="auto"/>
              </w:rPr>
            </w:pP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5"/>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Balance as of December 31, 2018</w:t>
            </w:r>
          </w:p>
        </w:tc>
        <w:tc>
          <w:tcPr>
            <w:tcW w:w="300" w:type="dxa"/>
            <w:vAlign w:val="bottom"/>
            <w:tcBorders>
              <w:top w:val="single" w:sz="8" w:color="auto"/>
              <w:bottom w:val="single" w:sz="8" w:color="CCFFCC"/>
            </w:tcBorders>
            <w:shd w:val="clear" w:color="auto" w:fill="CCFFC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87,007</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60" w:type="dxa"/>
            <w:vAlign w:val="bottom"/>
            <w:tcBorders>
              <w:top w:val="single" w:sz="8" w:color="auto"/>
              <w:bottom w:val="single" w:sz="8" w:color="CCFFCC"/>
            </w:tcBorders>
            <w:shd w:val="clear" w:color="auto" w:fill="CCFFC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Times New Roman" w:cs="Times New Roman" w:eastAsia="Times New Roman" w:hAnsi="Times New Roman"/>
                <w:sz w:val="16"/>
                <w:szCs w:val="16"/>
                <w:color w:val="auto"/>
              </w:rPr>
              <w:t>8,024</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95,031</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to goodwill:</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6"/>
                <w:szCs w:val="16"/>
                <w:color w:val="auto"/>
              </w:rPr>
              <w:t>Foreign exchange adjustment</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44"/>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March 31, 2019</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86,963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8,024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94,987</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are summarized as follows (amounts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of March 31, 2019</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6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74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9"/>
        </w:trPr>
        <w:tc>
          <w:tcPr>
            <w:tcW w:w="68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80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1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14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30,414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(24,006)</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6,408</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years</w:t>
            </w: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jc w:val="right"/>
              <w:ind w:right="42"/>
              <w:spacing w:after="0"/>
              <w:rPr>
                <w:sz w:val="20"/>
                <w:szCs w:val="20"/>
                <w:color w:val="auto"/>
              </w:rPr>
            </w:pPr>
            <w:r>
              <w:rPr>
                <w:rFonts w:ascii="Times New Roman" w:cs="Times New Roman" w:eastAsia="Times New Roman" w:hAnsi="Times New Roman"/>
                <w:sz w:val="16"/>
                <w:szCs w:val="16"/>
                <w:color w:val="auto"/>
              </w:rPr>
              <w:t>16,964</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(12,073)</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4,891</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8.4 years</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 names</w:t>
            </w:r>
          </w:p>
        </w:tc>
        <w:tc>
          <w:tcPr>
            <w:tcW w:w="1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years</w:t>
            </w: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jc w:val="right"/>
              <w:ind w:right="42"/>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2.3 years</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Patents</w:t>
            </w:r>
          </w:p>
        </w:tc>
        <w:tc>
          <w:tcPr>
            <w:tcW w:w="1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1,751</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years</w:t>
            </w: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shd w:val="clear" w:color="auto" w:fill="CCFFCC"/>
          </w:tcPr>
          <w:p>
            <w:pPr>
              <w:jc w:val="right"/>
              <w:ind w:right="42"/>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2.7 years</w:t>
            </w:r>
          </w:p>
        </w:tc>
        <w:tc>
          <w:tcPr>
            <w:tcW w:w="0" w:type="dxa"/>
            <w:vAlign w:val="bottom"/>
          </w:tcPr>
          <w:p>
            <w:pPr>
              <w:spacing w:after="0"/>
              <w:rPr>
                <w:sz w:val="1"/>
                <w:szCs w:val="1"/>
                <w:color w:val="auto"/>
              </w:rPr>
            </w:pPr>
          </w:p>
        </w:tc>
      </w:tr>
      <w:tr>
        <w:trPr>
          <w:trHeight w:val="244"/>
        </w:trPr>
        <w:tc>
          <w:tcPr>
            <w:tcW w:w="68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52,702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(39,625)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13,077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71" w:right="2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6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74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9"/>
        </w:trPr>
        <w:tc>
          <w:tcPr>
            <w:tcW w:w="68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80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1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14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30,447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(23,615)</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6,832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years</w:t>
            </w: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jc w:val="right"/>
              <w:ind w:right="42"/>
              <w:spacing w:after="0"/>
              <w:rPr>
                <w:sz w:val="20"/>
                <w:szCs w:val="20"/>
                <w:color w:val="auto"/>
              </w:rPr>
            </w:pPr>
            <w:r>
              <w:rPr>
                <w:rFonts w:ascii="Times New Roman" w:cs="Times New Roman" w:eastAsia="Times New Roman" w:hAnsi="Times New Roman"/>
                <w:sz w:val="16"/>
                <w:szCs w:val="16"/>
                <w:color w:val="auto"/>
              </w:rPr>
              <w:t>17,219</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(11,786)</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5,433</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8.4 years</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 names</w:t>
            </w:r>
          </w:p>
        </w:tc>
        <w:tc>
          <w:tcPr>
            <w:tcW w:w="1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years</w:t>
            </w: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jc w:val="right"/>
              <w:ind w:right="42"/>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2.3 years</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Patents</w:t>
            </w:r>
          </w:p>
        </w:tc>
        <w:tc>
          <w:tcPr>
            <w:tcW w:w="1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years</w:t>
            </w: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shd w:val="clear" w:color="auto" w:fill="CCFFCC"/>
          </w:tcPr>
          <w:p>
            <w:pPr>
              <w:jc w:val="right"/>
              <w:ind w:right="42"/>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2.7 years</w:t>
            </w:r>
          </w:p>
        </w:tc>
        <w:tc>
          <w:tcPr>
            <w:tcW w:w="0" w:type="dxa"/>
            <w:vAlign w:val="bottom"/>
          </w:tcPr>
          <w:p>
            <w:pPr>
              <w:spacing w:after="0"/>
              <w:rPr>
                <w:sz w:val="1"/>
                <w:szCs w:val="1"/>
                <w:color w:val="auto"/>
              </w:rPr>
            </w:pPr>
          </w:p>
        </w:tc>
      </w:tr>
      <w:tr>
        <w:trPr>
          <w:trHeight w:val="244"/>
        </w:trPr>
        <w:tc>
          <w:tcPr>
            <w:tcW w:w="68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52,724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(38,892)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13,832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is calculated over the estimated useful life of the asset. Aggregate amortization expense for intangible assets was $0.7 million for the three months ended March 31, 2019 and 2018, respectively. For the three months ended March 31, 2019 and 2018, respectively, a portion of this amortization is included in cost of revenue. Estimated amortization expense for the next five years is as follows (amounts in thousands):</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195"/>
        </w:trPr>
        <w:tc>
          <w:tcPr>
            <w:tcW w:w="934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5"/>
        </w:trPr>
        <w:tc>
          <w:tcPr>
            <w:tcW w:w="93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Remaining 2019</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bottom w:val="single" w:sz="8" w:color="CCFFCC"/>
            </w:tcBorders>
            <w:shd w:val="clear" w:color="auto" w:fill="CCFFCC"/>
          </w:tcPr>
          <w:p>
            <w:pPr>
              <w:jc w:val="right"/>
              <w:ind w:right="21"/>
              <w:spacing w:after="0"/>
              <w:rPr>
                <w:sz w:val="20"/>
                <w:szCs w:val="20"/>
                <w:color w:val="auto"/>
              </w:rPr>
            </w:pPr>
            <w:r>
              <w:rPr>
                <w:rFonts w:ascii="Times New Roman" w:cs="Times New Roman" w:eastAsia="Times New Roman" w:hAnsi="Times New Roman"/>
                <w:sz w:val="16"/>
                <w:szCs w:val="16"/>
                <w:color w:val="auto"/>
              </w:rPr>
              <w:t>2,167</w:t>
            </w:r>
          </w:p>
        </w:tc>
      </w:tr>
      <w:tr>
        <w:trPr>
          <w:trHeight w:val="224"/>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200" w:type="dxa"/>
            <w:vAlign w:val="bottom"/>
          </w:tcPr>
          <w:p>
            <w:pPr>
              <w:spacing w:after="0"/>
              <w:rPr>
                <w:sz w:val="19"/>
                <w:szCs w:val="19"/>
                <w:color w:val="auto"/>
              </w:rPr>
            </w:pPr>
          </w:p>
        </w:tc>
        <w:tc>
          <w:tcPr>
            <w:tcW w:w="1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2,702</w:t>
            </w:r>
          </w:p>
        </w:tc>
      </w:tr>
      <w:tr>
        <w:trPr>
          <w:trHeight w:val="33"/>
        </w:trPr>
        <w:tc>
          <w:tcPr>
            <w:tcW w:w="9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7"/>
        </w:trPr>
        <w:tc>
          <w:tcPr>
            <w:tcW w:w="93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ind w:right="21"/>
              <w:spacing w:after="0"/>
              <w:rPr>
                <w:sz w:val="20"/>
                <w:szCs w:val="20"/>
                <w:color w:val="auto"/>
              </w:rPr>
            </w:pPr>
            <w:r>
              <w:rPr>
                <w:rFonts w:ascii="Times New Roman" w:cs="Times New Roman" w:eastAsia="Times New Roman" w:hAnsi="Times New Roman"/>
                <w:sz w:val="16"/>
                <w:szCs w:val="16"/>
                <w:color w:val="auto"/>
              </w:rPr>
              <w:t>2,490</w:t>
            </w:r>
          </w:p>
        </w:tc>
      </w:tr>
      <w:tr>
        <w:trPr>
          <w:trHeight w:val="224"/>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Pr>
          <w:p>
            <w:pPr>
              <w:spacing w:after="0"/>
              <w:rPr>
                <w:sz w:val="19"/>
                <w:szCs w:val="19"/>
                <w:color w:val="auto"/>
              </w:rPr>
            </w:pPr>
          </w:p>
        </w:tc>
        <w:tc>
          <w:tcPr>
            <w:tcW w:w="1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2,128</w:t>
            </w:r>
          </w:p>
        </w:tc>
      </w:tr>
      <w:tr>
        <w:trPr>
          <w:trHeight w:val="33"/>
        </w:trPr>
        <w:tc>
          <w:tcPr>
            <w:tcW w:w="9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7"/>
        </w:trPr>
        <w:tc>
          <w:tcPr>
            <w:tcW w:w="93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ind w:right="21"/>
              <w:spacing w:after="0"/>
              <w:rPr>
                <w:sz w:val="20"/>
                <w:szCs w:val="20"/>
                <w:color w:val="auto"/>
              </w:rPr>
            </w:pPr>
            <w:r>
              <w:rPr>
                <w:rFonts w:ascii="Times New Roman" w:cs="Times New Roman" w:eastAsia="Times New Roman" w:hAnsi="Times New Roman"/>
                <w:sz w:val="16"/>
                <w:szCs w:val="16"/>
                <w:color w:val="auto"/>
              </w:rPr>
              <w:t>884</w:t>
            </w:r>
          </w:p>
        </w:tc>
      </w:tr>
      <w:tr>
        <w:trPr>
          <w:trHeight w:val="224"/>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Pr>
          <w:p>
            <w:pPr>
              <w:spacing w:after="0"/>
              <w:rPr>
                <w:sz w:val="19"/>
                <w:szCs w:val="19"/>
                <w:color w:val="auto"/>
              </w:rPr>
            </w:pPr>
          </w:p>
        </w:tc>
        <w:tc>
          <w:tcPr>
            <w:tcW w:w="1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2,706</w:t>
            </w:r>
          </w:p>
        </w:tc>
      </w:tr>
      <w:tr>
        <w:trPr>
          <w:trHeight w:val="33"/>
        </w:trPr>
        <w:tc>
          <w:tcPr>
            <w:tcW w:w="9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34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bottom w:val="single" w:sz="8" w:color="auto"/>
            </w:tcBorders>
            <w:shd w:val="clear" w:color="auto" w:fill="CCFFCC"/>
          </w:tcPr>
          <w:p>
            <w:pPr>
              <w:jc w:val="right"/>
              <w:ind w:right="21"/>
              <w:spacing w:after="0"/>
              <w:rPr>
                <w:sz w:val="20"/>
                <w:szCs w:val="20"/>
                <w:color w:val="auto"/>
              </w:rPr>
            </w:pPr>
            <w:r>
              <w:rPr>
                <w:rFonts w:ascii="Times New Roman" w:cs="Times New Roman" w:eastAsia="Times New Roman" w:hAnsi="Times New Roman"/>
                <w:sz w:val="16"/>
                <w:szCs w:val="16"/>
                <w:color w:val="auto"/>
              </w:rPr>
              <w:t>13,077</w:t>
            </w:r>
          </w:p>
        </w:tc>
      </w:tr>
      <w:tr>
        <w:trPr>
          <w:trHeight w:val="20"/>
        </w:trPr>
        <w:tc>
          <w:tcPr>
            <w:tcW w:w="9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 of property and equipment for the periods presented (amounts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20" w:type="dxa"/>
            <w:vAlign w:val="bottom"/>
            <w:tcBorders>
              <w:bottom w:val="single" w:sz="8" w:color="CCFFC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832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77,881</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79,161</w:t>
            </w:r>
          </w:p>
        </w:tc>
      </w:tr>
      <w:tr>
        <w:trPr>
          <w:trHeight w:val="237"/>
        </w:trPr>
        <w:tc>
          <w:tcPr>
            <w:tcW w:w="8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Internal-use software development costs</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28,835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19,240</w:t>
            </w:r>
          </w:p>
        </w:tc>
      </w:tr>
      <w:tr>
        <w:trPr>
          <w:trHeight w:val="33"/>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2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Furniture, equipment and building improvements</w:t>
            </w:r>
          </w:p>
        </w:tc>
        <w:tc>
          <w:tcPr>
            <w:tcW w:w="2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14,492</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14,132</w:t>
            </w:r>
          </w:p>
        </w:tc>
      </w:tr>
      <w:tr>
        <w:trPr>
          <w:trHeight w:val="217"/>
        </w:trPr>
        <w:tc>
          <w:tcPr>
            <w:tcW w:w="8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121,208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112,533</w:t>
            </w:r>
          </w:p>
        </w:tc>
      </w:tr>
      <w:tr>
        <w:trPr>
          <w:trHeight w:val="33"/>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2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(72,776)</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(68,798)</w:t>
            </w:r>
          </w:p>
        </w:tc>
      </w:tr>
      <w:tr>
        <w:trPr>
          <w:trHeight w:val="244"/>
        </w:trPr>
        <w:tc>
          <w:tcPr>
            <w:tcW w:w="8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48,432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43,735</w:t>
            </w: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71"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 of accrued expenses and other current liabilities for the periods presented (amounts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20" w:type="dxa"/>
            <w:vAlign w:val="bottom"/>
            <w:tcBorders>
              <w:bottom w:val="single" w:sz="8" w:color="CCFFC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832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Payroll and other employee related costs</w:t>
            </w: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11,106</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19,014</w:t>
            </w:r>
          </w:p>
        </w:tc>
      </w:tr>
      <w:tr>
        <w:trPr>
          <w:trHeight w:val="237"/>
        </w:trPr>
        <w:tc>
          <w:tcPr>
            <w:tcW w:w="8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Professional services and consulting and other vendor fees</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16,176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17,461</w:t>
            </w:r>
          </w:p>
        </w:tc>
      </w:tr>
      <w:tr>
        <w:trPr>
          <w:trHeight w:val="33"/>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1,930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1,913</w:t>
            </w:r>
          </w:p>
        </w:tc>
      </w:tr>
      <w:tr>
        <w:trPr>
          <w:trHeight w:val="237"/>
        </w:trPr>
        <w:tc>
          <w:tcPr>
            <w:tcW w:w="8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Sales commissions</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6,239</w:t>
            </w:r>
          </w:p>
        </w:tc>
      </w:tr>
      <w:tr>
        <w:trPr>
          <w:trHeight w:val="33"/>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Contingent earn-out (see Note 9)</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1,885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2,372</w:t>
            </w:r>
          </w:p>
        </w:tc>
      </w:tr>
      <w:tr>
        <w:trPr>
          <w:trHeight w:val="237"/>
        </w:trPr>
        <w:tc>
          <w:tcPr>
            <w:tcW w:w="8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Restructuring (see Note 13)</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977</w:t>
            </w:r>
          </w:p>
        </w:tc>
      </w:tr>
      <w:tr>
        <w:trPr>
          <w:trHeight w:val="33"/>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2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1,039</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2,686</w:t>
            </w:r>
          </w:p>
        </w:tc>
      </w:tr>
      <w:tr>
        <w:trPr>
          <w:trHeight w:val="244"/>
        </w:trPr>
        <w:tc>
          <w:tcPr>
            <w:tcW w:w="8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35,897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50,662</w:t>
            </w: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Senior Notes and Capped Call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2019, the Company issued $230.0 million aggregate principal amount of 0.750% Convertible Senior Notes due 2024 in a private placement, which amount includes $30.0 million aggregate principal amount of such Notes pursuant to the exercise in full of the over-allotment options of the initial purchasers (collectively, the “Notes”). The interest on the Notes is payable semi-annually in arrears on March 1 and September 1 of each year, beginning on September 1, 2019.</w:t>
      </w:r>
    </w:p>
    <w:p>
      <w:pPr>
        <w:spacing w:after="0" w:line="72" w:lineRule="exact"/>
        <w:rPr>
          <w:sz w:val="20"/>
          <w:szCs w:val="20"/>
          <w:color w:val="auto"/>
        </w:rPr>
      </w:pPr>
    </w:p>
    <w:p>
      <w:pPr>
        <w:jc w:val="both"/>
        <w:ind w:firstLine="691"/>
        <w:spacing w:after="0" w:line="282" w:lineRule="auto"/>
        <w:rPr>
          <w:sz w:val="20"/>
          <w:szCs w:val="20"/>
          <w:color w:val="auto"/>
        </w:rPr>
      </w:pPr>
      <w:r>
        <w:rPr>
          <w:rFonts w:ascii="Times New Roman" w:cs="Times New Roman" w:eastAsia="Times New Roman" w:hAnsi="Times New Roman"/>
          <w:sz w:val="18"/>
          <w:szCs w:val="18"/>
          <w:color w:val="auto"/>
        </w:rPr>
        <w:t>The Notes will mature on March 1, 2024, unless earlier repurchased or redeemed by the Company or converted pursuant to their terms. The total net proceeds from the debt offering, after deducting debt issuance costs, paid or payable by us, were approximately $221.0 million.</w:t>
      </w:r>
    </w:p>
    <w:p>
      <w:pPr>
        <w:spacing w:after="0" w:line="54" w:lineRule="exact"/>
        <w:rPr>
          <w:sz w:val="20"/>
          <w:szCs w:val="20"/>
          <w:color w:val="auto"/>
        </w:rPr>
      </w:pPr>
    </w:p>
    <w:p>
      <w:pPr>
        <w:jc w:val="both"/>
        <w:ind w:firstLine="700"/>
        <w:spacing w:after="0" w:line="253" w:lineRule="auto"/>
        <w:rPr>
          <w:sz w:val="20"/>
          <w:szCs w:val="20"/>
          <w:color w:val="auto"/>
        </w:rPr>
      </w:pPr>
      <w:r>
        <w:rPr>
          <w:rFonts w:ascii="Times New Roman" w:cs="Times New Roman" w:eastAsia="Times New Roman" w:hAnsi="Times New Roman"/>
          <w:sz w:val="18"/>
          <w:szCs w:val="18"/>
          <w:color w:val="auto"/>
        </w:rPr>
        <w:t>Each $1,000 principal amount of the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Notes in connection with such a corporate event. The Notes are not redeemable prior to the maturity date of the Notes and no sinking fund is provided for the Notes. If we undergo a fundamental change (as defined in the indenture governing the Notes) prior to the maturity date, holders may require us to repurchase for cash all or any portion of their Notes in principal amounts of $1,000 or a multiple thereof at a fundamental change repurchase price equal to 100% of the principal amount of the Notes to be repurchased, plus accrued and unpaid interest to, but excluding, the fundamental change repurchase date.</w:t>
      </w:r>
    </w:p>
    <w:p>
      <w:pPr>
        <w:spacing w:after="0" w:line="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Holders of the Notes may convert their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Notes on each applicable trading day as determined by the Company; (2) during the five business day period after any five consecutive trading day period (the “measurement period”) in which the “trading price” (as defined in the indenture governing the Notes) per $1,000 principal amount of Notes for each trading day of the measurement period was less than 98% of the product of the last reported sale price of the Company’s common stock and the conversion rate for the Notes on each such trading day; or (3) upon the occurrence of specified corporate events. On or after November 1, 2023, holders may convert all or any portion of their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85" w:lineRule="exact"/>
        <w:rPr>
          <w:sz w:val="20"/>
          <w:szCs w:val="20"/>
          <w:color w:val="auto"/>
        </w:rPr>
      </w:pPr>
    </w:p>
    <w:p>
      <w:pPr>
        <w:jc w:val="both"/>
        <w:ind w:firstLine="852"/>
        <w:spacing w:after="0" w:line="282" w:lineRule="auto"/>
        <w:rPr>
          <w:sz w:val="20"/>
          <w:szCs w:val="20"/>
          <w:color w:val="auto"/>
        </w:rPr>
      </w:pPr>
      <w:r>
        <w:rPr>
          <w:rFonts w:ascii="Times New Roman" w:cs="Times New Roman" w:eastAsia="Times New Roman" w:hAnsi="Times New Roman"/>
          <w:sz w:val="18"/>
          <w:szCs w:val="18"/>
          <w:color w:val="auto"/>
        </w:rPr>
        <w:t>It is the Company’s current intent to settle the principal amount of its outstanding Notes in cash and any excess in shares of the Company’s common stock.</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2019, the conditions allowing holders of the notes to convert were not met.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71"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jc w:val="both"/>
        <w:ind w:firstLine="721"/>
        <w:spacing w:after="0" w:line="261" w:lineRule="auto"/>
        <w:rPr>
          <w:sz w:val="20"/>
          <w:szCs w:val="20"/>
          <w:color w:val="auto"/>
        </w:rPr>
      </w:pPr>
      <w:r>
        <w:rPr>
          <w:rFonts w:ascii="Times New Roman" w:cs="Times New Roman" w:eastAsia="Times New Roman" w:hAnsi="Times New Roman"/>
          <w:sz w:val="18"/>
          <w:szCs w:val="18"/>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72" w:lineRule="exact"/>
        <w:rPr>
          <w:sz w:val="20"/>
          <w:szCs w:val="20"/>
          <w:color w:val="auto"/>
        </w:rPr>
      </w:pPr>
    </w:p>
    <w:p>
      <w:pPr>
        <w:jc w:val="both"/>
        <w:ind w:firstLine="709"/>
        <w:spacing w:after="0" w:line="256" w:lineRule="auto"/>
        <w:rPr>
          <w:sz w:val="20"/>
          <w:szCs w:val="20"/>
          <w:color w:val="auto"/>
        </w:rPr>
      </w:pPr>
      <w:r>
        <w:rPr>
          <w:rFonts w:ascii="Times New Roman" w:cs="Times New Roman" w:eastAsia="Times New Roman" w:hAnsi="Times New Roman"/>
          <w:sz w:val="18"/>
          <w:szCs w:val="18"/>
          <w:color w:val="auto"/>
        </w:rPr>
        <w:t>In accounting for the issuance of the Notes, the Company separated the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$52.9 million and was determined by deducting the fair value of the liability component from the par value of the Notes. The equity component is not remeasured as long as it continues to meet the conditions for equity classification. The excess of the principal amount of the liability component over its carrying amount, or the debt discount, is amortized to interest expense at an effective interest rate over the contractual terms of the Notes.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accounting for the transaction costs related to the Notes, the Company allocated the total amount incurred of approximately $8.6 million to the liability and equity components of the Notes based on the proportion of the proceeds allocated to the debt and equity components. Issuance costs attributable to the liability component were approximately $6.6 million, were recorded as an additional debt discount and are amortized to interest expense using the effective interest method over the contractual terms of the Notes. Issuance costs attributable to the equity component were approximately $2.0 million and recorded as a reduction of additional paid in capital in stockholders’ equity.</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Notes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102870</wp:posOffset>
            </wp:positionV>
            <wp:extent cx="1294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0" w:type="dxa"/>
            <w:vAlign w:val="bottom"/>
            <w:tcBorders>
              <w:bottom w:val="single" w:sz="8" w:color="CCFFCC"/>
            </w:tcBorders>
          </w:tcPr>
          <w:p>
            <w:pPr>
              <w:spacing w:after="0"/>
              <w:rPr>
                <w:sz w:val="16"/>
                <w:szCs w:val="16"/>
                <w:color w:val="auto"/>
              </w:rPr>
            </w:pPr>
          </w:p>
        </w:tc>
        <w:tc>
          <w:tcPr>
            <w:tcW w:w="9320" w:type="dxa"/>
            <w:vAlign w:val="bottom"/>
            <w:tcBorders>
              <w:bottom w:val="single" w:sz="8" w:color="CCFFC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As of March 31, 2019</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FFCC"/>
            </w:tcBorders>
            <w:shd w:val="clear" w:color="auto" w:fill="CCFFCC"/>
          </w:tcPr>
          <w:p>
            <w:pPr>
              <w:spacing w:after="0"/>
              <w:rPr>
                <w:sz w:val="20"/>
                <w:szCs w:val="20"/>
                <w:color w:val="auto"/>
              </w:rPr>
            </w:pPr>
          </w:p>
        </w:tc>
        <w:tc>
          <w:tcPr>
            <w:tcW w:w="93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6"/>
                <w:szCs w:val="16"/>
                <w:color w:val="auto"/>
              </w:rPr>
              <w:t>Principal</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FFCC"/>
            </w:tcBorders>
            <w:shd w:val="clear" w:color="auto" w:fill="CCFFCC"/>
          </w:tcPr>
          <w:p>
            <w:pPr>
              <w:spacing w:after="0"/>
              <w:rPr>
                <w:sz w:val="20"/>
                <w:szCs w:val="20"/>
                <w:color w:val="auto"/>
              </w:rPr>
            </w:pPr>
          </w:p>
        </w:tc>
        <w:tc>
          <w:tcPr>
            <w:tcW w:w="1740" w:type="dxa"/>
            <w:vAlign w:val="bottom"/>
            <w:tcBorders>
              <w:bottom w:val="single" w:sz="8" w:color="CCFFCC"/>
            </w:tcBorders>
            <w:shd w:val="clear" w:color="auto" w:fill="CCFFCC"/>
          </w:tcPr>
          <w:p>
            <w:pPr>
              <w:jc w:val="right"/>
              <w:ind w:right="21"/>
              <w:spacing w:after="0"/>
              <w:rPr>
                <w:sz w:val="20"/>
                <w:szCs w:val="20"/>
                <w:color w:val="auto"/>
              </w:rPr>
            </w:pPr>
            <w:r>
              <w:rPr>
                <w:rFonts w:ascii="Times New Roman" w:cs="Times New Roman" w:eastAsia="Times New Roman" w:hAnsi="Times New Roman"/>
                <w:sz w:val="16"/>
                <w:szCs w:val="16"/>
                <w:color w:val="auto"/>
              </w:rPr>
              <w:t>230,000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6"/>
                <w:szCs w:val="16"/>
                <w:color w:val="auto"/>
              </w:rPr>
              <w:t>Unamortized discount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(52,173)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FFCC"/>
            </w:tcBorders>
            <w:shd w:val="clear" w:color="auto" w:fill="CCFFCC"/>
          </w:tcPr>
          <w:p>
            <w:pPr>
              <w:spacing w:after="0"/>
              <w:rPr>
                <w:sz w:val="22"/>
                <w:szCs w:val="22"/>
                <w:color w:val="auto"/>
              </w:rPr>
            </w:pPr>
          </w:p>
        </w:tc>
        <w:tc>
          <w:tcPr>
            <w:tcW w:w="93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6"/>
                <w:szCs w:val="16"/>
                <w:color w:val="auto"/>
              </w:rPr>
              <w:t>Unamortized issuance costs</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7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(6,533)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carrying amount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171,294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net carrying amount of the equity component of the Notes was as follows (in thousands):</w:t>
            </w: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9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20" w:type="dxa"/>
            <w:vAlign w:val="bottom"/>
            <w:tcBorders>
              <w:bottom w:val="single" w:sz="8" w:color="CCFFCC"/>
            </w:tcBorders>
          </w:tcPr>
          <w:p>
            <w:pPr>
              <w:spacing w:after="0"/>
              <w:rPr>
                <w:sz w:val="21"/>
                <w:szCs w:val="21"/>
                <w:color w:val="auto"/>
              </w:rPr>
            </w:pPr>
          </w:p>
        </w:tc>
        <w:tc>
          <w:tcPr>
            <w:tcW w:w="9320" w:type="dxa"/>
            <w:vAlign w:val="bottom"/>
            <w:tcBorders>
              <w:bottom w:val="single" w:sz="8" w:color="CCFFCC"/>
            </w:tcBorders>
          </w:tcPr>
          <w:p>
            <w:pPr>
              <w:spacing w:after="0"/>
              <w:rPr>
                <w:sz w:val="21"/>
                <w:szCs w:val="21"/>
                <w:color w:val="auto"/>
              </w:rPr>
            </w:pPr>
          </w:p>
        </w:tc>
        <w:tc>
          <w:tcPr>
            <w:tcW w:w="120" w:type="dxa"/>
            <w:vAlign w:val="bottom"/>
            <w:tcBorders>
              <w:bottom w:val="single" w:sz="8" w:color="CCFFC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As of March 31, 2019</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FFCC"/>
            </w:tcBorders>
            <w:shd w:val="clear" w:color="auto" w:fill="CCFFCC"/>
          </w:tcPr>
          <w:p>
            <w:pPr>
              <w:spacing w:after="0"/>
              <w:rPr>
                <w:sz w:val="20"/>
                <w:szCs w:val="20"/>
                <w:color w:val="auto"/>
              </w:rPr>
            </w:pPr>
          </w:p>
        </w:tc>
        <w:tc>
          <w:tcPr>
            <w:tcW w:w="93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6"/>
                <w:szCs w:val="16"/>
                <w:color w:val="auto"/>
              </w:rPr>
              <w:t>Proceeds allocated to the conversion options (debt discount)</w:t>
            </w:r>
          </w:p>
        </w:tc>
        <w:tc>
          <w:tcPr>
            <w:tcW w:w="300" w:type="dxa"/>
            <w:vAlign w:val="bottom"/>
            <w:tcBorders>
              <w:bottom w:val="single" w:sz="8" w:color="CCFFCC"/>
            </w:tcBorders>
            <w:gridSpan w:val="2"/>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CCFFCC"/>
            </w:tcBorders>
            <w:shd w:val="clear" w:color="auto" w:fill="CCFFCC"/>
          </w:tcPr>
          <w:p>
            <w:pPr>
              <w:jc w:val="right"/>
              <w:ind w:right="21"/>
              <w:spacing w:after="0"/>
              <w:rPr>
                <w:sz w:val="20"/>
                <w:szCs w:val="20"/>
                <w:color w:val="auto"/>
              </w:rPr>
            </w:pPr>
            <w:r>
              <w:rPr>
                <w:rFonts w:ascii="Times New Roman" w:cs="Times New Roman" w:eastAsia="Times New Roman" w:hAnsi="Times New Roman"/>
                <w:sz w:val="16"/>
                <w:szCs w:val="16"/>
                <w:color w:val="auto"/>
              </w:rPr>
              <w:t>52,900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6"/>
                <w:szCs w:val="16"/>
                <w:color w:val="auto"/>
              </w:rPr>
              <w:t>Issuance costs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0" w:type="dxa"/>
            <w:vAlign w:val="bottom"/>
          </w:tcPr>
          <w:p>
            <w:pPr>
              <w:spacing w:after="0"/>
              <w:rPr>
                <w:sz w:val="1"/>
                <w:szCs w:val="1"/>
                <w:color w:val="auto"/>
              </w:rPr>
            </w:pPr>
          </w:p>
        </w:tc>
      </w:tr>
      <w:tr>
        <w:trPr>
          <w:trHeight w:val="33"/>
        </w:trPr>
        <w:tc>
          <w:tcPr>
            <w:tcW w:w="20" w:type="dxa"/>
            <w:vAlign w:val="bottom"/>
            <w:tcBorders>
              <w:bottom w:val="single" w:sz="8" w:color="CCFFCC"/>
            </w:tcBorders>
          </w:tcPr>
          <w:p>
            <w:pPr>
              <w:spacing w:after="0"/>
              <w:rPr>
                <w:sz w:val="2"/>
                <w:szCs w:val="2"/>
                <w:color w:val="auto"/>
              </w:rPr>
            </w:pPr>
          </w:p>
        </w:tc>
        <w:tc>
          <w:tcPr>
            <w:tcW w:w="93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FFCC"/>
          </w:tcPr>
          <w:p>
            <w:pPr>
              <w:spacing w:after="0"/>
              <w:rPr>
                <w:sz w:val="21"/>
                <w:szCs w:val="21"/>
                <w:color w:val="auto"/>
              </w:rPr>
            </w:pPr>
          </w:p>
        </w:tc>
        <w:tc>
          <w:tcPr>
            <w:tcW w:w="9320" w:type="dxa"/>
            <w:vAlign w:val="bottom"/>
            <w:shd w:val="clear" w:color="auto" w:fill="CCFFCC"/>
          </w:tcPr>
          <w:p>
            <w:pPr>
              <w:ind w:left="260"/>
              <w:spacing w:after="0"/>
              <w:rPr>
                <w:sz w:val="20"/>
                <w:szCs w:val="20"/>
                <w:color w:val="auto"/>
              </w:rPr>
            </w:pPr>
            <w:r>
              <w:rPr>
                <w:rFonts w:ascii="Times New Roman" w:cs="Times New Roman" w:eastAsia="Times New Roman" w:hAnsi="Times New Roman"/>
                <w:sz w:val="16"/>
                <w:szCs w:val="16"/>
                <w:color w:val="auto"/>
              </w:rPr>
              <w:t>Net carrying amount</w:t>
            </w:r>
          </w:p>
        </w:tc>
        <w:tc>
          <w:tcPr>
            <w:tcW w:w="300" w:type="dxa"/>
            <w:vAlign w:val="bottom"/>
            <w:gridSpan w:val="2"/>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FFCC"/>
          </w:tcPr>
          <w:p>
            <w:pPr>
              <w:jc w:val="right"/>
              <w:ind w:right="21"/>
              <w:spacing w:after="0"/>
              <w:rPr>
                <w:sz w:val="20"/>
                <w:szCs w:val="20"/>
                <w:color w:val="auto"/>
              </w:rPr>
            </w:pPr>
            <w:r>
              <w:rPr>
                <w:rFonts w:ascii="Times New Roman" w:cs="Times New Roman" w:eastAsia="Times New Roman" w:hAnsi="Times New Roman"/>
                <w:sz w:val="16"/>
                <w:szCs w:val="16"/>
                <w:color w:val="auto"/>
              </w:rPr>
              <w:t>50,914</w:t>
            </w: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tcPr>
          <w:p>
            <w:pPr>
              <w:spacing w:after="0" w:line="20" w:lineRule="exact"/>
              <w:rPr>
                <w:sz w:val="1"/>
                <w:szCs w:val="1"/>
                <w:color w:val="auto"/>
              </w:rPr>
            </w:pPr>
          </w:p>
        </w:tc>
        <w:tc>
          <w:tcPr>
            <w:tcW w:w="9320" w:type="dxa"/>
            <w:vAlign w:val="bottom"/>
            <w:tcBorders>
              <w:top w:val="single" w:sz="8" w:color="CCFFCC"/>
              <w:bottom w:val="single" w:sz="8" w:color="CCFFCC"/>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Notes (in thousands):</w:t>
            </w:r>
          </w:p>
        </w:tc>
        <w:tc>
          <w:tcPr>
            <w:tcW w:w="1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9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320" w:type="dxa"/>
            <w:vAlign w:val="bottom"/>
            <w:tcBorders>
              <w:bottom w:val="single" w:sz="8" w:color="CCFFCC"/>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3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300" w:type="dxa"/>
            <w:vAlign w:val="bottom"/>
            <w:tcBorders>
              <w:bottom w:val="single" w:sz="8" w:color="CCFFCC"/>
            </w:tcBorders>
            <w:gridSpan w:val="2"/>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issuance costs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93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740" w:type="dxa"/>
            <w:vAlign w:val="bottom"/>
            <w:tcBorders>
              <w:bottom w:val="single" w:sz="8" w:color="CCFFCC"/>
            </w:tcBorders>
            <w:shd w:val="clear" w:color="auto" w:fill="CCFFCC"/>
          </w:tcPr>
          <w:p>
            <w:pPr>
              <w:jc w:val="right"/>
              <w:ind w:right="41"/>
              <w:spacing w:after="0"/>
              <w:rPr>
                <w:sz w:val="20"/>
                <w:szCs w:val="20"/>
                <w:color w:val="auto"/>
              </w:rPr>
            </w:pPr>
            <w:r>
              <w:rPr>
                <w:rFonts w:ascii="Times New Roman" w:cs="Times New Roman" w:eastAsia="Times New Roman" w:hAnsi="Times New Roman"/>
                <w:sz w:val="16"/>
                <w:szCs w:val="16"/>
                <w:color w:val="auto"/>
              </w:rPr>
              <w:t>727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remaining term over which the debt discount and debt issuance costs will be amortized is 4.9 years. The effective interest rate on the debt was 6.97% for the period ended March 31, 2019.</w:t>
      </w:r>
    </w:p>
    <w:p>
      <w:pPr>
        <w:spacing w:after="0" w:line="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offering of the Notes, the Company entered into privately-negotiated capped call option transactions with certain counterparties (the “capped calls”). The capped calls each have an initial strike price of approximately $38.58 per share, subject to certain adjustments, which corresponds to the initial conversion price of the Notes. The capped calls have initial cap prices of $57.16 per share, subject to certain adjustment events. The capped calls cover, subject to anti-dilution adjustments, approximately 5.96 million shares of Common Stock. The capped calls are generally intended to reduce or offset the potential dilution to the Common Stock upon any conversion of the Notes with such reduction or offset, as the case may be, subject to a cap based on the cap price. The capped calls expire on March 1, 2024, subject to earlier exercise.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failure to deliver, and hedging disruptions. The capped calls are recorded in stockholders’ equity and are not accounted for as</w:t>
      </w:r>
    </w:p>
    <w:p>
      <w:pPr>
        <w:sectPr>
          <w:pgSz w:w="11900" w:h="16838" w:orient="portrait"/>
          <w:cols w:equalWidth="0" w:num="1">
            <w:col w:w="11420"/>
          </w:cols>
          <w:pgMar w:left="240" w:top="171" w:right="239" w:bottom="144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71" w:right="2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derivatives. The net cost of $23.2 million incurred to purchase the capped calls was recorded as a reduction to additional paid-in capital in the accompanying condensed consolidated balance sheet.</w:t>
      </w:r>
    </w:p>
    <w:p>
      <w:pPr>
        <w:spacing w:after="0" w:line="266"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AdvantageTec Inc.</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October 2018, the Company entered into a stock purchase agreement to acquire the outstanding equity interest of AdvantageTec Inc. (“AdvantageTec”), a leading provider of texting solutions for service departments of automotive dealerships that helps enable Conversational Commerce across the entire dealership, including both front end/variable operations (new and used vehicle sales) and back end/fixed operations (parts and services). The purchase agreement was for total consideration of approximately $11.2 million, which includes approximately $6.0 million in cash, approximately $4.3 million in shares of common stock, and approximately $0.9 million of potential earn-out consideration in cash and shares of common stock. The earn-out is contingent upon achieving certain targeted financial, strategic and integration objectives and milestones and is included as part of the purchase price. During the three months ended March 31, 2019, the Company made $0.5 million of payments in earn-out consideration, with potential future earn-out payments of $0.4 million at March 31, 2019.</w:t>
      </w:r>
    </w:p>
    <w:p>
      <w:pPr>
        <w:spacing w:after="0" w:line="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 price allocation resulted in approximately $9.1 million of goodwill and approximately $2.2 million of intangible assets. The goodwill will not be deductible for tax purposes. The intangible assets are being amortized over their expected period of benefit. A deferred tax liability for the identified intangibles has been recorded.</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AdvantageTec Inc. enhances the Company’s messaging platform available for the automotive industry and is included in the Company's business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Conversable, Inc.</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2018, the Company acquired the employees and technology assets of Conversable, Inc. a SaaS based Artificial Intelligence powered conversational platform, headquartered in Austin, Texas, for an aggregate estimated purchase price of $5.7 million. The estimated purchase price consisted of $1.3 million in cash, approximately $2.9 million in shares of common stock of the Company, and a potential earn-out consideration of $1.5 million in cash, which is based on achieving certain targeted financial, strategic, and integration objectives. This transaction was accounted for under the purchase method of accounting and was based upon the estimated fair value of Conversable, Inc.'s net tangible and identifiable intangible assets as of the date of acquisition.</w:t>
      </w:r>
    </w:p>
    <w:p>
      <w:pPr>
        <w:spacing w:after="0" w:line="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allocation resulted in approximately $5.5 million of goodwill and approximately $0.5 million of intangible assets. The goodwill will be deductible for tax purposes. The intangible assets are being amortized over their expected period of benefit. The allocation of the purchase price to net book value of acquired assets and liabilities resulted in a net liability of $0.3 million, which includes accounts receivable, property and equipment, accrued expenses, and deferred revenue. Transaction costs of $0.3 million were expensed during the three month ended March 31, 2019.</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Conversable Inc.’s capabilities will accelerate the ongoing expansion of the Company's Conversational Commerce solutions and enhance the Company’s ability to deliver proactive and personalized content and services when and where the customer needs it, helping consumers find immediate service through messaging. Conversable, Inc is included in the Company's business segment.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BotCentral, Inc.</w:t>
      </w:r>
    </w:p>
    <w:p>
      <w:pPr>
        <w:spacing w:after="0" w:line="33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2018, the Company acquired the employees and technology assets of BotCentral, Inc., a Silicon Valley based startup, for an approximate purchase price of $1.0 million in common stock of the Company. The Company incurred an additional $0.2 million related to acquisition costs. This transaction was accounted for as an asset purchase. The aggregate amount of approximately $1.2 million is included in intangibles on the Company's consolidated balance sheet. With the team's expertise and knowledge of the LiveEngage platform, the team is bringing valuable insight for the Company's customers and partners, and enabling the company to more rapidly optimize its bot deployment capabilities, and grow the ecosystem. BotCentral Inc is included in the Company's business segment.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71"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76" w:lineRule="exact"/>
        <w:rPr>
          <w:sz w:val="20"/>
          <w:szCs w:val="20"/>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117"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68"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March 31, 2019 and December 31, 2018, are summarized as follows (amounts in thousands).</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20"/>
                <w:szCs w:val="20"/>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88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388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6"/>
                <w:szCs w:val="16"/>
                <w:color w:val="auto"/>
              </w:rPr>
              <w:t>Money market funds</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2,853</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FFCC"/>
            </w:tcBorders>
            <w:gridSpan w:val="2"/>
            <w:shd w:val="clear" w:color="auto" w:fill="CCFFCC"/>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2,853</w:t>
            </w:r>
          </w:p>
        </w:tc>
        <w:tc>
          <w:tcPr>
            <w:tcW w:w="2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2,828</w:t>
            </w:r>
          </w:p>
        </w:tc>
        <w:tc>
          <w:tcPr>
            <w:tcW w:w="10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FFCC"/>
            </w:tcBorders>
            <w:gridSpan w:val="2"/>
            <w:shd w:val="clear" w:color="auto" w:fill="CCFFCC"/>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2,828</w:t>
            </w:r>
          </w:p>
        </w:tc>
      </w:tr>
      <w:tr>
        <w:trPr>
          <w:trHeight w:val="284"/>
        </w:trPr>
        <w:tc>
          <w:tcPr>
            <w:tcW w:w="3880" w:type="dxa"/>
            <w:vAlign w:val="bottom"/>
            <w:tcBorders>
              <w:bottom w:val="single" w:sz="8" w:color="CCFFCC"/>
            </w:tcBorders>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2,853</w:t>
            </w:r>
          </w:p>
        </w:tc>
        <w:tc>
          <w:tcPr>
            <w:tcW w:w="120" w:type="dxa"/>
            <w:vAlign w:val="bottom"/>
            <w:tcBorders>
              <w:bottom w:val="single" w:sz="8" w:color="CCFFCC"/>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FFCC"/>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2,853</w:t>
            </w:r>
          </w:p>
        </w:tc>
        <w:tc>
          <w:tcPr>
            <w:tcW w:w="20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2,828</w:t>
            </w:r>
          </w:p>
        </w:tc>
        <w:tc>
          <w:tcPr>
            <w:tcW w:w="100" w:type="dxa"/>
            <w:vAlign w:val="bottom"/>
            <w:tcBorders>
              <w:bottom w:val="single" w:sz="8" w:color="CCFFCC"/>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FFCC"/>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2,828</w:t>
            </w:r>
          </w:p>
        </w:tc>
      </w:tr>
      <w:tr>
        <w:trPr>
          <w:trHeight w:val="311"/>
        </w:trPr>
        <w:tc>
          <w:tcPr>
            <w:tcW w:w="388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7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r>
      <w:tr>
        <w:trPr>
          <w:trHeight w:val="23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388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6"/>
                <w:szCs w:val="16"/>
                <w:color w:val="auto"/>
              </w:rPr>
              <w:t>Contingent earn-out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FFCC"/>
            </w:tcBorders>
            <w:gridSpan w:val="2"/>
            <w:shd w:val="clear" w:color="auto" w:fill="CCFFCC"/>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1,885</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1,885</w:t>
            </w:r>
          </w:p>
        </w:tc>
        <w:tc>
          <w:tcPr>
            <w:tcW w:w="2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FFCC"/>
            </w:tcBorders>
            <w:gridSpan w:val="2"/>
            <w:shd w:val="clear" w:color="auto" w:fill="CCFFCC"/>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2,372</w:t>
            </w:r>
          </w:p>
        </w:tc>
      </w:tr>
      <w:tr>
        <w:trPr>
          <w:trHeight w:val="244"/>
        </w:trPr>
        <w:tc>
          <w:tcPr>
            <w:tcW w:w="38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1,885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1,885</w:t>
            </w:r>
          </w:p>
        </w:tc>
        <w:tc>
          <w:tcPr>
            <w:tcW w:w="2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2,372</w:t>
            </w: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money market funds are measured at fair value on a recurring basis based on quoted market prices in active markets and are classified as level 1 within the fair value hierarchy. The Company's contingent earn-out liability is measured at fair value on a recurring basis and is classified as level 3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2019, the fair value of the Notes, net of debt issuance costs and the amortization of debt discount, as further described in Note 8 above, was approximately $171.3 million. The fair value was determined by an independent valuation specialist using the antithetic variable technique and is considered a Level 2 fair value measurement.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71"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a contingent earn-out of $2.4 million in December 2018 in connection with the acquisition of Conversable, Inc. The contingent earn-out is based on achieving certain targeted financial, strategic, and integration objectives. The unobservable inputs considered are probability factors and the time value of money. During the three months ended March 31, 2019, there were payments of $0.5 million. As a result, the contingent earn-out balance was $1.9 million as of March 31, 2019. See Note 9 of the Notes to Condensed Consolidated Financial Statements for a full description of the acquisition.</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fair value of the Level 3 liabilities are as follows (amounts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Contingent Earn-Out</w:t>
            </w:r>
          </w:p>
        </w:tc>
        <w:tc>
          <w:tcPr>
            <w:tcW w:w="620" w:type="dxa"/>
            <w:vAlign w:val="bottom"/>
            <w:tcBorders>
              <w:bottom w:val="single" w:sz="8" w:color="auto"/>
            </w:tcBorders>
          </w:tcPr>
          <w:p>
            <w:pPr>
              <w:spacing w:after="0"/>
              <w:rPr>
                <w:sz w:val="16"/>
                <w:szCs w:val="16"/>
                <w:color w:val="auto"/>
              </w:rPr>
            </w:pPr>
          </w:p>
        </w:tc>
      </w:tr>
      <w:tr>
        <w:trPr>
          <w:trHeight w:val="264"/>
        </w:trPr>
        <w:tc>
          <w:tcPr>
            <w:tcW w:w="8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35"/>
        </w:trPr>
        <w:tc>
          <w:tcPr>
            <w:tcW w:w="85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CCFFCC"/>
            </w:tcBorders>
            <w:shd w:val="clear" w:color="auto" w:fill="CCFFCC"/>
          </w:tcPr>
          <w:p>
            <w:pPr>
              <w:jc w:val="right"/>
              <w:ind w:right="42"/>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740" w:type="dxa"/>
            <w:vAlign w:val="bottom"/>
            <w:tcBorders>
              <w:top w:val="single" w:sz="8" w:color="auto"/>
              <w:bottom w:val="single" w:sz="8" w:color="CCFFCC"/>
            </w:tcBorders>
            <w:shd w:val="clear" w:color="auto" w:fill="CCFFCC"/>
          </w:tcPr>
          <w:p>
            <w:pPr>
              <w:jc w:val="right"/>
              <w:ind w:right="56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Conversable, Inc. addition (see Note 9)</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1,496</w:t>
            </w:r>
          </w:p>
        </w:tc>
      </w:tr>
      <w:tr>
        <w:trPr>
          <w:trHeight w:val="33"/>
        </w:trPr>
        <w:tc>
          <w:tcPr>
            <w:tcW w:w="8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54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6"/>
                <w:szCs w:val="16"/>
                <w:color w:val="auto"/>
              </w:rPr>
              <w:t>AdvantageTec Inc. addition (see Note 9)</w:t>
            </w:r>
          </w:p>
        </w:tc>
        <w:tc>
          <w:tcPr>
            <w:tcW w:w="14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876</w:t>
            </w:r>
          </w:p>
        </w:tc>
      </w:tr>
      <w:tr>
        <w:trPr>
          <w:trHeight w:val="237"/>
        </w:trPr>
        <w:tc>
          <w:tcPr>
            <w:tcW w:w="8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payment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4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FFCC"/>
          </w:tcPr>
          <w:p>
            <w:pPr>
              <w:jc w:val="right"/>
              <w:ind w:right="42"/>
              <w:spacing w:after="0"/>
              <w:rPr>
                <w:sz w:val="20"/>
                <w:szCs w:val="20"/>
                <w:color w:val="auto"/>
              </w:rPr>
            </w:pPr>
            <w:r>
              <w:rPr>
                <w:rFonts w:ascii="Times New Roman" w:cs="Times New Roman" w:eastAsia="Times New Roman" w:hAnsi="Times New Roman"/>
                <w:sz w:val="16"/>
                <w:szCs w:val="16"/>
                <w:color w:val="auto"/>
              </w:rPr>
              <w:t>1,885</w:t>
            </w:r>
          </w:p>
        </w:tc>
        <w:tc>
          <w:tcPr>
            <w:tcW w:w="10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auto"/>
            </w:tcBorders>
            <w:shd w:val="clear" w:color="auto" w:fill="CCFFCC"/>
          </w:tcPr>
          <w:p>
            <w:pPr>
              <w:jc w:val="right"/>
              <w:ind w:right="56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2,372</w:t>
            </w:r>
          </w:p>
        </w:tc>
      </w:tr>
      <w:tr>
        <w:trPr>
          <w:trHeight w:val="20"/>
        </w:trPr>
        <w:tc>
          <w:tcPr>
            <w:tcW w:w="8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exposed to foreign exchange risks that in part are managed by using derivative financial instruments. The Company entered into foreign currency forward contracts related to risks associated with foreign operations. The Company does not use derivatives for trading purposes.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 As of March 31, 2019, the Company is not party to any foreign currency forward contracts and does not have any restricted cash balance.</w:t>
      </w:r>
    </w:p>
    <w:p>
      <w:pPr>
        <w:spacing w:after="0" w:line="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summarizes certain information regarding the Company’s derivatives that are not designated or are not effective as hedges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5220" w:type="dxa"/>
            <w:vAlign w:val="bottom"/>
            <w:tcBorders>
              <w:bottom w:val="single" w:sz="8" w:color="auto"/>
            </w:tcBorders>
            <w:gridSpan w:val="6"/>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Gain (losses) on Derivative Instruments Recognized in Statements of Operations</w:t>
            </w:r>
          </w:p>
        </w:tc>
      </w:tr>
      <w:tr>
        <w:trPr>
          <w:trHeight w:val="264"/>
        </w:trPr>
        <w:tc>
          <w:tcPr>
            <w:tcW w:w="6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616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FFC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61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Foreign currency derivatives contracts</w:t>
            </w:r>
          </w:p>
        </w:tc>
        <w:tc>
          <w:tcPr>
            <w:tcW w:w="17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00" w:type="dxa"/>
            <w:vAlign w:val="bottom"/>
            <w:shd w:val="clear" w:color="auto" w:fill="CCFFC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FFCC"/>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FFC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
        </w:trPr>
        <w:tc>
          <w:tcPr>
            <w:tcW w:w="6160" w:type="dxa"/>
            <w:vAlign w:val="bottom"/>
            <w:tcBorders>
              <w:top w:val="single" w:sz="8" w:color="CCFFCC"/>
            </w:tcBorders>
          </w:tcPr>
          <w:p>
            <w:pPr>
              <w:spacing w:after="0" w:line="20" w:lineRule="exact"/>
              <w:rPr>
                <w:sz w:val="1"/>
                <w:szCs w:val="1"/>
                <w:color w:val="auto"/>
              </w:rPr>
            </w:pPr>
          </w:p>
        </w:tc>
        <w:tc>
          <w:tcPr>
            <w:tcW w:w="172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111111"/>
        </w:rPr>
        <w:t xml:space="preserve">The Company leases facilities and certain car leases under agreements accounted for as operating leases. </w:t>
      </w:r>
      <w:r>
        <w:rPr>
          <w:rFonts w:ascii="Times New Roman" w:cs="Times New Roman" w:eastAsia="Times New Roman" w:hAnsi="Times New Roman"/>
          <w:sz w:val="18"/>
          <w:szCs w:val="18"/>
          <w:color w:val="000000"/>
        </w:rPr>
        <w:t>Our leases have initial lease terms ranging</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00000"/>
        </w:rPr>
        <w:t>from 2 years to 13 years. Payments due under the lease contracts include primarily fixed payments. Our lease terms include periods under options to extend or terminate the lease when it is reasonably certain that we will exercise that option. Currently, there are no operating leases where we believe it is reasonable certain that we will exercise any option to extend the initial term.</w:t>
      </w:r>
    </w:p>
    <w:p>
      <w:pPr>
        <w:spacing w:after="0" w:line="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111111"/>
        </w:rPr>
        <w:t>The Company has evaluated its facility leases and determined which leases met the definition of the new standard in accordance with Topic 842. The Company also performed an evaluation of their other contracts with suppliers in accordance with Topic 842 and have determined that, except for the facilities and car leases described above, none of our supply contracts contain a lease. Further, the Company has made an accounting policy election to keep leases with an initial term of twelve months or less off the balance sheet. This policy applies to all classes of the underlying assets. The Company will recognize those lease payments and associated interest expense in the consolidated statement of operations evenly over the lease term.</w:t>
      </w:r>
    </w:p>
    <w:p>
      <w:pPr>
        <w:spacing w:after="0" w:line="1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111111"/>
        </w:rPr>
        <w:t>In connection with the leases, the Company recognized an operating lease right-of-use assets of $14.8 million and an aggregate lease liability of $18.8 million in its condensed consolidated balance sheet as of March 31, 2019.</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71"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111111"/>
        </w:rPr>
        <w:t xml:space="preserve">The determination of the incremental borrowing rate used to calculate the present value of the right-of-use assets and lease liabilities depends on whether an interest rate is specified in the lease or not. If the lease specifies a rate, that rate is used when calculating the present value of lease payments. </w:t>
      </w:r>
      <w:r>
        <w:rPr>
          <w:rFonts w:ascii="Times New Roman" w:cs="Times New Roman" w:eastAsia="Times New Roman" w:hAnsi="Times New Roman"/>
          <w:sz w:val="18"/>
          <w:szCs w:val="18"/>
          <w:color w:val="000000"/>
        </w:rPr>
        <w:t>If</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00000"/>
        </w:rPr>
        <w:t>the rate is not readily determinable, which is generally the case for the Company, the Company’s incremental borrowing rate (“IBR”) as of the date of inception is used (for initial measurement, the IBR was determined as of the adoption date of the standard). The incremental borrowing rate is the rate of interest that the Company would have to pay to borrow on a collateralized basis over a similar term and amount equal to the lease payments in a similar economic environment. The Company used a ratings benchmark report against its peers in the technology sector.</w:t>
      </w:r>
    </w:p>
    <w:p>
      <w:pPr>
        <w:sectPr>
          <w:pgSz w:w="11900" w:h="16838" w:orient="portrait"/>
          <w:cols w:equalWidth="0" w:num="1">
            <w:col w:w="11420"/>
          </w:cols>
          <w:pgMar w:left="240" w:top="17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Operating Leases</w:t>
      </w:r>
    </w:p>
    <w:p>
      <w:pPr>
        <w:spacing w:after="0" w:line="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Right-of-use asset</w:t>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Current operating lease liability</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Long term operating lease liability</w:t>
      </w:r>
    </w:p>
    <w:p>
      <w:pPr>
        <w:spacing w:after="0" w:line="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operating lease liability</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-5700395</wp:posOffset>
            </wp:positionH>
            <wp:positionV relativeFrom="paragraph">
              <wp:posOffset>24765</wp:posOffset>
            </wp:positionV>
            <wp:extent cx="72294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lease term</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33020</wp:posOffset>
            </wp:positionV>
            <wp:extent cx="1543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58"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14,817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-5700395</wp:posOffset>
            </wp:positionH>
            <wp:positionV relativeFrom="paragraph">
              <wp:posOffset>37465</wp:posOffset>
            </wp:positionV>
            <wp:extent cx="722947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363"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6"/>
          <w:szCs w:val="16"/>
          <w:color w:val="auto"/>
        </w:rPr>
        <w:t>6,227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-5700395</wp:posOffset>
            </wp:positionH>
            <wp:positionV relativeFrom="paragraph">
              <wp:posOffset>37465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6"/>
          <w:szCs w:val="16"/>
          <w:color w:val="auto"/>
        </w:rPr>
        <w:t>12,566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37465</wp:posOffset>
            </wp:positionV>
            <wp:extent cx="1543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66"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18,793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-5700395</wp:posOffset>
            </wp:positionH>
            <wp:positionV relativeFrom="paragraph">
              <wp:posOffset>37465</wp:posOffset>
            </wp:positionV>
            <wp:extent cx="7229475"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80" w:space="720"/>
            <w:col w:w="2420"/>
          </w:cols>
          <w:pgMar w:left="240" w:top="171" w:right="239" w:bottom="1440" w:gutter="0" w:footer="0" w:header="0"/>
          <w:type w:val="continuous"/>
        </w:sectPr>
      </w:pP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w:t>
            </w:r>
          </w:p>
        </w:tc>
        <w:tc>
          <w:tcPr>
            <w:tcW w:w="4600" w:type="dxa"/>
            <w:vAlign w:val="bottom"/>
          </w:tcPr>
          <w:p>
            <w:pPr>
              <w:spacing w:after="0"/>
              <w:rPr>
                <w:sz w:val="18"/>
                <w:szCs w:val="18"/>
                <w:color w:val="auto"/>
              </w:rPr>
            </w:pPr>
          </w:p>
        </w:tc>
      </w:tr>
      <w:tr>
        <w:trPr>
          <w:trHeight w:val="33"/>
        </w:trPr>
        <w:tc>
          <w:tcPr>
            <w:tcW w:w="6780" w:type="dxa"/>
            <w:vAlign w:val="bottom"/>
          </w:tcPr>
          <w:p>
            <w:pPr>
              <w:spacing w:after="0"/>
              <w:rPr>
                <w:sz w:val="2"/>
                <w:szCs w:val="2"/>
                <w:color w:val="auto"/>
              </w:rPr>
            </w:pPr>
          </w:p>
        </w:tc>
        <w:tc>
          <w:tcPr>
            <w:tcW w:w="4600" w:type="dxa"/>
            <w:vAlign w:val="bottom"/>
          </w:tcPr>
          <w:p>
            <w:pPr>
              <w:spacing w:after="0"/>
              <w:rPr>
                <w:sz w:val="2"/>
                <w:szCs w:val="2"/>
                <w:color w:val="auto"/>
              </w:rPr>
            </w:pPr>
          </w:p>
        </w:tc>
      </w:tr>
      <w:tr>
        <w:trPr>
          <w:trHeight w:val="250"/>
        </w:trPr>
        <w:tc>
          <w:tcPr>
            <w:tcW w:w="6780" w:type="dxa"/>
            <w:vAlign w:val="bottom"/>
            <w:tcBorders>
              <w:bottom w:val="single" w:sz="8" w:color="CCFFCC"/>
            </w:tcBorders>
            <w:shd w:val="clear" w:color="auto" w:fill="CCFFCC"/>
          </w:tcPr>
          <w:p>
            <w:pPr>
              <w:ind w:left="200"/>
              <w:spacing w:after="0"/>
              <w:rPr>
                <w:sz w:val="20"/>
                <w:szCs w:val="20"/>
                <w:color w:val="auto"/>
              </w:rPr>
            </w:pPr>
            <w:r>
              <w:rPr>
                <w:rFonts w:ascii="Times New Roman" w:cs="Times New Roman" w:eastAsia="Times New Roman" w:hAnsi="Times New Roman"/>
                <w:sz w:val="16"/>
                <w:szCs w:val="16"/>
                <w:color w:val="auto"/>
              </w:rPr>
              <w:t>Operating leases</w:t>
            </w:r>
          </w:p>
        </w:tc>
        <w:tc>
          <w:tcPr>
            <w:tcW w:w="4600" w:type="dxa"/>
            <w:vAlign w:val="bottom"/>
            <w:tcBorders>
              <w:bottom w:val="single" w:sz="8" w:color="CCFFCC"/>
            </w:tcBorders>
            <w:shd w:val="clear" w:color="auto" w:fill="CCFFCC"/>
          </w:tcPr>
          <w:p>
            <w:pPr>
              <w:jc w:val="right"/>
              <w:ind w:right="79"/>
              <w:spacing w:after="0"/>
              <w:rPr>
                <w:sz w:val="20"/>
                <w:szCs w:val="20"/>
                <w:color w:val="auto"/>
              </w:rPr>
            </w:pPr>
            <w:r>
              <w:rPr>
                <w:rFonts w:ascii="Times New Roman" w:cs="Times New Roman" w:eastAsia="Times New Roman" w:hAnsi="Times New Roman"/>
                <w:sz w:val="16"/>
                <w:szCs w:val="16"/>
                <w:color w:val="auto"/>
              </w:rPr>
              <w:t>3.3 years</w:t>
            </w:r>
          </w:p>
        </w:tc>
      </w:tr>
      <w:tr>
        <w:trPr>
          <w:trHeight w:val="297"/>
        </w:trPr>
        <w:tc>
          <w:tcPr>
            <w:tcW w:w="67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50"/>
        </w:trPr>
        <w:tc>
          <w:tcPr>
            <w:tcW w:w="678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4600" w:type="dxa"/>
            <w:vAlign w:val="bottom"/>
            <w:tcBorders>
              <w:bottom w:val="single" w:sz="8" w:color="CCFFCC"/>
            </w:tcBorders>
            <w:shd w:val="clear" w:color="auto" w:fill="CCFFCC"/>
          </w:tcPr>
          <w:p>
            <w:pPr>
              <w:spacing w:after="0"/>
              <w:rPr>
                <w:sz w:val="21"/>
                <w:szCs w:val="21"/>
                <w:color w:val="auto"/>
              </w:rPr>
            </w:pPr>
          </w:p>
        </w:tc>
      </w:tr>
      <w:tr>
        <w:trPr>
          <w:trHeight w:val="237"/>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leases</w:t>
            </w:r>
          </w:p>
        </w:tc>
        <w:tc>
          <w:tcPr>
            <w:tcW w:w="4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bl>
    <w:p>
      <w:pPr>
        <w:spacing w:after="0" w:line="150"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During the three months ended March 31, 2019, there were $1.5 million of cash payments for operating leases. </w:t>
      </w:r>
      <w:r>
        <w:rPr>
          <w:rFonts w:ascii="Times New Roman" w:cs="Times New Roman" w:eastAsia="Times New Roman" w:hAnsi="Times New Roman"/>
          <w:sz w:val="18"/>
          <w:szCs w:val="18"/>
          <w:color w:val="111111"/>
        </w:rPr>
        <w:t>The undiscounted future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payments under the lease liability as of March 31, 2019 were as follows (amounts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 March 31, 2019</w:t>
            </w:r>
          </w:p>
        </w:tc>
      </w:tr>
      <w:tr>
        <w:trPr>
          <w:trHeight w:val="222"/>
        </w:trPr>
        <w:tc>
          <w:tcPr>
            <w:tcW w:w="9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2019 (remaining nine months)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5,390</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36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72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6,078</w:t>
            </w:r>
          </w:p>
        </w:tc>
      </w:tr>
      <w:tr>
        <w:trPr>
          <w:trHeight w:val="237"/>
        </w:trPr>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4,612</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36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72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3,233</w:t>
            </w:r>
          </w:p>
        </w:tc>
      </w:tr>
      <w:tr>
        <w:trPr>
          <w:trHeight w:val="237"/>
        </w:trPr>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1,313</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9480" w:type="dxa"/>
            <w:vAlign w:val="bottom"/>
            <w:tcBorders>
              <w:bottom w:val="single" w:sz="8" w:color="CCFFCC"/>
            </w:tcBorders>
            <w:gridSpan w:val="2"/>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2024 and thereafter</w:t>
            </w:r>
          </w:p>
        </w:tc>
        <w:tc>
          <w:tcPr>
            <w:tcW w:w="200" w:type="dxa"/>
            <w:vAlign w:val="bottom"/>
            <w:tcBorders>
              <w:bottom w:val="single" w:sz="8" w:color="CCFFCC"/>
            </w:tcBorders>
            <w:shd w:val="clear" w:color="auto" w:fill="CCFFCC"/>
          </w:tcPr>
          <w:p>
            <w:pPr>
              <w:spacing w:after="0"/>
              <w:rPr>
                <w:sz w:val="23"/>
                <w:szCs w:val="23"/>
                <w:color w:val="auto"/>
              </w:rPr>
            </w:pPr>
          </w:p>
        </w:tc>
        <w:tc>
          <w:tcPr>
            <w:tcW w:w="1720" w:type="dxa"/>
            <w:vAlign w:val="bottom"/>
            <w:tcBorders>
              <w:bottom w:val="single" w:sz="8" w:color="CCFFCC"/>
            </w:tcBorders>
            <w:shd w:val="clear" w:color="auto" w:fill="CCFFCC"/>
          </w:tcPr>
          <w:p>
            <w:pPr>
              <w:jc w:val="right"/>
              <w:ind w:right="40"/>
              <w:spacing w:after="0"/>
              <w:rPr>
                <w:sz w:val="20"/>
                <w:szCs w:val="20"/>
                <w:color w:val="auto"/>
              </w:rPr>
            </w:pPr>
            <w:r>
              <w:rPr>
                <w:rFonts w:ascii="Times New Roman" w:cs="Times New Roman" w:eastAsia="Times New Roman" w:hAnsi="Times New Roman"/>
                <w:sz w:val="16"/>
                <w:szCs w:val="16"/>
                <w:color w:val="auto"/>
              </w:rPr>
              <w:t>640</w:t>
            </w:r>
          </w:p>
        </w:tc>
      </w:tr>
      <w:tr>
        <w:trPr>
          <w:trHeight w:val="217"/>
        </w:trPr>
        <w:tc>
          <w:tcPr>
            <w:tcW w:w="9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21,266</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9480" w:type="dxa"/>
            <w:vAlign w:val="bottom"/>
            <w:tcBorders>
              <w:bottom w:val="single" w:sz="8" w:color="CCFFCC"/>
            </w:tcBorders>
            <w:gridSpan w:val="2"/>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Less: present value adjustment</w:t>
            </w:r>
          </w:p>
        </w:tc>
        <w:tc>
          <w:tcPr>
            <w:tcW w:w="200" w:type="dxa"/>
            <w:vAlign w:val="bottom"/>
            <w:tcBorders>
              <w:bottom w:val="single" w:sz="8" w:color="CCFFCC"/>
            </w:tcBorders>
            <w:shd w:val="clear" w:color="auto" w:fill="CCFFCC"/>
          </w:tcPr>
          <w:p>
            <w:pPr>
              <w:spacing w:after="0"/>
              <w:rPr>
                <w:sz w:val="23"/>
                <w:szCs w:val="23"/>
                <w:color w:val="auto"/>
              </w:rPr>
            </w:pPr>
          </w:p>
        </w:tc>
        <w:tc>
          <w:tcPr>
            <w:tcW w:w="17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(2,473)</w:t>
            </w:r>
          </w:p>
        </w:tc>
      </w:tr>
      <w:tr>
        <w:trPr>
          <w:trHeight w:val="244"/>
        </w:trPr>
        <w:tc>
          <w:tcPr>
            <w:tcW w:w="94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operating lease liability</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18,793</w:t>
            </w: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Rental expense for operating leases and other service agreements for the three months ended March 31, 2019 and 2018 was approximately $2.9 million and $2.6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121"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The Company has a 401(k) defined contribution plan covering all eligible employees. In 2018, the Company provided for employer matching contributions equal to 50% of employee contributions, up to the lesser of 5% of eligible compensation or $6,000. Matching contributions are deposited into the employee’s 401(k) account and are subject to 5 year graded vesting. Beginning in 2019, the Company's 401(k) policy was changed, whereby the Company matches 100% of the first 3% of eligible compensation and 50% of the next 2% of eligible compensation. Furthermore, the match is immediately vested. Salaries and related expenses include $1.0 million and $0.5 million of employer matching contributions for the three months ended March 31, 2019 and 2018.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2019, the Company has a $1.3 million letter of credit outstanding substantially in favor of a certain landlord for office space. In addition, the Company has a letter of credit totaling $0.1 million as a security deposit for the due performance by the Company of the terms and conditions of a supply contract. There were no draws against these letters of credit during the three months ended March 31, 2019.</w:t>
      </w:r>
    </w:p>
    <w:p>
      <w:pPr>
        <w:sectPr>
          <w:pgSz w:w="11900" w:h="16838" w:orient="portrait"/>
          <w:cols w:equalWidth="0" w:num="1">
            <w:col w:w="11420"/>
          </w:cols>
          <w:pgMar w:left="240" w:top="171" w:right="239" w:bottom="1440" w:gutter="0" w:footer="0" w:header="0"/>
          <w:type w:val="continuous"/>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71" w:right="2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2019, there were 100,000,000 shares of common stock authorized, and 64,747,798 shares issued and outstanding. As of December 31, 2018, there were 100,000,000 shares of common stock authorized, and 63,676,229 shares issued and outstanding. The par value for common shares is $0.001 per share.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2019 and December 31, 2018, there were 5,000,000 shares of preferred stock authorized, and zero shares issued and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 value for preferred shares is $0.001 per share.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2012 through 2018, the Company had a stock repurchase program in place pursuant to which the Company was authorized to repurchase shares of its common stock, in the open market or privately negotiated transactions, at times and prices considered appropriate by the Board of Directors depending upon prevailing market conditions and other corporate considerations. The timing and actual number of shares repurchased depend on a variety of factors including the timing of open trading windows, price, corporate and regulatory requirements and other market conditions. The program was discontinued at the end of 2018. The Company may or may not enter into a new stock repurchase program in the future.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Incremental compensation costs arising from subsequent modifications of awards after the grant date must be recognized.</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per share weighted average fair value of stock options granted was $9.84 and $5.74 during the three months ended March 31, 2019 and 2018, respectively. The fair value of each option grant is estimated on the date of grant using the Black-Scholes option-pricing model with the following weighted average assumptions: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6"/>
                <w:szCs w:val="16"/>
                <w:color w:val="auto"/>
              </w:rPr>
            </w:pPr>
          </w:p>
        </w:tc>
      </w:tr>
      <w:tr>
        <w:trPr>
          <w:trHeight w:val="275"/>
        </w:trPr>
        <w:tc>
          <w:tcPr>
            <w:tcW w:w="798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3"/>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r>
      <w:tr>
        <w:trPr>
          <w:trHeight w:val="264"/>
        </w:trPr>
        <w:tc>
          <w:tcPr>
            <w:tcW w:w="798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35"/>
        </w:trPr>
        <w:tc>
          <w:tcPr>
            <w:tcW w:w="798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Dividend yield</w:t>
            </w:r>
          </w:p>
        </w:tc>
        <w:tc>
          <w:tcPr>
            <w:tcW w:w="1720" w:type="dxa"/>
            <w:vAlign w:val="bottom"/>
            <w:tcBorders>
              <w:bottom w:val="single" w:sz="8" w:color="CCFFCC"/>
            </w:tcBorders>
            <w:gridSpan w:val="2"/>
            <w:shd w:val="clear" w:color="auto" w:fill="CCFFCC"/>
          </w:tcPr>
          <w:p>
            <w:pPr>
              <w:jc w:val="center"/>
              <w:spacing w:after="0"/>
              <w:rPr>
                <w:sz w:val="20"/>
                <w:szCs w:val="20"/>
                <w:color w:val="auto"/>
              </w:rPr>
            </w:pPr>
            <w:r>
              <w:rPr>
                <w:rFonts w:ascii="Times New Roman" w:cs="Times New Roman" w:eastAsia="Times New Roman" w:hAnsi="Times New Roman"/>
                <w:sz w:val="16"/>
                <w:szCs w:val="16"/>
                <w:color w:val="auto"/>
                <w:w w:val="95"/>
              </w:rPr>
              <w:t>0.0%</w:t>
            </w: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1340" w:type="dxa"/>
            <w:vAlign w:val="bottom"/>
            <w:tcBorders>
              <w:bottom w:val="single" w:sz="8" w:color="CCFFCC"/>
            </w:tcBorders>
            <w:gridSpan w:val="2"/>
            <w:shd w:val="clear" w:color="auto" w:fill="CCFFCC"/>
          </w:tcPr>
          <w:p>
            <w:pPr>
              <w:jc w:val="center"/>
              <w:ind w:right="199"/>
              <w:spacing w:after="0"/>
              <w:rPr>
                <w:sz w:val="20"/>
                <w:szCs w:val="20"/>
                <w:color w:val="auto"/>
              </w:rPr>
            </w:pPr>
            <w:r>
              <w:rPr>
                <w:rFonts w:ascii="Times New Roman" w:cs="Times New Roman" w:eastAsia="Times New Roman" w:hAnsi="Times New Roman"/>
                <w:sz w:val="16"/>
                <w:szCs w:val="16"/>
                <w:color w:val="auto"/>
              </w:rPr>
              <w:t>0.0%</w:t>
            </w:r>
          </w:p>
        </w:tc>
      </w:tr>
      <w:tr>
        <w:trPr>
          <w:trHeight w:val="237"/>
        </w:trPr>
        <w:tc>
          <w:tcPr>
            <w:tcW w:w="7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Risk-free interest rate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- 2.57%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- 2.7%</w:t>
            </w:r>
          </w:p>
        </w:tc>
      </w:tr>
      <w:tr>
        <w:trPr>
          <w:trHeight w:val="33"/>
        </w:trPr>
        <w:tc>
          <w:tcPr>
            <w:tcW w:w="7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98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Expected life (in years)</w:t>
            </w:r>
          </w:p>
        </w:tc>
        <w:tc>
          <w:tcPr>
            <w:tcW w:w="8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center"/>
              <w:ind w:right="723"/>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jc w:val="center"/>
              <w:ind w:right="659"/>
              <w:spacing w:after="0"/>
              <w:rPr>
                <w:sz w:val="20"/>
                <w:szCs w:val="20"/>
                <w:color w:val="auto"/>
              </w:rPr>
            </w:pPr>
            <w:r>
              <w:rPr>
                <w:rFonts w:ascii="Times New Roman" w:cs="Times New Roman" w:eastAsia="Times New Roman" w:hAnsi="Times New Roman"/>
                <w:sz w:val="16"/>
                <w:szCs w:val="16"/>
                <w:color w:val="auto"/>
                <w:w w:val="99"/>
              </w:rPr>
              <w:t>5</w:t>
            </w:r>
          </w:p>
        </w:tc>
      </w:tr>
      <w:tr>
        <w:trPr>
          <w:trHeight w:val="237"/>
        </w:trPr>
        <w:tc>
          <w:tcPr>
            <w:tcW w:w="7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Historical volatility</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43.62%</w:t>
            </w:r>
          </w:p>
        </w:tc>
        <w:tc>
          <w:tcPr>
            <w:tcW w:w="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- 43.85%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- 48.2%</w:t>
            </w:r>
          </w:p>
        </w:tc>
      </w:tr>
    </w:tbl>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description of the methods used in the significant assumptions used to estimate the fair value of stock-based compensation awards follows: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Dividend yield – </w:t>
      </w:r>
      <w:r>
        <w:rPr>
          <w:rFonts w:ascii="Times New Roman" w:cs="Times New Roman" w:eastAsia="Times New Roman" w:hAnsi="Times New Roman"/>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ind w:lef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The Company uses the market yield on U.S. Treasury securities at five years with constant maturity, representing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life of stock options in years.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Expected life – </w:t>
      </w:r>
      <w:r>
        <w:rPr>
          <w:rFonts w:ascii="Times New Roman" w:cs="Times New Roman" w:eastAsia="Times New Roman" w:hAnsi="Times New Roman"/>
          <w:sz w:val="18"/>
          <w:szCs w:val="18"/>
          <w:color w:val="auto"/>
        </w:rPr>
        <w:t>The Company uses historical data to estimate the expected life of a stock option.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Historical volatility – </w:t>
      </w:r>
      <w:r>
        <w:rPr>
          <w:rFonts w:ascii="Times New Roman" w:cs="Times New Roman" w:eastAsia="Times New Roman" w:hAnsi="Times New Roman"/>
          <w:sz w:val="18"/>
          <w:szCs w:val="18"/>
          <w:color w:val="auto"/>
        </w:rPr>
        <w:t>The Company uses a trailing five year from grant date to determine volatility.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1998, the Company established the Stock Option and Restricted Stock Purchase Plan (the “1998 Plan”). Under the 1998 Plan, the Board of Directors could issue incentive stock options or nonqualified stock options or other equity-based awards in respect of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2000 Plan by approximately 4,150,000, thereby reserving for issuance 10,000,000 shares of common stock in the aggregate.</w:t>
      </w:r>
    </w:p>
    <w:p>
      <w:pPr>
        <w:sectPr>
          <w:pgSz w:w="11900" w:h="16838" w:orient="portrait"/>
          <w:cols w:equalWidth="0" w:num="1">
            <w:col w:w="11420"/>
          </w:cols>
          <w:pgMar w:left="240" w:top="171"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71" w:right="2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established the 2009 Stock Incentive Plan (as amended and restated,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Plan (the “Amended 2009 Plan”) effective June 7, 2012. The Amended 2009 Plan increased the number of shares authorized for issuance under the plan by an additional 4,250,000.</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 2017, the Company's Board of Directors amended and restated the Amended 2009 Plan effective April 30, 2017. The amended and restated plan increased the number of shares authorized for issuance under the plan by an additional 4,000,000, thereby reserving for issuance 27,817,744 shares of common stock in the aggregate. Options to acquire common stock granted thereunder have 10-year terms. As of March 31, 2019, approximately 2.6 million shares of common stock remained available for issuance under the Amended 2009 Plan (taking into account all option exercises and other equity award settlements through March 31, 2019).</w:t>
      </w:r>
    </w:p>
    <w:p>
      <w:pPr>
        <w:spacing w:after="0" w:line="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11, 2019, the Company's Board of Directors adopted the 2019 Stock Incentive Plan, subject to stockholder approval, to replace the Amended and Restated 2009 Plan, which will expire under its terms on June 9,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June 2010, the Company’s stockholders approved the 2010 Employee Stock Purchase Plan with 1,000,000 shares of common stock initially reserved for issuance. Subject to stockholder approval, which was obtained on June 2, 2017, the Company's Board of Directors amended and restated the 2010 Employee Stock Purchase Plan effective April 30, 2017. The amended and restated plan increased the number of shares authorized for issuance under the plan by an additional 1,000,000, thereby reserving for issuance 2,000,000 shares of common stock in the aggregate. As of March 31, 2019, approximately 0.8 million shares of common stock remained available for issuance under the Employee Stock Purchase Plan (taking into account all share purchases through March 31, 2019).</w:t>
      </w:r>
    </w:p>
    <w:p>
      <w:pPr>
        <w:spacing w:after="0" w:line="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11, 2019, the Company's Board of Directors adopted the 2019 Employee Stock Purchase Plan subject to stockholder approval, to replace the Amended and Restated 2010 Employee Stock Purchase Plan which will expire under its terms in June 2020.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Plan</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January 2018, the Company established the Inducement Plan (the “2018 Plan”). Under the 2018 Plan, the Board of Directors can issue incentive stock options or nonqualified stock options or other equity-based awards in respect of up to 1,500,000 shares of common stock. On April 25, 2018, the Company's Board of Directors amended and restated the 2018 Plan (the "Amended 2018 Plan"). The Amended 2018 Plan increased the number of shares authorized for issuance under the plan by an additional 500,000 shares, and subsequently the Board of Directors has approved and ratified, effective as of July 31, 2018, October 29, 2018 and February 13, 2019, increases of the number of shares authorized for issuance under the Amended 2018 Plan by 500,000, 250,000 and 618,048 shares, respectively, constituting 3,368,048 shares of common stock in the aggregate being reserved for issuance pursuant to grants under the Amended 2018 Plan. As of March 31, 2019, approximately 0.2 million shares of common stock remained available for issuance under the Amended 2018 Plan (taking into account all option exercises and other equity award settlements through March 31, 2019).</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stock option activity and weighted average exercise prices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40" w:type="dxa"/>
            <w:vAlign w:val="bottom"/>
          </w:tcPr>
          <w:p>
            <w:pPr>
              <w:spacing w:after="0"/>
              <w:rPr>
                <w:sz w:val="18"/>
                <w:szCs w:val="18"/>
                <w:color w:val="auto"/>
              </w:rPr>
            </w:pPr>
          </w:p>
        </w:tc>
        <w:tc>
          <w:tcPr>
            <w:tcW w:w="3220" w:type="dxa"/>
            <w:vAlign w:val="bottom"/>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Stock Option Activity</w:t>
            </w: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Options (in</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Contractual Term</w:t>
            </w:r>
          </w:p>
        </w:tc>
        <w:tc>
          <w:tcPr>
            <w:tcW w:w="220" w:type="dxa"/>
            <w:vAlign w:val="bottom"/>
          </w:tcPr>
          <w:p>
            <w:pPr>
              <w:spacing w:after="0"/>
              <w:rPr>
                <w:sz w:val="17"/>
                <w:szCs w:val="17"/>
                <w:color w:val="auto"/>
              </w:rPr>
            </w:pPr>
          </w:p>
        </w:tc>
        <w:tc>
          <w:tcPr>
            <w:tcW w:w="12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Value (in</w:t>
            </w: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16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220" w:type="dxa"/>
            <w:vAlign w:val="bottom"/>
          </w:tcPr>
          <w:p>
            <w:pPr>
              <w:spacing w:after="0"/>
              <w:rPr>
                <w:sz w:val="18"/>
                <w:szCs w:val="18"/>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Balance outstanding at December 31, 2018</w:t>
            </w:r>
          </w:p>
        </w:tc>
        <w:tc>
          <w:tcPr>
            <w:tcW w:w="150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6,266</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12.13</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23.75</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6"/>
                <w:szCs w:val="16"/>
                <w:color w:val="auto"/>
              </w:rPr>
              <w:t>Exercised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10.36</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Cancelled or expired</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11.96</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4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6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4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Balance outstanding at March31, 2019</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5,757</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12.81</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93,297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40" w:type="dxa"/>
            <w:vAlign w:val="bottom"/>
            <w:tcBorders>
              <w:bottom w:val="single" w:sz="8" w:color="CCFFCC"/>
            </w:tcBorders>
          </w:tcPr>
          <w:p>
            <w:pPr>
              <w:ind w:left="40"/>
              <w:spacing w:after="0"/>
              <w:rPr>
                <w:sz w:val="20"/>
                <w:szCs w:val="20"/>
                <w:color w:val="auto"/>
              </w:rPr>
            </w:pPr>
            <w:r>
              <w:rPr>
                <w:rFonts w:ascii="Times New Roman" w:cs="Times New Roman" w:eastAsia="Times New Roman" w:hAnsi="Times New Roman"/>
                <w:sz w:val="16"/>
                <w:szCs w:val="16"/>
                <w:color w:val="auto"/>
              </w:rPr>
              <w:t>Options vested and expected to vest</w:t>
            </w: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5,157</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Borders>
              <w:bottom w:val="single" w:sz="8" w:color="CCFFCC"/>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85,169</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Options exercisable at March 31, 2019</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3,093</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11.38</w:t>
            </w:r>
          </w:p>
        </w:tc>
        <w:tc>
          <w:tcPr>
            <w:tcW w:w="120" w:type="dxa"/>
            <w:vAlign w:val="bottom"/>
            <w:tcBorders>
              <w:bottom w:val="single" w:sz="8" w:color="CCFFCC"/>
            </w:tcBorders>
            <w:shd w:val="clear" w:color="auto" w:fill="CCFFCC"/>
          </w:tcPr>
          <w:p>
            <w:pPr>
              <w:spacing w:after="0"/>
              <w:rPr>
                <w:sz w:val="20"/>
                <w:szCs w:val="20"/>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auto"/>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54,556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stock options exercised during the three months ended March 31, 2019 was approximately $3.0 million. As of March 31, 2019, there was approximately $14.5 million of total unrecognized compensation cost related to nonvested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71"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arrangements. That cost is expected to be recognized over a weighted average period of approximately 2.6 years.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outstanding and vested stock options as of March 31, 2019:</w:t>
      </w: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2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4"/>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Options Exercisable</w:t>
            </w:r>
          </w:p>
        </w:tc>
      </w:tr>
      <w:tr>
        <w:trPr>
          <w:trHeight w:val="33"/>
        </w:trPr>
        <w:tc>
          <w:tcPr>
            <w:tcW w:w="2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7"/>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3"/>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(in</w:t>
            </w:r>
          </w:p>
        </w:tc>
        <w:tc>
          <w:tcPr>
            <w:tcW w:w="262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w w:val="99"/>
              </w:rPr>
              <w:t>Weighted-Average Remaining</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Number of Shares (in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Weighted-Average</w:t>
            </w:r>
          </w:p>
        </w:tc>
      </w:tr>
      <w:tr>
        <w:trPr>
          <w:trHeight w:val="212"/>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Range of Exercise Prices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thousands)</w:t>
            </w:r>
          </w:p>
        </w:tc>
        <w:tc>
          <w:tcPr>
            <w:tcW w:w="262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Contractual Life (Years)</w:t>
            </w:r>
          </w:p>
        </w:tc>
        <w:tc>
          <w:tcPr>
            <w:tcW w:w="48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33"/>
        </w:trPr>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20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$3.35 - $7.60</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903</w:t>
            </w:r>
          </w:p>
        </w:tc>
        <w:tc>
          <w:tcPr>
            <w:tcW w:w="262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Times New Roman" w:cs="Times New Roman" w:eastAsia="Times New Roman" w:hAnsi="Times New Roman"/>
                <w:sz w:val="16"/>
                <w:szCs w:val="16"/>
                <w:color w:val="auto"/>
              </w:rPr>
              <w:t>6.47</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475</w:t>
            </w:r>
          </w:p>
        </w:tc>
        <w:tc>
          <w:tcPr>
            <w:tcW w:w="300" w:type="dxa"/>
            <w:vAlign w:val="bottom"/>
            <w:tcBorders>
              <w:bottom w:val="single" w:sz="8" w:color="CCFFCC"/>
            </w:tcBorders>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7.15</w:t>
            </w:r>
          </w:p>
        </w:tc>
      </w:tr>
      <w:tr>
        <w:trPr>
          <w:trHeight w:val="237"/>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$7.95 - $10.01</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655</w:t>
            </w:r>
          </w:p>
        </w:tc>
        <w:tc>
          <w:tcPr>
            <w:tcW w:w="262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6.35</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9.35</w:t>
            </w:r>
          </w:p>
        </w:tc>
      </w:tr>
      <w:tr>
        <w:trPr>
          <w:trHeight w:val="33"/>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$10.05 - $10.60</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664</w:t>
            </w:r>
          </w:p>
        </w:tc>
        <w:tc>
          <w:tcPr>
            <w:tcW w:w="262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Times New Roman" w:cs="Times New Roman" w:eastAsia="Times New Roman" w:hAnsi="Times New Roman"/>
                <w:sz w:val="16"/>
                <w:szCs w:val="16"/>
                <w:color w:val="auto"/>
              </w:rPr>
              <w:t>5.72</w:t>
            </w:r>
          </w:p>
        </w:tc>
        <w:tc>
          <w:tcPr>
            <w:tcW w:w="16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658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10.26</w:t>
            </w:r>
          </w:p>
        </w:tc>
      </w:tr>
      <w:tr>
        <w:trPr>
          <w:trHeight w:val="237"/>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$11.33 - $12.32</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360</w:t>
            </w:r>
          </w:p>
        </w:tc>
        <w:tc>
          <w:tcPr>
            <w:tcW w:w="262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7.06</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11.81</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11.77</w:t>
            </w:r>
          </w:p>
        </w:tc>
      </w:tr>
      <w:tr>
        <w:trPr>
          <w:trHeight w:val="33"/>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$12.45 - $12.45</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855</w:t>
            </w:r>
          </w:p>
        </w:tc>
        <w:tc>
          <w:tcPr>
            <w:tcW w:w="262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Times New Roman" w:cs="Times New Roman" w:eastAsia="Times New Roman" w:hAnsi="Times New Roman"/>
                <w:sz w:val="16"/>
                <w:szCs w:val="16"/>
                <w:color w:val="auto"/>
              </w:rPr>
              <w:t>2.85</w:t>
            </w:r>
          </w:p>
        </w:tc>
        <w:tc>
          <w:tcPr>
            <w:tcW w:w="16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12.45</w:t>
            </w:r>
          </w:p>
        </w:tc>
      </w:tr>
      <w:tr>
        <w:trPr>
          <w:trHeight w:val="237"/>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$12.46 - $13.59</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643</w:t>
            </w:r>
          </w:p>
        </w:tc>
        <w:tc>
          <w:tcPr>
            <w:tcW w:w="262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9.38</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13.30</w:t>
            </w:r>
          </w:p>
        </w:tc>
      </w:tr>
      <w:tr>
        <w:trPr>
          <w:trHeight w:val="33"/>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$14.30 - $16.05</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580</w:t>
            </w:r>
          </w:p>
        </w:tc>
        <w:tc>
          <w:tcPr>
            <w:tcW w:w="262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Times New Roman" w:cs="Times New Roman" w:eastAsia="Times New Roman" w:hAnsi="Times New Roman"/>
                <w:sz w:val="16"/>
                <w:szCs w:val="16"/>
                <w:color w:val="auto"/>
              </w:rPr>
              <w:t>3.76</w:t>
            </w:r>
          </w:p>
        </w:tc>
        <w:tc>
          <w:tcPr>
            <w:tcW w:w="16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14.84</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15.08</w:t>
            </w:r>
          </w:p>
        </w:tc>
      </w:tr>
      <w:tr>
        <w:trPr>
          <w:trHeight w:val="237"/>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$16.35 - $21.05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621</w:t>
            </w:r>
          </w:p>
        </w:tc>
        <w:tc>
          <w:tcPr>
            <w:tcW w:w="262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8.72</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17.76</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17.46</w:t>
            </w:r>
          </w:p>
        </w:tc>
      </w:tr>
      <w:tr>
        <w:trPr>
          <w:trHeight w:val="33"/>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6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$21.10 - $25.36</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360</w:t>
            </w:r>
          </w:p>
        </w:tc>
        <w:tc>
          <w:tcPr>
            <w:tcW w:w="262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79"/>
              <w:spacing w:after="0"/>
              <w:rPr>
                <w:sz w:val="20"/>
                <w:szCs w:val="20"/>
                <w:color w:val="auto"/>
              </w:rPr>
            </w:pPr>
            <w:r>
              <w:rPr>
                <w:rFonts w:ascii="Times New Roman" w:cs="Times New Roman" w:eastAsia="Times New Roman" w:hAnsi="Times New Roman"/>
                <w:sz w:val="16"/>
                <w:szCs w:val="16"/>
                <w:color w:val="auto"/>
              </w:rPr>
              <w:t>6.92</w:t>
            </w:r>
          </w:p>
        </w:tc>
        <w:tc>
          <w:tcPr>
            <w:tcW w:w="16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22.67</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$25.95 - $25.95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w:t>
            </w:r>
          </w:p>
        </w:tc>
        <w:tc>
          <w:tcPr>
            <w:tcW w:w="262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9.82</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25.95</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76"/>
        </w:trPr>
        <w:tc>
          <w:tcPr>
            <w:tcW w:w="20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60" w:type="dxa"/>
            <w:vAlign w:val="bottom"/>
            <w:tcBorders>
              <w:bottom w:val="single" w:sz="8" w:color="auto"/>
            </w:tcBorders>
            <w:shd w:val="clear" w:color="auto" w:fill="CCFFCC"/>
          </w:tcPr>
          <w:p>
            <w:pPr>
              <w:spacing w:after="0"/>
              <w:rPr>
                <w:sz w:val="15"/>
                <w:szCs w:val="15"/>
                <w:color w:val="auto"/>
              </w:rPr>
            </w:pPr>
          </w:p>
        </w:tc>
        <w:tc>
          <w:tcPr>
            <w:tcW w:w="2620" w:type="dxa"/>
            <w:vAlign w:val="bottom"/>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160" w:type="dxa"/>
            <w:vAlign w:val="bottom"/>
            <w:tcBorders>
              <w:bottom w:val="single" w:sz="8" w:color="auto"/>
            </w:tcBorders>
            <w:shd w:val="clear" w:color="auto" w:fill="CCFFCC"/>
          </w:tcPr>
          <w:p>
            <w:pPr>
              <w:spacing w:after="0"/>
              <w:rPr>
                <w:sz w:val="15"/>
                <w:szCs w:val="15"/>
                <w:color w:val="auto"/>
              </w:rPr>
            </w:pPr>
          </w:p>
        </w:tc>
        <w:tc>
          <w:tcPr>
            <w:tcW w:w="960" w:type="dxa"/>
            <w:vAlign w:val="bottom"/>
            <w:tcBorders>
              <w:bottom w:val="single" w:sz="8" w:color="auto"/>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700" w:type="dxa"/>
            <w:vAlign w:val="bottom"/>
            <w:tcBorders>
              <w:bottom w:val="single" w:sz="8" w:color="auto"/>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80" w:type="dxa"/>
            <w:vAlign w:val="bottom"/>
            <w:tcBorders>
              <w:bottom w:val="single" w:sz="8" w:color="auto"/>
            </w:tcBorders>
            <w:shd w:val="clear" w:color="auto" w:fill="CCFFCC"/>
          </w:tcPr>
          <w:p>
            <w:pPr>
              <w:spacing w:after="0"/>
              <w:rPr>
                <w:sz w:val="15"/>
                <w:szCs w:val="15"/>
                <w:color w:val="auto"/>
              </w:rPr>
            </w:pPr>
          </w:p>
        </w:tc>
        <w:tc>
          <w:tcPr>
            <w:tcW w:w="1620" w:type="dxa"/>
            <w:vAlign w:val="bottom"/>
            <w:tcBorders>
              <w:bottom w:val="single" w:sz="8" w:color="auto"/>
            </w:tcBorders>
            <w:shd w:val="clear" w:color="auto" w:fill="CCFFCC"/>
          </w:tcPr>
          <w:p>
            <w:pPr>
              <w:spacing w:after="0"/>
              <w:rPr>
                <w:sz w:val="15"/>
                <w:szCs w:val="15"/>
                <w:color w:val="auto"/>
              </w:rPr>
            </w:pPr>
          </w:p>
        </w:tc>
      </w:tr>
      <w:tr>
        <w:trPr>
          <w:trHeight w:val="244"/>
        </w:trPr>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5,757</w:t>
            </w:r>
          </w:p>
        </w:tc>
        <w:tc>
          <w:tcPr>
            <w:tcW w:w="2620" w:type="dxa"/>
            <w:vAlign w:val="bottom"/>
          </w:tcPr>
          <w:p>
            <w:pPr>
              <w:spacing w:after="0"/>
              <w:rPr>
                <w:sz w:val="21"/>
                <w:szCs w:val="21"/>
                <w:color w:val="auto"/>
              </w:rPr>
            </w:pPr>
          </w:p>
        </w:tc>
        <w:tc>
          <w:tcPr>
            <w:tcW w:w="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6.91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tcPr>
          <w:p>
            <w:pPr>
              <w:spacing w:after="0"/>
              <w:rPr>
                <w:sz w:val="21"/>
                <w:szCs w:val="21"/>
                <w:color w:val="auto"/>
              </w:rPr>
            </w:pPr>
          </w:p>
        </w:tc>
        <w:tc>
          <w:tcPr>
            <w:tcW w:w="1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3,093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11.38</w:t>
            </w: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restricted stock units (“RSUs”) activity and weighted average exercise prices follows:</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366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Restricted Stock Unit Activity</w:t>
            </w: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58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7"/>
        </w:trPr>
        <w:tc>
          <w:tcPr>
            <w:tcW w:w="5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5800" w:type="dxa"/>
            <w:vAlign w:val="bottom"/>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Shares (in</w:t>
            </w: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Grant Date Fair Value</w:t>
            </w:r>
          </w:p>
        </w:tc>
        <w:tc>
          <w:tcPr>
            <w:tcW w:w="19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Aggregate Fair Value (in</w:t>
            </w:r>
          </w:p>
        </w:tc>
      </w:tr>
      <w:tr>
        <w:trPr>
          <w:trHeight w:val="212"/>
        </w:trPr>
        <w:tc>
          <w:tcPr>
            <w:tcW w:w="580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360" w:type="dxa"/>
            <w:vAlign w:val="bottom"/>
          </w:tcPr>
          <w:p>
            <w:pPr>
              <w:spacing w:after="0"/>
              <w:rPr>
                <w:sz w:val="18"/>
                <w:szCs w:val="18"/>
                <w:color w:val="auto"/>
              </w:rPr>
            </w:pPr>
          </w:p>
        </w:tc>
        <w:tc>
          <w:tcPr>
            <w:tcW w:w="15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thousands)</w:t>
            </w:r>
          </w:p>
        </w:tc>
      </w:tr>
      <w:tr>
        <w:trPr>
          <w:trHeight w:val="33"/>
        </w:trPr>
        <w:tc>
          <w:tcPr>
            <w:tcW w:w="580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580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Balance outstanding at December 31, 2018</w:t>
            </w:r>
          </w:p>
        </w:tc>
        <w:tc>
          <w:tcPr>
            <w:tcW w:w="174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2,690</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tcBorders>
              <w:bottom w:val="single" w:sz="8" w:color="CCFFCC"/>
            </w:tcBorders>
            <w:shd w:val="clear" w:color="auto" w:fill="CCFFCC"/>
          </w:tcPr>
          <w:p>
            <w:pPr>
              <w:spacing w:after="0"/>
              <w:rPr>
                <w:sz w:val="20"/>
                <w:szCs w:val="20"/>
                <w:color w:val="auto"/>
              </w:rPr>
            </w:pPr>
          </w:p>
        </w:tc>
        <w:tc>
          <w:tcPr>
            <w:tcW w:w="360" w:type="dxa"/>
            <w:vAlign w:val="bottom"/>
            <w:tcBorders>
              <w:bottom w:val="single" w:sz="8" w:color="CCFFCC"/>
            </w:tcBorders>
            <w:shd w:val="clear" w:color="auto" w:fill="CCFFC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Awarded</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8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80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6"/>
                <w:szCs w:val="16"/>
                <w:color w:val="auto"/>
              </w:rPr>
              <w:t>Released</w:t>
            </w:r>
          </w:p>
        </w:tc>
        <w:tc>
          <w:tcPr>
            <w:tcW w:w="17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4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56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80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4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CCFFCC"/>
            </w:tcBorders>
          </w:tcPr>
          <w:p>
            <w:pPr>
              <w:spacing w:after="0"/>
              <w:rPr>
                <w:sz w:val="2"/>
                <w:szCs w:val="2"/>
                <w:color w:val="auto"/>
              </w:rPr>
            </w:pPr>
          </w:p>
        </w:tc>
        <w:tc>
          <w:tcPr>
            <w:tcW w:w="1560" w:type="dxa"/>
            <w:vAlign w:val="bottom"/>
            <w:tcBorders>
              <w:bottom w:val="single" w:sz="8" w:color="CCFFCC"/>
            </w:tcBorders>
          </w:tcPr>
          <w:p>
            <w:pPr>
              <w:spacing w:after="0"/>
              <w:rPr>
                <w:sz w:val="2"/>
                <w:szCs w:val="2"/>
                <w:color w:val="auto"/>
              </w:rPr>
            </w:pPr>
          </w:p>
        </w:tc>
      </w:tr>
      <w:tr>
        <w:trPr>
          <w:trHeight w:val="244"/>
        </w:trPr>
        <w:tc>
          <w:tcPr>
            <w:tcW w:w="580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Non-vested and outstanding at March 31 2019</w:t>
            </w:r>
          </w:p>
        </w:tc>
        <w:tc>
          <w:tcPr>
            <w:tcW w:w="1740" w:type="dxa"/>
            <w:vAlign w:val="bottom"/>
            <w:tcBorders>
              <w:bottom w:val="single" w:sz="8" w:color="auto"/>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2,574</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17.61</w:t>
            </w:r>
          </w:p>
        </w:tc>
        <w:tc>
          <w:tcPr>
            <w:tcW w:w="10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auto"/>
            </w:tcBorders>
            <w:shd w:val="clear" w:color="auto" w:fill="CCFFC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74,719</w:t>
            </w:r>
          </w:p>
        </w:tc>
      </w:tr>
      <w:tr>
        <w:trPr>
          <w:trHeight w:val="20"/>
        </w:trPr>
        <w:tc>
          <w:tcPr>
            <w:tcW w:w="58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to vest</w:t>
            </w: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1,816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52,686</w:t>
            </w:r>
          </w:p>
        </w:tc>
      </w:tr>
      <w:tr>
        <w:trPr>
          <w:trHeight w:val="20"/>
        </w:trPr>
        <w:tc>
          <w:tcPr>
            <w:tcW w:w="58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RSUs granted to employees generally vest over a three to four-year period or upon achievement of certain performance conditions. In accordance with ASU 2017-09, as of March 31, 2019, total unrecognized compensation cost, adjusted for estimated forfeitures, related to nonvested RSUs was approximately $42.2 million and the weighted-average remaining vesting period was 2.8 years.</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2019, the Company accrued approximately $1.9 million in cash awards to be settled in shares of the Company's stock and recorded a corresponding expense, which is included as a component of stock-based compensation expense in the accompanying condensed consolidated financial statements for the three months ended March 31, 2019.</w:t>
      </w:r>
    </w:p>
    <w:p>
      <w:pPr>
        <w:spacing w:after="0" w:line="6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in the Company’s condensed consolidated statements of operations and cash flows was $7.2 million and $2.4 million for the three months ended March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7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13. Restructuring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restructuring costs relate to the wind-down of its legacy platform and severance costs associated with re-prioritizing and reallocating resources to focus on areas showing high growth potential within the Company's Business Segment. The expense associated with this restructuring was approximately $0.3 million and $0.2 million during the three months ended March 31, 2019 and 2018, respectively. The Company expects to incur additional restructuring costs through December 31, 2019. The restructuring liability was approximately $0.1 million as of March 31, 2019 and $1.0 million as of December 31, 2018. It is classified as accrued expenses and other current liabilities on the condensed consolidated balance sheets.</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 of the liability for the Company's restructuring charges for the periods presented (amounts in thousands):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720" w:type="dxa"/>
            <w:vAlign w:val="bottom"/>
            <w:tcBorders>
              <w:bottom w:val="single" w:sz="8" w:color="CCFFCC"/>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35"/>
        </w:trPr>
        <w:tc>
          <w:tcPr>
            <w:tcW w:w="67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Balance, Beginning of the year</w:t>
            </w:r>
          </w:p>
        </w:tc>
        <w:tc>
          <w:tcPr>
            <w:tcW w:w="1700" w:type="dxa"/>
            <w:vAlign w:val="bottom"/>
            <w:tcBorders>
              <w:bottom w:val="single" w:sz="8" w:color="CCFFCC"/>
            </w:tcBorders>
            <w:shd w:val="clear" w:color="auto" w:fill="CCFFCC"/>
          </w:tcPr>
          <w:p>
            <w:pPr>
              <w:jc w:val="right"/>
              <w:ind w:right="150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977</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FFCC"/>
            </w:tcBorders>
            <w:shd w:val="clear" w:color="auto" w:fill="CCFFCC"/>
          </w:tcPr>
          <w:p>
            <w:pPr>
              <w:jc w:val="right"/>
              <w:ind w:right="21"/>
              <w:spacing w:after="0"/>
              <w:rPr>
                <w:sz w:val="20"/>
                <w:szCs w:val="20"/>
                <w:color w:val="auto"/>
              </w:rPr>
            </w:pPr>
            <w:r>
              <w:rPr>
                <w:rFonts w:ascii="Times New Roman" w:cs="Times New Roman" w:eastAsia="Times New Roman" w:hAnsi="Times New Roman"/>
                <w:sz w:val="16"/>
                <w:szCs w:val="16"/>
                <w:color w:val="auto"/>
              </w:rPr>
              <w:t>2,338</w:t>
            </w:r>
          </w:p>
        </w:tc>
      </w:tr>
      <w:tr>
        <w:trPr>
          <w:trHeight w:val="237"/>
        </w:trPr>
        <w:tc>
          <w:tcPr>
            <w:tcW w:w="6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Severance and other associated costs</w:t>
            </w:r>
          </w:p>
        </w:tc>
        <w:tc>
          <w:tcPr>
            <w:tcW w:w="17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4,468</w:t>
            </w:r>
          </w:p>
        </w:tc>
      </w:tr>
      <w:tr>
        <w:trPr>
          <w:trHeight w:val="33"/>
        </w:trPr>
        <w:tc>
          <w:tcPr>
            <w:tcW w:w="6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72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6"/>
                <w:szCs w:val="16"/>
                <w:color w:val="auto"/>
              </w:rPr>
              <w:t>Cash payments</w:t>
            </w:r>
          </w:p>
        </w:tc>
        <w:tc>
          <w:tcPr>
            <w:tcW w:w="1700" w:type="dxa"/>
            <w:vAlign w:val="bottom"/>
            <w:tcBorders>
              <w:bottom w:val="single" w:sz="8" w:color="CCFFCC"/>
            </w:tcBorders>
            <w:shd w:val="clear" w:color="auto" w:fill="CCFFCC"/>
          </w:tcPr>
          <w:p>
            <w:pPr>
              <w:spacing w:after="0"/>
              <w:rPr>
                <w:sz w:val="23"/>
                <w:szCs w:val="23"/>
                <w:color w:val="auto"/>
              </w:rPr>
            </w:pPr>
          </w:p>
        </w:tc>
        <w:tc>
          <w:tcPr>
            <w:tcW w:w="6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20" w:type="dxa"/>
            <w:vAlign w:val="bottom"/>
            <w:tcBorders>
              <w:bottom w:val="single" w:sz="8" w:color="CCFFCC"/>
            </w:tcBorders>
            <w:shd w:val="clear" w:color="auto" w:fill="CCFFCC"/>
          </w:tcPr>
          <w:p>
            <w:pPr>
              <w:spacing w:after="0"/>
              <w:rPr>
                <w:sz w:val="23"/>
                <w:szCs w:val="23"/>
                <w:color w:val="auto"/>
              </w:rPr>
            </w:pPr>
          </w:p>
        </w:tc>
        <w:tc>
          <w:tcPr>
            <w:tcW w:w="320" w:type="dxa"/>
            <w:vAlign w:val="bottom"/>
            <w:tcBorders>
              <w:bottom w:val="single" w:sz="8" w:color="CCFFCC"/>
            </w:tcBorders>
            <w:shd w:val="clear" w:color="auto" w:fill="CCFFCC"/>
          </w:tcPr>
          <w:p>
            <w:pPr>
              <w:spacing w:after="0"/>
              <w:rPr>
                <w:sz w:val="23"/>
                <w:szCs w:val="23"/>
                <w:color w:val="auto"/>
              </w:rPr>
            </w:pPr>
          </w:p>
        </w:tc>
        <w:tc>
          <w:tcPr>
            <w:tcW w:w="19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(5,829)</w:t>
            </w:r>
          </w:p>
        </w:tc>
      </w:tr>
      <w:tr>
        <w:trPr>
          <w:trHeight w:val="24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700" w:type="dxa"/>
            <w:vAlign w:val="bottom"/>
            <w:tcBorders>
              <w:top w:val="single" w:sz="8" w:color="auto"/>
              <w:bottom w:val="single" w:sz="8" w:color="auto"/>
            </w:tcBorders>
          </w:tcPr>
          <w:p>
            <w:pPr>
              <w:jc w:val="right"/>
              <w:ind w:right="1502"/>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977</w:t>
            </w:r>
          </w:p>
        </w:tc>
      </w:tr>
      <w:tr>
        <w:trPr>
          <w:trHeight w:val="20"/>
        </w:trPr>
        <w:tc>
          <w:tcPr>
            <w:tcW w:w="6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detail of expenses for the Company's restructuring charges for the three months ended March 31, 2019 (amounts in thousands):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720" w:type="dxa"/>
            <w:vAlign w:val="bottom"/>
            <w:tcBorders>
              <w:bottom w:val="single" w:sz="8" w:color="CCFFCC"/>
            </w:tcBorders>
          </w:tcPr>
          <w:p>
            <w:pPr>
              <w:spacing w:after="0"/>
              <w:rPr>
                <w:sz w:val="16"/>
                <w:szCs w:val="16"/>
                <w:color w:val="auto"/>
              </w:rPr>
            </w:pPr>
          </w:p>
        </w:tc>
        <w:tc>
          <w:tcPr>
            <w:tcW w:w="17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55"/>
        </w:trPr>
        <w:tc>
          <w:tcPr>
            <w:tcW w:w="67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Severance and other associated costs</w:t>
            </w:r>
          </w:p>
        </w:tc>
        <w:tc>
          <w:tcPr>
            <w:tcW w:w="1780" w:type="dxa"/>
            <w:vAlign w:val="bottom"/>
            <w:tcBorders>
              <w:bottom w:val="single" w:sz="8" w:color="CCFFCC"/>
            </w:tcBorders>
            <w:shd w:val="clear" w:color="auto" w:fill="CCFFCC"/>
          </w:tcPr>
          <w:p>
            <w:pPr>
              <w:jc w:val="right"/>
              <w:ind w:right="158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bottom w:val="single" w:sz="8" w:color="CCFFCC"/>
            </w:tcBorders>
            <w:shd w:val="clear" w:color="auto" w:fill="CCFFCC"/>
          </w:tcPr>
          <w:p>
            <w:pPr>
              <w:spacing w:after="0"/>
              <w:rPr>
                <w:sz w:val="22"/>
                <w:szCs w:val="22"/>
                <w:color w:val="auto"/>
              </w:rPr>
            </w:pPr>
          </w:p>
        </w:tc>
        <w:tc>
          <w:tcPr>
            <w:tcW w:w="380" w:type="dxa"/>
            <w:vAlign w:val="bottom"/>
            <w:tcBorders>
              <w:bottom w:val="single" w:sz="8" w:color="CCFFCC"/>
            </w:tcBorders>
            <w:shd w:val="clear" w:color="auto" w:fill="CCFFC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CCFFCC"/>
            </w:tcBorders>
            <w:shd w:val="clear" w:color="auto" w:fill="CCFFCC"/>
          </w:tcPr>
          <w:p>
            <w:pPr>
              <w:jc w:val="right"/>
              <w:ind w:right="22"/>
              <w:spacing w:after="0"/>
              <w:rPr>
                <w:sz w:val="20"/>
                <w:szCs w:val="20"/>
                <w:color w:val="auto"/>
              </w:rPr>
            </w:pPr>
            <w:r>
              <w:rPr>
                <w:rFonts w:ascii="Times New Roman" w:cs="Times New Roman" w:eastAsia="Times New Roman" w:hAnsi="Times New Roman"/>
                <w:sz w:val="16"/>
                <w:szCs w:val="16"/>
                <w:color w:val="auto"/>
              </w:rPr>
              <w:t>178</w:t>
            </w:r>
          </w:p>
        </w:tc>
      </w:tr>
      <w:tr>
        <w:trPr>
          <w:trHeight w:val="244"/>
        </w:trPr>
        <w:tc>
          <w:tcPr>
            <w:tcW w:w="6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1780" w:type="dxa"/>
            <w:vAlign w:val="bottom"/>
            <w:tcBorders>
              <w:top w:val="single" w:sz="8" w:color="auto"/>
              <w:bottom w:val="single" w:sz="8" w:color="auto"/>
            </w:tcBorders>
          </w:tcPr>
          <w:p>
            <w:pPr>
              <w:jc w:val="right"/>
              <w:ind w:right="158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178</w:t>
            </w:r>
          </w:p>
        </w:tc>
      </w:tr>
      <w:tr>
        <w:trPr>
          <w:trHeight w:val="20"/>
        </w:trPr>
        <w:tc>
          <w:tcPr>
            <w:tcW w:w="67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Legal Matters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previously filed an intellectual property suit against [24]7 Customer, Inc.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the Company's favor have invalidated the majority of [24]7 patents that were asserted in the patent cases. Trial for the Company's intellectual property and other claims asserted against [24]7 in the original litigation is currently set for September 3, 2019. The Company believes the claims filed by [24]7 are entirely without merit and intends to defend them vigorously.</w:t>
      </w:r>
    </w:p>
    <w:p>
      <w:pPr>
        <w:spacing w:after="0" w:line="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w:t>
      </w:r>
    </w:p>
    <w:p>
      <w:pPr>
        <w:spacing w:after="0" w:line="4" w:lineRule="exact"/>
        <w:rPr>
          <w:sz w:val="20"/>
          <w:szCs w:val="20"/>
          <w:color w:val="auto"/>
        </w:rPr>
      </w:pPr>
    </w:p>
    <w:p>
      <w:pPr>
        <w:jc w:val="both"/>
        <w:ind w:firstLine="8"/>
        <w:spacing w:after="0" w:line="253" w:lineRule="auto"/>
        <w:tabs>
          <w:tab w:leader="none" w:pos="3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92" w:right="239" w:bottom="1440" w:gutter="0" w:footer="0" w:header="0"/>
        </w:sectPr>
      </w:pPr>
    </w:p>
    <w:bookmarkStart w:id="27" w:name="page28"/>
    <w:bookmarkEnd w:id="2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ind w:right="3980"/>
        <w:spacing w:after="0" w:line="412" w:lineRule="auto"/>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 General</w:t>
      </w:r>
    </w:p>
    <w:p>
      <w:pPr>
        <w:spacing w:after="0" w:line="4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ind w:firstLine="763"/>
        <w:spacing w:after="0" w:line="251" w:lineRule="auto"/>
        <w:rPr>
          <w:sz w:val="20"/>
          <w:szCs w:val="20"/>
          <w:color w:val="auto"/>
        </w:rPr>
      </w:pPr>
      <w:r>
        <w:rPr>
          <w:rFonts w:ascii="Times New Roman" w:cs="Times New Roman" w:eastAsia="Times New Roman" w:hAnsi="Times New Roman"/>
          <w:sz w:val="18"/>
          <w:szCs w:val="18"/>
          <w:color w:val="auto"/>
        </w:rPr>
        <w:t>LivePerson, Inc. ("LivePerson," the "Company," "we" or "our") makes life easier by transforming how people communicate with brands. During the past decade, the consumer has made the mobile device the center of their digital lives, and they have made mobile messaging the center of communication with friends, family and peers. Our technology enables consumers to connect with businesses through these same preferred conversational interfaces, including Facebook Messenger,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and brick and mortar engagements. For example, consumers can look up product info like ratings, images and pricing, search for stores, see products in the store, schedule appointments, apply for credit, approve repairs, make purchases or payments - all without ever leaving the messaging channel. We call these AI and human-assisted conversational experiences over messaging Conversational Commerce.</w:t>
      </w:r>
    </w:p>
    <w:p>
      <w:pPr>
        <w:spacing w:after="0" w:line="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LiveEngage, our enterprise-class, cloud-based platform, was designed for Conversational Commerce, enabling businesses to securely deploy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 (SMS), social media and third-party consumer messaging platforms. Brands can also use LiveEngage to message consumers when they dial a 1-800 number instead of having them navigate interactive voice response systems (IVRs) and wait on hold.</w:t>
      </w:r>
    </w:p>
    <w:p>
      <w:pPr>
        <w:spacing w:after="0" w:line="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robust, cloud-based suite of rich mobile messaging and real-time chat offerings features intelligent routing and capacity mapping, queue prioritization, customer sentiment, real-time analytics and reporting, content delivery, Payment Card Industry (PCI) compliance, cobrowsing and a sophisticated proactive targeting engine. With LiveEngage, agents can manage all conversations with consumers through a single console interface, regardless of which disparate messaging endpoints the consumers originate from: i.e., WhatsApp, Line, Apple Business Chat, IVR, or Google Home. An extensible application programming interface (API) stack facilitates a lower cost of ownership by facilitating robust integration into back-end systems, as well as enabling developers to build their own programs and services on top of the platform. More than three dozen APIs are available on LiveEngage.</w:t>
      </w:r>
    </w:p>
    <w:p>
      <w:pPr>
        <w:spacing w:after="0" w:line="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LiveEngage also features Maven, a robust AI engine that was custom designed for Conversational Commerce. Maven, announced in December 2018, puts the power of bot development, training and management into the hands of the contact center and its agents, the teams most familiar with how to structure sales and service conversations to drive successful outcomes. The platform enables what the we call “the tango” of humans, AI and bots, whereby human agents act as bot managers, overseeing AI-powered conversations and seamlessly stepping into the flow when a personal touch is needed. Through Maven Assist, agents become ultra-efficient, leveraging the AI engine to serve up relevant content, define next-best actions and take over repetitive transactional work, so that the agent can focus on relationship building. By seamlessly integrating LiveEngage with Maven, as well as third-party bots, the platform provides businesses with a comprehensive view of all AI-based and human-based conversations from a single console.</w:t>
      </w:r>
    </w:p>
    <w:p>
      <w:pPr>
        <w:spacing w:after="0" w:line="81"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Complementing LiveEngage are teams of technical, solutions and consulting professionals that have developed deep domain expertise in Conversational Commerce across industries and messaging endpoints. We are positioned as an authority in Conversational Commerce, publishing a proprietary Conversational Quotient™ Index that measures each customer across multiple key indicators to ascertain their level of conversational maturity. Each business is then benchmarked against industry peers to determine their relative progression. We have developed a Transformation Model that is introduced to existing and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900" w:right="239" w:bottom="1440" w:gutter="0" w:footer="0" w:header="0"/>
        </w:sectPr>
      </w:pPr>
    </w:p>
    <w:bookmarkStart w:id="29" w:name="page30"/>
    <w:bookmarkEnd w:id="29"/>
    <w:p>
      <w:pPr>
        <w:ind w:right="20"/>
        <w:spacing w:after="0" w:line="266" w:lineRule="auto"/>
        <w:rPr>
          <w:sz w:val="20"/>
          <w:szCs w:val="20"/>
          <w:color w:val="auto"/>
        </w:rPr>
      </w:pPr>
      <w:r>
        <w:rPr>
          <w:rFonts w:ascii="Times New Roman" w:cs="Times New Roman" w:eastAsia="Times New Roman" w:hAnsi="Times New Roman"/>
          <w:sz w:val="18"/>
          <w:szCs w:val="18"/>
          <w:color w:val="auto"/>
        </w:rPr>
        <w:t>prospective customers to help guide them on their journeys from legacy voice, email and chat solutions to modern conversational ones powered by messaging and AI. Our products, coupled with our domain knowledge, industry expertise and professional services, have been proven to maximize the effectiveness of Conversational Commerce and deliver measurable return on investment.</w:t>
      </w:r>
    </w:p>
    <w:p>
      <w:pPr>
        <w:spacing w:after="0" w:line="6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More than 18,000 businesses, including HSBC, Orange, and The Home Depot use our Conversational Commerce solutions to orchestrate humans and AI, at scale, and create a convenient, deeply personal relationship.</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solutions benefit organizations of all sizes conducting business or communicating with consumers through mobile and online messaging and chat. We plan to continue to focus on key target markets: consumer/retail, telecommunications, financial services, travel/hospitality, technology and automotive, within the United States and Canada, Latin America, Europe and the Asia-Pacific region.</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organized into two operating segments: Business and Consumer.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sustain growth in these segments, our strategy is to expand our position as the leading provider of online and mobile messaging solutions that transform how people communicate with brands. To accomplish this, we are focused on the following current initiatives: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elements of LivePerson’s business solutions strategy include:</w:t>
      </w:r>
    </w:p>
    <w:p>
      <w:pPr>
        <w:spacing w:after="0" w:line="11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Build awareness and drive adoption of Conversational Commerce. </w:t>
      </w:r>
      <w:r>
        <w:rPr>
          <w:rFonts w:ascii="Times New Roman" w:cs="Times New Roman" w:eastAsia="Times New Roman" w:hAnsi="Times New Roman"/>
          <w:sz w:val="18"/>
          <w:szCs w:val="18"/>
          <w:color w:val="auto"/>
        </w:rPr>
        <w:t>LivePerson brought our first customer live on messaging in June 2016.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time, we have been focused on building awareness for Conversational Commerce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key component of our industry awareness marketing strategy has been to hold multiple global customer summits each year that target executives from enterprise customers and prospects, and feature a key theme within Conversational Commerce, such as Apple Business Chat, Google Rich Business Messenger, IVR deflection or AI. LivePerson customers are the centerpoint of these summits, presenting why they chose LivePerson for Conversational Commerce, how they achieved success, and what type of ROI they have realized. Each attendee then receives a blueprint for how they can achieve similar outcomes. We have found this strategy to drive strong results for LivePerson, as we have seen a greater than 40% conversion rate on opportunities that were created or advanced as part of the customer summits. By year end 2018, we had brought more than 200 customers live on messaging and increased adoption within our enterprise customers to more than 40%. In addition, more than 50% of messaging conversations had automation attached. We will continue to focus on building awareness for Conversational Commerce and driving adoption of messaging and AI across our customer base.</w:t>
      </w:r>
    </w:p>
    <w:p>
      <w:pPr>
        <w:spacing w:after="0" w:line="7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 volumes on LiveEngage by deploying a broad messaging ecosystem and expanding customer use cases. </w:t>
      </w:r>
      <w:r>
        <w:rPr>
          <w:rFonts w:ascii="Times New Roman" w:cs="Times New Roman" w:eastAsia="Times New Roman" w:hAnsi="Times New Roman"/>
          <w:sz w:val="18"/>
          <w:szCs w:val="18"/>
          <w:color w:val="auto"/>
        </w:rPr>
        <w:t>Our strategy is to drive higher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volumes on LiveEngage by going both wide across messaging endpoints and deep across consumer use cases.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go wide across messaging endpoints, it is imperative that LiveEngage integrates to all of the messaging apps that consumers prefer to use for communication. For example, if a consumer is an avid WhatsApp user, and a brand only offers SMS as a messaging option, that consumer may be reluctant to try messaging the brand. Therefore, a key strategy of our has been to build one of the industry’s broadest ecosystems of messaging endpoints. In June 2016, we launched with In-App messaging. In 2017, we introduced Facebook Messenger, SMS, Web messaging and IVR deflection integrations. In 2018, we added Apple Business Chat, Google Rich Business Messenger, Line, WhatsApp, Alexa, Google Home, Google Ad Lingo and Twitter.</w:t>
      </w:r>
    </w:p>
    <w:p>
      <w:pPr>
        <w:spacing w:after="0" w:line="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channel added opens the door to hundreds of millions of new consumers, providing brands a greater opportunity to shift share away from their legacy contact center channels into messaging. LivePerson makes the management of all these disparate channels seamless to the brand. The LiveEngage intelligent routing, queuing and prioritization software orchestrates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conversations at scale, regardless of which messaging endpoint they originated from, so that human and bot agents can engage with all customers through just one console.</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go deep across customer use cases, we are focused on extending LiveEngage beyond just taking share of the 270 billion calls made to customer service 1-800 numbers each year, into sales, marketing and brick and mortar conversations. For example, in 2018, a home improvement retailer launched a bot that autonomously sells millions of dollars of grills; a leading global concessions manager launched a service that lets patrons in a sports arena order beverages to their seats through Apple Business Chat; and a telecommunications company used LiveEngage to drive pre-sales for an iPhone series launch.</w:t>
      </w:r>
    </w:p>
    <w:p>
      <w:pPr>
        <w:spacing w:after="0" w:line="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this strategy has influenced LivePerson’s enterprise and mid-market revenue retention rate, (the trailing-twelve-month change in total revenue from existing customers after upsells, downsells and attrition) which was greater than 110% in 2018. The benefit can also be seen in LivePerson’s average revenue per user (ARPU) for our enterprise and mid-market customers, which increased more than 25% in 2018 to approximately $285,000 from approximately $220,000 in 2017. For this same customer set, when examining only the subset that have adopted messaging, the ARPU in 2018 increased to approximately $500,000. When examining customers that have adopted at least three endpoints, the APRU in 2018 increased into the low seven figures. We believe these ARPU trends are a clear indication of how LivePerson’s strategy to drive messaging adoption has successfully influenced our revenue growth by taking share from legacy communication channels. We will continue to focus on adding new messaging endpoints and driving higher adoption of each of these channels within our customer base.</w:t>
      </w:r>
    </w:p>
    <w:p>
      <w:pPr>
        <w:spacing w:after="0" w:line="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Globalize R&amp;D to attract the industry’s best AI, machine learning and conversational talent. </w:t>
      </w:r>
      <w:r>
        <w:rPr>
          <w:rFonts w:ascii="Times New Roman" w:cs="Times New Roman" w:eastAsia="Times New Roman" w:hAnsi="Times New Roman"/>
          <w:sz w:val="18"/>
          <w:szCs w:val="18"/>
          <w:color w:val="auto"/>
        </w:rPr>
        <w:t>We believe that AI and machine learning are critical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successfully scaling Conversational Commerce, and that in order to develop the industry’s leading technology, we need to open offices where the best talent is located. To spearhead that globalization effort, in 2018, LivePerson recruited Alex Spinelli, key architect of the Alexa Operating System at Amazon.com, as our Global CTO. Under Mr. Spinelli’s leadership, we opened an Advanced Technology Center in Seattle, Washington, in 2018, expanded our Mannheim, Germany development center, and added key development talent through the acquisitions of BotCentral in Mountain View, California and Conversable in Austin, Texas. We added more than 70 machine learning, AI and Conversational Commerce developers in 2018, recruiting top talent from firms such as Nike, Amazon.com, Microsoft and Target. We expect to continue adding industry leading development talent across our global offices in 2019.</w:t>
      </w:r>
    </w:p>
    <w:p>
      <w:pPr>
        <w:spacing w:after="0" w:line="7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Bring to market best-in-class AI and machine learning technologies designed for Conversational Commerce. </w:t>
      </w:r>
      <w:r>
        <w:rPr>
          <w:rFonts w:ascii="Times New Roman" w:cs="Times New Roman" w:eastAsia="Times New Roman" w:hAnsi="Times New Roman"/>
          <w:sz w:val="18"/>
          <w:szCs w:val="18"/>
          <w:color w:val="auto"/>
        </w:rPr>
        <w:t>We believe that over the past few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many first generation AI and bots have created frustrating experiences for consumers and businesses alike, which in turn has eroded trust in automation. Many of these solutions have proven difficult to build and scale, and have been limited by stand alone implementations that lacked the measurement, reporting and human oversight of Conversational Commerce platforms such as LiveEngage. In December 2018, LivePerson announced Maven, a patent pending AI engine that is designed to overcome these shortcomings and help brands rapidly bring to market conversational AI that can scale to millions of interactions, while increasing customer satisfaction and conversion rates.</w:t>
      </w:r>
    </w:p>
    <w:p>
      <w:pPr>
        <w:spacing w:after="0" w:line="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Unlike alternative solutions designed solely for IT departments, Maven was built to be used by developers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contact center agents. By putting the power of conversational design and bot management in the hands of contact center agents, Maven gives brands the ability to leverage the employees closest to the customer, those who are most versed in the voice of the brand, and with the most expertise in how to craft successful outcomes for customer service and sales journeys.</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Some of the key innovations behind Maven include:</w:t>
      </w:r>
    </w:p>
    <w:p>
      <w:pPr>
        <w:spacing w:after="0" w:line="117" w:lineRule="exact"/>
        <w:rPr>
          <w:sz w:val="20"/>
          <w:szCs w:val="20"/>
          <w:color w:val="auto"/>
        </w:rPr>
      </w:pPr>
    </w:p>
    <w:p>
      <w:pPr>
        <w:ind w:left="1040" w:hanging="316"/>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 building software that is based on dialogue instead of workflow or code, so non-technical employees like contact center agents can design automations</w:t>
      </w:r>
    </w:p>
    <w:p>
      <w:pPr>
        <w:ind w:left="1040" w:hanging="316"/>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bootstrap conversations with existing transcripts, reducing design effort and speeding time to market</w:t>
      </w:r>
    </w:p>
    <w:p>
      <w:pPr>
        <w:spacing w:after="0" w:line="9" w:lineRule="exact"/>
        <w:rPr>
          <w:rFonts w:ascii="Times New Roman" w:cs="Times New Roman" w:eastAsia="Times New Roman" w:hAnsi="Times New Roman"/>
          <w:sz w:val="18"/>
          <w:szCs w:val="18"/>
          <w:color w:val="auto"/>
        </w:rPr>
      </w:pPr>
    </w:p>
    <w:p>
      <w:pPr>
        <w:ind w:left="1040" w:hanging="316"/>
        <w:spacing w:after="0" w:line="250"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establishing of contact center agents as bot managers, ensuring that every conversation is safeguarded by a human and that agents are continuously training the AI to be smarter and drive more successful outcomes</w:t>
      </w:r>
    </w:p>
    <w:p>
      <w:pPr>
        <w:ind w:left="1040" w:hanging="316"/>
        <w:spacing w:after="0" w:line="250"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powerful Assist technology that multiplies the efficiency of agents by analyzing intents in real time and then suggesting next best actions, predefined content, and bots that can take over transactional work</w:t>
      </w:r>
    </w:p>
    <w:p>
      <w:pPr>
        <w:ind w:left="1040" w:hanging="316"/>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pre-built templates for target verticals that provide out of the box support for the top intents and back-end integrations</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AI NLU integration, so customers aren't boxed into one vendor</w:t>
      </w:r>
    </w:p>
    <w:p>
      <w:pPr>
        <w:spacing w:after="0" w:line="9" w:lineRule="exact"/>
        <w:rPr>
          <w:rFonts w:ascii="Times New Roman" w:cs="Times New Roman" w:eastAsia="Times New Roman" w:hAnsi="Times New Roman"/>
          <w:sz w:val="18"/>
          <w:szCs w:val="18"/>
          <w:color w:val="auto"/>
        </w:rPr>
      </w:pPr>
    </w:p>
    <w:p>
      <w:pPr>
        <w:ind w:left="1040" w:hanging="316"/>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analytics and reporting tailored to Conversational Commerce</w:t>
      </w:r>
    </w:p>
    <w:p>
      <w:pPr>
        <w:spacing w:after="0" w:line="207" w:lineRule="exact"/>
        <w:rPr>
          <w:sz w:val="20"/>
          <w:szCs w:val="20"/>
          <w:color w:val="auto"/>
        </w:rPr>
      </w:pPr>
    </w:p>
    <w:p>
      <w:pPr>
        <w:jc w:val="both"/>
        <w:ind w:right="20" w:firstLine="270"/>
        <w:spacing w:after="0" w:line="266" w:lineRule="auto"/>
        <w:rPr>
          <w:sz w:val="20"/>
          <w:szCs w:val="20"/>
          <w:color w:val="auto"/>
        </w:rPr>
      </w:pPr>
      <w:r>
        <w:rPr>
          <w:rFonts w:ascii="Times New Roman" w:cs="Times New Roman" w:eastAsia="Times New Roman" w:hAnsi="Times New Roman"/>
          <w:sz w:val="18"/>
          <w:szCs w:val="18"/>
          <w:color w:val="auto"/>
        </w:rPr>
        <w:t>Our strategy is to continue to enhance the Maven AI engine and related products, leveraging our global R&amp;D footprint and substantial library of mobile and online conversational data, with the aim of increasing agent efficiency, decreasing customer care costs, improving the customer experience and increasing customer lifetime value.</w:t>
      </w:r>
    </w:p>
    <w:p>
      <w:pPr>
        <w:spacing w:after="0" w:line="6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Sustain our leadership position by aligning brands to a vision that transforms how they communicate with consumers and delivers a superior return on investment. </w:t>
      </w:r>
      <w:r>
        <w:rPr>
          <w:rFonts w:ascii="Times New Roman" w:cs="Times New Roman" w:eastAsia="Times New Roman" w:hAnsi="Times New Roman"/>
          <w:sz w:val="18"/>
          <w:szCs w:val="18"/>
          <w:color w:val="auto"/>
        </w:rPr>
        <w:t>We believe that most online retailers view messaging and Conversational Commerce as a feature. They are content with building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integrations to a messaging endpoint and offering messaging as just another product in their suite. LivePerson holds the perspective that Conversational Commerce requires an operational transformation that changes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how brands engage with consumers across service, sales, marketing and brick and mortar. Brands must adapt their contact centers to an asynchronous messaging environment and leverage a combination of human agents, bots and AI to achieve scale and efficiencies. When done right, the entire consumer lifecycle with a brand will be maintained within the Conversational Commerce relationship, and traffic will steadily shift away from lower returning voice calls, websites and apps to higher returning messaging endpoints.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LivePerson is uniquely positioned to deliver this transformation due to its technology and expertise:</w:t>
      </w:r>
    </w:p>
    <w:p>
      <w:pPr>
        <w:spacing w:after="0" w:line="117" w:lineRule="exact"/>
        <w:rPr>
          <w:sz w:val="20"/>
          <w:szCs w:val="20"/>
          <w:color w:val="auto"/>
        </w:rPr>
      </w:pPr>
    </w:p>
    <w:p>
      <w:pPr>
        <w:jc w:val="both"/>
        <w:ind w:left="1040" w:hanging="316"/>
        <w:spacing w:after="0" w:line="25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LiveEngage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Conversational Commerce, robust real-time reporting, role-based real-time analytics, predictive intelligence, and innovations in customer satisfaction and connection measurement. Additionally, LiveEngage is an open platform with pre-built, enterprise-grade integrations into back-end systems as well as the ability to work across natural language understanding (NLU) providers.</w:t>
      </w:r>
    </w:p>
    <w:p>
      <w:pPr>
        <w:spacing w:after="0" w:line="79" w:lineRule="exact"/>
        <w:rPr>
          <w:rFonts w:ascii="Times New Roman" w:cs="Times New Roman" w:eastAsia="Times New Roman" w:hAnsi="Times New Roman"/>
          <w:sz w:val="18"/>
          <w:szCs w:val="18"/>
          <w:color w:val="auto"/>
        </w:rPr>
      </w:pPr>
    </w:p>
    <w:p>
      <w:pPr>
        <w:jc w:val="both"/>
        <w:ind w:left="1040" w:hanging="316"/>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Conversational Commerce, publishing a proprietary Conversational Quotient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Index that measures each customer across multiple key indicators to ascertain their level of conversational maturity. Each business is then benchmarked against industry peers to determine their relative progression.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LivePerson’s differentiated approach to the Conversational Commerce industry, combined with our unique technology and expertise has established us as a market leader, with an ability to deliver superior returns on investment. LivePerson customers typically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 costs by at least 50%. Furthermore, our ability to deliver more convenient, personalized and content-rich conversations often drives increases in customer satisfaction of up to 20 percentage points and increases in sales conversions of up to 20%, while enhancing average order value, customer retention and loyalty.</w:t>
      </w:r>
    </w:p>
    <w:p>
      <w:pPr>
        <w:spacing w:after="0" w:line="77" w:lineRule="exact"/>
        <w:rPr>
          <w:sz w:val="20"/>
          <w:szCs w:val="20"/>
          <w:color w:val="auto"/>
        </w:rPr>
      </w:pPr>
    </w:p>
    <w:p>
      <w:pPr>
        <w:jc w:val="both"/>
        <w:ind w:firstLine="23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Strengthen our position in both existing and new industries. </w:t>
      </w:r>
      <w:r>
        <w:rPr>
          <w:rFonts w:ascii="Times New Roman" w:cs="Times New Roman" w:eastAsia="Times New Roman" w:hAnsi="Times New Roman"/>
          <w:sz w:val="18"/>
          <w:szCs w:val="18"/>
          <w:color w:val="auto"/>
        </w:rPr>
        <w:t>We plan to continue to develop its market position by increasing our customer base,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expanding within our installed base. We will continue to focus primarily on key target markets: consumer/retail, telecommunications, financial services, travel/hospitality, technology and automotive within both our enterprise and mid-market sectors, as well as the small business (SMB) sector. Healthcare, insurance, real estate and energy utilities are new target industries and natural extensions of our primary target markets. We are increasingly structuring our field organization to emphasize our domain expertise and strengthen customer relationships.</w:t>
      </w:r>
    </w:p>
    <w:p>
      <w:pPr>
        <w:spacing w:after="0" w:line="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to build our international international presence. </w:t>
      </w:r>
      <w:r>
        <w:rPr>
          <w:rFonts w:ascii="Times New Roman" w:cs="Times New Roman" w:eastAsia="Times New Roman" w:hAnsi="Times New Roman"/>
          <w:sz w:val="18"/>
          <w:szCs w:val="18"/>
          <w:color w:val="auto"/>
        </w:rPr>
        <w:t>We are focused on expanding our international revenue contribution, which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41% of total revenue in 2018, from 37% in 2017 and 34% in 2016. We generated positive results from previous investments in direct sales and services personnel in the United Kingdom and Western Europe. We also continued to focus on expanding our presence in the Asia Pacific region, leveraging our relationships with partners.</w:t>
      </w:r>
    </w:p>
    <w:p>
      <w:pPr>
        <w:spacing w:after="0" w:line="69" w:lineRule="exact"/>
        <w:rPr>
          <w:sz w:val="20"/>
          <w:szCs w:val="20"/>
          <w:color w:val="auto"/>
        </w:rPr>
      </w:pPr>
    </w:p>
    <w:p>
      <w:pPr>
        <w:jc w:val="both"/>
        <w:ind w:firstLine="2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Leverage our open architecture to support partners and developers. </w:t>
      </w:r>
      <w:r>
        <w:rPr>
          <w:rFonts w:ascii="Times New Roman" w:cs="Times New Roman" w:eastAsia="Times New Roman" w:hAnsi="Times New Roman"/>
          <w:sz w:val="18"/>
          <w:szCs w:val="18"/>
          <w:color w:val="auto"/>
        </w:rPr>
        <w:t>In addition to developing our own applications, we continue to cultivate a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eco-system capable of offering additional applications and services to our customers. We integrate into nearly a dozen third-party messaging endpoints including SMS, Facebook Messenger, Apple Business Chat, Google Rich Business Messenger, Line, WhatsApp, Alexa, Google Home, Google Ad Lingo and Twitter, multiple IVR vendors and dozens of branded apps. Our offering is AI vendor agnostic,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have opened up access to our platform and our products with more than three dozen APIs that allow customers and third parties to develop on top of our platform. Customers and partners can utilize these APIs to build our capabilities into their own applications and to enhance our applications with their services. In 2019, we expect to increase our marketing efforts to developers, raising awareness for how they can build programs and services on top of our platform.</w:t>
      </w:r>
    </w:p>
    <w:p>
      <w:pPr>
        <w:spacing w:after="0" w:line="6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sales partnerships to broaden our presence and accelerate sales cycles. </w:t>
      </w:r>
      <w:r>
        <w:rPr>
          <w:rFonts w:ascii="Times New Roman" w:cs="Times New Roman" w:eastAsia="Times New Roman" w:hAnsi="Times New Roman"/>
          <w:sz w:val="18"/>
          <w:szCs w:val="18"/>
          <w:color w:val="auto"/>
        </w:rPr>
        <w:t>We are focused on broadening its market reach and accelerating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cycles by partnering with systems integrators, technology providers, business process outsourcers, value added resellers and other sales partners. We formalized a relationship with IBM Global Business Services in 2017 and Accenture in 2018. We increased the number of partners focused on SMBs by more than 300% in 2018, to over 150 at year end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80" w:right="2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from 40 at the start of the year. These efforts are increasingly yielding positive results for us, as nearly one-third of annual contract value signed in 2018 was directly influenced by partners. We expect to increase investment in our partner channels in 2019.</w:t>
      </w:r>
    </w:p>
    <w:p>
      <w:pPr>
        <w:spacing w:after="0" w:line="50" w:lineRule="exact"/>
        <w:rPr>
          <w:sz w:val="20"/>
          <w:szCs w:val="20"/>
          <w:color w:val="auto"/>
        </w:rPr>
      </w:pPr>
    </w:p>
    <w:p>
      <w:pPr>
        <w:jc w:val="both"/>
        <w:ind w:firstLine="603"/>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Maintain Market Leadership in Technology and Security Expertise. </w:t>
      </w:r>
      <w:r>
        <w:rPr>
          <w:rFonts w:ascii="Times New Roman" w:cs="Times New Roman" w:eastAsia="Times New Roman" w:hAnsi="Times New Roman"/>
          <w:sz w:val="18"/>
          <w:szCs w:val="18"/>
          <w:color w:val="auto"/>
        </w:rPr>
        <w:t>As described above, we are devoting significant resources to creating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and enabling 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72" w:lineRule="exact"/>
        <w:rPr>
          <w:sz w:val="20"/>
          <w:szCs w:val="20"/>
          <w:color w:val="auto"/>
        </w:rPr>
      </w:pPr>
    </w:p>
    <w:p>
      <w:pPr>
        <w:jc w:val="both"/>
        <w:ind w:firstLine="53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Evaluate Strategic Alliances and Acquisitions When Appropriate. </w:t>
      </w:r>
      <w:r>
        <w:rPr>
          <w:rFonts w:ascii="Times New Roman" w:cs="Times New Roman" w:eastAsia="Times New Roman" w:hAnsi="Times New Roman"/>
          <w:sz w:val="18"/>
          <w:szCs w:val="18"/>
          <w:color w:val="auto"/>
        </w:rPr>
        <w:t>We have successfully integrated several acquisitions over the past decade. 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overview of the three months ended March 31, 2019 compared to the three months ended March 31, 2018:</w:t>
      </w:r>
    </w:p>
    <w:p>
      <w:pPr>
        <w:spacing w:after="0" w:line="117" w:lineRule="exact"/>
        <w:rPr>
          <w:sz w:val="20"/>
          <w:szCs w:val="20"/>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14% to $66.4 million from $58.2 million</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our Business segment increased 14% to $61.0 million from $53.6 million.</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decreased to 72% from 76%.</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and expenses increased 37% to $84.8 million from $62.1 million.</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increased to $18.9 million from $3.2 million.</w:t>
      </w:r>
    </w:p>
    <w:p>
      <w:pPr>
        <w:spacing w:after="0" w:line="63" w:lineRule="exact"/>
        <w:rPr>
          <w:rFonts w:ascii="Times New Roman" w:cs="Times New Roman" w:eastAsia="Times New Roman" w:hAnsi="Times New Roman"/>
          <w:sz w:val="18"/>
          <w:szCs w:val="18"/>
          <w:color w:val="auto"/>
        </w:rPr>
      </w:pPr>
    </w:p>
    <w:p>
      <w:pPr>
        <w:ind w:left="1140" w:hanging="322"/>
        <w:spacing w:after="0" w:line="281"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annual revenue per enterprise and mid-market customer increased 24% to $300,000 for the trailing twelve months ended March 31, 2019, as compared to $240,000 for the trailing twelve months ended March 31, 2018.</w:t>
      </w:r>
    </w:p>
    <w:p>
      <w:pPr>
        <w:spacing w:after="0" w:line="1" w:lineRule="exact"/>
        <w:rPr>
          <w:rFonts w:ascii="Times New Roman" w:cs="Times New Roman" w:eastAsia="Times New Roman" w:hAnsi="Times New Roman"/>
          <w:sz w:val="18"/>
          <w:szCs w:val="18"/>
          <w:color w:val="auto"/>
        </w:rPr>
      </w:pPr>
    </w:p>
    <w:p>
      <w:pPr>
        <w:jc w:val="both"/>
        <w:ind w:left="1140" w:right="20" w:hanging="322"/>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2019, we have raised our target for enterprise and mid-market revenue retention to a range of 105% to 115%, as compared to greater than 100% in 2018. LivePerson’s first quarter retention rate met our target. Revenue retention rate measures the percentage of revenue retained at quarter end, from full service customers that were on LiveEngage at the same period a year ago.</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 and Adjusted Operating Income</w:t>
      </w:r>
    </w:p>
    <w:p>
      <w:pPr>
        <w:spacing w:after="0" w:line="229" w:lineRule="exact"/>
        <w:rPr>
          <w:sz w:val="20"/>
          <w:szCs w:val="20"/>
          <w:color w:val="auto"/>
        </w:rPr>
      </w:pPr>
    </w:p>
    <w:p>
      <w:pPr>
        <w:ind w:right="140" w:firstLine="783"/>
        <w:spacing w:after="0" w:line="257"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adjusted EBITDA and adjusted operating income which are non-GAAP financial measures. The tables below present a reconciliation of adjusted EBITDA and adjusted operating income to net (loss) income, the most directly comparable GAAP financial measures.</w:t>
      </w:r>
    </w:p>
    <w:p>
      <w:pPr>
        <w:spacing w:after="0" w:line="2" w:lineRule="exact"/>
        <w:rPr>
          <w:sz w:val="20"/>
          <w:szCs w:val="20"/>
          <w:color w:val="auto"/>
        </w:rPr>
      </w:pPr>
    </w:p>
    <w:p>
      <w:pPr>
        <w:ind w:right="60" w:firstLine="720"/>
        <w:spacing w:after="0" w:line="250" w:lineRule="auto"/>
        <w:rPr>
          <w:sz w:val="20"/>
          <w:szCs w:val="20"/>
          <w:color w:val="auto"/>
        </w:rPr>
      </w:pPr>
      <w:r>
        <w:rPr>
          <w:rFonts w:ascii="Times New Roman" w:cs="Times New Roman" w:eastAsia="Times New Roman" w:hAnsi="Times New Roman"/>
          <w:sz w:val="18"/>
          <w:szCs w:val="18"/>
          <w:color w:val="auto"/>
        </w:rPr>
        <w:t>We have included adjusted EBITDA and adjusted operating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operating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operating income provide useful information to investors and others in understanding and evaluating our operating results in the same manner as our management and board of directors.</w:t>
      </w:r>
    </w:p>
    <w:p>
      <w:pPr>
        <w:spacing w:after="0" w:line="3" w:lineRule="exact"/>
        <w:rPr>
          <w:sz w:val="20"/>
          <w:szCs w:val="20"/>
          <w:color w:val="auto"/>
        </w:rPr>
      </w:pPr>
    </w:p>
    <w:p>
      <w:pPr>
        <w:ind w:right="280" w:firstLine="720"/>
        <w:spacing w:after="0" w:line="250" w:lineRule="auto"/>
        <w:rPr>
          <w:sz w:val="20"/>
          <w:szCs w:val="20"/>
          <w:color w:val="auto"/>
        </w:rPr>
      </w:pPr>
      <w:r>
        <w:rPr>
          <w:rFonts w:ascii="Times New Roman" w:cs="Times New Roman" w:eastAsia="Times New Roman" w:hAnsi="Times New Roman"/>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1" w:lineRule="exact"/>
        <w:rPr>
          <w:sz w:val="20"/>
          <w:szCs w:val="20"/>
          <w:color w:val="auto"/>
        </w:rPr>
      </w:pPr>
    </w:p>
    <w:p>
      <w:pPr>
        <w:jc w:val="both"/>
        <w:ind w:left="1140" w:hanging="322"/>
        <w:spacing w:after="0" w:line="250"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impact of acquisition costs;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impact of restructuring costs;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impact of other costs;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tax payments that may represent a reduction in cash available to us; and</w:t>
      </w:r>
    </w:p>
    <w:p>
      <w:pPr>
        <w:spacing w:after="0" w:line="9" w:lineRule="exact"/>
        <w:rPr>
          <w:rFonts w:ascii="Times New Roman" w:cs="Times New Roman" w:eastAsia="Times New Roman" w:hAnsi="Times New Roman"/>
          <w:sz w:val="18"/>
          <w:szCs w:val="18"/>
          <w:color w:val="auto"/>
        </w:rPr>
      </w:pPr>
    </w:p>
    <w:p>
      <w:pPr>
        <w:ind w:left="1140" w:hanging="322"/>
        <w:spacing w:after="0" w:line="261"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80"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6"/>
                <w:szCs w:val="16"/>
                <w:color w:val="auto"/>
              </w:rPr>
            </w:pPr>
          </w:p>
        </w:tc>
      </w:tr>
      <w:tr>
        <w:trPr>
          <w:trHeight w:val="262"/>
        </w:trPr>
        <w:tc>
          <w:tcPr>
            <w:tcW w:w="8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22"/>
                <w:szCs w:val="22"/>
                <w:color w:val="auto"/>
              </w:rPr>
            </w:pPr>
          </w:p>
        </w:tc>
      </w:tr>
      <w:tr>
        <w:trPr>
          <w:trHeight w:val="265"/>
        </w:trPr>
        <w:tc>
          <w:tcPr>
            <w:tcW w:w="8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Reconciliation of Adjusted EBITDA</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5"/>
        </w:trPr>
        <w:tc>
          <w:tcPr>
            <w:tcW w:w="82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4"/>
                <w:szCs w:val="14"/>
                <w:color w:val="auto"/>
              </w:rPr>
              <w:t>GAAP net loss</w:t>
            </w:r>
          </w:p>
        </w:tc>
        <w:tc>
          <w:tcPr>
            <w:tcW w:w="260" w:type="dxa"/>
            <w:vAlign w:val="bottom"/>
            <w:shd w:val="clear" w:color="auto" w:fill="CCFFC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(18,890)</w:t>
            </w:r>
          </w:p>
        </w:tc>
        <w:tc>
          <w:tcPr>
            <w:tcW w:w="6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(3,203)</w:t>
            </w:r>
          </w:p>
        </w:tc>
        <w:tc>
          <w:tcPr>
            <w:tcW w:w="340" w:type="dxa"/>
            <w:vAlign w:val="bottom"/>
            <w:shd w:val="clear" w:color="auto" w:fill="CCFFCC"/>
          </w:tcPr>
          <w:p>
            <w:pPr>
              <w:spacing w:after="0"/>
              <w:rPr>
                <w:sz w:val="23"/>
                <w:szCs w:val="23"/>
                <w:color w:val="auto"/>
              </w:rPr>
            </w:pPr>
          </w:p>
        </w:tc>
      </w:tr>
      <w:tr>
        <w:trPr>
          <w:trHeight w:val="265"/>
        </w:trPr>
        <w:tc>
          <w:tcPr>
            <w:tcW w:w="8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purchased intangibles</w:t>
            </w:r>
          </w:p>
        </w:tc>
        <w:tc>
          <w:tcPr>
            <w:tcW w:w="26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746</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711</w:t>
            </w:r>
          </w:p>
        </w:tc>
        <w:tc>
          <w:tcPr>
            <w:tcW w:w="340" w:type="dxa"/>
            <w:vAlign w:val="bottom"/>
          </w:tcPr>
          <w:p>
            <w:pPr>
              <w:spacing w:after="0"/>
              <w:rPr>
                <w:sz w:val="23"/>
                <w:szCs w:val="23"/>
                <w:color w:val="auto"/>
              </w:rPr>
            </w:pPr>
          </w:p>
        </w:tc>
      </w:tr>
      <w:tr>
        <w:trPr>
          <w:trHeight w:val="275"/>
        </w:trPr>
        <w:tc>
          <w:tcPr>
            <w:tcW w:w="824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shd w:val="clear" w:color="auto" w:fill="CCFFCC"/>
          </w:tcPr>
          <w:p>
            <w:pPr>
              <w:spacing w:after="0"/>
              <w:rPr>
                <w:sz w:val="23"/>
                <w:szCs w:val="23"/>
                <w:color w:val="auto"/>
              </w:rPr>
            </w:pPr>
          </w:p>
        </w:tc>
        <w:tc>
          <w:tcPr>
            <w:tcW w:w="100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7,166</w:t>
            </w:r>
          </w:p>
        </w:tc>
        <w:tc>
          <w:tcPr>
            <w:tcW w:w="34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96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2,438</w:t>
            </w:r>
          </w:p>
        </w:tc>
        <w:tc>
          <w:tcPr>
            <w:tcW w:w="340" w:type="dxa"/>
            <w:vAlign w:val="bottom"/>
            <w:shd w:val="clear" w:color="auto" w:fill="CCFFCC"/>
          </w:tcPr>
          <w:p>
            <w:pPr>
              <w:spacing w:after="0"/>
              <w:rPr>
                <w:sz w:val="23"/>
                <w:szCs w:val="23"/>
                <w:color w:val="auto"/>
              </w:rPr>
            </w:pPr>
          </w:p>
        </w:tc>
      </w:tr>
      <w:tr>
        <w:trPr>
          <w:trHeight w:val="265"/>
        </w:trPr>
        <w:tc>
          <w:tcPr>
            <w:tcW w:w="8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w:t>
            </w:r>
          </w:p>
        </w:tc>
        <w:tc>
          <w:tcPr>
            <w:tcW w:w="26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3,881</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3,357</w:t>
            </w:r>
          </w:p>
        </w:tc>
        <w:tc>
          <w:tcPr>
            <w:tcW w:w="340" w:type="dxa"/>
            <w:vAlign w:val="bottom"/>
          </w:tcPr>
          <w:p>
            <w:pPr>
              <w:spacing w:after="0"/>
              <w:rPr>
                <w:sz w:val="23"/>
                <w:szCs w:val="23"/>
                <w:color w:val="auto"/>
              </w:rPr>
            </w:pPr>
          </w:p>
        </w:tc>
      </w:tr>
      <w:tr>
        <w:trPr>
          <w:trHeight w:val="221"/>
        </w:trPr>
        <w:tc>
          <w:tcPr>
            <w:tcW w:w="824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4"/>
                <w:szCs w:val="14"/>
                <w:color w:val="auto"/>
              </w:rPr>
              <w:t>Other litigation and consulting costs</w:t>
            </w:r>
          </w:p>
        </w:tc>
        <w:tc>
          <w:tcPr>
            <w:tcW w:w="260" w:type="dxa"/>
            <w:vAlign w:val="bottom"/>
            <w:shd w:val="clear" w:color="auto" w:fill="CCFFCC"/>
          </w:tcPr>
          <w:p>
            <w:pPr>
              <w:spacing w:after="0"/>
              <w:rPr>
                <w:sz w:val="19"/>
                <w:szCs w:val="19"/>
                <w:color w:val="auto"/>
              </w:rPr>
            </w:pPr>
          </w:p>
        </w:tc>
        <w:tc>
          <w:tcPr>
            <w:tcW w:w="100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2,417</w:t>
            </w:r>
          </w:p>
        </w:tc>
        <w:tc>
          <w:tcPr>
            <w:tcW w:w="340" w:type="dxa"/>
            <w:vAlign w:val="bottom"/>
            <w:shd w:val="clear" w:color="auto" w:fill="CCFFCC"/>
          </w:tcPr>
          <w:p>
            <w:pPr>
              <w:jc w:val="right"/>
              <w:ind w:right="142"/>
              <w:spacing w:after="0"/>
              <w:rPr>
                <w:sz w:val="20"/>
                <w:szCs w:val="20"/>
                <w:color w:val="auto"/>
              </w:rPr>
            </w:pPr>
            <w:r>
              <w:rPr>
                <w:rFonts w:ascii="Times New Roman" w:cs="Times New Roman" w:eastAsia="Times New Roman" w:hAnsi="Times New Roman"/>
                <w:sz w:val="9"/>
                <w:szCs w:val="9"/>
                <w:color w:val="auto"/>
              </w:rPr>
              <w:t>(1)</w:t>
            </w:r>
          </w:p>
        </w:tc>
        <w:tc>
          <w:tcPr>
            <w:tcW w:w="280" w:type="dxa"/>
            <w:vAlign w:val="bottom"/>
            <w:shd w:val="clear" w:color="auto" w:fill="CCFFCC"/>
          </w:tcPr>
          <w:p>
            <w:pPr>
              <w:spacing w:after="0"/>
              <w:rPr>
                <w:sz w:val="19"/>
                <w:szCs w:val="19"/>
                <w:color w:val="auto"/>
              </w:rPr>
            </w:pPr>
          </w:p>
        </w:tc>
        <w:tc>
          <w:tcPr>
            <w:tcW w:w="96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1,270</w:t>
            </w:r>
          </w:p>
        </w:tc>
        <w:tc>
          <w:tcPr>
            <w:tcW w:w="340" w:type="dxa"/>
            <w:vAlign w:val="bottom"/>
            <w:shd w:val="clear" w:color="auto" w:fill="CCFFCC"/>
          </w:tcPr>
          <w:p>
            <w:pPr>
              <w:jc w:val="right"/>
              <w:ind w:right="155"/>
              <w:spacing w:after="0"/>
              <w:rPr>
                <w:sz w:val="20"/>
                <w:szCs w:val="20"/>
                <w:color w:val="auto"/>
              </w:rPr>
            </w:pPr>
            <w:r>
              <w:rPr>
                <w:rFonts w:ascii="Times New Roman" w:cs="Times New Roman" w:eastAsia="Times New Roman" w:hAnsi="Times New Roman"/>
                <w:sz w:val="9"/>
                <w:szCs w:val="9"/>
                <w:color w:val="auto"/>
              </w:rPr>
              <w:t>(2)</w:t>
            </w:r>
          </w:p>
        </w:tc>
      </w:tr>
      <w:tr>
        <w:trPr>
          <w:trHeight w:val="265"/>
        </w:trPr>
        <w:tc>
          <w:tcPr>
            <w:tcW w:w="8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Acquisition costs</w:t>
            </w:r>
          </w:p>
        </w:tc>
        <w:tc>
          <w:tcPr>
            <w:tcW w:w="26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648</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r>
      <w:tr>
        <w:trPr>
          <w:trHeight w:val="221"/>
        </w:trPr>
        <w:tc>
          <w:tcPr>
            <w:tcW w:w="824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4"/>
                <w:szCs w:val="14"/>
                <w:color w:val="auto"/>
              </w:rPr>
              <w:t>Restructuring costs</w:t>
            </w:r>
          </w:p>
        </w:tc>
        <w:tc>
          <w:tcPr>
            <w:tcW w:w="260" w:type="dxa"/>
            <w:vAlign w:val="bottom"/>
            <w:shd w:val="clear" w:color="auto" w:fill="CCFFCC"/>
          </w:tcPr>
          <w:p>
            <w:pPr>
              <w:spacing w:after="0"/>
              <w:rPr>
                <w:sz w:val="19"/>
                <w:szCs w:val="19"/>
                <w:color w:val="auto"/>
              </w:rPr>
            </w:pPr>
          </w:p>
        </w:tc>
        <w:tc>
          <w:tcPr>
            <w:tcW w:w="100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279</w:t>
            </w:r>
          </w:p>
        </w:tc>
        <w:tc>
          <w:tcPr>
            <w:tcW w:w="340" w:type="dxa"/>
            <w:vAlign w:val="bottom"/>
            <w:shd w:val="clear" w:color="auto" w:fill="CCFFCC"/>
          </w:tcPr>
          <w:p>
            <w:pPr>
              <w:jc w:val="right"/>
              <w:ind w:right="142"/>
              <w:spacing w:after="0"/>
              <w:rPr>
                <w:sz w:val="20"/>
                <w:szCs w:val="20"/>
                <w:color w:val="auto"/>
              </w:rPr>
            </w:pPr>
            <w:r>
              <w:rPr>
                <w:rFonts w:ascii="Times New Roman" w:cs="Times New Roman" w:eastAsia="Times New Roman" w:hAnsi="Times New Roman"/>
                <w:sz w:val="9"/>
                <w:szCs w:val="9"/>
                <w:color w:val="auto"/>
              </w:rPr>
              <w:t>(3)</w:t>
            </w:r>
          </w:p>
        </w:tc>
        <w:tc>
          <w:tcPr>
            <w:tcW w:w="280" w:type="dxa"/>
            <w:vAlign w:val="bottom"/>
            <w:shd w:val="clear" w:color="auto" w:fill="CCFFCC"/>
          </w:tcPr>
          <w:p>
            <w:pPr>
              <w:spacing w:after="0"/>
              <w:rPr>
                <w:sz w:val="19"/>
                <w:szCs w:val="19"/>
                <w:color w:val="auto"/>
              </w:rPr>
            </w:pPr>
          </w:p>
        </w:tc>
        <w:tc>
          <w:tcPr>
            <w:tcW w:w="96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178</w:t>
            </w:r>
          </w:p>
        </w:tc>
        <w:tc>
          <w:tcPr>
            <w:tcW w:w="340" w:type="dxa"/>
            <w:vAlign w:val="bottom"/>
            <w:shd w:val="clear" w:color="auto" w:fill="CCFFCC"/>
          </w:tcPr>
          <w:p>
            <w:pPr>
              <w:jc w:val="right"/>
              <w:ind w:right="155"/>
              <w:spacing w:after="0"/>
              <w:rPr>
                <w:sz w:val="20"/>
                <w:szCs w:val="20"/>
                <w:color w:val="auto"/>
              </w:rPr>
            </w:pPr>
            <w:r>
              <w:rPr>
                <w:rFonts w:ascii="Times New Roman" w:cs="Times New Roman" w:eastAsia="Times New Roman" w:hAnsi="Times New Roman"/>
                <w:sz w:val="9"/>
                <w:szCs w:val="9"/>
                <w:color w:val="auto"/>
              </w:rPr>
              <w:t>(4)</w:t>
            </w:r>
          </w:p>
        </w:tc>
      </w:tr>
      <w:tr>
        <w:trPr>
          <w:trHeight w:val="265"/>
        </w:trPr>
        <w:tc>
          <w:tcPr>
            <w:tcW w:w="8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6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593</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340" w:type="dxa"/>
            <w:vAlign w:val="bottom"/>
          </w:tcPr>
          <w:p>
            <w:pPr>
              <w:spacing w:after="0"/>
              <w:rPr>
                <w:sz w:val="23"/>
                <w:szCs w:val="23"/>
                <w:color w:val="auto"/>
              </w:rPr>
            </w:pPr>
          </w:p>
        </w:tc>
      </w:tr>
      <w:tr>
        <w:trPr>
          <w:trHeight w:val="270"/>
        </w:trPr>
        <w:tc>
          <w:tcPr>
            <w:tcW w:w="824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4"/>
                <w:szCs w:val="14"/>
                <w:color w:val="auto"/>
              </w:rPr>
              <w:t>Other income, net</w:t>
            </w:r>
          </w:p>
        </w:tc>
        <w:tc>
          <w:tcPr>
            <w:tcW w:w="260" w:type="dxa"/>
            <w:vAlign w:val="bottom"/>
            <w:tcBorders>
              <w:bottom w:val="single" w:sz="8" w:color="auto"/>
            </w:tcBorders>
            <w:shd w:val="clear" w:color="auto" w:fill="CCFFCC"/>
          </w:tcPr>
          <w:p>
            <w:pPr>
              <w:spacing w:after="0"/>
              <w:rPr>
                <w:sz w:val="23"/>
                <w:szCs w:val="23"/>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40" w:type="dxa"/>
            <w:vAlign w:val="bottom"/>
            <w:shd w:val="clear" w:color="auto" w:fill="CCFFCC"/>
          </w:tcPr>
          <w:p>
            <w:pPr>
              <w:spacing w:after="0"/>
              <w:rPr>
                <w:sz w:val="23"/>
                <w:szCs w:val="23"/>
                <w:color w:val="auto"/>
              </w:rPr>
            </w:pPr>
          </w:p>
        </w:tc>
        <w:tc>
          <w:tcPr>
            <w:tcW w:w="280" w:type="dxa"/>
            <w:vAlign w:val="bottom"/>
            <w:tcBorders>
              <w:bottom w:val="single" w:sz="8" w:color="auto"/>
            </w:tcBorders>
            <w:shd w:val="clear" w:color="auto" w:fill="CCFFCC"/>
          </w:tcPr>
          <w:p>
            <w:pPr>
              <w:spacing w:after="0"/>
              <w:rPr>
                <w:sz w:val="23"/>
                <w:szCs w:val="23"/>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340" w:type="dxa"/>
            <w:vAlign w:val="bottom"/>
            <w:shd w:val="clear" w:color="auto" w:fill="CCFFCC"/>
          </w:tcPr>
          <w:p>
            <w:pPr>
              <w:spacing w:after="0"/>
              <w:rPr>
                <w:sz w:val="23"/>
                <w:szCs w:val="23"/>
                <w:color w:val="auto"/>
              </w:rPr>
            </w:pPr>
          </w:p>
        </w:tc>
      </w:tr>
      <w:tr>
        <w:trPr>
          <w:trHeight w:val="242"/>
        </w:trPr>
        <w:tc>
          <w:tcPr>
            <w:tcW w:w="8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Adjusted EBITDA (loss)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4,133</w:t>
            </w:r>
          </w:p>
        </w:tc>
        <w:tc>
          <w:tcPr>
            <w:tcW w:w="340" w:type="dxa"/>
            <w:vAlign w:val="bottom"/>
          </w:tcPr>
          <w:p>
            <w:pPr>
              <w:spacing w:after="0"/>
              <w:rPr>
                <w:sz w:val="21"/>
                <w:szCs w:val="2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33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line="281" w:lineRule="exact"/>
        <w:rPr>
          <w:sz w:val="20"/>
          <w:szCs w:val="20"/>
          <w:color w:val="auto"/>
        </w:rPr>
      </w:pPr>
    </w:p>
    <w:p>
      <w:pPr>
        <w:ind w:left="180" w:hanging="145"/>
        <w:spacing w:after="0"/>
        <w:tabs>
          <w:tab w:leader="none" w:pos="18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litigation costs of $1.1 million and consulting costs of $1.3 million for the three months ended March 31, 2019.</w:t>
      </w:r>
    </w:p>
    <w:p>
      <w:pPr>
        <w:spacing w:after="0" w:line="41" w:lineRule="exact"/>
        <w:rPr>
          <w:rFonts w:ascii="Times New Roman" w:cs="Times New Roman" w:eastAsia="Times New Roman" w:hAnsi="Times New Roman"/>
          <w:sz w:val="9"/>
          <w:szCs w:val="9"/>
          <w:color w:val="auto"/>
        </w:rPr>
      </w:pPr>
    </w:p>
    <w:p>
      <w:pPr>
        <w:ind w:left="180" w:hanging="145"/>
        <w:spacing w:after="0"/>
        <w:tabs>
          <w:tab w:leader="none" w:pos="18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litigation costs of $0.9 million and executive recruiting costs of $0.3 million for the three months ended March 31, 2018.</w:t>
      </w:r>
    </w:p>
    <w:p>
      <w:pPr>
        <w:spacing w:after="0" w:line="41" w:lineRule="exact"/>
        <w:rPr>
          <w:rFonts w:ascii="Times New Roman" w:cs="Times New Roman" w:eastAsia="Times New Roman" w:hAnsi="Times New Roman"/>
          <w:sz w:val="9"/>
          <w:szCs w:val="9"/>
          <w:color w:val="auto"/>
        </w:rPr>
      </w:pPr>
    </w:p>
    <w:p>
      <w:pPr>
        <w:ind w:left="180" w:hanging="145"/>
        <w:spacing w:after="0"/>
        <w:tabs>
          <w:tab w:leader="none" w:pos="18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severance costs and other compensation related costs of $0.3 million for the three months ended March 31, 2019.</w:t>
      </w:r>
    </w:p>
    <w:p>
      <w:pPr>
        <w:spacing w:after="0" w:line="41" w:lineRule="exact"/>
        <w:rPr>
          <w:rFonts w:ascii="Times New Roman" w:cs="Times New Roman" w:eastAsia="Times New Roman" w:hAnsi="Times New Roman"/>
          <w:sz w:val="9"/>
          <w:szCs w:val="9"/>
          <w:color w:val="auto"/>
        </w:rPr>
      </w:pPr>
    </w:p>
    <w:p>
      <w:pPr>
        <w:ind w:left="180" w:hanging="145"/>
        <w:spacing w:after="0"/>
        <w:tabs>
          <w:tab w:leader="none" w:pos="18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severance costs of $0.2 million for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323" w:lineRule="exact"/>
        <w:rPr>
          <w:sz w:val="20"/>
          <w:szCs w:val="20"/>
          <w:color w:val="auto"/>
        </w:rPr>
      </w:pPr>
    </w:p>
    <w:p>
      <w:pPr>
        <w:ind w:left="80" w:firstLine="648"/>
        <w:spacing w:after="0" w:line="261" w:lineRule="auto"/>
        <w:rPr>
          <w:sz w:val="20"/>
          <w:szCs w:val="20"/>
          <w:color w:val="auto"/>
        </w:rPr>
      </w:pPr>
      <w:r>
        <w:rPr>
          <w:rFonts w:ascii="Times New Roman" w:cs="Times New Roman" w:eastAsia="Times New Roman" w:hAnsi="Times New Roman"/>
          <w:sz w:val="18"/>
          <w:szCs w:val="18"/>
          <w:color w:val="auto"/>
        </w:rPr>
        <w:t>Our use of adjusted operating income has limitations as an analytical tool, and you should not consider it in isolation or as a substitute for analysis of our results as reported under GAAP. Some of these limitations are:</w:t>
      </w:r>
    </w:p>
    <w:p>
      <w:pPr>
        <w:ind w:left="1140" w:right="180" w:hanging="322"/>
        <w:spacing w:after="0" w:line="250"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amortization is a non-cash charge, the assets being amortized may have to be replaced in the future, and adjusted operating income does not reflect cash capital expenditure requirements for such replacements or for new capital expenditure requirements;</w:t>
      </w: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does not consider the impact of acquisition costs;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does not consider the impact of restructuring costs;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does not consider the impact of other non-recurring costs;</w:t>
      </w:r>
    </w:p>
    <w:p>
      <w:pPr>
        <w:spacing w:after="0" w:line="9" w:lineRule="exact"/>
        <w:rPr>
          <w:rFonts w:ascii="Times New Roman" w:cs="Times New Roman" w:eastAsia="Times New Roman" w:hAnsi="Times New Roman"/>
          <w:sz w:val="18"/>
          <w:szCs w:val="18"/>
          <w:color w:val="auto"/>
        </w:rPr>
      </w:pPr>
    </w:p>
    <w:p>
      <w:pPr>
        <w:ind w:left="1140" w:right="140" w:hanging="322"/>
        <w:spacing w:after="0" w:line="250"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operating income differently, which reduces its usefulness as a comparative measure.</w:t>
      </w:r>
    </w:p>
    <w:p>
      <w:pPr>
        <w:spacing w:after="0" w:line="1"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18"/>
          <w:szCs w:val="18"/>
          <w:color w:val="auto"/>
        </w:rPr>
        <w:t>Because of these limitations, you should consider adjusted operating income alongside other financial performance measures, including various pre-tax GAAP loss and our other GAAP results. The following table presents a reconciliation of adjusted operating income for each of the periods indicated (amounts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6"/>
                <w:szCs w:val="16"/>
                <w:color w:val="auto"/>
              </w:rPr>
            </w:pPr>
          </w:p>
        </w:tc>
      </w:tr>
      <w:tr>
        <w:trPr>
          <w:trHeight w:val="262"/>
        </w:trPr>
        <w:tc>
          <w:tcPr>
            <w:tcW w:w="8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22"/>
                <w:szCs w:val="22"/>
                <w:color w:val="auto"/>
              </w:rPr>
            </w:pPr>
          </w:p>
        </w:tc>
      </w:tr>
      <w:tr>
        <w:trPr>
          <w:trHeight w:val="265"/>
        </w:trPr>
        <w:tc>
          <w:tcPr>
            <w:tcW w:w="8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Reconciliation of Adjusted Operating Income (Loss)</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5"/>
        </w:trPr>
        <w:tc>
          <w:tcPr>
            <w:tcW w:w="82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4"/>
                <w:szCs w:val="14"/>
                <w:color w:val="auto"/>
              </w:rPr>
              <w:t>Loss before provision for income taxes</w:t>
            </w:r>
          </w:p>
        </w:tc>
        <w:tc>
          <w:tcPr>
            <w:tcW w:w="260" w:type="dxa"/>
            <w:vAlign w:val="bottom"/>
            <w:shd w:val="clear" w:color="auto" w:fill="CCFFC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(18,298)</w:t>
            </w:r>
          </w:p>
        </w:tc>
        <w:tc>
          <w:tcPr>
            <w:tcW w:w="6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(3,692)</w:t>
            </w:r>
          </w:p>
        </w:tc>
        <w:tc>
          <w:tcPr>
            <w:tcW w:w="340" w:type="dxa"/>
            <w:vAlign w:val="bottom"/>
            <w:shd w:val="clear" w:color="auto" w:fill="CCFFCC"/>
          </w:tcPr>
          <w:p>
            <w:pPr>
              <w:spacing w:after="0"/>
              <w:rPr>
                <w:sz w:val="23"/>
                <w:szCs w:val="23"/>
                <w:color w:val="auto"/>
              </w:rPr>
            </w:pPr>
          </w:p>
        </w:tc>
      </w:tr>
      <w:tr>
        <w:trPr>
          <w:trHeight w:val="265"/>
        </w:trPr>
        <w:tc>
          <w:tcPr>
            <w:tcW w:w="8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purchased intangibles</w:t>
            </w:r>
          </w:p>
        </w:tc>
        <w:tc>
          <w:tcPr>
            <w:tcW w:w="26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746</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711</w:t>
            </w:r>
          </w:p>
        </w:tc>
        <w:tc>
          <w:tcPr>
            <w:tcW w:w="340" w:type="dxa"/>
            <w:vAlign w:val="bottom"/>
          </w:tcPr>
          <w:p>
            <w:pPr>
              <w:spacing w:after="0"/>
              <w:rPr>
                <w:sz w:val="23"/>
                <w:szCs w:val="23"/>
                <w:color w:val="auto"/>
              </w:rPr>
            </w:pPr>
          </w:p>
        </w:tc>
      </w:tr>
      <w:tr>
        <w:trPr>
          <w:trHeight w:val="275"/>
        </w:trPr>
        <w:tc>
          <w:tcPr>
            <w:tcW w:w="824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shd w:val="clear" w:color="auto" w:fill="CCFFCC"/>
          </w:tcPr>
          <w:p>
            <w:pPr>
              <w:spacing w:after="0"/>
              <w:rPr>
                <w:sz w:val="23"/>
                <w:szCs w:val="23"/>
                <w:color w:val="auto"/>
              </w:rPr>
            </w:pPr>
          </w:p>
        </w:tc>
        <w:tc>
          <w:tcPr>
            <w:tcW w:w="100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7,166</w:t>
            </w:r>
          </w:p>
        </w:tc>
        <w:tc>
          <w:tcPr>
            <w:tcW w:w="34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96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2,438</w:t>
            </w:r>
          </w:p>
        </w:tc>
        <w:tc>
          <w:tcPr>
            <w:tcW w:w="340" w:type="dxa"/>
            <w:vAlign w:val="bottom"/>
            <w:shd w:val="clear" w:color="auto" w:fill="CCFFCC"/>
          </w:tcPr>
          <w:p>
            <w:pPr>
              <w:spacing w:after="0"/>
              <w:rPr>
                <w:sz w:val="23"/>
                <w:szCs w:val="23"/>
                <w:color w:val="auto"/>
              </w:rPr>
            </w:pPr>
          </w:p>
        </w:tc>
      </w:tr>
      <w:tr>
        <w:trPr>
          <w:trHeight w:val="211"/>
        </w:trPr>
        <w:tc>
          <w:tcPr>
            <w:tcW w:w="8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litigation and consulting costs</w:t>
            </w:r>
          </w:p>
        </w:tc>
        <w:tc>
          <w:tcPr>
            <w:tcW w:w="26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2,417</w:t>
            </w: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9"/>
                <w:szCs w:val="9"/>
                <w:color w:val="auto"/>
              </w:rPr>
              <w:t>(1)</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1,270</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9"/>
                <w:szCs w:val="9"/>
                <w:color w:val="auto"/>
              </w:rPr>
              <w:t>(2)</w:t>
            </w:r>
          </w:p>
        </w:tc>
      </w:tr>
      <w:tr>
        <w:trPr>
          <w:trHeight w:val="221"/>
        </w:trPr>
        <w:tc>
          <w:tcPr>
            <w:tcW w:w="824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4"/>
                <w:szCs w:val="14"/>
                <w:color w:val="auto"/>
              </w:rPr>
              <w:t>Restructuring costs</w:t>
            </w:r>
          </w:p>
        </w:tc>
        <w:tc>
          <w:tcPr>
            <w:tcW w:w="260" w:type="dxa"/>
            <w:vAlign w:val="bottom"/>
            <w:shd w:val="clear" w:color="auto" w:fill="CCFFCC"/>
          </w:tcPr>
          <w:p>
            <w:pPr>
              <w:spacing w:after="0"/>
              <w:rPr>
                <w:sz w:val="19"/>
                <w:szCs w:val="19"/>
                <w:color w:val="auto"/>
              </w:rPr>
            </w:pPr>
          </w:p>
        </w:tc>
        <w:tc>
          <w:tcPr>
            <w:tcW w:w="100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279</w:t>
            </w:r>
          </w:p>
        </w:tc>
        <w:tc>
          <w:tcPr>
            <w:tcW w:w="340" w:type="dxa"/>
            <w:vAlign w:val="bottom"/>
            <w:shd w:val="clear" w:color="auto" w:fill="CCFFCC"/>
          </w:tcPr>
          <w:p>
            <w:pPr>
              <w:jc w:val="right"/>
              <w:ind w:right="142"/>
              <w:spacing w:after="0"/>
              <w:rPr>
                <w:sz w:val="20"/>
                <w:szCs w:val="20"/>
                <w:color w:val="auto"/>
              </w:rPr>
            </w:pPr>
            <w:r>
              <w:rPr>
                <w:rFonts w:ascii="Times New Roman" w:cs="Times New Roman" w:eastAsia="Times New Roman" w:hAnsi="Times New Roman"/>
                <w:sz w:val="9"/>
                <w:szCs w:val="9"/>
                <w:color w:val="auto"/>
              </w:rPr>
              <w:t>(3)</w:t>
            </w:r>
          </w:p>
        </w:tc>
        <w:tc>
          <w:tcPr>
            <w:tcW w:w="280" w:type="dxa"/>
            <w:vAlign w:val="bottom"/>
            <w:shd w:val="clear" w:color="auto" w:fill="CCFFCC"/>
          </w:tcPr>
          <w:p>
            <w:pPr>
              <w:spacing w:after="0"/>
              <w:rPr>
                <w:sz w:val="19"/>
                <w:szCs w:val="19"/>
                <w:color w:val="auto"/>
              </w:rPr>
            </w:pPr>
          </w:p>
        </w:tc>
        <w:tc>
          <w:tcPr>
            <w:tcW w:w="960" w:type="dxa"/>
            <w:vAlign w:val="bottom"/>
            <w:shd w:val="clear" w:color="auto" w:fill="CCFFCC"/>
          </w:tcPr>
          <w:p>
            <w:pPr>
              <w:jc w:val="right"/>
              <w:ind w:right="28"/>
              <w:spacing w:after="0"/>
              <w:rPr>
                <w:sz w:val="20"/>
                <w:szCs w:val="20"/>
                <w:color w:val="auto"/>
              </w:rPr>
            </w:pPr>
            <w:r>
              <w:rPr>
                <w:rFonts w:ascii="Times New Roman" w:cs="Times New Roman" w:eastAsia="Times New Roman" w:hAnsi="Times New Roman"/>
                <w:sz w:val="14"/>
                <w:szCs w:val="14"/>
                <w:color w:val="auto"/>
              </w:rPr>
              <w:t>178</w:t>
            </w:r>
          </w:p>
        </w:tc>
        <w:tc>
          <w:tcPr>
            <w:tcW w:w="340" w:type="dxa"/>
            <w:vAlign w:val="bottom"/>
            <w:shd w:val="clear" w:color="auto" w:fill="CCFFCC"/>
          </w:tcPr>
          <w:p>
            <w:pPr>
              <w:jc w:val="right"/>
              <w:ind w:right="155"/>
              <w:spacing w:after="0"/>
              <w:rPr>
                <w:sz w:val="20"/>
                <w:szCs w:val="20"/>
                <w:color w:val="auto"/>
              </w:rPr>
            </w:pPr>
            <w:r>
              <w:rPr>
                <w:rFonts w:ascii="Times New Roman" w:cs="Times New Roman" w:eastAsia="Times New Roman" w:hAnsi="Times New Roman"/>
                <w:sz w:val="9"/>
                <w:szCs w:val="9"/>
                <w:color w:val="auto"/>
              </w:rPr>
              <w:t>(4)</w:t>
            </w:r>
          </w:p>
        </w:tc>
      </w:tr>
      <w:tr>
        <w:trPr>
          <w:trHeight w:val="265"/>
        </w:trPr>
        <w:tc>
          <w:tcPr>
            <w:tcW w:w="8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Acquisition costs</w:t>
            </w:r>
          </w:p>
        </w:tc>
        <w:tc>
          <w:tcPr>
            <w:tcW w:w="26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648</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r>
      <w:tr>
        <w:trPr>
          <w:trHeight w:val="270"/>
        </w:trPr>
        <w:tc>
          <w:tcPr>
            <w:tcW w:w="824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4"/>
                <w:szCs w:val="14"/>
                <w:color w:val="auto"/>
              </w:rPr>
              <w:t>Other income, net</w:t>
            </w:r>
          </w:p>
        </w:tc>
        <w:tc>
          <w:tcPr>
            <w:tcW w:w="260" w:type="dxa"/>
            <w:vAlign w:val="bottom"/>
            <w:tcBorders>
              <w:bottom w:val="single" w:sz="8" w:color="auto"/>
            </w:tcBorders>
            <w:shd w:val="clear" w:color="auto" w:fill="CCFFCC"/>
          </w:tcPr>
          <w:p>
            <w:pPr>
              <w:spacing w:after="0"/>
              <w:rPr>
                <w:sz w:val="23"/>
                <w:szCs w:val="23"/>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40" w:type="dxa"/>
            <w:vAlign w:val="bottom"/>
            <w:shd w:val="clear" w:color="auto" w:fill="CCFFCC"/>
          </w:tcPr>
          <w:p>
            <w:pPr>
              <w:spacing w:after="0"/>
              <w:rPr>
                <w:sz w:val="23"/>
                <w:szCs w:val="23"/>
                <w:color w:val="auto"/>
              </w:rPr>
            </w:pPr>
          </w:p>
        </w:tc>
        <w:tc>
          <w:tcPr>
            <w:tcW w:w="280" w:type="dxa"/>
            <w:vAlign w:val="bottom"/>
            <w:tcBorders>
              <w:bottom w:val="single" w:sz="8" w:color="auto"/>
            </w:tcBorders>
            <w:shd w:val="clear" w:color="auto" w:fill="CCFFCC"/>
          </w:tcPr>
          <w:p>
            <w:pPr>
              <w:spacing w:after="0"/>
              <w:rPr>
                <w:sz w:val="23"/>
                <w:szCs w:val="23"/>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340" w:type="dxa"/>
            <w:vAlign w:val="bottom"/>
            <w:shd w:val="clear" w:color="auto" w:fill="CCFFCC"/>
          </w:tcPr>
          <w:p>
            <w:pPr>
              <w:spacing w:after="0"/>
              <w:rPr>
                <w:sz w:val="23"/>
                <w:szCs w:val="23"/>
                <w:color w:val="auto"/>
              </w:rPr>
            </w:pPr>
          </w:p>
        </w:tc>
      </w:tr>
      <w:tr>
        <w:trPr>
          <w:trHeight w:val="282"/>
        </w:trPr>
        <w:tc>
          <w:tcPr>
            <w:tcW w:w="8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Adjusted operating (loss) income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(7,108)</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776</w:t>
            </w:r>
          </w:p>
        </w:tc>
        <w:tc>
          <w:tcPr>
            <w:tcW w:w="340" w:type="dxa"/>
            <w:vAlign w:val="bottom"/>
          </w:tcPr>
          <w:p>
            <w:pPr>
              <w:spacing w:after="0"/>
              <w:rPr>
                <w:sz w:val="24"/>
                <w:szCs w:val="24"/>
                <w:color w:val="auto"/>
              </w:rPr>
            </w:pPr>
          </w:p>
        </w:tc>
      </w:tr>
      <w:tr>
        <w:trPr>
          <w:trHeight w:val="305"/>
        </w:trPr>
        <w:tc>
          <w:tcPr>
            <w:tcW w:w="8240" w:type="dxa"/>
            <w:vAlign w:val="bottom"/>
            <w:tcBorders>
              <w:top w:val="single" w:sz="8" w:color="CCFFCC"/>
            </w:tcBorders>
            <w:shd w:val="clear" w:color="auto" w:fill="CCFFCC"/>
          </w:tcPr>
          <w:p>
            <w:pPr>
              <w:spacing w:after="0"/>
              <w:rPr>
                <w:sz w:val="24"/>
                <w:szCs w:val="24"/>
                <w:color w:val="auto"/>
              </w:rPr>
            </w:pPr>
          </w:p>
        </w:tc>
        <w:tc>
          <w:tcPr>
            <w:tcW w:w="260" w:type="dxa"/>
            <w:vAlign w:val="bottom"/>
            <w:tcBorders>
              <w:top w:val="single" w:sz="8" w:color="auto"/>
            </w:tcBorders>
            <w:shd w:val="clear" w:color="auto" w:fill="CCFFCC"/>
          </w:tcPr>
          <w:p>
            <w:pPr>
              <w:spacing w:after="0"/>
              <w:rPr>
                <w:sz w:val="24"/>
                <w:szCs w:val="24"/>
                <w:color w:val="auto"/>
              </w:rPr>
            </w:pPr>
          </w:p>
        </w:tc>
        <w:tc>
          <w:tcPr>
            <w:tcW w:w="1000" w:type="dxa"/>
            <w:vAlign w:val="bottom"/>
            <w:tcBorders>
              <w:top w:val="single" w:sz="8" w:color="auto"/>
            </w:tcBorders>
            <w:shd w:val="clear" w:color="auto" w:fill="CCFFCC"/>
          </w:tcPr>
          <w:p>
            <w:pPr>
              <w:spacing w:after="0"/>
              <w:rPr>
                <w:sz w:val="24"/>
                <w:szCs w:val="24"/>
                <w:color w:val="auto"/>
              </w:rPr>
            </w:pPr>
          </w:p>
        </w:tc>
        <w:tc>
          <w:tcPr>
            <w:tcW w:w="340" w:type="dxa"/>
            <w:vAlign w:val="bottom"/>
            <w:tcBorders>
              <w:top w:val="single" w:sz="8" w:color="CCFFCC"/>
            </w:tcBorders>
            <w:shd w:val="clear" w:color="auto" w:fill="CCFFCC"/>
          </w:tcPr>
          <w:p>
            <w:pPr>
              <w:spacing w:after="0"/>
              <w:rPr>
                <w:sz w:val="24"/>
                <w:szCs w:val="24"/>
                <w:color w:val="auto"/>
              </w:rPr>
            </w:pPr>
          </w:p>
        </w:tc>
        <w:tc>
          <w:tcPr>
            <w:tcW w:w="280" w:type="dxa"/>
            <w:vAlign w:val="bottom"/>
            <w:tcBorders>
              <w:top w:val="single" w:sz="8" w:color="auto"/>
            </w:tcBorders>
            <w:shd w:val="clear" w:color="auto" w:fill="CCFFCC"/>
          </w:tcPr>
          <w:p>
            <w:pPr>
              <w:spacing w:after="0"/>
              <w:rPr>
                <w:sz w:val="24"/>
                <w:szCs w:val="24"/>
                <w:color w:val="auto"/>
              </w:rPr>
            </w:pPr>
          </w:p>
        </w:tc>
        <w:tc>
          <w:tcPr>
            <w:tcW w:w="960" w:type="dxa"/>
            <w:vAlign w:val="bottom"/>
            <w:tcBorders>
              <w:top w:val="single" w:sz="8" w:color="auto"/>
            </w:tcBorders>
            <w:shd w:val="clear" w:color="auto" w:fill="CCFFCC"/>
          </w:tcPr>
          <w:p>
            <w:pPr>
              <w:spacing w:after="0"/>
              <w:rPr>
                <w:sz w:val="24"/>
                <w:szCs w:val="24"/>
                <w:color w:val="auto"/>
              </w:rPr>
            </w:pPr>
          </w:p>
        </w:tc>
        <w:tc>
          <w:tcPr>
            <w:tcW w:w="340" w:type="dxa"/>
            <w:vAlign w:val="bottom"/>
            <w:tcBorders>
              <w:top w:val="single" w:sz="8" w:color="CCFFCC"/>
            </w:tcBorders>
            <w:shd w:val="clear" w:color="auto" w:fill="CCFFCC"/>
          </w:tcPr>
          <w:p>
            <w:pPr>
              <w:spacing w:after="0"/>
              <w:rPr>
                <w:sz w:val="24"/>
                <w:szCs w:val="24"/>
                <w:color w:val="auto"/>
              </w:rPr>
            </w:pPr>
          </w:p>
        </w:tc>
      </w:tr>
    </w:tbl>
    <w:p>
      <w:pPr>
        <w:spacing w:after="0" w:line="4" w:lineRule="exact"/>
        <w:rPr>
          <w:sz w:val="20"/>
          <w:szCs w:val="20"/>
          <w:color w:val="auto"/>
        </w:rPr>
      </w:pPr>
    </w:p>
    <w:p>
      <w:pPr>
        <w:ind w:left="240" w:hanging="205"/>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litigation costs of $1.1 million and consulting costs of $1.3 million for the three months ended March 31, 2019.</w:t>
      </w:r>
    </w:p>
    <w:p>
      <w:pPr>
        <w:spacing w:after="0" w:line="41" w:lineRule="exact"/>
        <w:rPr>
          <w:rFonts w:ascii="Times New Roman" w:cs="Times New Roman" w:eastAsia="Times New Roman" w:hAnsi="Times New Roman"/>
          <w:sz w:val="14"/>
          <w:szCs w:val="14"/>
          <w:color w:val="auto"/>
        </w:rPr>
      </w:pPr>
    </w:p>
    <w:p>
      <w:pPr>
        <w:ind w:left="240" w:hanging="205"/>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litigation costs of $0.9 million and executive recruiting costs of $0.3 million for the three months ended March 31, 2018.</w:t>
      </w:r>
    </w:p>
    <w:p>
      <w:pPr>
        <w:spacing w:after="0" w:line="41" w:lineRule="exact"/>
        <w:rPr>
          <w:rFonts w:ascii="Times New Roman" w:cs="Times New Roman" w:eastAsia="Times New Roman" w:hAnsi="Times New Roman"/>
          <w:sz w:val="14"/>
          <w:szCs w:val="14"/>
          <w:color w:val="auto"/>
        </w:rPr>
      </w:pPr>
    </w:p>
    <w:p>
      <w:pPr>
        <w:ind w:left="240" w:hanging="205"/>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severance costs and other compensation related costs of $0.3 million for the three months ended March 31, 2019.</w:t>
      </w:r>
    </w:p>
    <w:p>
      <w:pPr>
        <w:spacing w:after="0" w:line="41" w:lineRule="exact"/>
        <w:rPr>
          <w:rFonts w:ascii="Times New Roman" w:cs="Times New Roman" w:eastAsia="Times New Roman" w:hAnsi="Times New Roman"/>
          <w:sz w:val="14"/>
          <w:szCs w:val="14"/>
          <w:color w:val="auto"/>
        </w:rPr>
      </w:pPr>
    </w:p>
    <w:p>
      <w:pPr>
        <w:ind w:left="240" w:hanging="205"/>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severance costs of $0.2 million for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2466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804"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majority of our revenue is generated from monthly service revenues and related professional services from the sale of the LivePerson services. Revenues are recognized when control of these services is transferred to our customers, in an amount that reflects the consideration we expect to be entitled to in exchange for those services.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44" w:lineRule="exact"/>
        <w:rPr>
          <w:sz w:val="20"/>
          <w:szCs w:val="20"/>
          <w:color w:val="auto"/>
        </w:rPr>
      </w:pPr>
    </w:p>
    <w:p>
      <w:pPr>
        <w:ind w:left="1360" w:hanging="204"/>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03" w:lineRule="exact"/>
        <w:rPr>
          <w:rFonts w:ascii="Times New Roman" w:cs="Times New Roman" w:eastAsia="Times New Roman" w:hAnsi="Times New Roman"/>
          <w:sz w:val="18"/>
          <w:szCs w:val="18"/>
          <w:color w:val="auto"/>
        </w:rPr>
      </w:pPr>
    </w:p>
    <w:p>
      <w:pPr>
        <w:ind w:left="1360" w:hanging="204"/>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03" w:lineRule="exact"/>
        <w:rPr>
          <w:rFonts w:ascii="Times New Roman" w:cs="Times New Roman" w:eastAsia="Times New Roman" w:hAnsi="Times New Roman"/>
          <w:sz w:val="18"/>
          <w:szCs w:val="18"/>
          <w:color w:val="auto"/>
        </w:rPr>
      </w:pPr>
    </w:p>
    <w:p>
      <w:pPr>
        <w:ind w:left="1360" w:hanging="204"/>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03" w:lineRule="exact"/>
        <w:rPr>
          <w:rFonts w:ascii="Times New Roman" w:cs="Times New Roman" w:eastAsia="Times New Roman" w:hAnsi="Times New Roman"/>
          <w:sz w:val="18"/>
          <w:szCs w:val="18"/>
          <w:color w:val="auto"/>
        </w:rPr>
      </w:pPr>
    </w:p>
    <w:p>
      <w:pPr>
        <w:ind w:left="1360" w:hanging="204"/>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03" w:lineRule="exact"/>
        <w:rPr>
          <w:rFonts w:ascii="Times New Roman" w:cs="Times New Roman" w:eastAsia="Times New Roman" w:hAnsi="Times New Roman"/>
          <w:sz w:val="18"/>
          <w:szCs w:val="18"/>
          <w:color w:val="auto"/>
        </w:rPr>
      </w:pPr>
    </w:p>
    <w:p>
      <w:pPr>
        <w:ind w:left="1360" w:hanging="204"/>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13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Total revenue of $66.4 million recognized during the three months ended March 31, 2019 under ASU No. 2014-09, "Revenue from Contracts with Customers" ("Topic 606"), was not materially different from what would have been recognized under Topic 605.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Hosted Services- Business Revenue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Hosted Services Business revenue is reported at the amount that reflects the ultimate consideration expected to be received and primarily consist of fees that provide customers access to LiveEngage, our enterprise-class, cloud-based platform.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There is no significant variable consideration related to these arrangements. Additionally, for certain of our larger customers, we may provide call center labor through an arrangement with one or more of several qualified vendors. For most of these customers, we pass the fee we incur with the labor provider and the fee for the hosted services through to our customers in the form of a fixed fee for each order placed via our online engagement solutions. For these Gainshare (formerly Pay for Performance) arrangements in accordance with ASC 606, "Principal Agent Considerations", we act as a principal in a transaction if it controls the specified goods or services before they are transferred to the customer.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 Revenues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76" w:right="2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Hosted Services- Consumer Revenue</w:t>
      </w:r>
    </w:p>
    <w:p>
      <w:pPr>
        <w:spacing w:after="0" w:line="227"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For revenue from our Consumer segment generated from online transactions between Experts and Users, revenue is recognized at an amount net of Expert fees in accordance with ASC 606,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 a portion of the fee, and then remit the balance to the Expert. Revenue from these transactions is recognized at the point in time when the transaction is complete and no significant performance obligations remain.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Revenues</w:t>
      </w:r>
    </w:p>
    <w:p>
      <w:pPr>
        <w:spacing w:after="0" w:line="22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record deferred revenues when cash payments are received or due in advance of our performance. The increase in the deferred revenue balance for the three months ended March 31, 2019 is primarily driven by cash payments received or due in advance of satisfying our performance obligations, partially offset by $16.9 million of revenues recognized that were included in the deferred revenue balance as of December 31, 2018.</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 We accrued $1.9 million in cash awards to be settled in shares as a liability in the three months ended March 31, 2019</w:t>
      </w:r>
    </w:p>
    <w:p>
      <w:pPr>
        <w:spacing w:after="0" w:line="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2019, there was approximately $14.5 million of total unrecognized compensation cost related to nonvested share-based compensation arrangements. That cost is expected to be recognized over a weighted average period of approximately 2.6 years. As of March 31, 2019, there was approximately $42.2 million of total unrecognized compensation cost related to nonvested restricted stock units. That cost is expected to be recognized over the remaining weighted average period of approximately 2.8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condensed consolidated financial statements. No single customer accounted for or exceeded 10% of our total revenue in the three months ended March 31, 2019 and 2018. No customer accounted for approximately 10% of accounts receivable as of March 31, 2019. One customer exceeded 10% of our total accounts receivable as of December 31, 2018. During the three months ended March 31, 2019 we increased our allowance for doubtful accounts by $0.5 million to approximately $2.7 million. During 2018, we increased our allowance for doubtful accounts by $1.0 million to $2.3 million.</w:t>
      </w:r>
    </w:p>
    <w:p>
      <w:pPr>
        <w:spacing w:after="0" w:line="7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large proportion of our receivables are due from larger corporate customers that typically have longer payment cycles. We base our allowance for doubtful accounts on specifically identified credit risks of customers, historical trends and other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80" w:right="2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that we believe to be reasonable. Receivables are written-off and charged against its recorded allowance when we have exhausted collection efforts without success. We adjust our allowance for doubtful accounts when accounts previously reserved have been collected.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Financial Accounting Standards Board (“FASB”) issued ASU No. 2011-08, Intangibles — Goodwill and Other (Topic 350) (“ASU 2011-08”).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than it is necessary to perform the second step of the goodwill impairment test.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also the magnitude of any such charge. We perform internal valuation analysis and consider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such comparables.</w:t>
      </w:r>
    </w:p>
    <w:p>
      <w:pPr>
        <w:spacing w:after="0" w:line="91" w:lineRule="exact"/>
        <w:rPr>
          <w:sz w:val="20"/>
          <w:szCs w:val="20"/>
          <w:color w:val="auto"/>
        </w:rPr>
      </w:pPr>
    </w:p>
    <w:p>
      <w:pPr>
        <w:jc w:val="both"/>
        <w:ind w:right="20" w:firstLine="648"/>
        <w:spacing w:after="0" w:line="218" w:lineRule="auto"/>
        <w:rPr>
          <w:sz w:val="20"/>
          <w:szCs w:val="20"/>
          <w:color w:val="auto"/>
        </w:rPr>
      </w:pPr>
      <w:r>
        <w:rPr>
          <w:rFonts w:ascii="Times New Roman" w:cs="Times New Roman" w:eastAsia="Times New Roman" w:hAnsi="Times New Roman"/>
          <w:sz w:val="18"/>
          <w:szCs w:val="18"/>
          <w:color w:val="auto"/>
        </w:rPr>
        <w:t>We evaluate for goodwill impairment annually on September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On September 30, 2018, we determined that it was not more-likely that the fair value of the reporting units are less than their carrying amount. Accordingly, we did not perform the two-step goodwill impairment test.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We do not have any long-lived assets, including intangible assets, which we consider to be impaired.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14, Legal Matters, of the Notes to the Condensed Consolidated Financial Statements for additional information on our legal proceedings and litigation.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 to Condensed Consolidated Financial Statements for a full description of recently issued accounting standards.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 to Condensed Consolidated Financial Statements for a full description of recently adopted accounting pronouncements.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majority of our revenue is generated from monthly service revenues and related professional services from the sale of the LivePerson services. We charge a monthly, quarterly or annual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 Revenues are recognized when control of the promised goods or services is transferred to our customers, in an amount that reflects the consideration we expect to be entitled to in exchange for those goods or services.</w:t>
      </w:r>
    </w:p>
    <w:p>
      <w:pPr>
        <w:spacing w:after="0" w:line="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from our Business segment accounted for 92% of total revenue for the three months ended March 31, 2019 and 2018. Revenue attributable to our monthly hosted Business services accounted for 84% of total Business revenue for the three months ended March 31, 2019. Revenue attributable to our monthly hosted Business services accounted for 89% of total Business revenue for the three months ended March 31, 2018.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 signing a customer contract and recognizing revenue from that customer. Although this lag typically ranges from 30 to 90 days, it may take more or less time between contract signing and recognizing revenue in certain situations.</w:t>
      </w:r>
    </w:p>
    <w:p>
      <w:pPr>
        <w:spacing w:after="0" w:line="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from our Consumer segment is generated from online transactions between Experts and Users and is recognized net of Expert fees and accounted for approximately 8% of total revenue for the three months ended March 31, 2019 and 2018 respectively.</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revenue consists of:</w:t>
      </w:r>
    </w:p>
    <w:p>
      <w:pPr>
        <w:spacing w:after="0" w:line="117" w:lineRule="exact"/>
        <w:rPr>
          <w:sz w:val="20"/>
          <w:szCs w:val="20"/>
          <w:color w:val="auto"/>
        </w:rPr>
      </w:pPr>
    </w:p>
    <w:p>
      <w:pPr>
        <w:ind w:left="1220" w:hanging="321"/>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costs relating to employees who provide customer support and implementation services to our customers;</w:t>
      </w:r>
    </w:p>
    <w:p>
      <w:pPr>
        <w:spacing w:after="0" w:line="117"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labor provider costs;</w:t>
      </w:r>
    </w:p>
    <w:p>
      <w:pPr>
        <w:spacing w:after="0" w:line="117"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costs relating to our network support staff;</w:t>
      </w:r>
    </w:p>
    <w:p>
      <w:pPr>
        <w:spacing w:after="0" w:line="117"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certain hardware and software;</w:t>
      </w:r>
    </w:p>
    <w:p>
      <w:pPr>
        <w:spacing w:after="0" w:line="117"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occupancy costs and related overhead;</w:t>
      </w:r>
    </w:p>
    <w:p>
      <w:pPr>
        <w:spacing w:after="0" w:line="117"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supporting our infrastructure, including expenses related to server leases, infrastructure support costs and Internet connectivity;</w:t>
      </w:r>
    </w:p>
    <w:p>
      <w:pPr>
        <w:spacing w:after="0" w:line="117"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card fees and related payment processing costs associated with consumer and self-service customers; and</w:t>
      </w:r>
    </w:p>
    <w:p>
      <w:pPr>
        <w:spacing w:after="0" w:line="117"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certain intangibles.</w:t>
      </w:r>
    </w:p>
    <w:p>
      <w:pPr>
        <w:spacing w:after="0" w:line="117"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Our sales and marketing expenses consist of compensation and related expenses for sales personnel and marketing personnel, online marketing, allocated occupancy costs and related overhead, advertising, marketing events, sales commissions, public relations, promotional materials, travel expenses and trade show exhibit expenses.</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76"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Compensation Expense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non-cash compensation amounts are as follows:</w:t>
      </w:r>
    </w:p>
    <w:p>
      <w:pPr>
        <w:spacing w:after="0" w:line="340"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24765</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8940"/>
        <w:spacing w:after="0"/>
        <w:tabs>
          <w:tab w:leader="none" w:pos="1052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24765</wp:posOffset>
            </wp:positionV>
            <wp:extent cx="19551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9"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9" w:lineRule="exact"/>
        <w:rPr>
          <w:sz w:val="20"/>
          <w:szCs w:val="20"/>
          <w:color w:val="auto"/>
        </w:rPr>
      </w:pPr>
    </w:p>
    <w:p>
      <w:pPr>
        <w:ind w:left="40"/>
        <w:spacing w:after="0"/>
        <w:tabs>
          <w:tab w:leader="none" w:pos="8340" w:val="left"/>
          <w:tab w:leader="none" w:pos="9340" w:val="left"/>
          <w:tab w:leader="none" w:pos="9960" w:val="left"/>
          <w:tab w:leader="none" w:pos="10920" w:val="left"/>
        </w:tabs>
        <w:rPr>
          <w:sz w:val="20"/>
          <w:szCs w:val="20"/>
          <w:color w:val="auto"/>
        </w:rPr>
      </w:pPr>
      <w:r>
        <w:rPr>
          <w:rFonts w:ascii="Times New Roman" w:cs="Times New Roman" w:eastAsia="Times New Roman" w:hAnsi="Times New Roman"/>
          <w:sz w:val="16"/>
          <w:szCs w:val="16"/>
          <w:color w:val="auto"/>
        </w:rPr>
        <w:t>Stock-based compensation expense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7,166</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2,438</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w:t>
      </w:r>
    </w:p>
    <w:p>
      <w:pPr>
        <w:spacing w:after="0" w:line="180"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In the first two quarters of 2019, we will make increasing investments in sales and development capacity and marketing programs in order to maximize in-year productivity. We expect these investments will contribute to losses in the first two quarters of 2019.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2019 and 2018</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90"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24765</wp:posOffset>
            </wp:positionV>
            <wp:extent cx="1878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03" w:lineRule="exact"/>
        <w:rPr>
          <w:sz w:val="20"/>
          <w:szCs w:val="20"/>
          <w:color w:val="auto"/>
        </w:rPr>
      </w:pPr>
    </w:p>
    <w:p>
      <w:pPr>
        <w:ind w:left="8760"/>
        <w:spacing w:after="0"/>
        <w:tabs>
          <w:tab w:leader="none" w:pos="9740" w:val="left"/>
          <w:tab w:leader="none" w:pos="1060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24765</wp:posOffset>
            </wp:positionV>
            <wp:extent cx="18783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03"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24765</wp:posOffset>
            </wp:positionV>
            <wp:extent cx="12007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 by Segment: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6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6"/>
                <w:szCs w:val="16"/>
                <w:color w:val="auto"/>
              </w:rPr>
              <w:t>Business</w:t>
            </w: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60,995</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53,561</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7"/>
        </w:trPr>
        <w:tc>
          <w:tcPr>
            <w:tcW w:w="84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4,680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84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FFCC"/>
            </w:tcBorders>
            <w:shd w:val="clear" w:color="auto" w:fill="CCFFCC"/>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66,402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rPr>
              <w:t>58,241</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Business revenue increased by 14% to $61.0 million in the three months ended March 31, 2019 from $53.6 million in the comparable period in 2018. The increase in B2B revenue is driven mainly by increases in hosted services of $2.4 million and in professional services of $5.5 million year over year offset by a decrease in variable revenue of $0.2 million. The increase in revenue is primary attributed to increasing adoption of conversational commerce solutions by our customers. In the first quarter, approximately 45% of our enterprise customers had adopted messaging, up from approximately 25% in the year ago period. As adoption increases, we are seeing higher revenue per customer. Our average annual revenue per enterprise and midmarket customer increased 24% year over year to $300,000 in the trailing twelve months ended March 31, 2019, from $240,000 in the prior year period. Similarly, we are seeing strong revenue retention rates. Revenue retention for our enterprise and midmarket customers was within our target range of 105% to 115% for the period ended March 31, 2019, which marked the ninth consecutive quarter of a greater than 100% revenue retention rate. Finally, as we add sales capacity we are also increasing the number of deals we sign. Total deals signed increased 20% year over year in the first quarter.</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overall increase in business revenue is primarily attributable to the Company's increased focus on cross-selling to customers. LivePerson has developed a large ecosystem of conversational messaging endpoints that integrates to our platform and is driving adoption of these endpoints along with bots and AI.</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Consumer revenue increased by 16% to $5.4 million in the three months ended March 31, 2019, from $4.7 million in the comparable period in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variance is driven by an increase in price per minute and in volume of chat minutes.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 Business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76"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95"/>
        </w:trPr>
        <w:tc>
          <w:tcPr>
            <w:tcW w:w="830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00" w:type="dxa"/>
            <w:vAlign w:val="bottom"/>
          </w:tcPr>
          <w:p>
            <w:pPr>
              <w:spacing w:after="0"/>
              <w:rPr>
                <w:sz w:val="22"/>
                <w:szCs w:val="22"/>
                <w:color w:val="auto"/>
              </w:rPr>
            </w:pPr>
          </w:p>
        </w:tc>
        <w:tc>
          <w:tcPr>
            <w:tcW w:w="10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8300" w:type="dxa"/>
            <w:vAlign w:val="bottom"/>
          </w:tcPr>
          <w:p>
            <w:pPr>
              <w:spacing w:after="0"/>
              <w:rPr>
                <w:sz w:val="22"/>
                <w:szCs w:val="22"/>
                <w:color w:val="auto"/>
              </w:rPr>
            </w:pPr>
          </w:p>
        </w:tc>
        <w:tc>
          <w:tcPr>
            <w:tcW w:w="2000" w:type="dxa"/>
            <w:vAlign w:val="bottom"/>
            <w:tcBorders>
              <w:bottom w:val="single" w:sz="8" w:color="auto"/>
            </w:tcBorders>
            <w:gridSpan w:val="2"/>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6"/>
        </w:trPr>
        <w:tc>
          <w:tcPr>
            <w:tcW w:w="8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revenue - business</w:t>
            </w: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   17,662</w:t>
            </w:r>
          </w:p>
        </w:tc>
        <w:tc>
          <w:tcPr>
            <w:tcW w:w="10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   12,918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33"/>
        </w:trPr>
        <w:tc>
          <w:tcPr>
            <w:tcW w:w="8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0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27%</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r>
      <w:tr>
        <w:trPr>
          <w:trHeight w:val="237"/>
        </w:trPr>
        <w:tc>
          <w:tcPr>
            <w:tcW w:w="8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Headcount (at period end):</w:t>
            </w: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198</w:t>
            </w:r>
          </w:p>
        </w:tc>
        <w:tc>
          <w:tcPr>
            <w:tcW w:w="10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218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r>
    </w:tbl>
    <w:p>
      <w:pPr>
        <w:spacing w:after="0" w:line="1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 increased by 37% to $17.7 million in the three months ended March 31, 2019, from $12.9 million in the comparable period in 2018. This variance was primarily attributable to increases in outsourced labor and other business services of approximately $2.1 million, total compensation and related costs for customer service and network operations personnel of approximately $1.3 million, and in primary and backup server facilities and allocated overhead cost related to supporting our server and network infrastructure of approximately $1.3 million.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 Consumer</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8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6"/>
        </w:trPr>
        <w:tc>
          <w:tcPr>
            <w:tcW w:w="8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revenue - consumer</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987</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1,036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33"/>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0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r>
      <w:tr>
        <w:trPr>
          <w:trHeight w:val="237"/>
        </w:trPr>
        <w:tc>
          <w:tcPr>
            <w:tcW w:w="8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Headcount (at period end)</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r>
    </w:tbl>
    <w:p>
      <w:pPr>
        <w:spacing w:after="0" w:line="12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 decreased by 5% to $1.0 million in the three months ended March 31, 2019, from the comparable period in 2018. This variance was primarily attributable to decreases in backup server facilities and allocated occupancy costs and overhead offset partially by increases in credit card processing fees.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 Business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consist of compensation and related expenses for sales and marketing personnel, as well as advertising, marketing events, public relations, trade show exhibit expenses and allocated occupancy costs and related overhead.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10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8360" w:type="dxa"/>
            <w:vAlign w:val="bottom"/>
          </w:tcPr>
          <w:p>
            <w:pPr>
              <w:spacing w:after="0"/>
              <w:rPr>
                <w:sz w:val="22"/>
                <w:szCs w:val="22"/>
                <w:color w:val="auto"/>
              </w:rPr>
            </w:pPr>
          </w:p>
        </w:tc>
        <w:tc>
          <w:tcPr>
            <w:tcW w:w="2000" w:type="dxa"/>
            <w:vAlign w:val="bottom"/>
            <w:tcBorders>
              <w:bottom w:val="single" w:sz="8" w:color="auto"/>
            </w:tcBorders>
            <w:gridSpan w:val="2"/>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6"/>
        </w:trPr>
        <w:tc>
          <w:tcPr>
            <w:tcW w:w="8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Sales and marketing - business</w:t>
            </w: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   30,092</w:t>
            </w:r>
          </w:p>
        </w:tc>
        <w:tc>
          <w:tcPr>
            <w:tcW w:w="10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   21,723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33"/>
        </w:trPr>
        <w:tc>
          <w:tcPr>
            <w:tcW w:w="8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45%</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Headcount (at period end):</w:t>
            </w: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403</w:t>
            </w:r>
          </w:p>
        </w:tc>
        <w:tc>
          <w:tcPr>
            <w:tcW w:w="10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318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r>
    </w:tbl>
    <w:p>
      <w:pPr>
        <w:spacing w:after="0" w:line="1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by 39% to $30.1 million in the three months ended March 31, 2019 from $21.7 million in the comparable period in 2018. This variance was primarily attributable to an approximate $5.9 million increase in salaries and related costs as we expanded sales capacity by adding quota reps, sales development reps and partner managers. In addition, there was an approximate $1.5 million increase in marketing events, advertising, public relations, and tradeshow exhibit expenses, approximately $1.2 million increase in allocated occupancy costs and overhead, and an approximate $0.2 million increase in business services and outsourced subcontracted labor. This was partially offset by a decrease in recruitment costs of approximately $0.4 million.</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804" w:right="2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 Consumer</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consist of compensation and related expenses for marketing personnel, as well as online promotion, public relations and allocated occupancy costs and related overhead.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6"/>
        </w:trPr>
        <w:tc>
          <w:tcPr>
            <w:tcW w:w="8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Sales and marketing - consumer</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2,944</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2,408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33"/>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Headcount (at period end):</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Pr>
          <w:p>
            <w:pPr>
              <w:spacing w:after="0"/>
              <w:rPr>
                <w:sz w:val="20"/>
                <w:szCs w:val="20"/>
                <w:color w:val="auto"/>
              </w:rPr>
            </w:pPr>
          </w:p>
        </w:tc>
        <w:tc>
          <w:tcPr>
            <w:tcW w:w="7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r>
    </w:tbl>
    <w:p>
      <w:pPr>
        <w:spacing w:after="0" w:line="12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22% to $2.9 million in the three months ended March 31, 2019 from $2.4 million in the comparable period in 2018. This variance was primarily attributable to increases in advertising and online expenses of approximately $0.5 million.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240" w:type="dxa"/>
            <w:vAlign w:val="bottom"/>
          </w:tcPr>
          <w:p>
            <w:pPr>
              <w:spacing w:after="0"/>
              <w:rPr>
                <w:sz w:val="22"/>
                <w:szCs w:val="22"/>
                <w:color w:val="auto"/>
              </w:rPr>
            </w:pPr>
          </w:p>
        </w:tc>
        <w:tc>
          <w:tcPr>
            <w:tcW w:w="10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8240" w:type="dxa"/>
            <w:vAlign w:val="bottom"/>
          </w:tcPr>
          <w:p>
            <w:pPr>
              <w:spacing w:after="0"/>
              <w:rPr>
                <w:sz w:val="21"/>
                <w:szCs w:val="21"/>
                <w:color w:val="auto"/>
              </w:rPr>
            </w:pPr>
          </w:p>
        </w:tc>
        <w:tc>
          <w:tcPr>
            <w:tcW w:w="2000" w:type="dxa"/>
            <w:vAlign w:val="bottom"/>
            <w:tcBorders>
              <w:bottom w:val="single" w:sz="8" w:color="auto"/>
            </w:tcBorders>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6"/>
        </w:trPr>
        <w:tc>
          <w:tcPr>
            <w:tcW w:w="8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   14,167</w:t>
            </w:r>
          </w:p>
        </w:tc>
        <w:tc>
          <w:tcPr>
            <w:tcW w:w="10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   10,123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33"/>
        </w:trPr>
        <w:tc>
          <w:tcPr>
            <w:tcW w:w="8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4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21%</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Headcount (at period end):</w:t>
            </w: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128</w:t>
            </w:r>
          </w:p>
        </w:tc>
        <w:tc>
          <w:tcPr>
            <w:tcW w:w="10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r>
    </w:tbl>
    <w:p>
      <w:pPr>
        <w:spacing w:after="0" w:line="1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40% to $14.2 million in the three months ended March 31, 2019 from $10.1 million in the comparable period in 2018. This variance was primarily attributable to an increase in total compensation expenses of approximately $2.4 million, in part due to the build out of the Company's recruiting and HR capabilities. Other factors include consulting fees relating to procurement and pricing strategies of $1.3 million, an increase in business services and outsourced labor of approximately $1.0 million, and an increase in litigation costs of approximately $0.2 million. This was partially offset by a decrease in allocated occupancy costs, related overhead, information technology and other general corporate expenses of approximately $0.8 million and the nonrecurrence of executive recruitment costs in 2018 of approximately $0.3 million.</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240" w:type="dxa"/>
            <w:vAlign w:val="bottom"/>
          </w:tcPr>
          <w:p>
            <w:pPr>
              <w:spacing w:after="0"/>
              <w:rPr>
                <w:sz w:val="22"/>
                <w:szCs w:val="22"/>
                <w:color w:val="auto"/>
              </w:rPr>
            </w:pPr>
          </w:p>
        </w:tc>
        <w:tc>
          <w:tcPr>
            <w:tcW w:w="10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8240" w:type="dxa"/>
            <w:vAlign w:val="bottom"/>
          </w:tcPr>
          <w:p>
            <w:pPr>
              <w:spacing w:after="0"/>
              <w:rPr>
                <w:sz w:val="22"/>
                <w:szCs w:val="22"/>
                <w:color w:val="auto"/>
              </w:rPr>
            </w:pPr>
          </w:p>
        </w:tc>
        <w:tc>
          <w:tcPr>
            <w:tcW w:w="2000" w:type="dxa"/>
            <w:vAlign w:val="bottom"/>
            <w:tcBorders>
              <w:bottom w:val="single" w:sz="8" w:color="auto"/>
            </w:tcBorders>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6"/>
        </w:trPr>
        <w:tc>
          <w:tcPr>
            <w:tcW w:w="8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 development</w:t>
            </w: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   18,173</w:t>
            </w:r>
          </w:p>
        </w:tc>
        <w:tc>
          <w:tcPr>
            <w:tcW w:w="10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   13,252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33"/>
        </w:trPr>
        <w:tc>
          <w:tcPr>
            <w:tcW w:w="8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4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Times New Roman" w:cs="Times New Roman" w:eastAsia="Times New Roman" w:hAnsi="Times New Roman"/>
                <w:sz w:val="16"/>
                <w:szCs w:val="16"/>
                <w:color w:val="auto"/>
              </w:rPr>
              <w:t>27%</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Headcount (at period end):</w:t>
            </w:r>
          </w:p>
        </w:tc>
        <w:tc>
          <w:tcPr>
            <w:tcW w:w="100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409</w:t>
            </w:r>
          </w:p>
        </w:tc>
        <w:tc>
          <w:tcPr>
            <w:tcW w:w="10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367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r>
    </w:tbl>
    <w:p>
      <w:pPr>
        <w:spacing w:after="0" w:line="1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Product development costs increased by 37% to $18.2 million in the three months ended March 31, 2019 from $13.3 million in the comparable period in 2018. This variance was primarily attributable to increases in total compensation, recruiting expense and associated costs for product development personnel of approximately $2.1 million, in depreciation expense and backup server facilities and allocated overhead related to costs of supporting our server and network infrastructure of approximately $2.1 million, and in outsourcing and business services of approximately $1.0 million.</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invest in new product development efforts to expand the capability of LiveEngage. We recognize that every brand is unique and employs an individualized and complex approach to managing their users. In accordance with ASC 350-40 - "Internal- Use Software," as new projects are initiated that provide functionality to the LiveEngage platform, the associated development and employee costs will be capitalized. Upon completion, the project costs will be depreciated over five years. In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76"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the three months ended March 31, 2019, $5.4 million was capitalized compared to $2.5 million in the three months ended March 31, 2018.</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Restructuring costs consist of reprioritizing and reallocating resources to focus on areas showing high growth potential.</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6"/>
        </w:trPr>
        <w:tc>
          <w:tcPr>
            <w:tcW w:w="8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Restructuring costs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279</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178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33"/>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836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220" w:type="dxa"/>
            <w:vAlign w:val="bottom"/>
            <w:shd w:val="clear" w:color="auto" w:fill="CCFFCC"/>
          </w:tcPr>
          <w:p>
            <w:pPr>
              <w:spacing w:after="0"/>
              <w:rPr>
                <w:sz w:val="20"/>
                <w:szCs w:val="20"/>
                <w:color w:val="auto"/>
              </w:rPr>
            </w:pPr>
          </w:p>
        </w:tc>
        <w:tc>
          <w:tcPr>
            <w:tcW w:w="780" w:type="dxa"/>
            <w:vAlign w:val="bottom"/>
            <w:shd w:val="clear" w:color="auto" w:fill="CCFFCC"/>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FFCC"/>
          </w:tcPr>
          <w:p>
            <w:pPr>
              <w:spacing w:after="0"/>
              <w:rPr>
                <w:sz w:val="20"/>
                <w:szCs w:val="20"/>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r>
      <w:tr>
        <w:trPr>
          <w:trHeight w:val="33"/>
        </w:trPr>
        <w:tc>
          <w:tcPr>
            <w:tcW w:w="83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r>
    </w:tbl>
    <w:p>
      <w:pPr>
        <w:spacing w:after="0" w:line="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Restructuring costs increased by 57% to approximately $0.3 million during the three months ended March 31, 2019 from $0.2 million in the comparable periods in 2018. This variance was primarily attributable to a increase of severance costs of approximately $0.1 million. Severance costs are associated with re-prioritizing and reallocating resources to focus on areas showing high growth potential.</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50"/>
        </w:trPr>
        <w:tc>
          <w:tcPr>
            <w:tcW w:w="8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836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960" w:type="dxa"/>
            <w:vAlign w:val="bottom"/>
            <w:tcBorders>
              <w:bottom w:val="single" w:sz="8" w:color="CCFFCC"/>
            </w:tcBorders>
          </w:tcPr>
          <w:p>
            <w:pPr>
              <w:spacing w:after="0"/>
              <w:rPr>
                <w:sz w:val="22"/>
                <w:szCs w:val="22"/>
                <w:color w:val="auto"/>
              </w:rPr>
            </w:pPr>
          </w:p>
        </w:tc>
      </w:tr>
      <w:tr>
        <w:trPr>
          <w:trHeight w:val="249"/>
        </w:trPr>
        <w:tc>
          <w:tcPr>
            <w:tcW w:w="836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20" w:type="dxa"/>
            <w:vAlign w:val="bottom"/>
            <w:tcBorders>
              <w:bottom w:val="single" w:sz="8" w:color="CCFFCC"/>
            </w:tcBorders>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FFCC"/>
            </w:tcBorders>
            <w:shd w:val="clear" w:color="auto" w:fill="CCFFCC"/>
          </w:tcPr>
          <w:p>
            <w:pPr>
              <w:jc w:val="right"/>
              <w:ind w:right="144"/>
              <w:spacing w:after="0"/>
              <w:rPr>
                <w:sz w:val="20"/>
                <w:szCs w:val="20"/>
                <w:color w:val="auto"/>
              </w:rPr>
            </w:pPr>
            <w:r>
              <w:rPr>
                <w:rFonts w:ascii="Times New Roman" w:cs="Times New Roman" w:eastAsia="Times New Roman" w:hAnsi="Times New Roman"/>
                <w:sz w:val="16"/>
                <w:szCs w:val="16"/>
                <w:color w:val="auto"/>
              </w:rPr>
              <w:t>461</w:t>
            </w:r>
          </w:p>
        </w:tc>
        <w:tc>
          <w:tcPr>
            <w:tcW w:w="260" w:type="dxa"/>
            <w:vAlign w:val="bottom"/>
            <w:tcBorders>
              <w:bottom w:val="single" w:sz="8" w:color="CCFFCC"/>
            </w:tcBorders>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FFCC"/>
            </w:tcBorders>
            <w:shd w:val="clear" w:color="auto" w:fill="CCFFCC"/>
          </w:tcPr>
          <w:p>
            <w:pPr>
              <w:jc w:val="right"/>
              <w:ind w:right="82"/>
              <w:spacing w:after="0"/>
              <w:rPr>
                <w:sz w:val="20"/>
                <w:szCs w:val="20"/>
                <w:color w:val="auto"/>
              </w:rPr>
            </w:pPr>
            <w:r>
              <w:rPr>
                <w:rFonts w:ascii="Times New Roman" w:cs="Times New Roman" w:eastAsia="Times New Roman" w:hAnsi="Times New Roman"/>
                <w:sz w:val="16"/>
                <w:szCs w:val="16"/>
                <w:color w:val="auto"/>
              </w:rPr>
              <w:t>424</w:t>
            </w:r>
          </w:p>
        </w:tc>
        <w:tc>
          <w:tcPr>
            <w:tcW w:w="1060" w:type="dxa"/>
            <w:vAlign w:val="bottom"/>
            <w:tcBorders>
              <w:bottom w:val="single" w:sz="8" w:color="CCFFCC"/>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Percentage of total revenues</w:t>
            </w:r>
          </w:p>
        </w:tc>
        <w:tc>
          <w:tcPr>
            <w:tcW w:w="22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2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purchased intangibles increased by 9% to $0.5 million in the three months ended March 31, 2019 from $0.4 million in the comparable periods in 2018. This variance was primarily attributable to amortization of acquisitions capitalized during the fourth quarter in 2018.</w:t>
      </w:r>
    </w:p>
    <w:p>
      <w:pPr>
        <w:spacing w:after="0" w:line="54" w:lineRule="exact"/>
        <w:rPr>
          <w:sz w:val="20"/>
          <w:szCs w:val="20"/>
          <w:color w:val="auto"/>
        </w:rPr>
      </w:pPr>
    </w:p>
    <w:p>
      <w:pPr>
        <w:ind w:left="660" w:right="260"/>
        <w:spacing w:after="0" w:line="375" w:lineRule="auto"/>
        <w:rPr>
          <w:sz w:val="20"/>
          <w:szCs w:val="20"/>
          <w:color w:val="auto"/>
        </w:rPr>
      </w:pPr>
      <w:r>
        <w:rPr>
          <w:rFonts w:ascii="Times New Roman" w:cs="Times New Roman" w:eastAsia="Times New Roman" w:hAnsi="Times New Roman"/>
          <w:sz w:val="18"/>
          <w:szCs w:val="18"/>
          <w:color w:val="auto"/>
        </w:rPr>
        <w:t xml:space="preserve">Additional amortization expense in the amount of $0.3 million in the three months ended March 31, 2019 and 2018 is included in cost of revenue. </w:t>
      </w:r>
      <w:r>
        <w:rPr>
          <w:rFonts w:ascii="Times New Roman" w:cs="Times New Roman" w:eastAsia="Times New Roman" w:hAnsi="Times New Roman"/>
          <w:sz w:val="18"/>
          <w:szCs w:val="18"/>
          <w:b w:val="1"/>
          <w:bCs w:val="1"/>
          <w:i w:val="1"/>
          <w:iCs w:val="1"/>
          <w:color w:val="auto"/>
        </w:rPr>
        <w:t>Other Income, net</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 net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0" w:type="dxa"/>
            <w:vAlign w:val="bottom"/>
          </w:tcPr>
          <w:p>
            <w:pPr>
              <w:spacing w:after="0"/>
              <w:rPr>
                <w:sz w:val="16"/>
                <w:szCs w:val="16"/>
                <w:color w:val="auto"/>
              </w:rPr>
            </w:pPr>
          </w:p>
        </w:tc>
        <w:tc>
          <w:tcPr>
            <w:tcW w:w="3020" w:type="dxa"/>
            <w:vAlign w:val="bottom"/>
            <w:tcBorders>
              <w:bottom w:val="single" w:sz="8" w:color="auto"/>
            </w:tcBorders>
            <w:gridSpan w:val="6"/>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400" w:type="dxa"/>
            <w:vAlign w:val="bottom"/>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8400" w:type="dxa"/>
            <w:vAlign w:val="bottom"/>
            <w:tcBorders>
              <w:bottom w:val="single" w:sz="8" w:color="CCFFCC"/>
            </w:tcBorders>
          </w:tcPr>
          <w:p>
            <w:pPr>
              <w:spacing w:after="0"/>
              <w:rPr>
                <w:sz w:val="22"/>
                <w:szCs w:val="22"/>
                <w:color w:val="auto"/>
              </w:rPr>
            </w:pPr>
          </w:p>
        </w:tc>
        <w:tc>
          <w:tcPr>
            <w:tcW w:w="1900" w:type="dxa"/>
            <w:vAlign w:val="bottom"/>
            <w:tcBorders>
              <w:bottom w:val="single" w:sz="8" w:color="auto"/>
            </w:tcBorders>
            <w:gridSpan w:val="4"/>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bottom w:val="single" w:sz="8" w:color="CCFFCC"/>
            </w:tcBorders>
          </w:tcPr>
          <w:p>
            <w:pPr>
              <w:spacing w:after="0"/>
              <w:rPr>
                <w:sz w:val="22"/>
                <w:szCs w:val="22"/>
                <w:color w:val="auto"/>
              </w:rPr>
            </w:pPr>
          </w:p>
        </w:tc>
      </w:tr>
      <w:tr>
        <w:trPr>
          <w:trHeight w:val="236"/>
        </w:trPr>
        <w:tc>
          <w:tcPr>
            <w:tcW w:w="840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620" w:type="dxa"/>
            <w:vAlign w:val="bottom"/>
            <w:shd w:val="clear" w:color="auto" w:fill="CCFFCC"/>
          </w:tcPr>
          <w:p>
            <w:pPr>
              <w:jc w:val="right"/>
              <w:ind w:right="426"/>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FFCC"/>
          </w:tcPr>
          <w:p>
            <w:pPr>
              <w:jc w:val="right"/>
              <w:ind w:right="39"/>
              <w:spacing w:after="0"/>
              <w:rPr>
                <w:sz w:val="20"/>
                <w:szCs w:val="20"/>
                <w:color w:val="auto"/>
              </w:rPr>
            </w:pPr>
            <w:r>
              <w:rPr>
                <w:rFonts w:ascii="Times New Roman" w:cs="Times New Roman" w:eastAsia="Times New Roman" w:hAnsi="Times New Roman"/>
                <w:sz w:val="16"/>
                <w:szCs w:val="16"/>
                <w:color w:val="auto"/>
                <w:w w:val="99"/>
              </w:rPr>
              <w:t>66</w:t>
            </w:r>
          </w:p>
        </w:tc>
        <w:tc>
          <w:tcPr>
            <w:tcW w:w="300" w:type="dxa"/>
            <w:vAlign w:val="bottom"/>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FFCC"/>
          </w:tcPr>
          <w:p>
            <w:pPr>
              <w:jc w:val="right"/>
              <w:ind w:right="23"/>
              <w:spacing w:after="0"/>
              <w:rPr>
                <w:sz w:val="20"/>
                <w:szCs w:val="20"/>
                <w:color w:val="auto"/>
              </w:rPr>
            </w:pPr>
            <w:r>
              <w:rPr>
                <w:rFonts w:ascii="Times New Roman" w:cs="Times New Roman" w:eastAsia="Times New Roman" w:hAnsi="Times New Roman"/>
                <w:sz w:val="16"/>
                <w:szCs w:val="16"/>
                <w:color w:val="auto"/>
              </w:rPr>
              <w:t>129</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33"/>
        </w:trPr>
        <w:tc>
          <w:tcPr>
            <w:tcW w:w="8400" w:type="dxa"/>
            <w:vAlign w:val="bottom"/>
            <w:shd w:val="clear" w:color="auto" w:fill="CCFFCC"/>
          </w:tcPr>
          <w:p>
            <w:pPr>
              <w:spacing w:after="0"/>
              <w:rPr>
                <w:sz w:val="2"/>
                <w:szCs w:val="2"/>
                <w:color w:val="auto"/>
              </w:rPr>
            </w:pPr>
          </w:p>
        </w:tc>
        <w:tc>
          <w:tcPr>
            <w:tcW w:w="62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 net decreased by 49% in the three months ended March 31, 2019 from the comparable period in 2018 due to interest expense attributable to the 0.750% Convertible Senior Notes due 2024 (the "Notes") partially offset by interest income on cash and cash equivalents and financial income which is attributable to currency rate fluctuations.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0"/>
        </w:trPr>
        <w:tc>
          <w:tcPr>
            <w:tcW w:w="8400" w:type="dxa"/>
            <w:vAlign w:val="bottom"/>
            <w:tcBorders>
              <w:bottom w:val="single" w:sz="8" w:color="CCFFC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Borders>
              <w:bottom w:val="single" w:sz="8" w:color="CCFFCC"/>
            </w:tcBorders>
          </w:tcPr>
          <w:p>
            <w:pPr>
              <w:spacing w:after="0"/>
              <w:rPr>
                <w:sz w:val="21"/>
                <w:szCs w:val="21"/>
                <w:color w:val="auto"/>
              </w:rPr>
            </w:pPr>
          </w:p>
        </w:tc>
        <w:tc>
          <w:tcPr>
            <w:tcW w:w="1020" w:type="dxa"/>
            <w:vAlign w:val="bottom"/>
            <w:tcBorders>
              <w:bottom w:val="single" w:sz="8" w:color="CCFFCC"/>
            </w:tcBorders>
          </w:tcPr>
          <w:p>
            <w:pPr>
              <w:spacing w:after="0"/>
              <w:rPr>
                <w:sz w:val="21"/>
                <w:szCs w:val="21"/>
                <w:color w:val="auto"/>
              </w:rPr>
            </w:pPr>
          </w:p>
        </w:tc>
      </w:tr>
      <w:tr>
        <w:trPr>
          <w:trHeight w:val="236"/>
        </w:trPr>
        <w:tc>
          <w:tcPr>
            <w:tcW w:w="840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20" w:type="dxa"/>
            <w:vAlign w:val="bottom"/>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FFCC"/>
          </w:tcPr>
          <w:p>
            <w:pPr>
              <w:ind w:left="320"/>
              <w:spacing w:after="0"/>
              <w:rPr>
                <w:sz w:val="20"/>
                <w:szCs w:val="20"/>
                <w:color w:val="auto"/>
              </w:rPr>
            </w:pPr>
            <w:r>
              <w:rPr>
                <w:rFonts w:ascii="Times New Roman" w:cs="Times New Roman" w:eastAsia="Times New Roman" w:hAnsi="Times New Roman"/>
                <w:sz w:val="16"/>
                <w:szCs w:val="16"/>
                <w:color w:val="auto"/>
              </w:rPr>
              <w:t>593</w:t>
            </w:r>
          </w:p>
        </w:tc>
        <w:tc>
          <w:tcPr>
            <w:tcW w:w="300" w:type="dxa"/>
            <w:vAlign w:val="bottom"/>
            <w:shd w:val="clear" w:color="auto" w:fill="CCFFC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33"/>
        </w:trPr>
        <w:tc>
          <w:tcPr>
            <w:tcW w:w="84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Provision for income taxes increased by $0.6 million in the three months ended March 31, 2019 from a (benefit from) income taxes of $0.5 million from $0.5 million in the comparable period in 2018. Our consolidated effective tax rate was impacted by the statutory income tax rates applicable to each of the jurisdictions in which we operate.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80" w:right="2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a net loss of $18.9 million in the three months ended March 31, 2019 compared to a net loss of $3.2 million for the three months ended March 31, 2018. During the three months ended March 31, 2019, there were increases in revenue of approximately $8.2 million, increases in operating expenses of approximately $22.7 million, decreases in other income, net of approximately $0.1 million, and increase in provision for income taxes of approximately $1.1 million.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Consolidated Statements of Cash Flows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Cash flows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Cash flows used in investing activities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Cash flows provided by financing activities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24765</wp:posOffset>
            </wp:positionV>
            <wp:extent cx="1663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ind w:left="420"/>
        <w:spacing w:after="0"/>
        <w:tabs>
          <w:tab w:leader="none" w:pos="188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24765</wp:posOffset>
            </wp:positionV>
            <wp:extent cx="1663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(25,691)</w:t>
            </w:r>
          </w:p>
        </w:tc>
        <w:tc>
          <w:tcPr>
            <w:tcW w:w="5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(8,337)</w:t>
            </w:r>
          </w:p>
        </w:tc>
        <w:tc>
          <w:tcPr>
            <w:tcW w:w="5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205,489</w:t>
            </w:r>
          </w:p>
        </w:tc>
        <w:tc>
          <w:tcPr>
            <w:tcW w:w="5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4,604</w:t>
            </w:r>
          </w:p>
        </w:tc>
      </w:tr>
    </w:tbl>
    <w:p>
      <w:pPr>
        <w:spacing w:after="0" w:line="123" w:lineRule="exact"/>
        <w:rPr>
          <w:sz w:val="20"/>
          <w:szCs w:val="20"/>
          <w:color w:val="auto"/>
        </w:rPr>
      </w:pPr>
    </w:p>
    <w:p>
      <w:pPr>
        <w:sectPr>
          <w:pgSz w:w="11900" w:h="16838" w:orient="portrait"/>
          <w:cols w:equalWidth="0" w:num="2">
            <w:col w:w="8100" w:space="720"/>
            <w:col w:w="2600"/>
          </w:cols>
          <w:pgMar w:left="240" w:top="576" w:right="239" w:bottom="1440" w:gutter="0" w:footer="0" w:header="0"/>
          <w:type w:val="continuous"/>
        </w:sect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2019, we had approximately $237.8 million in cash and cash equivalents, an increase of approximately $171.3 million from December 31, 2018. The increase is primarily attributable to cash provided by investing activities relating to issuance of the Notes, as described in Note 8 to the Condensed Consolidated Financial Statements, and cash provided by financing activities relating to issuance of common stock. This was partially offset by purchases of capped calls, as described in Note 8 to the Condensed Consolidated Financial Statements, fixed assets for our co-location facilities and capitalization of internally developed software, and debt issuance costs, as well as decreases in accrued expenses and accounts payable and increases in prepaid expenses and accounts receivable.</w:t>
      </w:r>
    </w:p>
    <w:p>
      <w:pPr>
        <w:spacing w:after="0" w:line="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$25.7 million for the three months ended March 31, 2019 and consisted primarily of net loss, a decrease in accrued expenses and accounts payable and increases in prepaid expenses and accounts receivable. This was partially offset by increases in deferred revenue and non-cash expenses related to depreciation, stock compensation, and amortization of purchased intangibles. The increase in deferred revenue was primarily related to changes in our billing terms for some of our larger customers. Net cash used in operating activities was $0.7 million for the three months ended March 31, 2018 and consisted primarily of net loss and increases in accounts receivable and prepaid expenses and other current assets and decreases in accrued expenses. This was partially offset by increases in deferred revenue and non-cash expenses related to depreciation, stock compensation, and amortization of purchased intangibles.</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$8.3 million in the three months ended March 31, 2019 and consisted primarily of the purchase of fixed assets for our co-location facilities and capitalization of internally developed software. Net cash used in investing activities was $3.6 million in the three months ended March 31, 2018 and was due primarily to the purchase of fixed assets for our co-location facilities and capitalization of internally developed software and the BotCentral assets acquired partially offset by a release of restricted cash used with foreign currency forward contracts.</w:t>
      </w:r>
    </w:p>
    <w:p>
      <w:pPr>
        <w:spacing w:after="0" w:line="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$205.5 million in the three months ended March 31, 2019 and consisted primarily of proceeds from issuance of the Notes and proceeds from issuance of common stock in connection with the exercise of stock options by employees. This was partially offset by purchases of capped calls, debt issuance costs, and repurchase of our common stock. The net proceeds of the Notes was approximately $221.0 million, after deducting initial purchaser debt issuance costs paid or payable by us, from issuance of the Notes, as described in Note 8 to the Condensed Consolidated Financial Statements. Net cash provided by financing activities was $4.6 million in the three months ended March 31, 2018. This was due primarily to proceeds from the issuance of common stock in connection with the exercise of stock options by employees, partially offset by repurchase of our common stock.</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March 31, 2019, we had an accumulated deficit of approximately $206.4 million.</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principle source of liquidity is our cash generated by operating activities. 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76" w:right="239" w:bottom="1440" w:gutter="0" w:footer="0" w:header="0"/>
          <w:type w:val="continuous"/>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engage in off-balance sheet financing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Israeli operations have currency rate fluctuation risk associated with the exchange rate movement of the U.S. dollar against the New Israeli Shekel (“NIS”). During the three months ended March 31, 2019, the U.S. dollar depreciated by approximately 2% as compared to the NIS. During the three months ended March 31, 2019, expenses generated by our Israeli operations totaled approximately $14.5 million.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Risks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accounts receivable are subject, in the normal course of business, to collection risks. We regularly assess these risks and have established policies and business practices to protect against the adverse effects of collection risks. During the three months ended March 31, 2019, our allowance for doubtful accounts increased by $0.5 million to approximately $2.7 million. During the three months ended March 31, 2018, our allowance for doubtful accounts increased by $0.2 million to approximately $1.6 million.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investments consist of cash and cash equivalents. Therefore, changes in the market’s interest rates do not affect in any material respect the value of the investments as recorded by us.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2019, we issued $230.0 million in aggregate principal amount of the Notes, as discussed in Note 8 to the Condensed Consolidated Financial Statements. As the Notes have a fixed annual interest rate, we have no financial and economic interest exposure associated with changes in interest rates. However, the fair value of the Notes changes when the market price of our stock fluctuates or interest rates change.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March 31, 2019. Based on that evaluation, the Chief Executive Officer and Chief Financial Officer concluded that our disclosure controls and procedures were effective as of March 31, 2019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2019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the Effectiveness of Internal Control</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33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On June 22, 2015, [24]7 Customer, Inc. filed suit against us in the Northern District of California alleging patent infringement. On December 7, 2015, [24]7 Customer Inc. filed a second patent infringement suit against us,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our favor have invalidated the majority of [24]7 patents that were asserted in the patent cases. Trial for our intellectual property and other claims asserted against [24]7 in the original litigation is currently set for September 3, 2019. We believe the claims filed by [24]7 are entirely without merit and intend to defend them vigorously.</w:t>
      </w:r>
    </w:p>
    <w:p>
      <w:pPr>
        <w:spacing w:after="0" w:line="7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76" w:right="239" w:bottom="1440" w:gutter="0" w:footer="0" w:header="0"/>
        </w:sectPr>
      </w:pPr>
    </w:p>
    <w:bookmarkStart w:id="45" w:name="page46"/>
    <w:bookmarkEnd w:id="4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claims. Regardless of the outcome, litigation can have an adverse impact on us because of defense and settlement costs, diversion of management resources and other factors.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in our Annual Report on Form 10-K for the year ended December 31, 2018, filed on February 25, 2019, which could adversely affect our business, financial condition, results of operations, cash flows, and the trading price of our common stock. Other than as set forth below, there have been no material changes to the risk factors described in our most recent Annual Report on Form 10-K.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Notes</w:t>
      </w:r>
    </w:p>
    <w:p>
      <w:pPr>
        <w:spacing w:after="0" w:line="225" w:lineRule="exact"/>
        <w:rPr>
          <w:sz w:val="20"/>
          <w:szCs w:val="20"/>
          <w:color w:val="auto"/>
        </w:rPr>
      </w:pPr>
    </w:p>
    <w:p>
      <w:pPr>
        <w:ind w:left="80" w:right="10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our future debt may require a significant amount of cash, and we may not have sufficient cash flow from our business to pay our indebtedness.</w:t>
      </w:r>
    </w:p>
    <w:p>
      <w:pPr>
        <w:spacing w:after="0" w:line="186" w:lineRule="exact"/>
        <w:rPr>
          <w:sz w:val="20"/>
          <w:szCs w:val="20"/>
          <w:color w:val="auto"/>
        </w:rPr>
      </w:pPr>
    </w:p>
    <w:p>
      <w:pPr>
        <w:jc w:val="both"/>
        <w:ind w:left="80" w:firstLine="554"/>
        <w:spacing w:after="0" w:line="303"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Notes or any additional future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current or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5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the Notes in cash or to repurchase the Notes upon a fundamental change, and any future debt may contain limitations on our ability to pay cash upon conversion or repurchase of the Notes.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Holders of the Notes have the right to require us to repurchase all or a portion of their Notes upon the occurrence of a fundamental change before the maturity date at a fundamental change repurchase price equal to 100% of the principal amount of the Notes to be repurchased, plus accrued and unpaid interest, if any. In addition, upon conversion of the Notes, unless we elect to deliver solely shares of our common stock to settle such conversion (other than paying cash in lieu of delivering any fractional share), we are required to make cash payments in respect of the Notes being converted. However, we may not have enough available cash or be able to obtain financing at the time we are required to make repurchases of Notes surrendered therefor or pay cash with respect to Notes being converted. In addition, our ability to repurchase Notes or to pay cash upon conversions of Notes may be limited by law, regulatory authority, or any agreements governing our future indebtedness. Our failure to repurchase Notes at a time when the repurchase is required by the indenture or to pay any cash upon conversions of Notes as required by the indenture would constitute a default under the indenture. A default under the indenture or the fundamental change itself could also lead to a default under agreements governing any future indebtedness. If the payment of the related indebtedness were to be accelerated after any applicable notice or grace periods, we may not have sufficient funds to repay the indebtedness and repurchase the Notes or to pay cash upon conversions of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Notes, if triggered, may adversely affect our financial condition and operating results.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the conditional conversion feature of the Notes is triggered, holders of the Notes will be entitled to convert their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Notes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80" w:right="239" w:bottom="1440" w:gutter="0" w:footer="0" w:header="0"/>
        </w:sectPr>
      </w:pPr>
    </w:p>
    <w:bookmarkStart w:id="46" w:name="page47"/>
    <w:bookmarkEnd w:id="46"/>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15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Under Accounting Standards Codification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or ASC 470-20, an entity must separately account for the liability and equity components of the convertible debt instruments (such as the Notes) that may be settled entirely or partially in cash upon conversion in a manner that reflects the issuer’s economic interest cost. The effect of ASC 470-20 on the accounting for the Notes is that the equity component, net of issuance costs, is required to be included in the additional paid-in capital section of stockholders’ equity on our condensed consolidated balance sheet at the issuance date and the value of the equity component is treated as original issue discount for purposes of accounting for the liability component of the Notes. As a result, we are required to record a greater amount of non-cash interest expense in current periods presented as a result of the amortization of the discounted carrying value of the Notes to their face amount over the term of the Notes. We will report larger net losses (or lower net income) in our financial results because ASC 470-20 requires interest to include both the current period’s amortization of the debt discount and the instrument’s non-convertible coupon interest rate, which could adversely affect our reported or future financial results, the trading price of our common stock and the trading price of the Notes.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under certain circumstances, convertible debt instruments (such as the Notes) that may be settled entirely or partly in cash may be accounted for utilizing the treasury stock method, the effect of which is that the shares issuable upon conversion of such Notes are not included in the calculation of diluted earnings per share except to the extent that the conversion value of such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Notes, then our diluted earnings per share would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Notes and our 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 in which we issued the Notes, we entered into capped call transactions with certain option counterparties. The capped call transactions are expected generally to reduce the potential dilution to our common stock upon any conversion of Notes and/or offset any cash payments we are required to make in excess of the principal amount of the converted Notes, as the case may be, upon any conversion of Notes, with such reduction and/or offset subject to a cap.</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option counterparties or their respective affiliates are expected to modify their hedge positions by entering into or unwinding various derivatives with respect to our common stock and/or purchasing or selling our common stock, the Notes or other of our securities or instruments (if any), in secondary market transactions prior to the maturity of the Notes (and are likely to do so during any observation period related to a conversion of Notes occurring on or after November 1, 2023 or following any earlier conversion or any repurchase of Notes by us on any fundamental change repurchase date or otherwise). This activity could also cause or avoid an increase or a decrease in the market price of our common stock or the Notes, which could affect a holder’s ability to convert the Notes and, to the extent the activity occurs during any observation period related to a conversion of Notes, it could affect the amount and value of the consideration that a holder will receive upon conversion of such Notes.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potential effect, if any, of these transactions and activities on the market price of our common stock or the Notes will depend in part on market conditions and cannot be ascertained at this time. Any of these activities could adversely affect the value of our common stock and the value of the Notes (and as a result, the amount and value of the consideration that a holder would receive upon the conversion of any Notes) and, under certain circumstances, a holder’s ability to convert his or her Notes.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make any representation or prediction as to the direction or magnitude of any potential effect that the transactions described above may have on the price of our common stock or the Notes. In addition, we do not make any representation that the option counterparties or their respective affiliates will engage in these transactions or that these transactions, once commenced, will not be discontinued without notice.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calls.</w:t>
      </w:r>
    </w:p>
    <w:p>
      <w:pPr>
        <w:spacing w:after="0" w:line="2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option counterparties to the capped call transactions are financial institutions, and we are subject to the risk that any or all of them may default under the capped calls. Our exposure to the credit risk of the option counterparties is not secured by any collateral. Global economic conditions have in the recent past resulted in, and may again result in, the actual or perceived failure or financial difficulties of many financial institutions. If an option counterparty becomes subject to insolvency proceedings, we will become an unsecured creditor in those proceedings, with a claim equal to our exposure at that time under our transactions with that option counterparty. Our exposure depends on many factors but, generally, an increase in our exposure will be correlated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576" w:right="23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to an increase in the market price and in the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580" w:right="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further described in our Current Reports on Form 8-K filed with the SEC on March 5, 2019 and March 14, 2019, on March 4, 2019, we issued through a private placement $200.0 million aggregate principal amount of our 0.750% Convertible Senior Notes due 2024, or the convertible senior notes. Further, on March 13, 2019, we issued an additional $30.0 million in principal amount of convertible senior notes pursuant to the initial purchasers’ exercise of their 30-day over-allotment option, for aggregate gross proceeds of $230.0 million. The convertible senior notes are convertible into shares of our common stock on the terms set forth in the indenture governing the convertible senior notes.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Equity Securities by the Issuer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our repurchase activity for the three months ended March 31, 2019 appears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5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9"/>
        </w:trPr>
        <w:tc>
          <w:tcPr>
            <w:tcW w:w="24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5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5"/>
        </w:trPr>
        <w:tc>
          <w:tcPr>
            <w:tcW w:w="2400" w:type="dxa"/>
            <w:vAlign w:val="bottom"/>
            <w:gridSpan w:val="2"/>
            <w:vMerge w:val="continue"/>
          </w:tcPr>
          <w:p>
            <w:pPr>
              <w:spacing w:after="0"/>
              <w:rPr>
                <w:sz w:val="16"/>
                <w:szCs w:val="16"/>
                <w:color w:val="auto"/>
              </w:rPr>
            </w:pPr>
          </w:p>
        </w:tc>
        <w:tc>
          <w:tcPr>
            <w:tcW w:w="18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96"/>
        </w:trPr>
        <w:tc>
          <w:tcPr>
            <w:tcW w:w="2300" w:type="dxa"/>
            <w:vAlign w:val="bottom"/>
            <w:tcBorders>
              <w:top w:val="single" w:sz="8" w:color="auto"/>
            </w:tcBorders>
            <w:shd w:val="clear" w:color="auto" w:fill="CCFFCC"/>
          </w:tcPr>
          <w:p>
            <w:pPr>
              <w:spacing w:after="0"/>
              <w:rPr>
                <w:sz w:val="24"/>
                <w:szCs w:val="24"/>
                <w:color w:val="auto"/>
              </w:rPr>
            </w:pPr>
          </w:p>
        </w:tc>
        <w:tc>
          <w:tcPr>
            <w:tcW w:w="100" w:type="dxa"/>
            <w:vAlign w:val="bottom"/>
            <w:tcBorders>
              <w:top w:val="single" w:sz="8" w:color="CCFFCC"/>
            </w:tcBorders>
            <w:shd w:val="clear" w:color="auto" w:fill="CCFFCC"/>
          </w:tcPr>
          <w:p>
            <w:pPr>
              <w:spacing w:after="0"/>
              <w:rPr>
                <w:sz w:val="24"/>
                <w:szCs w:val="24"/>
                <w:color w:val="auto"/>
              </w:rPr>
            </w:pPr>
          </w:p>
        </w:tc>
        <w:tc>
          <w:tcPr>
            <w:tcW w:w="1840" w:type="dxa"/>
            <w:vAlign w:val="bottom"/>
            <w:tcBorders>
              <w:top w:val="single" w:sz="8" w:color="auto"/>
            </w:tcBorders>
            <w:shd w:val="clear" w:color="auto" w:fill="CCFFCC"/>
          </w:tcPr>
          <w:p>
            <w:pPr>
              <w:spacing w:after="0"/>
              <w:rPr>
                <w:sz w:val="24"/>
                <w:szCs w:val="24"/>
                <w:color w:val="auto"/>
              </w:rPr>
            </w:pPr>
          </w:p>
        </w:tc>
        <w:tc>
          <w:tcPr>
            <w:tcW w:w="300" w:type="dxa"/>
            <w:vAlign w:val="bottom"/>
            <w:tcBorders>
              <w:top w:val="single" w:sz="8" w:color="CCFFCC"/>
            </w:tcBorders>
            <w:shd w:val="clear" w:color="auto" w:fill="CCFFCC"/>
          </w:tcPr>
          <w:p>
            <w:pPr>
              <w:spacing w:after="0"/>
              <w:rPr>
                <w:sz w:val="24"/>
                <w:szCs w:val="24"/>
                <w:color w:val="auto"/>
              </w:rPr>
            </w:pPr>
          </w:p>
        </w:tc>
        <w:tc>
          <w:tcPr>
            <w:tcW w:w="220" w:type="dxa"/>
            <w:vAlign w:val="bottom"/>
            <w:tcBorders>
              <w:top w:val="single" w:sz="8" w:color="auto"/>
            </w:tcBorders>
            <w:shd w:val="clear" w:color="auto" w:fill="CCFFCC"/>
          </w:tcPr>
          <w:p>
            <w:pPr>
              <w:spacing w:after="0"/>
              <w:rPr>
                <w:sz w:val="24"/>
                <w:szCs w:val="24"/>
                <w:color w:val="auto"/>
              </w:rPr>
            </w:pPr>
          </w:p>
        </w:tc>
        <w:tc>
          <w:tcPr>
            <w:tcW w:w="1640" w:type="dxa"/>
            <w:vAlign w:val="bottom"/>
            <w:tcBorders>
              <w:top w:val="single" w:sz="8" w:color="auto"/>
            </w:tcBorders>
            <w:shd w:val="clear" w:color="auto" w:fill="CCFFCC"/>
          </w:tcPr>
          <w:p>
            <w:pPr>
              <w:spacing w:after="0"/>
              <w:rPr>
                <w:sz w:val="24"/>
                <w:szCs w:val="24"/>
                <w:color w:val="auto"/>
              </w:rPr>
            </w:pPr>
          </w:p>
        </w:tc>
        <w:tc>
          <w:tcPr>
            <w:tcW w:w="120" w:type="dxa"/>
            <w:vAlign w:val="bottom"/>
            <w:tcBorders>
              <w:top w:val="single" w:sz="8" w:color="CCFFCC"/>
            </w:tcBorders>
            <w:shd w:val="clear" w:color="auto" w:fill="CCFFCC"/>
          </w:tcPr>
          <w:p>
            <w:pPr>
              <w:spacing w:after="0"/>
              <w:rPr>
                <w:sz w:val="24"/>
                <w:szCs w:val="24"/>
                <w:color w:val="auto"/>
              </w:rPr>
            </w:pPr>
          </w:p>
        </w:tc>
        <w:tc>
          <w:tcPr>
            <w:tcW w:w="1560" w:type="dxa"/>
            <w:vAlign w:val="bottom"/>
            <w:tcBorders>
              <w:top w:val="single" w:sz="8" w:color="auto"/>
            </w:tcBorders>
            <w:shd w:val="clear" w:color="auto" w:fill="CCFFCC"/>
          </w:tcPr>
          <w:p>
            <w:pPr>
              <w:spacing w:after="0"/>
              <w:rPr>
                <w:sz w:val="24"/>
                <w:szCs w:val="24"/>
                <w:color w:val="auto"/>
              </w:rPr>
            </w:pPr>
          </w:p>
        </w:tc>
        <w:tc>
          <w:tcPr>
            <w:tcW w:w="280" w:type="dxa"/>
            <w:vAlign w:val="bottom"/>
            <w:tcBorders>
              <w:top w:val="single" w:sz="8" w:color="auto"/>
            </w:tcBorders>
            <w:shd w:val="clear" w:color="auto" w:fill="CCFFCC"/>
          </w:tcPr>
          <w:p>
            <w:pPr>
              <w:spacing w:after="0"/>
              <w:rPr>
                <w:sz w:val="24"/>
                <w:szCs w:val="24"/>
                <w:color w:val="auto"/>
              </w:rPr>
            </w:pPr>
          </w:p>
        </w:tc>
        <w:tc>
          <w:tcPr>
            <w:tcW w:w="120" w:type="dxa"/>
            <w:vAlign w:val="bottom"/>
            <w:tcBorders>
              <w:top w:val="single" w:sz="8" w:color="CCFFCC"/>
            </w:tcBorders>
            <w:shd w:val="clear" w:color="auto" w:fill="CCFFCC"/>
          </w:tcPr>
          <w:p>
            <w:pPr>
              <w:spacing w:after="0"/>
              <w:rPr>
                <w:sz w:val="24"/>
                <w:szCs w:val="24"/>
                <w:color w:val="auto"/>
              </w:rPr>
            </w:pPr>
          </w:p>
        </w:tc>
        <w:tc>
          <w:tcPr>
            <w:tcW w:w="220" w:type="dxa"/>
            <w:vAlign w:val="bottom"/>
            <w:tcBorders>
              <w:top w:val="single" w:sz="8" w:color="auto"/>
            </w:tcBorders>
            <w:shd w:val="clear" w:color="auto" w:fill="CCFFCC"/>
          </w:tcPr>
          <w:p>
            <w:pPr>
              <w:spacing w:after="0"/>
              <w:rPr>
                <w:sz w:val="24"/>
                <w:szCs w:val="24"/>
                <w:color w:val="auto"/>
              </w:rPr>
            </w:pPr>
          </w:p>
        </w:tc>
        <w:tc>
          <w:tcPr>
            <w:tcW w:w="1640" w:type="dxa"/>
            <w:vAlign w:val="bottom"/>
            <w:tcBorders>
              <w:top w:val="single" w:sz="8" w:color="auto"/>
            </w:tcBorders>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1/1/2019 – 1/31/2019</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21"/>
                <w:szCs w:val="21"/>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FFCC"/>
            </w:tcBorders>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2/1/2019 – 2/28/2019</w:t>
            </w:r>
          </w:p>
        </w:tc>
        <w:tc>
          <w:tcPr>
            <w:tcW w:w="18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7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gridSpan w:val="3"/>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FFCC"/>
            </w:tcBorders>
            <w:shd w:val="clear" w:color="auto" w:fill="CCFFCC"/>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3/1/2019 – 3/31/2019</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14,428</w:t>
            </w:r>
          </w:p>
        </w:tc>
        <w:tc>
          <w:tcPr>
            <w:tcW w:w="300" w:type="dxa"/>
            <w:vAlign w:val="bottom"/>
          </w:tcPr>
          <w:p>
            <w:pPr>
              <w:jc w:val="right"/>
              <w:ind w:right="85"/>
              <w:spacing w:after="0"/>
              <w:rPr>
                <w:sz w:val="20"/>
                <w:szCs w:val="20"/>
                <w:color w:val="auto"/>
              </w:rPr>
            </w:pPr>
            <w:r>
              <w:rPr>
                <w:rFonts w:ascii="Times New Roman" w:cs="Times New Roman" w:eastAsia="Times New Roman" w:hAnsi="Times New Roman"/>
                <w:sz w:val="9"/>
                <w:szCs w:val="9"/>
                <w:color w:val="auto"/>
              </w:rPr>
              <w:t>(1)</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00" w:type="dxa"/>
            <w:vAlign w:val="bottom"/>
            <w:tcBorders>
              <w:bottom w:val="single" w:sz="8" w:color="CCFFCC"/>
            </w:tcBorders>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14,428</w:t>
            </w:r>
          </w:p>
        </w:tc>
        <w:tc>
          <w:tcPr>
            <w:tcW w:w="5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20" w:type="dxa"/>
            <w:vAlign w:val="bottom"/>
            <w:tcBorders>
              <w:bottom w:val="single" w:sz="8" w:color="CCFFCC"/>
            </w:tcBorders>
            <w:shd w:val="clear" w:color="auto" w:fill="CCFFCC"/>
          </w:tcPr>
          <w:p>
            <w:pPr>
              <w:spacing w:after="0"/>
              <w:rPr>
                <w:sz w:val="21"/>
                <w:szCs w:val="21"/>
                <w:color w:val="auto"/>
              </w:rPr>
            </w:pPr>
          </w:p>
        </w:tc>
        <w:tc>
          <w:tcPr>
            <w:tcW w:w="15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gridSpan w:val="3"/>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Borders>
              <w:bottom w:val="single" w:sz="8" w:color="CCFFCC"/>
            </w:tcBorders>
            <w:shd w:val="clear" w:color="auto" w:fill="CCFFCC"/>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560185"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60185" cy="308610"/>
                    </a:xfrm>
                    <a:prstGeom prst="rect">
                      <a:avLst/>
                    </a:prstGeom>
                    <a:noFill/>
                  </pic:spPr>
                </pic:pic>
              </a:graphicData>
            </a:graphic>
          </wp:anchor>
        </w:drawing>
      </w:r>
    </w:p>
    <w:p>
      <w:pPr>
        <w:spacing w:after="0" w:line="286" w:lineRule="exact"/>
        <w:rPr>
          <w:sz w:val="20"/>
          <w:szCs w:val="20"/>
          <w:color w:val="auto"/>
        </w:rPr>
      </w:pPr>
    </w:p>
    <w:p>
      <w:pPr>
        <w:ind w:left="40" w:right="1420" w:hanging="5"/>
        <w:spacing w:after="0" w:line="229" w:lineRule="auto"/>
        <w:tabs>
          <w:tab w:leader="none" w:pos="229"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The repurchase of equity securities during March 2019 was completed in conjunction with an executive officer’s stock option exercise. These repurchases were not made pursuant to a publicly announced plan or program.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60"/>
          </w:cols>
          <w:pgMar w:left="240" w:top="1117"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exhibits are filed as part of this Quarterly Report on Form 10-Q:</w:t>
      </w:r>
    </w:p>
    <w:p>
      <w:pPr>
        <w:sectPr>
          <w:pgSz w:w="11900" w:h="16838" w:orient="portrait"/>
          <w:cols w:equalWidth="0" w:num="1">
            <w:col w:w="11420"/>
          </w:cols>
          <w:pgMar w:left="240" w:top="576" w:right="239" w:bottom="1440" w:gutter="0" w:footer="0" w:header="0"/>
        </w:sectPr>
      </w:pPr>
    </w:p>
    <w:p>
      <w:pPr>
        <w:spacing w:after="0" w:line="3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80"/>
        <w:spacing w:after="0" w:line="282" w:lineRule="auto"/>
        <w:rPr>
          <w:rFonts w:ascii="Times New Roman" w:cs="Times New Roman" w:eastAsia="Times New Roman" w:hAnsi="Times New Roman"/>
          <w:sz w:val="18"/>
          <w:szCs w:val="18"/>
          <w:u w:val="single" w:color="auto"/>
          <w:color w:val="0000FF"/>
        </w:rPr>
      </w:pPr>
      <w:hyperlink r:id="rId35">
        <w:r>
          <w:rPr>
            <w:rFonts w:ascii="Times New Roman" w:cs="Times New Roman" w:eastAsia="Times New Roman" w:hAnsi="Times New Roman"/>
            <w:sz w:val="18"/>
            <w:szCs w:val="18"/>
            <w:u w:val="single" w:color="auto"/>
            <w:color w:val="0000FF"/>
          </w:rPr>
          <w:t>Indenture, dated as of March 4, 2019, by and between LivePerson, Inc. and U.S. Bank National Association, as Trustee (incorporated by</w:t>
        </w:r>
      </w:hyperlink>
      <w:r>
        <w:rPr>
          <w:rFonts w:ascii="Times New Roman" w:cs="Times New Roman" w:eastAsia="Times New Roman" w:hAnsi="Times New Roman"/>
          <w:sz w:val="18"/>
          <w:szCs w:val="18"/>
          <w:u w:val="single" w:color="auto"/>
          <w:color w:val="0000FF"/>
        </w:rPr>
        <w:t xml:space="preserve"> </w:t>
      </w:r>
      <w:hyperlink r:id="rId35">
        <w:r>
          <w:rPr>
            <w:rFonts w:ascii="Times New Roman" w:cs="Times New Roman" w:eastAsia="Times New Roman" w:hAnsi="Times New Roman"/>
            <w:sz w:val="18"/>
            <w:szCs w:val="18"/>
            <w:u w:val="single" w:color="auto"/>
            <w:color w:val="0000FF"/>
          </w:rPr>
          <w:t>reference to Exhibit 4.1 to LivePerson, Inc.’s Current Report on Form 8-K filed on March 5, 2019 (File No. 000-30141))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-5080</wp:posOffset>
            </wp:positionV>
            <wp:extent cx="7246620" cy="31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180"/>
        <w:spacing w:after="0" w:line="282" w:lineRule="auto"/>
        <w:rPr>
          <w:rFonts w:ascii="Times New Roman" w:cs="Times New Roman" w:eastAsia="Times New Roman" w:hAnsi="Times New Roman"/>
          <w:sz w:val="18"/>
          <w:szCs w:val="18"/>
          <w:u w:val="single" w:color="auto"/>
          <w:color w:val="0000FF"/>
        </w:rPr>
      </w:pPr>
      <w:hyperlink r:id="rId35">
        <w:r>
          <w:rPr>
            <w:rFonts w:ascii="Times New Roman" w:cs="Times New Roman" w:eastAsia="Times New Roman" w:hAnsi="Times New Roman"/>
            <w:sz w:val="18"/>
            <w:szCs w:val="18"/>
            <w:u w:val="single" w:color="auto"/>
            <w:color w:val="0000FF"/>
          </w:rPr>
          <w:t>Form of 0.750% Convertible Senior Note due 2024 (included within the Indenture filed as Exhibit 4.1 and incorporated by reference to</w:t>
        </w:r>
      </w:hyperlink>
      <w:r>
        <w:rPr>
          <w:rFonts w:ascii="Times New Roman" w:cs="Times New Roman" w:eastAsia="Times New Roman" w:hAnsi="Times New Roman"/>
          <w:sz w:val="18"/>
          <w:szCs w:val="18"/>
          <w:u w:val="single" w:color="auto"/>
          <w:color w:val="0000FF"/>
        </w:rPr>
        <w:t xml:space="preserve"> </w:t>
      </w:r>
      <w:hyperlink r:id="rId35">
        <w:r>
          <w:rPr>
            <w:rFonts w:ascii="Times New Roman" w:cs="Times New Roman" w:eastAsia="Times New Roman" w:hAnsi="Times New Roman"/>
            <w:sz w:val="18"/>
            <w:szCs w:val="18"/>
            <w:u w:val="single" w:color="auto"/>
            <w:color w:val="0000FF"/>
          </w:rPr>
          <w:t>Exhibit 4.2 to LivePerson, Inc.’s Current Report on Form 8-K filed on March 5, 2019 (File No. 000-30141))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-5080</wp:posOffset>
            </wp:positionV>
            <wp:extent cx="7246620"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 w:space="720"/>
            <w:col w:w="9900"/>
          </w:cols>
          <w:pgMar w:left="240" w:top="576" w:right="239" w:bottom="1440" w:gutter="0" w:footer="0" w:header="0"/>
          <w:type w:val="continuous"/>
        </w:sect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7"/>
                <w:szCs w:val="17"/>
                <w:color w:val="auto"/>
              </w:rPr>
            </w:pPr>
          </w:p>
        </w:tc>
        <w:tc>
          <w:tcPr>
            <w:tcW w:w="9900" w:type="dxa"/>
            <w:vAlign w:val="bottom"/>
            <w:gridSpan w:val="8"/>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Form of Capped Call Transaction Confirmation (incorporated by reference to Exhibit 10.1 to LivePerson, Inc.’s Current Report on Form</w:t>
              </w:r>
            </w:hyperlink>
          </w:p>
        </w:tc>
        <w:tc>
          <w:tcPr>
            <w:tcW w:w="0" w:type="dxa"/>
            <w:vAlign w:val="bottom"/>
          </w:tcPr>
          <w:p>
            <w:pPr>
              <w:spacing w:after="0"/>
              <w:rPr>
                <w:sz w:val="1"/>
                <w:szCs w:val="1"/>
                <w:color w:val="auto"/>
              </w:rPr>
            </w:pPr>
          </w:p>
        </w:tc>
      </w:tr>
      <w:tr>
        <w:trPr>
          <w:trHeight w:val="129"/>
        </w:trPr>
        <w:tc>
          <w:tcPr>
            <w:tcW w:w="1160" w:type="dxa"/>
            <w:vAlign w:val="bottom"/>
            <w:vMerge w:val="continue"/>
          </w:tcPr>
          <w:p>
            <w:pPr>
              <w:spacing w:after="0"/>
              <w:rPr>
                <w:sz w:val="11"/>
                <w:szCs w:val="11"/>
                <w:color w:val="auto"/>
              </w:rPr>
            </w:pPr>
          </w:p>
        </w:tc>
        <w:tc>
          <w:tcPr>
            <w:tcW w:w="360" w:type="dxa"/>
            <w:vAlign w:val="bottom"/>
            <w:vMerge w:val="restart"/>
          </w:tcPr>
          <w:p>
            <w:pPr>
              <w:spacing w:after="0"/>
              <w:rPr>
                <w:sz w:val="11"/>
                <w:szCs w:val="11"/>
                <w:color w:val="auto"/>
              </w:rPr>
            </w:pPr>
          </w:p>
        </w:tc>
        <w:tc>
          <w:tcPr>
            <w:tcW w:w="9820" w:type="dxa"/>
            <w:vAlign w:val="bottom"/>
            <w:tcBorders>
              <w:top w:val="single" w:sz="8" w:color="0000FF"/>
            </w:tcBorders>
            <w:gridSpan w:val="7"/>
            <w:vMerge w:val="restart"/>
          </w:tcPr>
          <w:p>
            <w:pPr>
              <w:spacing w:after="0" w:line="19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8-K filed on March 5, 2019 (File No. 000-30141))</w:t>
              </w:r>
            </w:hyperlink>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9820" w:type="dxa"/>
            <w:vAlign w:val="bottom"/>
            <w:gridSpan w:val="7"/>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1280" w:type="dxa"/>
            <w:vAlign w:val="bottom"/>
          </w:tcPr>
          <w:p>
            <w:pPr>
              <w:spacing w:after="0"/>
              <w:rPr>
                <w:sz w:val="4"/>
                <w:szCs w:val="4"/>
                <w:color w:val="auto"/>
              </w:rPr>
            </w:pPr>
          </w:p>
        </w:tc>
        <w:tc>
          <w:tcPr>
            <w:tcW w:w="4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0"/>
        </w:trPr>
        <w:tc>
          <w:tcPr>
            <w:tcW w:w="116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4"/>
                <w:szCs w:val="24"/>
                <w:color w:val="auto"/>
              </w:rPr>
            </w:pPr>
          </w:p>
        </w:tc>
        <w:tc>
          <w:tcPr>
            <w:tcW w:w="1520" w:type="dxa"/>
            <w:vAlign w:val="bottom"/>
            <w:shd w:val="clear" w:color="auto" w:fill="CCFFCC"/>
          </w:tcPr>
          <w:p>
            <w:pPr>
              <w:spacing w:after="0"/>
              <w:rPr>
                <w:sz w:val="24"/>
                <w:szCs w:val="24"/>
                <w:color w:val="auto"/>
              </w:rPr>
            </w:pPr>
          </w:p>
        </w:tc>
        <w:tc>
          <w:tcPr>
            <w:tcW w:w="2100" w:type="dxa"/>
            <w:vAlign w:val="bottom"/>
            <w:shd w:val="clear" w:color="auto" w:fill="CCFFCC"/>
          </w:tcPr>
          <w:p>
            <w:pPr>
              <w:spacing w:after="0"/>
              <w:rPr>
                <w:sz w:val="24"/>
                <w:szCs w:val="24"/>
                <w:color w:val="auto"/>
              </w:rPr>
            </w:pPr>
          </w:p>
        </w:tc>
        <w:tc>
          <w:tcPr>
            <w:tcW w:w="1280" w:type="dxa"/>
            <w:vAlign w:val="bottom"/>
            <w:shd w:val="clear" w:color="auto" w:fill="CCFFCC"/>
          </w:tcPr>
          <w:p>
            <w:pPr>
              <w:spacing w:after="0"/>
              <w:rPr>
                <w:sz w:val="24"/>
                <w:szCs w:val="24"/>
                <w:color w:val="auto"/>
              </w:rPr>
            </w:pPr>
          </w:p>
        </w:tc>
        <w:tc>
          <w:tcPr>
            <w:tcW w:w="436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17"/>
                <w:szCs w:val="17"/>
                <w:color w:val="auto"/>
              </w:rPr>
            </w:pPr>
          </w:p>
        </w:tc>
        <w:tc>
          <w:tcPr>
            <w:tcW w:w="9900" w:type="dxa"/>
            <w:vAlign w:val="bottom"/>
            <w:gridSpan w:val="8"/>
          </w:tcPr>
          <w:p>
            <w:pPr>
              <w:spacing w:after="0" w:line="202"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Form of Additional Capped Call Transaction Confirmation (incorporated by reference to Exhibit 10.1 to LivePerson, Inc.’s Current</w:t>
              </w:r>
            </w:hyperlink>
          </w:p>
        </w:tc>
        <w:tc>
          <w:tcPr>
            <w:tcW w:w="0" w:type="dxa"/>
            <w:vAlign w:val="bottom"/>
          </w:tcPr>
          <w:p>
            <w:pPr>
              <w:spacing w:after="0"/>
              <w:rPr>
                <w:sz w:val="1"/>
                <w:szCs w:val="1"/>
                <w:color w:val="auto"/>
              </w:rPr>
            </w:pPr>
          </w:p>
        </w:tc>
      </w:tr>
      <w:tr>
        <w:trPr>
          <w:trHeight w:val="129"/>
        </w:trPr>
        <w:tc>
          <w:tcPr>
            <w:tcW w:w="1160" w:type="dxa"/>
            <w:vAlign w:val="bottom"/>
            <w:vMerge w:val="continue"/>
          </w:tcPr>
          <w:p>
            <w:pPr>
              <w:spacing w:after="0"/>
              <w:rPr>
                <w:sz w:val="11"/>
                <w:szCs w:val="11"/>
                <w:color w:val="auto"/>
              </w:rPr>
            </w:pPr>
          </w:p>
        </w:tc>
        <w:tc>
          <w:tcPr>
            <w:tcW w:w="360" w:type="dxa"/>
            <w:vAlign w:val="bottom"/>
            <w:vMerge w:val="restart"/>
          </w:tcPr>
          <w:p>
            <w:pPr>
              <w:spacing w:after="0"/>
              <w:rPr>
                <w:sz w:val="11"/>
                <w:szCs w:val="11"/>
                <w:color w:val="auto"/>
              </w:rPr>
            </w:pPr>
          </w:p>
        </w:tc>
        <w:tc>
          <w:tcPr>
            <w:tcW w:w="9440" w:type="dxa"/>
            <w:vAlign w:val="bottom"/>
            <w:tcBorders>
              <w:top w:val="single" w:sz="8" w:color="0000FF"/>
            </w:tcBorders>
            <w:gridSpan w:val="5"/>
            <w:vMerge w:val="restart"/>
          </w:tcPr>
          <w:p>
            <w:pPr>
              <w:spacing w:after="0" w:line="19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Report on Form 8-K filed on March 14, 2019 (File No. 000-30141))</w:t>
              </w:r>
            </w:hyperlink>
          </w:p>
        </w:tc>
        <w:tc>
          <w:tcPr>
            <w:tcW w:w="46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9440" w:type="dxa"/>
            <w:vAlign w:val="bottom"/>
            <w:gridSpan w:val="5"/>
            <w:vMerge w:val="continue"/>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4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116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4"/>
                <w:szCs w:val="24"/>
                <w:color w:val="auto"/>
              </w:rPr>
            </w:pPr>
          </w:p>
        </w:tc>
        <w:tc>
          <w:tcPr>
            <w:tcW w:w="1520" w:type="dxa"/>
            <w:vAlign w:val="bottom"/>
            <w:shd w:val="clear" w:color="auto" w:fill="CCFFCC"/>
          </w:tcPr>
          <w:p>
            <w:pPr>
              <w:spacing w:after="0"/>
              <w:rPr>
                <w:sz w:val="24"/>
                <w:szCs w:val="24"/>
                <w:color w:val="auto"/>
              </w:rPr>
            </w:pPr>
          </w:p>
        </w:tc>
        <w:tc>
          <w:tcPr>
            <w:tcW w:w="2100" w:type="dxa"/>
            <w:vAlign w:val="bottom"/>
            <w:shd w:val="clear" w:color="auto" w:fill="CCFFCC"/>
          </w:tcPr>
          <w:p>
            <w:pPr>
              <w:spacing w:after="0"/>
              <w:rPr>
                <w:sz w:val="24"/>
                <w:szCs w:val="24"/>
                <w:color w:val="auto"/>
              </w:rPr>
            </w:pPr>
          </w:p>
        </w:tc>
        <w:tc>
          <w:tcPr>
            <w:tcW w:w="1280" w:type="dxa"/>
            <w:vAlign w:val="bottom"/>
            <w:shd w:val="clear" w:color="auto" w:fill="CCFFCC"/>
          </w:tcPr>
          <w:p>
            <w:pPr>
              <w:spacing w:after="0"/>
              <w:rPr>
                <w:sz w:val="24"/>
                <w:szCs w:val="24"/>
                <w:color w:val="auto"/>
              </w:rPr>
            </w:pPr>
          </w:p>
        </w:tc>
        <w:tc>
          <w:tcPr>
            <w:tcW w:w="436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10.3*</w:t>
            </w:r>
          </w:p>
        </w:tc>
        <w:tc>
          <w:tcPr>
            <w:tcW w:w="10260" w:type="dxa"/>
            <w:vAlign w:val="bottom"/>
            <w:gridSpan w:val="9"/>
          </w:tcPr>
          <w:p>
            <w:pPr>
              <w:ind w:left="360"/>
              <w:spacing w:after="0" w:line="202" w:lineRule="exact"/>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Nonstatutory Stock Option Agreement, by and between LivePerson, Inc. and Robert P. LoCascio, dated as of February 21, 2019.</w:t>
              </w:r>
            </w:hyperlink>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43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16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4"/>
                <w:szCs w:val="24"/>
                <w:color w:val="auto"/>
              </w:rPr>
            </w:pPr>
          </w:p>
        </w:tc>
        <w:tc>
          <w:tcPr>
            <w:tcW w:w="1520" w:type="dxa"/>
            <w:vAlign w:val="bottom"/>
            <w:shd w:val="clear" w:color="auto" w:fill="CCFFCC"/>
          </w:tcPr>
          <w:p>
            <w:pPr>
              <w:spacing w:after="0"/>
              <w:rPr>
                <w:sz w:val="24"/>
                <w:szCs w:val="24"/>
                <w:color w:val="auto"/>
              </w:rPr>
            </w:pPr>
          </w:p>
        </w:tc>
        <w:tc>
          <w:tcPr>
            <w:tcW w:w="2100" w:type="dxa"/>
            <w:vAlign w:val="bottom"/>
            <w:shd w:val="clear" w:color="auto" w:fill="CCFFCC"/>
          </w:tcPr>
          <w:p>
            <w:pPr>
              <w:spacing w:after="0"/>
              <w:rPr>
                <w:sz w:val="24"/>
                <w:szCs w:val="24"/>
                <w:color w:val="auto"/>
              </w:rPr>
            </w:pPr>
          </w:p>
        </w:tc>
        <w:tc>
          <w:tcPr>
            <w:tcW w:w="1280" w:type="dxa"/>
            <w:vAlign w:val="bottom"/>
            <w:shd w:val="clear" w:color="auto" w:fill="CCFFCC"/>
          </w:tcPr>
          <w:p>
            <w:pPr>
              <w:spacing w:after="0"/>
              <w:rPr>
                <w:sz w:val="24"/>
                <w:szCs w:val="24"/>
                <w:color w:val="auto"/>
              </w:rPr>
            </w:pPr>
          </w:p>
        </w:tc>
        <w:tc>
          <w:tcPr>
            <w:tcW w:w="436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360" w:type="dxa"/>
            <w:vAlign w:val="bottom"/>
          </w:tcPr>
          <w:p>
            <w:pPr>
              <w:spacing w:after="0"/>
              <w:rPr>
                <w:sz w:val="17"/>
                <w:szCs w:val="17"/>
                <w:color w:val="auto"/>
              </w:rPr>
            </w:pPr>
          </w:p>
        </w:tc>
        <w:tc>
          <w:tcPr>
            <w:tcW w:w="9900" w:type="dxa"/>
            <w:vAlign w:val="bottom"/>
            <w:gridSpan w:val="8"/>
          </w:tcPr>
          <w:p>
            <w:pPr>
              <w:spacing w:after="0" w:line="202" w:lineRule="exact"/>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2009 Stock Incentive Plan Restricted Stock Unit Award Agreement, by and between LivePerson, Inc. and Robert P. LoCascio, dated as</w:t>
              </w:r>
            </w:hyperlink>
          </w:p>
        </w:tc>
        <w:tc>
          <w:tcPr>
            <w:tcW w:w="0" w:type="dxa"/>
            <w:vAlign w:val="bottom"/>
          </w:tcPr>
          <w:p>
            <w:pPr>
              <w:spacing w:after="0"/>
              <w:rPr>
                <w:sz w:val="1"/>
                <w:szCs w:val="1"/>
                <w:color w:val="auto"/>
              </w:rPr>
            </w:pPr>
          </w:p>
        </w:tc>
      </w:tr>
      <w:tr>
        <w:trPr>
          <w:trHeight w:val="129"/>
        </w:trPr>
        <w:tc>
          <w:tcPr>
            <w:tcW w:w="1160" w:type="dxa"/>
            <w:vAlign w:val="bottom"/>
            <w:vMerge w:val="continue"/>
          </w:tcPr>
          <w:p>
            <w:pPr>
              <w:spacing w:after="0"/>
              <w:rPr>
                <w:sz w:val="11"/>
                <w:szCs w:val="11"/>
                <w:color w:val="auto"/>
              </w:rPr>
            </w:pPr>
          </w:p>
        </w:tc>
        <w:tc>
          <w:tcPr>
            <w:tcW w:w="360" w:type="dxa"/>
            <w:vAlign w:val="bottom"/>
            <w:vMerge w:val="restart"/>
          </w:tcPr>
          <w:p>
            <w:pPr>
              <w:spacing w:after="0"/>
              <w:rPr>
                <w:sz w:val="11"/>
                <w:szCs w:val="11"/>
                <w:color w:val="auto"/>
              </w:rPr>
            </w:pPr>
          </w:p>
        </w:tc>
        <w:tc>
          <w:tcPr>
            <w:tcW w:w="9720" w:type="dxa"/>
            <w:vAlign w:val="bottom"/>
            <w:tcBorders>
              <w:top w:val="single" w:sz="8" w:color="0000FF"/>
            </w:tcBorders>
            <w:gridSpan w:val="6"/>
            <w:vMerge w:val="restart"/>
          </w:tcPr>
          <w:p>
            <w:pPr>
              <w:spacing w:after="0" w:line="196" w:lineRule="exact"/>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of February 21, 2019</w:t>
              </w:r>
            </w:hyperlink>
          </w:p>
        </w:tc>
        <w:tc>
          <w:tcPr>
            <w:tcW w:w="18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9720" w:type="dxa"/>
            <w:vAlign w:val="bottom"/>
            <w:gridSpan w:val="6"/>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16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4"/>
                <w:szCs w:val="24"/>
                <w:color w:val="auto"/>
              </w:rPr>
            </w:pPr>
          </w:p>
        </w:tc>
        <w:tc>
          <w:tcPr>
            <w:tcW w:w="1520" w:type="dxa"/>
            <w:vAlign w:val="bottom"/>
            <w:shd w:val="clear" w:color="auto" w:fill="CCFFCC"/>
          </w:tcPr>
          <w:p>
            <w:pPr>
              <w:spacing w:after="0"/>
              <w:rPr>
                <w:sz w:val="24"/>
                <w:szCs w:val="24"/>
                <w:color w:val="auto"/>
              </w:rPr>
            </w:pPr>
          </w:p>
        </w:tc>
        <w:tc>
          <w:tcPr>
            <w:tcW w:w="2100" w:type="dxa"/>
            <w:vAlign w:val="bottom"/>
            <w:shd w:val="clear" w:color="auto" w:fill="CCFFCC"/>
          </w:tcPr>
          <w:p>
            <w:pPr>
              <w:spacing w:after="0"/>
              <w:rPr>
                <w:sz w:val="24"/>
                <w:szCs w:val="24"/>
                <w:color w:val="auto"/>
              </w:rPr>
            </w:pPr>
          </w:p>
        </w:tc>
        <w:tc>
          <w:tcPr>
            <w:tcW w:w="1280" w:type="dxa"/>
            <w:vAlign w:val="bottom"/>
            <w:shd w:val="clear" w:color="auto" w:fill="CCFFCC"/>
          </w:tcPr>
          <w:p>
            <w:pPr>
              <w:spacing w:after="0"/>
              <w:rPr>
                <w:sz w:val="24"/>
                <w:szCs w:val="24"/>
                <w:color w:val="auto"/>
              </w:rPr>
            </w:pPr>
          </w:p>
        </w:tc>
        <w:tc>
          <w:tcPr>
            <w:tcW w:w="436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420"/>
          </w:cols>
          <w:pgMar w:left="240" w:top="576" w:right="239" w:bottom="1440" w:gutter="0" w:footer="0" w:header="0"/>
          <w:type w:val="continuous"/>
        </w:sectPr>
      </w:pP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31.1*</w:t>
      </w:r>
    </w:p>
    <w:p>
      <w:pPr>
        <w:spacing w:after="0" w:line="200" w:lineRule="exact"/>
        <w:rPr>
          <w:sz w:val="20"/>
          <w:szCs w:val="20"/>
          <w:color w:val="auto"/>
        </w:rPr>
      </w:pPr>
    </w:p>
    <w:p>
      <w:pPr>
        <w:spacing w:after="0" w:line="3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31.2*</w:t>
      </w:r>
    </w:p>
    <w:p>
      <w:pPr>
        <w:spacing w:after="0" w:line="20" w:lineRule="exact"/>
        <w:rPr>
          <w:sz w:val="20"/>
          <w:szCs w:val="20"/>
          <w:color w:val="auto"/>
        </w:rPr>
      </w:pPr>
      <w:r>
        <w:rPr>
          <w:sz w:val="20"/>
          <w:szCs w:val="20"/>
          <w:color w:val="auto"/>
        </w:rPr>
        <w:br w:type="column"/>
      </w:r>
    </w:p>
    <w:p>
      <w:pPr>
        <w:ind w:right="140"/>
        <w:spacing w:after="0" w:line="282" w:lineRule="auto"/>
        <w:rPr>
          <w:rFonts w:ascii="Times New Roman" w:cs="Times New Roman" w:eastAsia="Times New Roman" w:hAnsi="Times New Roman"/>
          <w:sz w:val="18"/>
          <w:szCs w:val="18"/>
          <w:u w:val="single" w:color="auto"/>
          <w:color w:val="0000FF"/>
        </w:rPr>
      </w:pPr>
      <w:hyperlink w:anchor="page68">
        <w:r>
          <w:rPr>
            <w:rFonts w:ascii="Times New Roman" w:cs="Times New Roman" w:eastAsia="Times New Roman" w:hAnsi="Times New Roman"/>
            <w:sz w:val="18"/>
            <w:szCs w:val="18"/>
            <w:u w:val="single" w:color="auto"/>
            <w:color w:val="0000FF"/>
          </w:rPr>
          <w:t>Certification by Chief Executive Officer pursuant to Exchange Act Rule 13a-14(a), as adopted pursuant to Section 302 of the Sarbanes-</w:t>
        </w:r>
      </w:hyperlink>
      <w:hyperlink w:anchor="page68">
        <w:r>
          <w:rPr>
            <w:rFonts w:ascii="Times New Roman" w:cs="Times New Roman" w:eastAsia="Times New Roman" w:hAnsi="Times New Roman"/>
            <w:sz w:val="18"/>
            <w:szCs w:val="18"/>
            <w:u w:val="single" w:color="auto"/>
            <w:color w:val="0000FF"/>
          </w:rPr>
          <w:t>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-5080</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77" w:lineRule="exact"/>
        <w:rPr>
          <w:sz w:val="20"/>
          <w:szCs w:val="20"/>
          <w:color w:val="auto"/>
        </w:rPr>
      </w:pPr>
    </w:p>
    <w:p>
      <w:pPr>
        <w:ind w:right="180"/>
        <w:spacing w:after="0" w:line="282" w:lineRule="auto"/>
        <w:rPr>
          <w:rFonts w:ascii="Times New Roman" w:cs="Times New Roman" w:eastAsia="Times New Roman" w:hAnsi="Times New Roman"/>
          <w:sz w:val="18"/>
          <w:szCs w:val="18"/>
          <w:u w:val="single" w:color="auto"/>
          <w:color w:val="0000FF"/>
        </w:rPr>
      </w:pPr>
      <w:hyperlink w:anchor="page69">
        <w:r>
          <w:rPr>
            <w:rFonts w:ascii="Times New Roman" w:cs="Times New Roman" w:eastAsia="Times New Roman" w:hAnsi="Times New Roman"/>
            <w:sz w:val="18"/>
            <w:szCs w:val="18"/>
            <w:u w:val="single" w:color="auto"/>
            <w:color w:val="0000FF"/>
          </w:rPr>
          <w:t>Certification by Chief Financial Officer pursuant to Exchange Act Rule 13a-14(a), as adopted pursuant to Section 302 of the Sarbanes-</w:t>
        </w:r>
      </w:hyperlink>
      <w:hyperlink w:anchor="page69">
        <w:r>
          <w:rPr>
            <w:rFonts w:ascii="Times New Roman" w:cs="Times New Roman" w:eastAsia="Times New Roman" w:hAnsi="Times New Roman"/>
            <w:sz w:val="18"/>
            <w:szCs w:val="18"/>
            <w:u w:val="single" w:color="auto"/>
            <w:color w:val="0000FF"/>
          </w:rPr>
          <w:t>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-5080</wp:posOffset>
            </wp:positionV>
            <wp:extent cx="724662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 w:space="720"/>
            <w:col w:w="9900"/>
          </w:cols>
          <w:pgMar w:left="240" w:top="576" w:right="23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22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6"/>
              </w:rPr>
              <w:t>32.1**</w:t>
            </w:r>
          </w:p>
        </w:tc>
        <w:tc>
          <w:tcPr>
            <w:tcW w:w="100" w:type="dxa"/>
            <w:vAlign w:val="bottom"/>
          </w:tcPr>
          <w:p>
            <w:pPr>
              <w:spacing w:after="0"/>
              <w:rPr>
                <w:sz w:val="18"/>
                <w:szCs w:val="18"/>
                <w:color w:val="auto"/>
              </w:rPr>
            </w:pPr>
          </w:p>
        </w:tc>
        <w:tc>
          <w:tcPr>
            <w:tcW w:w="9900" w:type="dxa"/>
            <w:vAlign w:val="bottom"/>
            <w:gridSpan w:val="4"/>
          </w:tcPr>
          <w:p>
            <w:pPr>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Certification by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vMerge w:val="restart"/>
          </w:tcPr>
          <w:p>
            <w:pPr>
              <w:spacing w:after="0"/>
              <w:rPr>
                <w:sz w:val="11"/>
                <w:szCs w:val="11"/>
                <w:color w:val="auto"/>
              </w:rPr>
            </w:pPr>
          </w:p>
        </w:tc>
        <w:tc>
          <w:tcPr>
            <w:tcW w:w="9760" w:type="dxa"/>
            <w:vAlign w:val="bottom"/>
            <w:tcBorders>
              <w:top w:val="single" w:sz="8" w:color="0000FF"/>
            </w:tcBorders>
            <w:gridSpan w:val="3"/>
            <w:vMerge w:val="restart"/>
          </w:tcPr>
          <w:p>
            <w:pPr>
              <w:spacing w:after="0" w:line="196" w:lineRule="exact"/>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Act of 2002</w:t>
              </w:r>
            </w:hyperlink>
          </w:p>
        </w:tc>
        <w:tc>
          <w:tcPr>
            <w:tcW w:w="1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9760" w:type="dxa"/>
            <w:vAlign w:val="bottom"/>
            <w:gridSpan w:val="3"/>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8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0" w:type="dxa"/>
            <w:vAlign w:val="bottom"/>
            <w:shd w:val="clear" w:color="auto" w:fill="CCFFCC"/>
          </w:tcPr>
          <w:p>
            <w:pPr>
              <w:spacing w:after="0"/>
              <w:rPr>
                <w:sz w:val="24"/>
                <w:szCs w:val="24"/>
                <w:color w:val="auto"/>
              </w:rPr>
            </w:pPr>
          </w:p>
        </w:tc>
        <w:tc>
          <w:tcPr>
            <w:tcW w:w="12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60" w:type="dxa"/>
            <w:vAlign w:val="bottom"/>
            <w:shd w:val="clear" w:color="auto" w:fill="CCFFCC"/>
          </w:tcPr>
          <w:p>
            <w:pPr>
              <w:spacing w:after="0"/>
              <w:rPr>
                <w:sz w:val="24"/>
                <w:szCs w:val="24"/>
                <w:color w:val="auto"/>
              </w:rPr>
            </w:pPr>
          </w:p>
        </w:tc>
        <w:tc>
          <w:tcPr>
            <w:tcW w:w="8860" w:type="dxa"/>
            <w:vAlign w:val="bottom"/>
            <w:shd w:val="clear" w:color="auto" w:fill="CCFFCC"/>
          </w:tcPr>
          <w:p>
            <w:pPr>
              <w:spacing w:after="0"/>
              <w:rPr>
                <w:sz w:val="24"/>
                <w:szCs w:val="24"/>
                <w:color w:val="auto"/>
              </w:rPr>
            </w:pPr>
          </w:p>
        </w:tc>
        <w:tc>
          <w:tcPr>
            <w:tcW w:w="4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22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6"/>
              </w:rPr>
              <w:t>32.2**</w:t>
            </w:r>
          </w:p>
        </w:tc>
        <w:tc>
          <w:tcPr>
            <w:tcW w:w="100" w:type="dxa"/>
            <w:vAlign w:val="bottom"/>
          </w:tcPr>
          <w:p>
            <w:pPr>
              <w:spacing w:after="0"/>
              <w:rPr>
                <w:sz w:val="17"/>
                <w:szCs w:val="17"/>
                <w:color w:val="auto"/>
              </w:rPr>
            </w:pPr>
          </w:p>
        </w:tc>
        <w:tc>
          <w:tcPr>
            <w:tcW w:w="9720" w:type="dxa"/>
            <w:vAlign w:val="bottom"/>
            <w:tcBorders>
              <w:bottom w:val="single" w:sz="8" w:color="0000FF"/>
            </w:tcBorders>
            <w:gridSpan w:val="2"/>
          </w:tcPr>
          <w:p>
            <w:pPr>
              <w:spacing w:after="0" w:line="202" w:lineRule="exact"/>
              <w:rPr>
                <w:rFonts w:ascii="Times New Roman" w:cs="Times New Roman" w:eastAsia="Times New Roman" w:hAnsi="Times New Roman"/>
                <w:sz w:val="18"/>
                <w:szCs w:val="18"/>
                <w:color w:val="0000FF"/>
                <w:w w:val="99"/>
              </w:rPr>
            </w:pPr>
            <w:hyperlink w:anchor="page71">
              <w:r>
                <w:rPr>
                  <w:rFonts w:ascii="Times New Roman" w:cs="Times New Roman" w:eastAsia="Times New Roman" w:hAnsi="Times New Roman"/>
                  <w:sz w:val="18"/>
                  <w:szCs w:val="18"/>
                  <w:color w:val="0000FF"/>
                  <w:w w:val="99"/>
                </w:rPr>
                <w:t>Certification by Chief Financial Officer pursuant to 18 U.S.C. Section 1350, as adopted pursuant to Section 906 of the Sarbanes-Oxley</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00" w:type="dxa"/>
            <w:vAlign w:val="bottom"/>
            <w:gridSpan w:val="5"/>
            <w:vMerge w:val="restart"/>
          </w:tcPr>
          <w:p>
            <w:pPr>
              <w:ind w:left="100"/>
              <w:spacing w:after="0" w:line="196" w:lineRule="exact"/>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Act of 2002</w:t>
              </w:r>
            </w:hyperlink>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8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0" w:type="dxa"/>
            <w:vAlign w:val="bottom"/>
            <w:shd w:val="clear" w:color="auto" w:fill="CCFFCC"/>
          </w:tcPr>
          <w:p>
            <w:pPr>
              <w:spacing w:after="0"/>
              <w:rPr>
                <w:sz w:val="24"/>
                <w:szCs w:val="24"/>
                <w:color w:val="auto"/>
              </w:rPr>
            </w:pPr>
          </w:p>
        </w:tc>
        <w:tc>
          <w:tcPr>
            <w:tcW w:w="12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60" w:type="dxa"/>
            <w:vAlign w:val="bottom"/>
            <w:shd w:val="clear" w:color="auto" w:fill="CCFFCC"/>
          </w:tcPr>
          <w:p>
            <w:pPr>
              <w:spacing w:after="0"/>
              <w:rPr>
                <w:sz w:val="24"/>
                <w:szCs w:val="24"/>
                <w:color w:val="auto"/>
              </w:rPr>
            </w:pPr>
          </w:p>
        </w:tc>
        <w:tc>
          <w:tcPr>
            <w:tcW w:w="8860" w:type="dxa"/>
            <w:vAlign w:val="bottom"/>
            <w:shd w:val="clear" w:color="auto" w:fill="CCFFCC"/>
          </w:tcPr>
          <w:p>
            <w:pPr>
              <w:spacing w:after="0"/>
              <w:rPr>
                <w:sz w:val="24"/>
                <w:szCs w:val="24"/>
                <w:color w:val="auto"/>
              </w:rPr>
            </w:pPr>
          </w:p>
        </w:tc>
        <w:tc>
          <w:tcPr>
            <w:tcW w:w="4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2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7"/>
              </w:rPr>
              <w:t>101.INS*</w:t>
            </w:r>
          </w:p>
        </w:tc>
        <w:tc>
          <w:tcPr>
            <w:tcW w:w="100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0" w:type="dxa"/>
            <w:vAlign w:val="bottom"/>
            <w:shd w:val="clear" w:color="auto" w:fill="CCFFCC"/>
          </w:tcPr>
          <w:p>
            <w:pPr>
              <w:spacing w:after="0"/>
              <w:rPr>
                <w:sz w:val="24"/>
                <w:szCs w:val="24"/>
                <w:color w:val="auto"/>
              </w:rPr>
            </w:pPr>
          </w:p>
        </w:tc>
        <w:tc>
          <w:tcPr>
            <w:tcW w:w="12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60" w:type="dxa"/>
            <w:vAlign w:val="bottom"/>
            <w:shd w:val="clear" w:color="auto" w:fill="CCFFCC"/>
          </w:tcPr>
          <w:p>
            <w:pPr>
              <w:spacing w:after="0"/>
              <w:rPr>
                <w:sz w:val="24"/>
                <w:szCs w:val="24"/>
                <w:color w:val="auto"/>
              </w:rPr>
            </w:pPr>
          </w:p>
        </w:tc>
        <w:tc>
          <w:tcPr>
            <w:tcW w:w="8860" w:type="dxa"/>
            <w:vAlign w:val="bottom"/>
            <w:shd w:val="clear" w:color="auto" w:fill="CCFFCC"/>
          </w:tcPr>
          <w:p>
            <w:pPr>
              <w:spacing w:after="0"/>
              <w:rPr>
                <w:sz w:val="24"/>
                <w:szCs w:val="24"/>
                <w:color w:val="auto"/>
              </w:rPr>
            </w:pPr>
          </w:p>
        </w:tc>
        <w:tc>
          <w:tcPr>
            <w:tcW w:w="4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2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0" w:type="dxa"/>
            <w:vAlign w:val="bottom"/>
            <w:shd w:val="clear" w:color="auto" w:fill="CCFFCC"/>
          </w:tcPr>
          <w:p>
            <w:pPr>
              <w:spacing w:after="0"/>
              <w:rPr>
                <w:sz w:val="24"/>
                <w:szCs w:val="24"/>
                <w:color w:val="auto"/>
              </w:rPr>
            </w:pPr>
          </w:p>
        </w:tc>
        <w:tc>
          <w:tcPr>
            <w:tcW w:w="12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60" w:type="dxa"/>
            <w:vAlign w:val="bottom"/>
            <w:shd w:val="clear" w:color="auto" w:fill="CCFFCC"/>
          </w:tcPr>
          <w:p>
            <w:pPr>
              <w:spacing w:after="0"/>
              <w:rPr>
                <w:sz w:val="24"/>
                <w:szCs w:val="24"/>
                <w:color w:val="auto"/>
              </w:rPr>
            </w:pPr>
          </w:p>
        </w:tc>
        <w:tc>
          <w:tcPr>
            <w:tcW w:w="8860" w:type="dxa"/>
            <w:vAlign w:val="bottom"/>
            <w:shd w:val="clear" w:color="auto" w:fill="CCFFCC"/>
          </w:tcPr>
          <w:p>
            <w:pPr>
              <w:spacing w:after="0"/>
              <w:rPr>
                <w:sz w:val="24"/>
                <w:szCs w:val="24"/>
                <w:color w:val="auto"/>
              </w:rPr>
            </w:pPr>
          </w:p>
        </w:tc>
        <w:tc>
          <w:tcPr>
            <w:tcW w:w="4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2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101.CAL*</w:t>
            </w:r>
          </w:p>
        </w:tc>
        <w:tc>
          <w:tcPr>
            <w:tcW w:w="100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0" w:type="dxa"/>
            <w:vAlign w:val="bottom"/>
            <w:shd w:val="clear" w:color="auto" w:fill="CCFFCC"/>
          </w:tcPr>
          <w:p>
            <w:pPr>
              <w:spacing w:after="0"/>
              <w:rPr>
                <w:sz w:val="24"/>
                <w:szCs w:val="24"/>
                <w:color w:val="auto"/>
              </w:rPr>
            </w:pPr>
          </w:p>
        </w:tc>
        <w:tc>
          <w:tcPr>
            <w:tcW w:w="12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60" w:type="dxa"/>
            <w:vAlign w:val="bottom"/>
            <w:shd w:val="clear" w:color="auto" w:fill="CCFFCC"/>
          </w:tcPr>
          <w:p>
            <w:pPr>
              <w:spacing w:after="0"/>
              <w:rPr>
                <w:sz w:val="24"/>
                <w:szCs w:val="24"/>
                <w:color w:val="auto"/>
              </w:rPr>
            </w:pPr>
          </w:p>
        </w:tc>
        <w:tc>
          <w:tcPr>
            <w:tcW w:w="8860" w:type="dxa"/>
            <w:vAlign w:val="bottom"/>
            <w:shd w:val="clear" w:color="auto" w:fill="CCFFCC"/>
          </w:tcPr>
          <w:p>
            <w:pPr>
              <w:spacing w:after="0"/>
              <w:rPr>
                <w:sz w:val="24"/>
                <w:szCs w:val="24"/>
                <w:color w:val="auto"/>
              </w:rPr>
            </w:pPr>
          </w:p>
        </w:tc>
        <w:tc>
          <w:tcPr>
            <w:tcW w:w="4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2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0" w:type="dxa"/>
            <w:vAlign w:val="bottom"/>
            <w:shd w:val="clear" w:color="auto" w:fill="CCFFCC"/>
          </w:tcPr>
          <w:p>
            <w:pPr>
              <w:spacing w:after="0"/>
              <w:rPr>
                <w:sz w:val="24"/>
                <w:szCs w:val="24"/>
                <w:color w:val="auto"/>
              </w:rPr>
            </w:pPr>
          </w:p>
        </w:tc>
        <w:tc>
          <w:tcPr>
            <w:tcW w:w="12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60" w:type="dxa"/>
            <w:vAlign w:val="bottom"/>
            <w:shd w:val="clear" w:color="auto" w:fill="CCFFCC"/>
          </w:tcPr>
          <w:p>
            <w:pPr>
              <w:spacing w:after="0"/>
              <w:rPr>
                <w:sz w:val="24"/>
                <w:szCs w:val="24"/>
                <w:color w:val="auto"/>
              </w:rPr>
            </w:pPr>
          </w:p>
        </w:tc>
        <w:tc>
          <w:tcPr>
            <w:tcW w:w="8860" w:type="dxa"/>
            <w:vAlign w:val="bottom"/>
            <w:shd w:val="clear" w:color="auto" w:fill="CCFFCC"/>
          </w:tcPr>
          <w:p>
            <w:pPr>
              <w:spacing w:after="0"/>
              <w:rPr>
                <w:sz w:val="24"/>
                <w:szCs w:val="24"/>
                <w:color w:val="auto"/>
              </w:rPr>
            </w:pPr>
          </w:p>
        </w:tc>
        <w:tc>
          <w:tcPr>
            <w:tcW w:w="4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2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101.LAB*</w:t>
            </w:r>
          </w:p>
        </w:tc>
        <w:tc>
          <w:tcPr>
            <w:tcW w:w="100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0" w:type="dxa"/>
            <w:vAlign w:val="bottom"/>
            <w:shd w:val="clear" w:color="auto" w:fill="CCFFCC"/>
          </w:tcPr>
          <w:p>
            <w:pPr>
              <w:spacing w:after="0"/>
              <w:rPr>
                <w:sz w:val="24"/>
                <w:szCs w:val="24"/>
                <w:color w:val="auto"/>
              </w:rPr>
            </w:pPr>
          </w:p>
        </w:tc>
        <w:tc>
          <w:tcPr>
            <w:tcW w:w="12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60" w:type="dxa"/>
            <w:vAlign w:val="bottom"/>
            <w:shd w:val="clear" w:color="auto" w:fill="CCFFCC"/>
          </w:tcPr>
          <w:p>
            <w:pPr>
              <w:spacing w:after="0"/>
              <w:rPr>
                <w:sz w:val="24"/>
                <w:szCs w:val="24"/>
                <w:color w:val="auto"/>
              </w:rPr>
            </w:pPr>
          </w:p>
        </w:tc>
        <w:tc>
          <w:tcPr>
            <w:tcW w:w="8860" w:type="dxa"/>
            <w:vAlign w:val="bottom"/>
            <w:shd w:val="clear" w:color="auto" w:fill="CCFFCC"/>
          </w:tcPr>
          <w:p>
            <w:pPr>
              <w:spacing w:after="0"/>
              <w:rPr>
                <w:sz w:val="24"/>
                <w:szCs w:val="24"/>
                <w:color w:val="auto"/>
              </w:rPr>
            </w:pPr>
          </w:p>
        </w:tc>
        <w:tc>
          <w:tcPr>
            <w:tcW w:w="4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2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7"/>
              </w:rPr>
              <w:t>101.PRE*</w:t>
            </w:r>
          </w:p>
        </w:tc>
        <w:tc>
          <w:tcPr>
            <w:tcW w:w="100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51"/>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112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type w:val="continuous"/>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576" w:right="239" w:bottom="1440" w:gutter="0" w:footer="0" w:header="0"/>
          <w:type w:val="continuous"/>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6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(Registrant)</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6, 2019</w:t>
            </w:r>
          </w:p>
        </w:tc>
        <w:tc>
          <w:tcPr>
            <w:tcW w:w="22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P. LOCASCIO</w:t>
            </w:r>
          </w:p>
        </w:tc>
      </w:tr>
      <w:tr>
        <w:trPr>
          <w:trHeight w:val="27"/>
        </w:trPr>
        <w:tc>
          <w:tcPr>
            <w:tcW w:w="5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4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9"/>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LoCascio</w:t>
            </w:r>
          </w:p>
        </w:tc>
      </w:tr>
      <w:tr>
        <w:trPr>
          <w:trHeight w:val="270"/>
        </w:trPr>
        <w:tc>
          <w:tcPr>
            <w:tcW w:w="5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2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54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6, 2019</w:t>
            </w:r>
          </w:p>
        </w:tc>
        <w:tc>
          <w:tcPr>
            <w:tcW w:w="22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36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CHRISTOPHER E. GREINER</w:t>
            </w:r>
          </w:p>
        </w:tc>
      </w:tr>
      <w:tr>
        <w:trPr>
          <w:trHeight w:val="27"/>
        </w:trPr>
        <w:tc>
          <w:tcPr>
            <w:tcW w:w="5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4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9"/>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E. Greiner</w:t>
            </w:r>
          </w:p>
        </w:tc>
      </w:tr>
      <w:tr>
        <w:trPr>
          <w:trHeight w:val="270"/>
        </w:trPr>
        <w:tc>
          <w:tcPr>
            <w:tcW w:w="5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2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r>
      <w:tr>
        <w:trPr>
          <w:trHeight w:val="594"/>
        </w:trPr>
        <w:tc>
          <w:tcPr>
            <w:tcW w:w="5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5260" w:type="dxa"/>
            <w:vAlign w:val="bottom"/>
          </w:tcPr>
          <w:p>
            <w:pPr>
              <w:spacing w:after="0"/>
              <w:rPr>
                <w:sz w:val="24"/>
                <w:szCs w:val="24"/>
                <w:color w:val="auto"/>
              </w:rPr>
            </w:pPr>
          </w:p>
        </w:tc>
      </w:tr>
    </w:tbl>
    <w:p>
      <w:pPr>
        <w:sectPr>
          <w:pgSz w:w="11900" w:h="16838" w:orient="portrait"/>
          <w:cols w:equalWidth="0" w:num="1">
            <w:col w:w="11380"/>
          </w:cols>
          <w:pgMar w:left="240" w:top="576" w:right="27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10.3</w:t>
      </w:r>
    </w:p>
    <w:p>
      <w:pPr>
        <w:spacing w:after="0" w:line="29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 xml:space="preserve">LIVEPERSON, INC. </w:t>
      </w:r>
      <w:r>
        <w:rPr>
          <w:rFonts w:ascii="Times New Roman" w:cs="Times New Roman" w:eastAsia="Times New Roman" w:hAnsi="Times New Roman"/>
          <w:sz w:val="20"/>
          <w:szCs w:val="20"/>
          <w:b w:val="1"/>
          <w:bCs w:val="1"/>
          <w:u w:val="single" w:color="auto"/>
          <w:color w:val="auto"/>
        </w:rPr>
        <w:t>NONSTATUTORY STOCK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0" w:hanging="280"/>
        <w:spacing w:after="0"/>
        <w:tabs>
          <w:tab w:leader="none" w:pos="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Option</w:t>
      </w:r>
      <w:r>
        <w:rPr>
          <w:rFonts w:ascii="Times New Roman" w:cs="Times New Roman" w:eastAsia="Times New Roman" w:hAnsi="Times New Roman"/>
          <w:sz w:val="16"/>
          <w:szCs w:val="16"/>
          <w:color w:val="auto"/>
        </w:rPr>
        <w:t>.</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LivePerson, Inc., a Delaware corporation (the “LivePerson”), hereby grants, as of 02/21/2019 (the “Grant Date”), to ROBERT LOCASCIO (the “Participant”) an option (the “Option”) to purchase 116,410 shares of the Common Stock, $0.001 par value per share, of LivePerson (“Shares”) at an exercise price equal to $25.95 per share (the “Exercise Price”). The Option shall be subject to the terms and conditions set forth herein. The Option is issued pursuant to LivePerson's 2009 Stock Incentive Plan (the “Plan”).</w:t>
      </w:r>
    </w:p>
    <w:p>
      <w:pPr>
        <w:spacing w:after="0" w:line="200" w:lineRule="exact"/>
        <w:rPr>
          <w:sz w:val="20"/>
          <w:szCs w:val="20"/>
          <w:color w:val="auto"/>
        </w:rPr>
      </w:pPr>
    </w:p>
    <w:p>
      <w:pPr>
        <w:spacing w:after="0" w:line="21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It is intended that the Option evidenced by this Stock Option Agreement shall not be an "incentive stock option” as defined in Section 422 of the Internal Revenue Code of 1986, as amended, and any regulations promulgated thereunder (the “Code”). Except as otherwise indicated by the context, the term “Participant”, as used in this Stock Option Agreement, shall be deemed to include any person who acquires the right to exercise the Option validly under its terms.</w:t>
      </w:r>
    </w:p>
    <w:p>
      <w:pPr>
        <w:spacing w:after="0" w:line="219" w:lineRule="exact"/>
        <w:rPr>
          <w:sz w:val="20"/>
          <w:szCs w:val="20"/>
          <w:color w:val="auto"/>
        </w:rPr>
      </w:pPr>
    </w:p>
    <w:p>
      <w:pPr>
        <w:ind w:left="620" w:hanging="300"/>
        <w:spacing w:after="0"/>
        <w:tabs>
          <w:tab w:leader="none" w:pos="6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Unless otherwise provided herein, all capitalized terms in this Stock Option Agreement shall have the meaning assigned to them in the Plan.</w:t>
      </w:r>
    </w:p>
    <w:p>
      <w:pPr>
        <w:spacing w:after="0" w:line="262"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6"/>
          <w:szCs w:val="16"/>
          <w:color w:val="auto"/>
        </w:rPr>
        <w:t>For purposes of this Stock Option Agreement, “Company” shall include LivePerson and any other entity to which the Participant provides services provided such entity's employees, officers, directors, consultants, or advisors are generally eligible to receive option grants under the Plan.</w:t>
      </w:r>
    </w:p>
    <w:p>
      <w:pPr>
        <w:spacing w:after="0" w:line="204" w:lineRule="exact"/>
        <w:rPr>
          <w:sz w:val="20"/>
          <w:szCs w:val="20"/>
          <w:color w:val="auto"/>
        </w:rPr>
      </w:pPr>
    </w:p>
    <w:p>
      <w:pPr>
        <w:ind w:left="620" w:hanging="300"/>
        <w:spacing w:after="0"/>
        <w:tabs>
          <w:tab w:leader="none" w:pos="6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Schedule</w:t>
      </w:r>
      <w:r>
        <w:rPr>
          <w:rFonts w:ascii="Times New Roman" w:cs="Times New Roman" w:eastAsia="Times New Roman" w:hAnsi="Times New Roman"/>
          <w:sz w:val="16"/>
          <w:szCs w:val="16"/>
          <w:color w:val="auto"/>
        </w:rPr>
        <w:t>.</w:t>
      </w: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Except as otherwise provided herein or in the Plan, the Option will vest and become exercisable, in whole or in part, in installments as provided below. The following table indicates each date (the “Vesting Date”) upon which Shares will vest and the Participant shall be entitled to exercise the Option with respect to the percentage of Shares indicated beside the Vesting Date, provided that the continuous relationship with the Company of the Participant (as described below in Section 4(b)) continues through and on the applicable Vesting Date: first, second, and third annual anniversaries of the Grant Date One (1) Year Anniversary of the Grant Date.</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(as defined below) or the termination of the Option under Section 5 hereof or the Plan.</w:t>
      </w:r>
    </w:p>
    <w:p>
      <w:pPr>
        <w:spacing w:after="0" w:line="246" w:lineRule="exact"/>
        <w:rPr>
          <w:sz w:val="20"/>
          <w:szCs w:val="20"/>
          <w:color w:val="auto"/>
        </w:rPr>
      </w:pPr>
    </w:p>
    <w:p>
      <w:pPr>
        <w:ind w:left="720" w:hanging="413"/>
        <w:spacing w:after="0"/>
        <w:tabs>
          <w:tab w:leader="none" w:pos="7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of Option</w:t>
      </w:r>
      <w:r>
        <w:rPr>
          <w:rFonts w:ascii="Times New Roman" w:cs="Times New Roman" w:eastAsia="Times New Roman" w:hAnsi="Times New Roman"/>
          <w:sz w:val="16"/>
          <w:szCs w:val="16"/>
          <w:color w:val="auto"/>
        </w:rPr>
        <w:t>.</w:t>
      </w:r>
    </w:p>
    <w:p>
      <w:pPr>
        <w:spacing w:after="0" w:line="302" w:lineRule="exact"/>
        <w:rPr>
          <w:rFonts w:ascii="Times New Roman" w:cs="Times New Roman" w:eastAsia="Times New Roman" w:hAnsi="Times New Roman"/>
          <w:sz w:val="16"/>
          <w:szCs w:val="16"/>
          <w:color w:val="auto"/>
        </w:rPr>
      </w:pPr>
    </w:p>
    <w:p>
      <w:pPr>
        <w:jc w:val="both"/>
        <w:ind w:left="960" w:firstLine="8"/>
        <w:spacing w:after="0" w:line="293" w:lineRule="auto"/>
        <w:tabs>
          <w:tab w:leader="none" w:pos="1329" w:val="left"/>
        </w:tabs>
        <w:numPr>
          <w:ilvl w:val="1"/>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Form of Exercise</w:t>
      </w:r>
      <w:r>
        <w:rPr>
          <w:rFonts w:ascii="Times New Roman" w:cs="Times New Roman" w:eastAsia="Times New Roman" w:hAnsi="Times New Roman"/>
          <w:sz w:val="16"/>
          <w:szCs w:val="16"/>
          <w:color w:val="auto"/>
        </w:rPr>
        <w:t>. Each election to exercise the Option shall be in such form, and received by LivePerson in such manner, as may be required by the LivePerson from time to time, along with payment in full of the aggregate Exercise Price for all exercised Shares in cash or by check or by cashless exercise (as described in Section 5(f)(2) of the Plan). The Participant may purchase less than the number of vested Shares covered hereby, provided that no partial exercise of the Option may be for any fractional Share.</w:t>
      </w:r>
    </w:p>
    <w:p>
      <w:pPr>
        <w:spacing w:after="0" w:line="222" w:lineRule="exact"/>
        <w:rPr>
          <w:rFonts w:ascii="Times New Roman" w:cs="Times New Roman" w:eastAsia="Times New Roman" w:hAnsi="Times New Roman"/>
          <w:sz w:val="16"/>
          <w:szCs w:val="16"/>
          <w:b w:val="1"/>
          <w:bCs w:val="1"/>
          <w:color w:val="auto"/>
        </w:rPr>
      </w:pPr>
    </w:p>
    <w:p>
      <w:pPr>
        <w:jc w:val="both"/>
        <w:ind w:left="960" w:firstLine="8"/>
        <w:spacing w:after="0" w:line="299" w:lineRule="auto"/>
        <w:tabs>
          <w:tab w:leader="none" w:pos="1284" w:val="left"/>
        </w:tabs>
        <w:numPr>
          <w:ilvl w:val="1"/>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Continuous Relationship with the Company Required</w:t>
      </w:r>
      <w:r>
        <w:rPr>
          <w:rFonts w:ascii="Times New Roman" w:cs="Times New Roman" w:eastAsia="Times New Roman" w:hAnsi="Times New Roman"/>
          <w:sz w:val="16"/>
          <w:szCs w:val="16"/>
          <w:color w:val="auto"/>
        </w:rPr>
        <w:t>. Except as otherwise provided in Section 5, the Option may not be exercised unless the Participant, at the time he or she exercises the Option, is, and has been at all times since the Grant Date, an employee, officer, director, consultant or advisor to the Company (an “Eligible Participant”).</w:t>
      </w:r>
    </w:p>
    <w:p>
      <w:pPr>
        <w:sectPr>
          <w:pgSz w:w="11900" w:h="16838" w:orient="portrait"/>
          <w:cols w:equalWidth="0" w:num="1">
            <w:col w:w="11300"/>
          </w:cols>
          <w:pgMar w:left="360" w:top="121" w:right="239" w:bottom="1440" w:gutter="0" w:footer="0" w:header="0"/>
        </w:sectPr>
      </w:pPr>
    </w:p>
    <w:bookmarkStart w:id="52" w:name="page53"/>
    <w:bookmarkEnd w:id="52"/>
    <w:p>
      <w:pPr>
        <w:ind w:left="760" w:hanging="427"/>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Option</w:t>
      </w:r>
      <w:r>
        <w:rPr>
          <w:rFonts w:ascii="Times New Roman" w:cs="Times New Roman" w:eastAsia="Times New Roman" w:hAnsi="Times New Roman"/>
          <w:sz w:val="16"/>
          <w:szCs w:val="16"/>
          <w:color w:val="auto"/>
        </w:rPr>
        <w:t>. Any unexercised portion of the Option shall automatically and without notice terminate at the time of the earliest to occur of the following:</w:t>
      </w:r>
    </w:p>
    <w:p>
      <w:pPr>
        <w:spacing w:after="0" w:line="315" w:lineRule="exact"/>
        <w:rPr>
          <w:rFonts w:ascii="Times New Roman" w:cs="Times New Roman" w:eastAsia="Times New Roman" w:hAnsi="Times New Roman"/>
          <w:sz w:val="16"/>
          <w:szCs w:val="16"/>
          <w:color w:val="auto"/>
        </w:rPr>
      </w:pPr>
    </w:p>
    <w:p>
      <w:pPr>
        <w:ind w:left="1300" w:hanging="319"/>
        <w:spacing w:after="0"/>
        <w:tabs>
          <w:tab w:leader="none" w:pos="1300" w:val="left"/>
        </w:tabs>
        <w:numPr>
          <w:ilvl w:val="1"/>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Expiration</w:t>
      </w:r>
      <w:r>
        <w:rPr>
          <w:rFonts w:ascii="Times New Roman" w:cs="Times New Roman" w:eastAsia="Times New Roman" w:hAnsi="Times New Roman"/>
          <w:sz w:val="16"/>
          <w:szCs w:val="16"/>
          <w:color w:val="auto"/>
        </w:rPr>
        <w:t>. The Option shall expire and shall no longer be exercisable after the date that is 10 years from the Grant Date (the “Final Exercise Date”).</w:t>
      </w:r>
    </w:p>
    <w:p>
      <w:pPr>
        <w:spacing w:after="0" w:line="288" w:lineRule="exact"/>
        <w:rPr>
          <w:rFonts w:ascii="Times New Roman" w:cs="Times New Roman" w:eastAsia="Times New Roman" w:hAnsi="Times New Roman"/>
          <w:sz w:val="16"/>
          <w:szCs w:val="16"/>
          <w:b w:val="1"/>
          <w:bCs w:val="1"/>
          <w:color w:val="auto"/>
        </w:rPr>
      </w:pPr>
    </w:p>
    <w:p>
      <w:pPr>
        <w:jc w:val="both"/>
        <w:ind w:left="980" w:firstLine="1"/>
        <w:spacing w:after="0" w:line="288" w:lineRule="auto"/>
        <w:tabs>
          <w:tab w:leader="none" w:pos="1412" w:val="left"/>
        </w:tabs>
        <w:numPr>
          <w:ilvl w:val="1"/>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Termination of Relationship with the Company</w:t>
      </w:r>
      <w:r>
        <w:rPr>
          <w:rFonts w:ascii="Times New Roman" w:cs="Times New Roman" w:eastAsia="Times New Roman" w:hAnsi="Times New Roman"/>
          <w:sz w:val="16"/>
          <w:szCs w:val="16"/>
          <w:color w:val="auto"/>
        </w:rPr>
        <w:t xml:space="preserve">. If the Participant ceases to be an Eligible Participant for any reason, then, except as provided in paragraphs (c) and (d) below, the right to exercise the Option shall terminate three months after such cessation (but in no event after the Final Exercise Date),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Option shall be exercisable only to the extent that the Participant was entitled to exercise the Option on the date of such cessation. Notwithstanding the foregoing or anything stated in paragraphs (c) or (d) below, if the Participant, prior to the Final Exercise Date, violates the non-competition or confidentiality provisions of any employment contract, confidentiality and nondisclosure agreement or other agreement between the Participant and the Company, the right to exercise the Option shall terminate immediately upon such violation.</w:t>
      </w:r>
    </w:p>
    <w:p>
      <w:pPr>
        <w:spacing w:after="0" w:line="228" w:lineRule="exact"/>
        <w:rPr>
          <w:rFonts w:ascii="Times New Roman" w:cs="Times New Roman" w:eastAsia="Times New Roman" w:hAnsi="Times New Roman"/>
          <w:sz w:val="16"/>
          <w:szCs w:val="16"/>
          <w:b w:val="1"/>
          <w:bCs w:val="1"/>
          <w:color w:val="auto"/>
        </w:rPr>
      </w:pPr>
    </w:p>
    <w:p>
      <w:pPr>
        <w:jc w:val="both"/>
        <w:ind w:left="980" w:firstLine="1"/>
        <w:spacing w:after="0" w:line="288" w:lineRule="auto"/>
        <w:tabs>
          <w:tab w:leader="none" w:pos="1313" w:val="left"/>
        </w:tabs>
        <w:numPr>
          <w:ilvl w:val="1"/>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Exercise Period Upon Death or Disability</w:t>
      </w:r>
      <w:r>
        <w:rPr>
          <w:rFonts w:ascii="Times New Roman" w:cs="Times New Roman" w:eastAsia="Times New Roman" w:hAnsi="Times New Roman"/>
          <w:sz w:val="16"/>
          <w:szCs w:val="16"/>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(d) below, the Option shall be exercisable, within the period of one year following the date of death or disability of the Participant, by the Participant (or in the case of death by an authorized transferee), and the right to exercise the Option shall terminate one year after the date of death or disability of the Participant (but in no event after the Final Exercise Date),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Option shall be exercisable only to the extent that the Option was exercisable by the Participant on the date of his or her death or disability.</w:t>
      </w:r>
    </w:p>
    <w:p>
      <w:pPr>
        <w:spacing w:after="0" w:line="228" w:lineRule="exact"/>
        <w:rPr>
          <w:rFonts w:ascii="Times New Roman" w:cs="Times New Roman" w:eastAsia="Times New Roman" w:hAnsi="Times New Roman"/>
          <w:sz w:val="16"/>
          <w:szCs w:val="16"/>
          <w:b w:val="1"/>
          <w:bCs w:val="1"/>
          <w:color w:val="auto"/>
        </w:rPr>
      </w:pPr>
    </w:p>
    <w:p>
      <w:pPr>
        <w:jc w:val="both"/>
        <w:ind w:left="980" w:firstLine="1"/>
        <w:spacing w:after="0" w:line="284" w:lineRule="auto"/>
        <w:tabs>
          <w:tab w:leader="none" w:pos="1358" w:val="left"/>
        </w:tabs>
        <w:numPr>
          <w:ilvl w:val="1"/>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u w:val="single" w:color="auto"/>
          <w:color w:val="auto"/>
        </w:rPr>
        <w:t>Termination for Cause</w:t>
      </w:r>
      <w:r>
        <w:rPr>
          <w:rFonts w:ascii="Times New Roman" w:cs="Times New Roman" w:eastAsia="Times New Roman" w:hAnsi="Times New Roman"/>
          <w:sz w:val="16"/>
          <w:szCs w:val="16"/>
          <w:color w:val="auto"/>
        </w:rPr>
        <w:t>. If, prior to the Final Exercise Date, the Participant's employment or other relationship with the Company is terminated by the Company for Cause (as defined below), the right to exercise the Option shall terminate immediately upon the effective date of such termination of employment or other relationship. If, prior to the Final Exercise Date, the Participant is given notice by the Company of the termination of his or her employment by the Company for Cause, and the effective date of such employment termination is subsequent to the date of delivery of such notice, the right to exercise this option shall be suspended from the time of the delivery of such notice until the earlier of (i) such time as it is determined or otherwise agreed that the Participant's employment shall not be terminated for Cause as provided in such notice or (ii) the effective date of such termination of employment (in which case the right to exercise this option shall, pursuant to the preceding sentence, terminate upon the effective date of such termination of employment). If the Participant is subject to an individual employment or severance agreement with the Company or eligible to participate in a Company severance plan or arrangement, in any case which agreement, plan or arrangement contains a definition of “Cause” for termination of employment or other relationship,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employment or other relationship shall be considered to have been terminated for “Cause” if the Company determines, within 30 days after the Participant's resignation, that termination for “Cause” was warranted.</w:t>
      </w:r>
    </w:p>
    <w:p>
      <w:pPr>
        <w:spacing w:after="0" w:line="220" w:lineRule="exact"/>
        <w:rPr>
          <w:rFonts w:ascii="Times New Roman" w:cs="Times New Roman" w:eastAsia="Times New Roman" w:hAnsi="Times New Roman"/>
          <w:sz w:val="16"/>
          <w:szCs w:val="16"/>
          <w:b w:val="1"/>
          <w:bCs w:val="1"/>
          <w:color w:val="auto"/>
        </w:rPr>
      </w:pPr>
    </w:p>
    <w:p>
      <w:pPr>
        <w:ind w:left="640" w:hanging="307"/>
        <w:spacing w:after="0"/>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Leave of Absence</w:t>
      </w:r>
      <w:r>
        <w:rPr>
          <w:rFonts w:ascii="Times New Roman" w:cs="Times New Roman" w:eastAsia="Times New Roman" w:hAnsi="Times New Roman"/>
          <w:sz w:val="16"/>
          <w:szCs w:val="16"/>
          <w:color w:val="auto"/>
        </w:rPr>
        <w:t>.</w:t>
      </w: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Except as otherwise required by applicable law, the exercise schedule in effect under Section 3 above shall be frozen as of the first day of any unpaid authorized leave, and this Option shall not become exercisable for any additional installments of the Shares during the period Participant remains on such unpaid leave. For any paid authorized leave, the exercise schedule in effect under Section 3 above shall continue during the period Participant remains on such paid leave.</w:t>
      </w:r>
    </w:p>
    <w:p>
      <w:pPr>
        <w:spacing w:after="0" w:line="219" w:lineRule="exact"/>
        <w:rPr>
          <w:sz w:val="20"/>
          <w:szCs w:val="20"/>
          <w:color w:val="auto"/>
        </w:rPr>
      </w:pPr>
    </w:p>
    <w:p>
      <w:pPr>
        <w:ind w:left="640" w:hanging="307"/>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w:t>
      </w:r>
      <w:r>
        <w:rPr>
          <w:rFonts w:ascii="Times New Roman" w:cs="Times New Roman" w:eastAsia="Times New Roman" w:hAnsi="Times New Roman"/>
          <w:sz w:val="16"/>
          <w:szCs w:val="16"/>
          <w:color w:val="auto"/>
        </w:rPr>
        <w:t>.</w:t>
      </w:r>
    </w:p>
    <w:p>
      <w:pPr>
        <w:spacing w:after="0" w:line="24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No Shares will be issued pursuant to the exercise of the Option unless and until the Participant pays to the Company, or makes provision satisfactory to the Company for payment of, any federal, state or local withholding taxes and any other deductions, in each case, required by law to be withheld in respect of the Option.</w:t>
      </w:r>
    </w:p>
    <w:p>
      <w:pPr>
        <w:sectPr>
          <w:pgSz w:w="11900" w:h="16838" w:orient="portrait"/>
          <w:cols w:equalWidth="0" w:num="1">
            <w:col w:w="11340"/>
          </w:cols>
          <w:pgMar w:left="320" w:top="450" w:right="239" w:bottom="1440" w:gutter="0" w:footer="0" w:header="0"/>
        </w:sectPr>
      </w:pPr>
    </w:p>
    <w:bookmarkStart w:id="53" w:name="page54"/>
    <w:bookmarkEnd w:id="53"/>
    <w:p>
      <w:pPr>
        <w:ind w:left="620" w:hanging="300"/>
        <w:spacing w:after="0"/>
        <w:tabs>
          <w:tab w:leader="none" w:pos="6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Restrictions; Clawback.</w:t>
      </w:r>
    </w:p>
    <w:p>
      <w:pPr>
        <w:spacing w:after="0" w:line="261" w:lineRule="exact"/>
        <w:rPr>
          <w:rFonts w:ascii="Times New Roman" w:cs="Times New Roman" w:eastAsia="Times New Roman" w:hAnsi="Times New Roman"/>
          <w:sz w:val="16"/>
          <w:szCs w:val="16"/>
          <w:color w:val="auto"/>
        </w:rPr>
      </w:pPr>
    </w:p>
    <w:p>
      <w:pPr>
        <w:ind w:left="960" w:firstLine="8"/>
        <w:spacing w:after="0" w:line="316" w:lineRule="auto"/>
        <w:tabs>
          <w:tab w:leader="none" w:pos="1288" w:val="left"/>
        </w:tabs>
        <w:numPr>
          <w:ilvl w:val="1"/>
          <w:numId w:val="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Option may not be sold, assigned, transferred, pledged or otherwise encumbered by the Participant, either voluntarily or by operation of law, except by will or the laws of descent and distribution, and, during the lifetime of the Participant, the Option shall be exercisable only by the Participant.</w:t>
      </w:r>
    </w:p>
    <w:p>
      <w:pPr>
        <w:spacing w:after="0" w:line="204" w:lineRule="exact"/>
        <w:rPr>
          <w:rFonts w:ascii="Times New Roman" w:cs="Times New Roman" w:eastAsia="Times New Roman" w:hAnsi="Times New Roman"/>
          <w:sz w:val="16"/>
          <w:szCs w:val="16"/>
          <w:b w:val="1"/>
          <w:bCs w:val="1"/>
          <w:color w:val="auto"/>
        </w:rPr>
      </w:pPr>
    </w:p>
    <w:p>
      <w:pPr>
        <w:ind w:left="1300" w:hanging="332"/>
        <w:spacing w:after="0"/>
        <w:tabs>
          <w:tab w:leader="none" w:pos="1300" w:val="left"/>
        </w:tabs>
        <w:numPr>
          <w:ilvl w:val="1"/>
          <w:numId w:val="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accepting this option, the Participant agrees to be bound by any clawback policy that the Company has adopted or may adopt in the future.</w:t>
      </w:r>
    </w:p>
    <w:p>
      <w:pPr>
        <w:spacing w:after="0" w:line="275" w:lineRule="exact"/>
        <w:rPr>
          <w:rFonts w:ascii="Times New Roman" w:cs="Times New Roman" w:eastAsia="Times New Roman" w:hAnsi="Times New Roman"/>
          <w:sz w:val="16"/>
          <w:szCs w:val="16"/>
          <w:b w:val="1"/>
          <w:bCs w:val="1"/>
          <w:color w:val="auto"/>
        </w:rPr>
      </w:pPr>
    </w:p>
    <w:p>
      <w:pPr>
        <w:ind w:left="600" w:hanging="280"/>
        <w:spacing w:after="0"/>
        <w:tabs>
          <w:tab w:leader="none" w:pos="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Employment or Service Contract</w:t>
      </w:r>
      <w:r>
        <w:rPr>
          <w:rFonts w:ascii="Times New Roman" w:cs="Times New Roman" w:eastAsia="Times New Roman" w:hAnsi="Times New Roman"/>
          <w:sz w:val="16"/>
          <w:szCs w:val="16"/>
          <w:color w:val="auto"/>
        </w:rPr>
        <w:t>.</w:t>
      </w:r>
    </w:p>
    <w:p>
      <w:pPr>
        <w:spacing w:after="0" w:line="24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Nothing in this Stock Option Agreement or in the Plan shall confer upon Participant any right to continue in service for any period of specific duration or interfere with or otherwise restrict in any way the rights of the Company or of the Participant, which rights are hereby expressly reserved by each, to terminate Participant's service at any time for any reason, with or without cause.</w:t>
      </w:r>
    </w:p>
    <w:p>
      <w:pPr>
        <w:spacing w:after="0" w:line="273" w:lineRule="exact"/>
        <w:rPr>
          <w:sz w:val="20"/>
          <w:szCs w:val="20"/>
          <w:color w:val="auto"/>
        </w:rPr>
      </w:pPr>
    </w:p>
    <w:p>
      <w:pPr>
        <w:ind w:left="560" w:hanging="240"/>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Participant understands and agrees that the Option is granted subject to and in accordance with the terms of this Stock Option Agreement and the Plan (including the provisions relating to amendments to the Plan), a copy of which has been made available to the Participant along with this Stock Option Agreement and is available upon request made to the Corporate Secretary at the principal offices of LivePerson. Participant hereby acknowledges receipt of a copy of the Plan. Participant further agrees to be bound by the terms of this Stock Option Agreement and the Plan. The provisions of this Stock Option Agreement are severable, and if any one or more of the provisions are determined to be illegal or otherwise unenforceable, in whole or in part, the remaining provisions shall nevertheless be binding and enforceable.</w:t>
      </w:r>
    </w:p>
    <w:p>
      <w:pPr>
        <w:spacing w:after="0" w:line="225" w:lineRule="exact"/>
        <w:rPr>
          <w:sz w:val="20"/>
          <w:szCs w:val="20"/>
          <w:color w:val="auto"/>
        </w:rPr>
      </w:pPr>
    </w:p>
    <w:p>
      <w:pPr>
        <w:ind w:left="640" w:hanging="320"/>
        <w:spacing w:after="0"/>
        <w:tabs>
          <w:tab w:leader="none" w:pos="6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Communications</w:t>
      </w:r>
      <w:r>
        <w:rPr>
          <w:rFonts w:ascii="Times New Roman" w:cs="Times New Roman" w:eastAsia="Times New Roman" w:hAnsi="Times New Roman"/>
          <w:sz w:val="16"/>
          <w:szCs w:val="16"/>
          <w:color w:val="auto"/>
        </w:rPr>
        <w:t>.</w:t>
      </w:r>
    </w:p>
    <w:p>
      <w:pPr>
        <w:spacing w:after="0" w:line="28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6"/>
          <w:szCs w:val="16"/>
          <w:color w:val="auto"/>
        </w:rPr>
        <w:t>Participant agrees, to the fullest extent permitted by law, in lieu of receiving documents in paper format, to accept electronic delivery of any documents that the Company may deliver in connection with this Option and any other equity awards granted by LivePerson to the Participant, including prospectuses, grant notifications, account statements, annual or quarterly reports, and other communications. Electronic delivery of a document may be made via the Company's email system, by reference to a location on the Company's intranet or website or by any other means deemed appropriate by the Company.</w:t>
      </w:r>
    </w:p>
    <w:p>
      <w:pPr>
        <w:spacing w:after="0" w:line="154" w:lineRule="exact"/>
        <w:rPr>
          <w:sz w:val="20"/>
          <w:szCs w:val="20"/>
          <w:color w:val="auto"/>
        </w:rPr>
      </w:pPr>
    </w:p>
    <w:p>
      <w:pPr>
        <w:ind w:left="640" w:hanging="320"/>
        <w:spacing w:after="0"/>
        <w:tabs>
          <w:tab w:leader="none" w:pos="6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Choice of Law and Forum</w:t>
      </w:r>
      <w:r>
        <w:rPr>
          <w:rFonts w:ascii="Times New Roman" w:cs="Times New Roman" w:eastAsia="Times New Roman" w:hAnsi="Times New Roman"/>
          <w:sz w:val="16"/>
          <w:szCs w:val="16"/>
          <w:color w:val="auto"/>
        </w:rPr>
        <w:t>.</w:t>
      </w:r>
    </w:p>
    <w:p>
      <w:pPr>
        <w:spacing w:after="0" w:line="28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This Stock Option Agreement shall be governed by, and construed in accordance with, the laws of the State of Delaware without regard to principles of conflict of laws. For purposes of resolving any dispute that may arise directly or indirectly from this Stock Option Agreement, the parties hereby agree that any such dispute that cannot be resolved by the parties be submitted to the exclusive jurisdiction of the state courts of Delaware or the federal courts for the United States for the District of Delaware.</w:t>
      </w:r>
    </w:p>
    <w:p>
      <w:pPr>
        <w:sectPr>
          <w:pgSz w:w="11900" w:h="16838" w:orient="portrait"/>
          <w:cols w:equalWidth="0" w:num="1">
            <w:col w:w="11300"/>
          </w:cols>
          <w:pgMar w:left="360" w:top="423"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10.4</w:t>
      </w:r>
    </w:p>
    <w:p>
      <w:pPr>
        <w:spacing w:after="0" w:line="2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LIVEPERSON, INC.</w:t>
      </w:r>
    </w:p>
    <w:p>
      <w:pPr>
        <w:spacing w:after="0" w:line="3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2009 STOCK INCENTIVE PLAN</w:t>
      </w:r>
    </w:p>
    <w:p>
      <w:pPr>
        <w:spacing w:after="0" w:line="3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345" w:lineRule="exact"/>
        <w:rPr>
          <w:sz w:val="20"/>
          <w:szCs w:val="20"/>
          <w:color w:val="auto"/>
        </w:rPr>
      </w:pPr>
    </w:p>
    <w:p>
      <w:pPr>
        <w:jc w:val="both"/>
        <w:ind w:left="20" w:firstLine="648"/>
        <w:spacing w:after="0" w:line="252" w:lineRule="auto"/>
        <w:rPr>
          <w:sz w:val="20"/>
          <w:szCs w:val="20"/>
          <w:color w:val="auto"/>
        </w:rPr>
      </w:pPr>
      <w:r>
        <w:rPr>
          <w:rFonts w:ascii="Times New Roman" w:cs="Times New Roman" w:eastAsia="Times New Roman" w:hAnsi="Times New Roman"/>
          <w:sz w:val="22"/>
          <w:szCs w:val="22"/>
          <w:color w:val="auto"/>
        </w:rPr>
        <w:t>LivePerson,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to the person named below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Restricted Stock Units, subject to all of the terms, definitions and provisions of this Restricted Stock Unit Award Agreement (this “</w:t>
      </w:r>
      <w:r>
        <w:rPr>
          <w:rFonts w:ascii="Times New Roman" w:cs="Times New Roman" w:eastAsia="Times New Roman" w:hAnsi="Times New Roman"/>
          <w:sz w:val="22"/>
          <w:szCs w:val="22"/>
          <w:u w:val="single" w:color="auto"/>
          <w:color w:val="auto"/>
        </w:rPr>
        <w:t>RSU Agreement</w:t>
      </w:r>
      <w:r>
        <w:rPr>
          <w:rFonts w:ascii="Times New Roman" w:cs="Times New Roman" w:eastAsia="Times New Roman" w:hAnsi="Times New Roman"/>
          <w:sz w:val="22"/>
          <w:szCs w:val="22"/>
          <w:color w:val="auto"/>
        </w:rPr>
        <w:t>”) and the LivePerson, Inc. 2009 Stock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as follows:</w:t>
      </w:r>
    </w:p>
    <w:p>
      <w:pPr>
        <w:sectPr>
          <w:pgSz w:w="11900" w:h="16838" w:orient="portrait"/>
          <w:cols w:equalWidth="0" w:num="1">
            <w:col w:w="11220"/>
          </w:cols>
          <w:pgMar w:left="440" w:top="121" w:right="239" w:bottom="1440" w:gutter="0" w:footer="0" w:header="0"/>
        </w:sectPr>
      </w:pPr>
    </w:p>
    <w:p>
      <w:pPr>
        <w:spacing w:after="0" w:line="3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Participant Name</w:t>
      </w:r>
    </w:p>
    <w:p>
      <w:pPr>
        <w:spacing w:after="0" w:line="1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Grant Date</w:t>
      </w:r>
    </w:p>
    <w:p>
      <w:pPr>
        <w:spacing w:after="0" w:line="1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Number of Restricted Stock Units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ROBERT LOCASCIO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02/21/2019</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83536</w:t>
      </w:r>
    </w:p>
    <w:p>
      <w:pPr>
        <w:spacing w:after="0" w:line="243" w:lineRule="exact"/>
        <w:rPr>
          <w:sz w:val="20"/>
          <w:szCs w:val="20"/>
          <w:color w:val="auto"/>
        </w:rPr>
      </w:pPr>
    </w:p>
    <w:p>
      <w:pPr>
        <w:sectPr>
          <w:pgSz w:w="11900" w:h="16838" w:orient="portrait"/>
          <w:cols w:equalWidth="0" w:num="2">
            <w:col w:w="4700" w:space="720"/>
            <w:col w:w="5800"/>
          </w:cols>
          <w:pgMar w:left="440" w:top="121" w:right="239" w:bottom="1440" w:gutter="0" w:footer="0" w:header="0"/>
          <w:type w:val="continuous"/>
        </w:sectPr>
      </w:pPr>
    </w:p>
    <w:p>
      <w:pPr>
        <w:spacing w:after="0" w:line="58" w:lineRule="exact"/>
        <w:rPr>
          <w:sz w:val="20"/>
          <w:szCs w:val="20"/>
          <w:color w:val="auto"/>
        </w:rPr>
      </w:pPr>
    </w:p>
    <w:p>
      <w:pPr>
        <w:jc w:val="both"/>
        <w:ind w:left="60" w:firstLine="648"/>
        <w:spacing w:after="0" w:line="252" w:lineRule="auto"/>
        <w:rPr>
          <w:sz w:val="20"/>
          <w:szCs w:val="20"/>
          <w:color w:val="auto"/>
        </w:rPr>
      </w:pPr>
      <w:r>
        <w:rPr>
          <w:rFonts w:ascii="Times New Roman" w:cs="Times New Roman" w:eastAsia="Times New Roman" w:hAnsi="Times New Roman"/>
          <w:sz w:val="22"/>
          <w:szCs w:val="22"/>
          <w:color w:val="auto"/>
        </w:rPr>
        <w:t>Unless otherwise defined in this RSU Agreement, the terms used in this RSU Agreement shall have the meanings defined in the Plan. In the event of a conflict between the terms and conditions of the Plan and the terms and conditions of this RSU Agreement, the terms and conditions of the Plan will prevail. Reference is also made to that certain Employment Agreement entered into by and between the Participant and the Company (the “Employment Agreement”).</w:t>
      </w:r>
    </w:p>
    <w:p>
      <w:pPr>
        <w:spacing w:after="0" w:line="153" w:lineRule="exact"/>
        <w:rPr>
          <w:sz w:val="20"/>
          <w:szCs w:val="20"/>
          <w:color w:val="auto"/>
        </w:rPr>
      </w:pPr>
    </w:p>
    <w:p>
      <w:pPr>
        <w:jc w:val="both"/>
        <w:ind w:left="20" w:firstLine="716"/>
        <w:spacing w:after="0" w:line="257" w:lineRule="auto"/>
        <w:rPr>
          <w:sz w:val="20"/>
          <w:szCs w:val="20"/>
          <w:color w:val="auto"/>
        </w:rPr>
      </w:pPr>
      <w:r>
        <w:rPr>
          <w:rFonts w:ascii="Times New Roman" w:cs="Times New Roman" w:eastAsia="Times New Roman" w:hAnsi="Times New Roman"/>
          <w:sz w:val="22"/>
          <w:szCs w:val="22"/>
          <w:color w:val="auto"/>
        </w:rPr>
        <w:t>For purposes of this RSU Agreement,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LivePerson</w:t>
      </w:r>
      <w:r>
        <w:rPr>
          <w:rFonts w:ascii="Times New Roman" w:cs="Times New Roman" w:eastAsia="Times New Roman" w:hAnsi="Times New Roman"/>
          <w:sz w:val="22"/>
          <w:szCs w:val="22"/>
          <w:color w:val="auto"/>
        </w:rPr>
        <w:t>” shall include LivePerson, Inc. and any other affiliated entity to which the Participant provides services provided such entity's employees, officers, directors, consultants, or advisors are generally eligible to receive Restricted Stock Unit Awards under the Plan.</w:t>
      </w:r>
    </w:p>
    <w:p>
      <w:pPr>
        <w:spacing w:after="0" w:line="173" w:lineRule="exact"/>
        <w:rPr>
          <w:sz w:val="20"/>
          <w:szCs w:val="20"/>
          <w:color w:val="auto"/>
        </w:rPr>
      </w:pPr>
    </w:p>
    <w:p>
      <w:pPr>
        <w:jc w:val="both"/>
        <w:ind w:left="20" w:firstLine="652"/>
        <w:spacing w:after="0" w:line="283" w:lineRule="auto"/>
        <w:tabs>
          <w:tab w:leader="none" w:pos="12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One-third of the total Number of Restricted Stock Units will vest on each of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second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and third (3</w:t>
      </w:r>
      <w:r>
        <w:rPr>
          <w:rFonts w:ascii="Times New Roman" w:cs="Times New Roman" w:eastAsia="Times New Roman" w:hAnsi="Times New Roman"/>
          <w:sz w:val="14"/>
          <w:szCs w:val="14"/>
          <w:color w:val="auto"/>
        </w:rPr>
        <w:t>rd</w:t>
      </w:r>
      <w:r>
        <w:rPr>
          <w:rFonts w:ascii="Times New Roman" w:cs="Times New Roman" w:eastAsia="Times New Roman" w:hAnsi="Times New Roman"/>
          <w:sz w:val="22"/>
          <w:szCs w:val="22"/>
          <w:color w:val="auto"/>
        </w:rPr>
        <w:t>) annual anniversaries of the Grant Date, provided that Participant's continuous service relationship with the Company continues through each such applicable vesting date.</w:t>
      </w:r>
    </w:p>
    <w:p>
      <w:pPr>
        <w:spacing w:after="0" w:line="14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Restricted Stock Units scheduled to vest on a certain date or upon the occurrence of a certain condition will not vest in accordance with any of the provisions of this RSU Agreement unless Participant has continuously and actively remained at all times since the Grant Date, an employee, officer, director, consultant or advisor to the Company (an “</w:t>
      </w:r>
      <w:r>
        <w:rPr>
          <w:rFonts w:ascii="Times New Roman" w:cs="Times New Roman" w:eastAsia="Times New Roman" w:hAnsi="Times New Roman"/>
          <w:sz w:val="22"/>
          <w:szCs w:val="22"/>
          <w:u w:val="single" w:color="auto"/>
          <w:color w:val="auto"/>
        </w:rPr>
        <w:t>Eligible Participant</w:t>
      </w:r>
      <w:r>
        <w:rPr>
          <w:rFonts w:ascii="Times New Roman" w:cs="Times New Roman" w:eastAsia="Times New Roman" w:hAnsi="Times New Roman"/>
          <w:sz w:val="22"/>
          <w:szCs w:val="22"/>
          <w:color w:val="auto"/>
        </w:rPr>
        <w:t>”). For purposes of this RSU Agreement and participation in the Plan, termination as an Eligible Participant will be deemed to be as of the date that Participant is no longer actively providing services to the Company or its subsidiary or affiliate and will not be extended by any notice period or “garden leave” that may be required contractually or under applicable law unless otherwise determined by the Board in its sole discretion. Notwithstanding the foregoing, the Board (or any delegate) shall have the sole discretion to determine when Participant is no longer employed or providing services for purposes of this Award and participation in the Plan.</w:t>
      </w:r>
    </w:p>
    <w:p>
      <w:pPr>
        <w:spacing w:after="0" w:line="232" w:lineRule="exact"/>
        <w:rPr>
          <w:sz w:val="20"/>
          <w:szCs w:val="20"/>
          <w:color w:val="auto"/>
        </w:rPr>
      </w:pPr>
    </w:p>
    <w:p>
      <w:pPr>
        <w:jc w:val="both"/>
        <w:ind w:left="-80" w:firstLine="644"/>
        <w:spacing w:after="0" w:line="257" w:lineRule="auto"/>
        <w:tabs>
          <w:tab w:leader="none" w:pos="12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Restricted Stock Unit represents the right to receive a share of the Company's Common Stock (“</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on or after the Restricted Stock Unit vests. Unless and until the Restricted Stock Units have vested in the manner set forth in Section 1 above, Participant will have no right to payment of any Shares. Prior to actual payment of any Shares, such Restricted</w:t>
      </w:r>
    </w:p>
    <w:p>
      <w:pPr>
        <w:sectPr>
          <w:pgSz w:w="11900" w:h="16838" w:orient="portrait"/>
          <w:cols w:equalWidth="0" w:num="1">
            <w:col w:w="11220"/>
          </w:cols>
          <w:pgMar w:left="440" w:top="121" w:right="239" w:bottom="1440" w:gutter="0" w:footer="0" w:header="0"/>
          <w:type w:val="continuous"/>
        </w:sectPr>
      </w:pPr>
    </w:p>
    <w:bookmarkStart w:id="55" w:name="page56"/>
    <w:bookmarkEnd w:id="55"/>
    <w:p>
      <w:pPr>
        <w:jc w:val="both"/>
        <w:spacing w:after="0" w:line="252" w:lineRule="auto"/>
        <w:rPr>
          <w:sz w:val="20"/>
          <w:szCs w:val="20"/>
          <w:color w:val="auto"/>
        </w:rPr>
      </w:pPr>
      <w:r>
        <w:rPr>
          <w:rFonts w:ascii="Times New Roman" w:cs="Times New Roman" w:eastAsia="Times New Roman" w:hAnsi="Times New Roman"/>
          <w:sz w:val="22"/>
          <w:szCs w:val="22"/>
          <w:color w:val="auto"/>
        </w:rPr>
        <w:t>Stock Unit will represent an unsecured obligation of the Company. Within one (1) month following the date Restricted Stock Units vest, such Restricted Stock Units will be automatically settled and paid to Participant (or in the event of Participant's death, his or her estate) in whole Shares, subject to Participant satisfying any applicable tax, withholding or other obligations as set forth in Section 6 below.</w:t>
      </w:r>
    </w:p>
    <w:p>
      <w:pPr>
        <w:spacing w:after="0" w:line="180" w:lineRule="exact"/>
        <w:rPr>
          <w:sz w:val="20"/>
          <w:szCs w:val="20"/>
          <w:color w:val="auto"/>
        </w:rPr>
      </w:pPr>
    </w:p>
    <w:p>
      <w:pPr>
        <w:jc w:val="both"/>
        <w:ind w:firstLine="644"/>
        <w:spacing w:after="0" w:line="261" w:lineRule="auto"/>
        <w:tabs>
          <w:tab w:leader="none" w:pos="132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Forfeiture upon Termination as an Eligible Participant; Treatment in the event of a Reorganization Event</w:t>
      </w:r>
      <w:r>
        <w:rPr>
          <w:rFonts w:ascii="Times New Roman" w:cs="Times New Roman" w:eastAsia="Times New Roman" w:hAnsi="Times New Roman"/>
          <w:sz w:val="21"/>
          <w:szCs w:val="21"/>
          <w:color w:val="auto"/>
        </w:rPr>
        <w:t xml:space="preserve">. Notwithstanding any contrary provision of this RSU Agreement, in the event of Participant's termination as an Eligible Participant for any or no reason, the vesting of the Restricted Stock Units shall be governed in accordance with Section 7(a), 7(b), 7(c) or 7(d) of the Employment Agreement, as applicable. Any Restricted Stock Units that have not vested as of such termination and do not vest as a result of such termination in accordance with the immediately preceding sentence will be immediately forfeited without consideration, effective as of such termination date. The Company shall have the sole discretion to determine when Participant's termination as an Eligible Participant occurs. Further, notwithstanding anything stated herein or the Plan, if this Award is not assumed or substituted in connection with a Reorganization Event, this Award shall terminate in its entirety immediately following such Reorganization Event;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however</w:t>
      </w:r>
      <w:r>
        <w:rPr>
          <w:rFonts w:ascii="Times New Roman" w:cs="Times New Roman" w:eastAsia="Times New Roman" w:hAnsi="Times New Roman"/>
          <w:sz w:val="21"/>
          <w:szCs w:val="21"/>
          <w:color w:val="auto"/>
        </w:rPr>
        <w:t>, that if the Reorganization Event constitutes a Change in Control (as defined in the Employment Agreement), this Award shall be treated in accordance with Section 8 of the Employment Agreement.</w:t>
      </w:r>
    </w:p>
    <w:p>
      <w:pPr>
        <w:spacing w:after="0" w:line="169" w:lineRule="exact"/>
        <w:rPr>
          <w:rFonts w:ascii="Times New Roman" w:cs="Times New Roman" w:eastAsia="Times New Roman" w:hAnsi="Times New Roman"/>
          <w:sz w:val="17"/>
          <w:szCs w:val="17"/>
          <w:color w:val="auto"/>
        </w:rPr>
      </w:pPr>
    </w:p>
    <w:p>
      <w:pPr>
        <w:jc w:val="both"/>
        <w:ind w:firstLine="644"/>
        <w:spacing w:after="0" w:line="263" w:lineRule="auto"/>
        <w:tabs>
          <w:tab w:leader="none" w:pos="1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Inappropriate Activity</w:t>
      </w:r>
      <w:r>
        <w:rPr>
          <w:rFonts w:ascii="Times New Roman" w:cs="Times New Roman" w:eastAsia="Times New Roman" w:hAnsi="Times New Roman"/>
          <w:sz w:val="22"/>
          <w:szCs w:val="22"/>
          <w:color w:val="auto"/>
        </w:rPr>
        <w:t>. To the extent permitted by applicable law, if at any time Participant violates the non-competition or confidentiality provisions of any employment contract, confidentiality and nondisclosure agreement or other agreement between the Participant and the Company, this Award shall terminate in its entirety immediately upon such violation.</w:t>
      </w:r>
    </w:p>
    <w:p>
      <w:pPr>
        <w:spacing w:after="0" w:line="167" w:lineRule="exact"/>
        <w:rPr>
          <w:rFonts w:ascii="Times New Roman" w:cs="Times New Roman" w:eastAsia="Times New Roman" w:hAnsi="Times New Roman"/>
          <w:sz w:val="18"/>
          <w:szCs w:val="18"/>
          <w:color w:val="auto"/>
        </w:rPr>
      </w:pPr>
    </w:p>
    <w:p>
      <w:pPr>
        <w:jc w:val="both"/>
        <w:ind w:firstLine="644"/>
        <w:spacing w:after="0" w:line="249" w:lineRule="auto"/>
        <w:tabs>
          <w:tab w:leader="none" w:pos="1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Leave of Absence</w:t>
      </w:r>
      <w:r>
        <w:rPr>
          <w:rFonts w:ascii="Times New Roman" w:cs="Times New Roman" w:eastAsia="Times New Roman" w:hAnsi="Times New Roman"/>
          <w:sz w:val="22"/>
          <w:szCs w:val="22"/>
          <w:color w:val="auto"/>
        </w:rPr>
        <w:t>. Except for any unpaid leave that is required by, or approved pursuant to, any statute, regulation or applicable law and except as otherwise required by applicable law, regulation or rule, the vesting schedule in effect under Section 1 above shall be frozen as of the first day of any unpaid authorized leave, and the Restricted Stock Units shall not become vested for any additional installments during the period Participant remains on such unpaid leave. For any paid authorized leave, or any unpaid leave that is required by, or approved pursuant to, any statute, regulation or applicable law or where vesting is otherwise required by applicable law, regulation or rule, the vesting schedule in effect under Section 1 above shall continue during the period Participant remains on such leave. For the avoidance of doubt, any unpaid vacation will not be treated as any type of leave for purposes of this RSU Agreement.</w:t>
      </w:r>
    </w:p>
    <w:p>
      <w:pPr>
        <w:spacing w:after="0" w:line="182" w:lineRule="exact"/>
        <w:rPr>
          <w:rFonts w:ascii="Times New Roman" w:cs="Times New Roman" w:eastAsia="Times New Roman" w:hAnsi="Times New Roman"/>
          <w:sz w:val="18"/>
          <w:szCs w:val="18"/>
          <w:color w:val="auto"/>
        </w:rPr>
      </w:pPr>
    </w:p>
    <w:p>
      <w:pPr>
        <w:jc w:val="both"/>
        <w:ind w:firstLine="644"/>
        <w:spacing w:after="0" w:line="247" w:lineRule="auto"/>
        <w:tabs>
          <w:tab w:leader="none" w:pos="13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As a condition to the grant, vesting, and settlement of the Restricted Stock Units, Participant acknowledges that, regardless of any action taken by the Company or, if different, Participant's employer (the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the ultimate liability for all income tax, social insurance, payroll tax, fringe benefits tax, payment on account or other tax-related items or required deductions or payments legally applicable to him or her and related to the receipt, vesting or settlement of (or otherwise in relation to) the Restricted Stock Units, the issuance or subsequent sale of the Shares allocated to the Restricted Stock Units, or the participation in the Plan (“</w:t>
      </w: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is and remains Participant's responsibility and may exceed the amount actually withheld by the Company or the Employer. Participant further acknowledges and agrees that Participant is solely responsible for filing all relevant documentation that may be required in relation to the Restricted Stock Units or any Tax-Related Items (other than filings or documentation that is the specific obligation of the Company or any affiliate thereof pursuant to applicable laws, regulations or rules), such as, but not limited to,personal income tax returns or reporting statements in relation to the receipt, vesting or settlement of the Restricted Stock Units, the issuance of the Shares allocated to the</w:t>
      </w:r>
    </w:p>
    <w:p>
      <w:pPr>
        <w:sectPr>
          <w:pgSz w:w="11900" w:h="16838" w:orient="portrait"/>
          <w:cols w:equalWidth="0" w:num="1">
            <w:col w:w="11300"/>
          </w:cols>
          <w:pgMar w:left="360" w:top="369" w:right="239" w:bottom="1440" w:gutter="0" w:footer="0" w:header="0"/>
        </w:sectPr>
      </w:pPr>
    </w:p>
    <w:bookmarkStart w:id="56" w:name="page57"/>
    <w:bookmarkEnd w:id="56"/>
    <w:p>
      <w:pPr>
        <w:jc w:val="both"/>
        <w:ind w:left="40"/>
        <w:spacing w:after="0" w:line="271" w:lineRule="auto"/>
        <w:rPr>
          <w:sz w:val="20"/>
          <w:szCs w:val="20"/>
          <w:color w:val="auto"/>
        </w:rPr>
      </w:pPr>
      <w:r>
        <w:rPr>
          <w:rFonts w:ascii="Times New Roman" w:cs="Times New Roman" w:eastAsia="Times New Roman" w:hAnsi="Times New Roman"/>
          <w:sz w:val="22"/>
          <w:szCs w:val="22"/>
          <w:color w:val="auto"/>
        </w:rPr>
        <w:t>Restricted Stock Units, the holding of Shares or any bank or brokerage account, the subsequent sale of Shares, and the receipt of any dividends.</w:t>
      </w:r>
    </w:p>
    <w:p>
      <w:pPr>
        <w:spacing w:after="0" w:line="158" w:lineRule="exact"/>
        <w:rPr>
          <w:sz w:val="20"/>
          <w:szCs w:val="20"/>
          <w:color w:val="auto"/>
        </w:rPr>
      </w:pPr>
    </w:p>
    <w:p>
      <w:pPr>
        <w:jc w:val="both"/>
        <w:ind w:left="40" w:firstLine="648"/>
        <w:spacing w:after="0" w:line="246" w:lineRule="auto"/>
        <w:rPr>
          <w:sz w:val="20"/>
          <w:szCs w:val="20"/>
          <w:color w:val="auto"/>
        </w:rPr>
      </w:pPr>
      <w:r>
        <w:rPr>
          <w:rFonts w:ascii="Times New Roman" w:cs="Times New Roman" w:eastAsia="Times New Roman" w:hAnsi="Times New Roman"/>
          <w:sz w:val="22"/>
          <w:szCs w:val="22"/>
          <w:color w:val="auto"/>
        </w:rPr>
        <w:t>Participant further acknowledges that the Company and/or the Employer: (i) make no representations or undertakings regarding the treatment of any Tax-Related Items in connection with any aspect of the Restricted Stock Units, including, but not limited to, the receipt, vesting or settlement of the Restricted Stock Units, the issuance or subsequent sale of the Shares allocated to the Restricted Stock Units and the receipt of any dividends; and (ii) do not commit to and are under no obligation to structure the terms of the grant or any aspect of the Restricted Stock Units to reduce or eliminate Participant's liability for Tax-Related Items or achieve any particular tax result. Participant also understands that applicable law, regulations or rules s may require varying Restricted Stock Unit or Share valuation methods for purposes of calculating Tax-Related Items, and the Company assumes no responsibility or liability in relation to any such valuation or for any calculation or reporting of income or Tax-Related Items that may be required of Participant under applicable laws, regulations or rules.</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Further, if Participant is subject to Tax-Related Items in more than one jurisdiction between the Grant Date and the date of any relevant taxable or tax withholding event, as applicable, Participant acknowledges that the Company and/or the Employer (or former employer, as applicable) may be required to withhold or account for Tax-Related Items in more than one jurisdiction.</w:t>
      </w:r>
    </w:p>
    <w:p>
      <w:pPr>
        <w:spacing w:after="0" w:line="173" w:lineRule="exact"/>
        <w:rPr>
          <w:sz w:val="20"/>
          <w:szCs w:val="20"/>
          <w:color w:val="auto"/>
        </w:rPr>
      </w:pPr>
    </w:p>
    <w:p>
      <w:pPr>
        <w:jc w:val="both"/>
        <w:ind w:left="40" w:firstLine="648"/>
        <w:spacing w:after="0" w:line="246" w:lineRule="auto"/>
        <w:rPr>
          <w:sz w:val="20"/>
          <w:szCs w:val="20"/>
          <w:color w:val="auto"/>
        </w:rPr>
      </w:pPr>
      <w:r>
        <w:rPr>
          <w:rFonts w:ascii="Times New Roman" w:cs="Times New Roman" w:eastAsia="Times New Roman" w:hAnsi="Times New Roman"/>
          <w:sz w:val="22"/>
          <w:szCs w:val="22"/>
          <w:color w:val="auto"/>
        </w:rPr>
        <w:t>Prior to the relevant taxable or tax withholding event, as applicable, Participant agrees to make adequate arrangements satisfactory to the Company and/or the Employer to satisfy all Tax- Related Items. In this regard, Participant authorizes the Company and/or the Employer, or their respective agents, at their discretion, to satisfy their tax and/or withholding obligations with regard to all Tax-Related Items by (i) withholding from Participant's wages or other compensation paid to Participant by the Company or the Employer, (ii) withholding from proceeds of the sale of Shares acquired pursuant to the Restricted Stock Units either through a voluntary sale or through a mandatory sale arranged by the Company (on Participant's behalf pursuant to this authorization) without further consent, (iii) withholding Shares that would otherwise be issued upon settlement of the Restricted Stock Units or (iv) such other method as determined by the Company or the Employer to be in compliance with applicable laws, regulations or rules.</w:t>
      </w:r>
    </w:p>
    <w:p>
      <w:pPr>
        <w:spacing w:after="0" w:line="192" w:lineRule="exact"/>
        <w:rPr>
          <w:sz w:val="20"/>
          <w:szCs w:val="20"/>
          <w:color w:val="auto"/>
        </w:rPr>
      </w:pPr>
    </w:p>
    <w:p>
      <w:pPr>
        <w:jc w:val="both"/>
        <w:ind w:left="40" w:firstLine="648"/>
        <w:spacing w:after="0" w:line="252" w:lineRule="auto"/>
        <w:rPr>
          <w:sz w:val="20"/>
          <w:szCs w:val="20"/>
          <w:color w:val="auto"/>
        </w:rPr>
      </w:pPr>
      <w:r>
        <w:rPr>
          <w:rFonts w:ascii="Times New Roman" w:cs="Times New Roman" w:eastAsia="Times New Roman" w:hAnsi="Times New Roman"/>
          <w:sz w:val="22"/>
          <w:szCs w:val="22"/>
          <w:color w:val="auto"/>
        </w:rPr>
        <w:t>Depending on the method of satisfying the tax and/or withholding obligations with regard to the Tax-Related Items, the Company may withhold or account for Tax-Related Items by considering applicable minimum statutory withholding amounts or other applicable tax or withholding rates, including maximum applicable rates, in which case Participant will receive a refund of any over-withheld or over-paid amount in cash and will have no entitlement to the Share equivalent.</w:t>
      </w:r>
    </w:p>
    <w:p>
      <w:pPr>
        <w:spacing w:after="0" w:line="180" w:lineRule="exact"/>
        <w:rPr>
          <w:sz w:val="20"/>
          <w:szCs w:val="20"/>
          <w:color w:val="auto"/>
        </w:rPr>
      </w:pPr>
    </w:p>
    <w:p>
      <w:pPr>
        <w:jc w:val="both"/>
        <w:ind w:left="40" w:firstLine="644"/>
        <w:spacing w:after="0" w:line="253" w:lineRule="auto"/>
        <w:tabs>
          <w:tab w:leader="none" w:pos="13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Until the issuance of the Shares subject to this Award (as evidenced by the appropriate entry on the books of the Company or of a duly authorized transfer agent of the Company), no right to vote or receive dividends or any other rights as a holder of capital stock shall exist with respect to this Award. No adjustment will be made for a dividend or other right for which the record date is prior to the date the Shares are issued, except as provided in Section 8 below and Section 9 of the Plan.</w:t>
      </w:r>
    </w:p>
    <w:p>
      <w:pPr>
        <w:spacing w:after="0" w:line="179" w:lineRule="exact"/>
        <w:rPr>
          <w:rFonts w:ascii="Times New Roman" w:cs="Times New Roman" w:eastAsia="Times New Roman" w:hAnsi="Times New Roman"/>
          <w:sz w:val="18"/>
          <w:szCs w:val="18"/>
          <w:color w:val="auto"/>
        </w:rPr>
      </w:pPr>
    </w:p>
    <w:p>
      <w:pPr>
        <w:jc w:val="both"/>
        <w:ind w:left="40" w:firstLine="644"/>
        <w:spacing w:after="0" w:line="257" w:lineRule="auto"/>
        <w:tabs>
          <w:tab w:leader="none" w:pos="13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Unless otherwise set forth in the Country-Specific Addendum (as defined below), if the Company declares a dividend on its Common Stock, Participant will be entitled to receive a Dividend Equivalent payment equal to (i) the amount of such dividend declared and paid with respect to one share of Common Stock, multiplied by (ii) the number of Restricted</w:t>
      </w:r>
    </w:p>
    <w:p>
      <w:pPr>
        <w:sectPr>
          <w:pgSz w:w="11900" w:h="16838" w:orient="portrait"/>
          <w:cols w:equalWidth="0" w:num="1">
            <w:col w:w="11340"/>
          </w:cols>
          <w:pgMar w:left="320" w:top="369" w:right="239" w:bottom="1440" w:gutter="0" w:footer="0" w:header="0"/>
        </w:sectPr>
      </w:pPr>
    </w:p>
    <w:bookmarkStart w:id="57" w:name="page58"/>
    <w:bookmarkEnd w:id="57"/>
    <w:p>
      <w:pPr>
        <w:jc w:val="both"/>
        <w:ind w:left="40"/>
        <w:spacing w:after="0" w:line="248" w:lineRule="auto"/>
        <w:rPr>
          <w:sz w:val="20"/>
          <w:szCs w:val="20"/>
          <w:color w:val="auto"/>
        </w:rPr>
      </w:pPr>
      <w:r>
        <w:rPr>
          <w:rFonts w:ascii="Times New Roman" w:cs="Times New Roman" w:eastAsia="Times New Roman" w:hAnsi="Times New Roman"/>
          <w:sz w:val="22"/>
          <w:szCs w:val="22"/>
          <w:color w:val="auto"/>
        </w:rPr>
        <w:t>Stock Units subject to this RSU Agreement, if any, that are outstanding on the applicable dividend record date with respect to such dividend payment date. Dividend Equivalents will not be credited with interest. Unless otherwise set forth in the Country-Specific Addendum, Dividend Equivalents with respect to outstanding Restricted Stock Units subject to this RSU Agreement shall be paid in the same form that dividends are paid on the Shares and shall be paid on the date on which the Company issues the Shares underlying such Restricted Stock Units in accordance with this Award Agreement. The Board may prospectively change the method of crediting Dividend Equivalents as it, in its sole discretion, determines appropriate from time to time provided that such change does not have a material adverse tax effect on Participant.</w:t>
      </w:r>
    </w:p>
    <w:p>
      <w:pPr>
        <w:spacing w:after="0" w:line="182" w:lineRule="exact"/>
        <w:rPr>
          <w:sz w:val="20"/>
          <w:szCs w:val="20"/>
          <w:color w:val="auto"/>
        </w:rPr>
      </w:pPr>
    </w:p>
    <w:p>
      <w:pPr>
        <w:jc w:val="both"/>
        <w:ind w:left="40" w:firstLine="644"/>
        <w:spacing w:after="0" w:line="247" w:lineRule="auto"/>
        <w:tabs>
          <w:tab w:leader="none" w:pos="13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 Guarantee of Continued Service or Grants</w:t>
      </w:r>
      <w:r>
        <w:rPr>
          <w:rFonts w:ascii="Times New Roman" w:cs="Times New Roman" w:eastAsia="Times New Roman" w:hAnsi="Times New Roman"/>
          <w:sz w:val="22"/>
          <w:szCs w:val="22"/>
          <w:color w:val="auto"/>
        </w:rPr>
        <w:t>. PARTICIPANT ACKNOWLEDGES AND AGREES THAT THE VESTING OF THE RESTRICTED STOCK UNITS PURSUANT TO THE VESTING SCHEDULE HEREOF IS EARNED ONLY BY CONTINUING AS A SERVICE PROVIDER AT THE WILL OF THE COMPANY (OR THE EMPLOYER) AND NOT THROUGH THE ACT OF BEING HIRED, BEING GRANTED THIS AWARD OF RESTRICTED STOCK UNITS OR ACQUIRING SHARES HEREUNDER. PARTICIPANT FURTHER ACKNOWLEDGES AND AGREES THAT THIS RSU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 (SUBJECT TO APPLICABLE LAWS).</w:t>
      </w:r>
    </w:p>
    <w:p>
      <w:pPr>
        <w:spacing w:after="0" w:line="1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 (d) Participant's participation in the Plan is 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 (g) the Restricted Stock Units and the Shares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w:t>
      </w:r>
    </w:p>
    <w:p>
      <w:pPr>
        <w:spacing w:after="0" w:line="195" w:lineRule="exact"/>
        <w:rPr>
          <w:sz w:val="20"/>
          <w:szCs w:val="20"/>
          <w:color w:val="auto"/>
        </w:rPr>
      </w:pPr>
    </w:p>
    <w:p>
      <w:pPr>
        <w:jc w:val="both"/>
        <w:ind w:left="40" w:firstLine="644"/>
        <w:spacing w:after="0" w:line="257" w:lineRule="auto"/>
        <w:tabs>
          <w:tab w:leader="none" w:pos="14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Shares underlying this Award. Participant is hereby advised to consult with his or her own personal tax, legal and financial advisors regarding Participant's participation in the Plan before taking any action related to the Plan.</w:t>
      </w:r>
    </w:p>
    <w:p>
      <w:pPr>
        <w:spacing w:after="0" w:line="172" w:lineRule="exact"/>
        <w:rPr>
          <w:rFonts w:ascii="Times New Roman" w:cs="Times New Roman" w:eastAsia="Times New Roman" w:hAnsi="Times New Roman"/>
          <w:sz w:val="18"/>
          <w:szCs w:val="18"/>
          <w:color w:val="auto"/>
        </w:rPr>
      </w:pPr>
    </w:p>
    <w:p>
      <w:pPr>
        <w:ind w:left="1440" w:hanging="756"/>
        <w:spacing w:after="0"/>
        <w:tabs>
          <w:tab w:leader="none" w:pos="1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w:t>
      </w:r>
    </w:p>
    <w:p>
      <w:pPr>
        <w:sectPr>
          <w:pgSz w:w="11900" w:h="16838" w:orient="portrait"/>
          <w:cols w:equalWidth="0" w:num="1">
            <w:col w:w="11340"/>
          </w:cols>
          <w:pgMar w:left="320" w:top="369" w:right="239" w:bottom="1440" w:gutter="0" w:footer="0" w:header="0"/>
        </w:sectPr>
      </w:pPr>
    </w:p>
    <w:bookmarkStart w:id="58" w:name="page59"/>
    <w:bookmarkEnd w:id="58"/>
    <w:p>
      <w:pPr>
        <w:ind w:left="40"/>
        <w:spacing w:after="0" w:line="271" w:lineRule="auto"/>
        <w:rPr>
          <w:sz w:val="20"/>
          <w:szCs w:val="20"/>
          <w:color w:val="auto"/>
        </w:rPr>
      </w:pPr>
      <w:r>
        <w:rPr>
          <w:rFonts w:ascii="Times New Roman" w:cs="Times New Roman" w:eastAsia="Times New Roman" w:hAnsi="Times New Roman"/>
          <w:sz w:val="22"/>
          <w:szCs w:val="22"/>
          <w:color w:val="auto"/>
        </w:rPr>
        <w:t>RSU Agreement will be addressed to the Company, in care of its Secretary at LivePerson, Inc., 475 Tenth Avenue, New York, New York 10018, or at such other address as the Company may hereafter designate in writing.</w:t>
      </w:r>
    </w:p>
    <w:p>
      <w:pPr>
        <w:spacing w:after="0" w:line="158" w:lineRule="exact"/>
        <w:rPr>
          <w:sz w:val="20"/>
          <w:szCs w:val="20"/>
          <w:color w:val="auto"/>
        </w:rPr>
      </w:pPr>
    </w:p>
    <w:p>
      <w:pPr>
        <w:ind w:left="40" w:firstLine="644"/>
        <w:spacing w:after="0" w:line="284" w:lineRule="auto"/>
        <w:tabs>
          <w:tab w:leader="none" w:pos="14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Non-Transferability of Restricted Stock Units</w:t>
      </w:r>
      <w:r>
        <w:rPr>
          <w:rFonts w:ascii="Times New Roman" w:cs="Times New Roman" w:eastAsia="Times New Roman" w:hAnsi="Times New Roman"/>
          <w:sz w:val="22"/>
          <w:szCs w:val="22"/>
          <w:color w:val="auto"/>
        </w:rPr>
        <w:t>. The Restricted Stock Units shall not be transferable other than by will or the laws of descent and distribution. The designation of a beneficiary does not constitute a transfer.</w:t>
      </w:r>
    </w:p>
    <w:p>
      <w:pPr>
        <w:spacing w:after="0" w:line="144" w:lineRule="exact"/>
        <w:rPr>
          <w:rFonts w:ascii="Times New Roman" w:cs="Times New Roman" w:eastAsia="Times New Roman" w:hAnsi="Times New Roman"/>
          <w:sz w:val="18"/>
          <w:szCs w:val="18"/>
          <w:color w:val="auto"/>
        </w:rPr>
      </w:pPr>
    </w:p>
    <w:p>
      <w:pPr>
        <w:jc w:val="both"/>
        <w:ind w:left="40" w:firstLine="644"/>
        <w:spacing w:after="0" w:line="263" w:lineRule="auto"/>
        <w:tabs>
          <w:tab w:leader="none" w:pos="14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Subject to the limitation on the transferability of this grant contained herein, the Restricted Stock Units, as evidenced by this RSU Agreement and the Plan, will be binding upon and inure to the benefit of the heirs, legatees, legal representatives, successors and assigns of the parties hereto.</w:t>
      </w:r>
    </w:p>
    <w:p>
      <w:pPr>
        <w:spacing w:after="0" w:line="167" w:lineRule="exact"/>
        <w:rPr>
          <w:rFonts w:ascii="Times New Roman" w:cs="Times New Roman" w:eastAsia="Times New Roman" w:hAnsi="Times New Roman"/>
          <w:sz w:val="18"/>
          <w:szCs w:val="18"/>
          <w:color w:val="auto"/>
        </w:rPr>
      </w:pPr>
    </w:p>
    <w:p>
      <w:pPr>
        <w:jc w:val="both"/>
        <w:ind w:left="40" w:firstLine="644"/>
        <w:spacing w:after="0" w:line="246" w:lineRule="auto"/>
        <w:tabs>
          <w:tab w:leader="none" w:pos="14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Additional Conditions to Issuance of Shares</w:t>
      </w:r>
      <w:r>
        <w:rPr>
          <w:rFonts w:ascii="Times New Roman" w:cs="Times New Roman" w:eastAsia="Times New Roman" w:hAnsi="Times New Roman"/>
          <w:sz w:val="22"/>
          <w:szCs w:val="22"/>
          <w:color w:val="auto"/>
        </w:rPr>
        <w:t>. If at any time the Company will determine, in its discretion, that the listing, registration or qualification of this Award or the Shares upon any securities exchange or under any state, federal or foreign law, or the consent or approval of any governmental regulatory authority is necessary or desirable as a condition to the grant of this Award or the issuance of Shares to Participant (or his or her estate), such grant or issuance will not occur unless and until such listing, registration, qualification, consent or approval will have been effected or obtained free of any conditions not acceptable to the Company. Where the Company determines that the grant of this Award or the delivery of the payment of any Shares will violate federal securities laws or other applicable laws, the Company will defer the grant of this Award or the delivery until the earliest date at which the Company reasonably anticipates that the grant of this Award or the delivery of Shares will no longer cause such violation. The Company will make all reasonable efforts to meet the requirements of any such state, federal or foreign law or securities exchange and to obtain any such consent or approval of any such governmental authority. The Company shall not be obligated to treat this Award as outstanding or issue any Shares pursuant to this Award at any time if the grant of this Award or the issuance of Shares pursuant to this Award violates or is not in compliance with any laws, rules or regulations of the United States or any state or country.</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Furthermore, the Company reserves the right to impose other requirements on Participant's participation in the Plan, this Award and on any Shares acquired under the Plan, to the extent the Company determines it is necessary or advisable in order to comply with applicable law or facilitate the administration of the Plan, and to require Participant to sign any additional agreements or undertakings that may be necessary to accomplish the foregoing. Furthermore, Participant understands that the laws of the country in which he or she is resident at the time of grant or vesting of the this Award or the holding or disposition of Shares or receipt of dividends (or dividend equivalent units), if any (including any rules or regulations governing securities, foreign exchange, tax, labor or other matters) may restrict or prevent the grant of this Award or the issuance of Shares or may subject Participant to additional procedural or regulatory requirements he or she is solely responsible for and will have to independently fulfill in relation to this Award or the Shares. Notwithstanding any provision herein, this Award and any Shares shall be subject to any special terms and conditions or disclosures as set forth in any addendum for Participant's country (the “</w:t>
      </w:r>
      <w:r>
        <w:rPr>
          <w:rFonts w:ascii="Times New Roman" w:cs="Times New Roman" w:eastAsia="Times New Roman" w:hAnsi="Times New Roman"/>
          <w:sz w:val="22"/>
          <w:szCs w:val="22"/>
          <w:u w:val="single" w:color="auto"/>
          <w:color w:val="auto"/>
        </w:rPr>
        <w:t>Country-Specific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Addendum</w:t>
      </w:r>
      <w:r>
        <w:rPr>
          <w:rFonts w:ascii="Times New Roman" w:cs="Times New Roman" w:eastAsia="Times New Roman" w:hAnsi="Times New Roman"/>
          <w:sz w:val="22"/>
          <w:szCs w:val="22"/>
          <w:color w:val="auto"/>
        </w:rPr>
        <w:t>,” which forms part this RSU Agreement).</w:t>
      </w:r>
    </w:p>
    <w:p>
      <w:pPr>
        <w:sectPr>
          <w:pgSz w:w="11900" w:h="16838" w:orient="portrait"/>
          <w:cols w:equalWidth="0" w:num="1">
            <w:col w:w="11340"/>
          </w:cols>
          <w:pgMar w:left="320" w:top="369" w:right="239" w:bottom="1440" w:gutter="0" w:footer="0" w:header="0"/>
        </w:sectPr>
      </w:pPr>
    </w:p>
    <w:bookmarkStart w:id="59" w:name="page60"/>
    <w:bookmarkEnd w:id="59"/>
    <w:p>
      <w:pPr>
        <w:jc w:val="both"/>
        <w:ind w:left="-617" w:firstLine="644"/>
        <w:spacing w:after="0" w:line="251" w:lineRule="auto"/>
        <w:tabs>
          <w:tab w:leader="none" w:pos="79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Board Authority</w:t>
      </w:r>
      <w:r>
        <w:rPr>
          <w:rFonts w:ascii="Times New Roman" w:cs="Times New Roman" w:eastAsia="Times New Roman" w:hAnsi="Times New Roman"/>
          <w:sz w:val="22"/>
          <w:szCs w:val="22"/>
          <w:color w:val="auto"/>
        </w:rPr>
        <w:t>. The Board will have the power to interpret the Plan and this RSU Agreement and to adopt such rules for the administration, interpretation and application of the Plan and this RSU Agreement as are consistent therewith and to interpret or revoke any such rules (including, but not limited to, the determination of whether or not any Restricted Stock Units have vested). All actions taken and all interpretations and determinations made by the Board in good faith will be final and binding upon Participant, the Company and all other interested persons. No member of the Board will be personally liable for any action, determination or interpretation made in good faith with respect to the Plan or this RSU Agreement.</w:t>
      </w:r>
    </w:p>
    <w:p>
      <w:pPr>
        <w:spacing w:after="0" w:line="181" w:lineRule="exact"/>
        <w:rPr>
          <w:rFonts w:ascii="Times New Roman" w:cs="Times New Roman" w:eastAsia="Times New Roman" w:hAnsi="Times New Roman"/>
          <w:sz w:val="18"/>
          <w:szCs w:val="18"/>
          <w:color w:val="auto"/>
        </w:rPr>
      </w:pPr>
    </w:p>
    <w:p>
      <w:pPr>
        <w:jc w:val="both"/>
        <w:ind w:left="-617" w:firstLine="644"/>
        <w:spacing w:after="0" w:line="249" w:lineRule="auto"/>
        <w:tabs>
          <w:tab w:leader="none" w:pos="79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Electronic Delivery and Language</w:t>
      </w:r>
      <w:r>
        <w:rPr>
          <w:rFonts w:ascii="Times New Roman" w:cs="Times New Roman" w:eastAsia="Times New Roman" w:hAnsi="Times New Roman"/>
          <w:sz w:val="22"/>
          <w:szCs w:val="22"/>
          <w:color w:val="auto"/>
        </w:rPr>
        <w:t>. The Company may, in its sole discretion, decide to deliver any documents related to this Award, any future restricted stock units or other equity awards granted by the Company, whether under the Plan or otherwise, or any other Company securities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 If Participant has received this RSU Agreement, including appendices, or any other document related to the Plan translated into a language other than English, and the meaning of the translated version is different than the English version, the English version will control.</w:t>
      </w:r>
    </w:p>
    <w:p>
      <w:pPr>
        <w:spacing w:after="0" w:line="182" w:lineRule="exact"/>
        <w:rPr>
          <w:rFonts w:ascii="Times New Roman" w:cs="Times New Roman" w:eastAsia="Times New Roman" w:hAnsi="Times New Roman"/>
          <w:sz w:val="18"/>
          <w:szCs w:val="18"/>
          <w:color w:val="auto"/>
        </w:rPr>
      </w:pPr>
    </w:p>
    <w:p>
      <w:pPr>
        <w:ind w:left="-617" w:firstLine="644"/>
        <w:spacing w:after="0" w:line="284" w:lineRule="auto"/>
        <w:tabs>
          <w:tab w:leader="none" w:pos="79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RSU Agreement.</w:t>
      </w:r>
    </w:p>
    <w:p>
      <w:pPr>
        <w:spacing w:after="0" w:line="144" w:lineRule="exact"/>
        <w:rPr>
          <w:rFonts w:ascii="Times New Roman" w:cs="Times New Roman" w:eastAsia="Times New Roman" w:hAnsi="Times New Roman"/>
          <w:sz w:val="18"/>
          <w:szCs w:val="18"/>
          <w:color w:val="auto"/>
        </w:rPr>
      </w:pPr>
    </w:p>
    <w:p>
      <w:pPr>
        <w:jc w:val="both"/>
        <w:ind w:left="-617" w:firstLine="644"/>
        <w:spacing w:after="0" w:line="255" w:lineRule="auto"/>
        <w:tabs>
          <w:tab w:leader="none" w:pos="79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In the event that any provision in this RSU Agreement will be held invalid or unenforceable, such provision will be severable from, and such invalidity or unenforceability will not be construed to have any effect on, the remaining provisions of this RSU Agreement.</w:t>
      </w:r>
    </w:p>
    <w:p>
      <w:pPr>
        <w:jc w:val="both"/>
        <w:ind w:left="-657" w:firstLine="657"/>
        <w:spacing w:after="0" w:line="246" w:lineRule="auto"/>
        <w:tabs>
          <w:tab w:leader="none" w:pos="77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Modifications to the Agreement</w:t>
      </w:r>
      <w:r>
        <w:rPr>
          <w:rFonts w:ascii="Times New Roman" w:cs="Times New Roman" w:eastAsia="Times New Roman" w:hAnsi="Times New Roman"/>
          <w:sz w:val="22"/>
          <w:szCs w:val="22"/>
          <w:color w:val="auto"/>
        </w:rPr>
        <w:t>. This RSU Agreement and the Plan constitutes the entire understanding of the parties on the subjects covered. Participant expressly warrants that he or she is not accepting this RSU Agreement in reliance on any promises, representations, or inducements other than those contained herein. Modifications to this RSU Agreement or the Plan can be made only in an express written contract executed by a duly authorized officer of the Company. Notwithstanding anything to the contrary in the Plan or this RSU Agreement, the Company reserves the right to revise this RSU Agreement as it deems necessary or advisable, in its sole discretion and without the consent of Participant, to comply with Section 409A of the Code or to otherwise avoid imposition of any additional tax or income recognition under Section 409A of the Code in connection to this Award of Restricted Stock Units.</w:t>
      </w:r>
    </w:p>
    <w:p>
      <w:pPr>
        <w:spacing w:after="0" w:line="177" w:lineRule="exact"/>
        <w:rPr>
          <w:rFonts w:ascii="Times New Roman" w:cs="Times New Roman" w:eastAsia="Times New Roman" w:hAnsi="Times New Roman"/>
          <w:sz w:val="18"/>
          <w:szCs w:val="18"/>
          <w:color w:val="auto"/>
        </w:rPr>
      </w:pPr>
    </w:p>
    <w:p>
      <w:pPr>
        <w:jc w:val="both"/>
        <w:ind w:left="-657" w:firstLine="657"/>
        <w:spacing w:after="0" w:line="260" w:lineRule="auto"/>
        <w:tabs>
          <w:tab w:leader="none" w:pos="357" w:val="left"/>
        </w:tabs>
        <w:numPr>
          <w:ilvl w:val="0"/>
          <w:numId w:val="44"/>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Data Privacy. Participant hereby explicitly and unambiguously consents to the collection, use and transfer, in electronic or other form, of Participant's personal data as described in this RSU Agreement by and among, as applicable, the Company and its affiliates for the exclusive purpose of implementing, administering and managing Participant's participation in the Plan. Participant understands that refusal or withdrawal of consent may affect Participant's ability to participate in the Plan or to realize benefits from this Award. 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Restricted Stock Units or any other entitlement to shares of stock awarded, canceled, exercised, vested, unvested or outstanding in Participant's favor, for the exclusive purpose of</w:t>
      </w:r>
    </w:p>
    <w:p>
      <w:pPr>
        <w:sectPr>
          <w:pgSz w:w="11900" w:h="16838" w:orient="portrait"/>
          <w:cols w:equalWidth="0" w:num="1">
            <w:col w:w="10683"/>
          </w:cols>
          <w:pgMar w:left="977" w:top="369" w:right="2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implementing, administering and managing the Plan (“Personal Data”). Participant understands that Personal Data may be transferred to any affiliates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w:t>
      </w:r>
    </w:p>
    <w:p>
      <w:pPr>
        <w:spacing w:after="0" w:line="178" w:lineRule="exact"/>
        <w:rPr>
          <w:sz w:val="20"/>
          <w:szCs w:val="20"/>
          <w:color w:val="auto"/>
        </w:rPr>
      </w:pPr>
    </w:p>
    <w:p>
      <w:pPr>
        <w:jc w:val="both"/>
        <w:ind w:left="80" w:firstLine="657"/>
        <w:spacing w:after="0" w:line="249" w:lineRule="auto"/>
        <w:tabs>
          <w:tab w:leader="none" w:pos="150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Foreign Exchange Fluctuations and Restrictions</w:t>
      </w:r>
      <w:r>
        <w:rPr>
          <w:rFonts w:ascii="Times New Roman" w:cs="Times New Roman" w:eastAsia="Times New Roman" w:hAnsi="Times New Roman"/>
          <w:sz w:val="22"/>
          <w:szCs w:val="22"/>
          <w:color w:val="auto"/>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182" w:lineRule="exact"/>
        <w:rPr>
          <w:rFonts w:ascii="Times New Roman" w:cs="Times New Roman" w:eastAsia="Times New Roman" w:hAnsi="Times New Roman"/>
          <w:sz w:val="18"/>
          <w:szCs w:val="18"/>
          <w:color w:val="auto"/>
        </w:rPr>
      </w:pPr>
    </w:p>
    <w:p>
      <w:pPr>
        <w:jc w:val="both"/>
        <w:ind w:left="80" w:firstLine="657"/>
        <w:spacing w:after="0" w:line="252" w:lineRule="auto"/>
        <w:tabs>
          <w:tab w:leader="none" w:pos="150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represented by this RSU Agreement, Participant expressly warrants that he or she has received an Award of Restricted Stock Units under the Plan, and has received, read and understood the Plan. Participant understands that the Plan is discretionary in nature and may be amended, suspended or terminated by the Company at any time.</w:t>
      </w:r>
    </w:p>
    <w:p>
      <w:pPr>
        <w:spacing w:after="0" w:line="1" w:lineRule="exact"/>
        <w:rPr>
          <w:rFonts w:ascii="Times New Roman" w:cs="Times New Roman" w:eastAsia="Times New Roman" w:hAnsi="Times New Roman"/>
          <w:sz w:val="18"/>
          <w:szCs w:val="18"/>
          <w:color w:val="auto"/>
        </w:rPr>
      </w:pPr>
    </w:p>
    <w:p>
      <w:pPr>
        <w:jc w:val="both"/>
        <w:ind w:left="120" w:firstLine="644"/>
        <w:spacing w:after="0" w:line="247" w:lineRule="auto"/>
        <w:tabs>
          <w:tab w:leader="none" w:pos="153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Choice of Law and Forum</w:t>
      </w:r>
      <w:r>
        <w:rPr>
          <w:rFonts w:ascii="Times New Roman" w:cs="Times New Roman" w:eastAsia="Times New Roman" w:hAnsi="Times New Roman"/>
          <w:sz w:val="22"/>
          <w:szCs w:val="22"/>
          <w:color w:val="auto"/>
        </w:rPr>
        <w:t>. This RSU Agreement shall be governed by, and construed in accordance with, the laws of the State of New York without regard to principles of conflict of laws. For purposes of resolving any dispute that may arise directly or indirectly from this RSU Agreement, the parties hereby agree that any such dispute that cannot be resolved by the parties be submitted to the exclusive jurisdiction of the state courts of New York or the federal courts for the United States for the Southern District of New York.</w:t>
      </w:r>
    </w:p>
    <w:p>
      <w:pPr>
        <w:spacing w:after="0" w:line="187" w:lineRule="exact"/>
        <w:rPr>
          <w:sz w:val="20"/>
          <w:szCs w:val="20"/>
          <w:color w:val="auto"/>
        </w:rPr>
      </w:pPr>
    </w:p>
    <w:p>
      <w:pPr>
        <w:jc w:val="both"/>
        <w:ind w:left="80" w:firstLine="648"/>
        <w:spacing w:after="0" w:line="247" w:lineRule="auto"/>
        <w:rPr>
          <w:sz w:val="20"/>
          <w:szCs w:val="20"/>
          <w:color w:val="auto"/>
        </w:rPr>
      </w:pPr>
      <w:r>
        <w:rPr>
          <w:rFonts w:ascii="Times New Roman" w:cs="Times New Roman" w:eastAsia="Times New Roman" w:hAnsi="Times New Roman"/>
          <w:sz w:val="22"/>
          <w:szCs w:val="22"/>
          <w:color w:val="auto"/>
        </w:rPr>
        <w:t>By Participant's acceptance of this RSU Agreement, Participant and the Company agree that this Award of Restricted Stock Units is granted under and governed by the terms and conditions of this RSU Agreement (including the Country-Specific Addendum) and the Plan, and any ancillary documents, all of which are being delivered simultaneously with, and made a part of, this RSU Agreement. In addition, Participant acknowledges and agrees that Participant has reviewed the Plan and this RSU Agreement in their entirety, has had an opportunity to obtain the advice of counsel prior to accepting this RSU Agreement and fully understand all provisions of the Plan and this RSU Agreement. Participant hereby agrees to accept as binding, conclusive and final all decisions or interpretations of the Board upon any questions relating to the Plan and this RSU Agreement. Participant further agrees to promptly notify the Company in writing upon any change in Participant's residence address.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Country-Specific Addendum to the RSU Agreement</w:t>
      </w:r>
    </w:p>
    <w:p>
      <w:pPr>
        <w:spacing w:after="0" w:line="264" w:lineRule="exact"/>
        <w:rPr>
          <w:sz w:val="20"/>
          <w:szCs w:val="20"/>
          <w:color w:val="auto"/>
        </w:rPr>
      </w:pPr>
    </w:p>
    <w:p>
      <w:pPr>
        <w:ind w:left="120" w:right="120"/>
        <w:spacing w:after="0" w:line="250" w:lineRule="auto"/>
        <w:rPr>
          <w:sz w:val="20"/>
          <w:szCs w:val="20"/>
          <w:color w:val="auto"/>
        </w:rPr>
      </w:pPr>
      <w:r>
        <w:rPr>
          <w:rFonts w:ascii="Times New Roman" w:cs="Times New Roman" w:eastAsia="Times New Roman" w:hAnsi="Times New Roman"/>
          <w:sz w:val="22"/>
          <w:szCs w:val="22"/>
          <w:color w:val="auto"/>
        </w:rPr>
        <w:t>This Addendum includes additional country-specific notices, disclaimers, and/or terms and conditions that apply to individuals in the countries listed below and that may be material to Participant's participation in the Plan. Participant is solely responsible for any obligations outlined, as well as general tax or other obligations that may apply. As local laws are often complex and change frequently and the information provided is general in nature and may not apply to Participant's specific situation, the Company cannot assure Participant of any particular</w:t>
      </w:r>
    </w:p>
    <w:p>
      <w:pPr>
        <w:sectPr>
          <w:pgSz w:w="11900" w:h="16838" w:orient="portrait"/>
          <w:cols w:equalWidth="0" w:num="1">
            <w:col w:w="11420"/>
          </w:cols>
          <w:pgMar w:left="240" w:top="363" w:right="239" w:bottom="1440" w:gutter="0" w:footer="0" w:header="0"/>
        </w:sectPr>
      </w:pPr>
    </w:p>
    <w:bookmarkStart w:id="61" w:name="page62"/>
    <w:bookmarkEnd w:id="61"/>
    <w:p>
      <w:pPr>
        <w:ind w:left="120" w:right="420"/>
        <w:spacing w:after="0" w:line="257" w:lineRule="auto"/>
        <w:rPr>
          <w:sz w:val="20"/>
          <w:szCs w:val="20"/>
          <w:color w:val="auto"/>
        </w:rPr>
      </w:pPr>
      <w:r>
        <w:rPr>
          <w:rFonts w:ascii="Times New Roman" w:cs="Times New Roman" w:eastAsia="Times New Roman" w:hAnsi="Times New Roman"/>
          <w:sz w:val="22"/>
          <w:szCs w:val="22"/>
          <w:color w:val="auto"/>
        </w:rPr>
        <w:t>result, and Participant should seek professional legal and tax advice. This Addendum forms part of the RSU Agreement and should be read in conjunction with the RSU Agreement and the Plan. Unless otherwise noted, capitalized terms shall take the same definitions assigned to them under the Plan and the RSU Agreement.</w:t>
      </w:r>
    </w:p>
    <w:p>
      <w:pPr>
        <w:spacing w:after="0" w:line="210"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Securities Law Notice: </w:t>
      </w:r>
      <w:r>
        <w:rPr>
          <w:rFonts w:ascii="Times New Roman" w:cs="Times New Roman" w:eastAsia="Times New Roman" w:hAnsi="Times New Roman"/>
          <w:sz w:val="22"/>
          <w:szCs w:val="22"/>
          <w:color w:val="auto"/>
        </w:rPr>
        <w:t>Unless otherwise noted, neither the Company nor the Shares are registered with any local stock exchange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under the control of any local securities regulator outside the United States. The Plan, grant documentation, and any other communications or materials that Participant may receive regarding participation in the Plan do not constitute advertising or an offering of securities outside the United States. The issuance of securities described in any Plan-related documents is not intended for public offering or circulation in Participant's jurisdiction.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European Union  Data Privacy. </w:t>
      </w:r>
      <w:r>
        <w:rPr>
          <w:rFonts w:ascii="Times New Roman" w:cs="Times New Roman" w:eastAsia="Times New Roman" w:hAnsi="Times New Roman"/>
          <w:sz w:val="22"/>
          <w:szCs w:val="22"/>
          <w:color w:val="auto"/>
        </w:rPr>
        <w:t>The following supplements the Section 20 of the RSU Agreement:</w:t>
      </w:r>
    </w:p>
    <w:p>
      <w:pPr>
        <w:spacing w:after="0" w:line="258" w:lineRule="exact"/>
        <w:rPr>
          <w:sz w:val="20"/>
          <w:szCs w:val="20"/>
          <w:color w:val="auto"/>
        </w:rPr>
      </w:pPr>
    </w:p>
    <w:p>
      <w:pPr>
        <w:ind w:left="1700" w:right="100"/>
        <w:spacing w:after="0" w:line="266" w:lineRule="auto"/>
        <w:rPr>
          <w:sz w:val="20"/>
          <w:szCs w:val="20"/>
          <w:color w:val="auto"/>
        </w:rPr>
      </w:pPr>
      <w:r>
        <w:rPr>
          <w:rFonts w:ascii="Times New Roman" w:cs="Times New Roman" w:eastAsia="Times New Roman" w:hAnsi="Times New Roman"/>
          <w:sz w:val="21"/>
          <w:szCs w:val="21"/>
          <w:b w:val="1"/>
          <w:bCs w:val="1"/>
          <w:i w:val="1"/>
          <w:iCs w:val="1"/>
          <w:color w:val="auto"/>
        </w:rPr>
        <w:t>Participant understands that Personal Data will be held only as long as is necessary to implement, administer and manage Participant's participation in the Plan. Participant understands that he or she may, at any time, view his or her Personal Data, request additional information about the storage and processing of Personal Data, require any necessary amendments to Personal Data or refuse or withdraw the consents herein, without cost, by contacting in writing Participant's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6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Australia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Securities Law Notice. </w:t>
      </w:r>
      <w:r>
        <w:rPr>
          <w:rFonts w:ascii="Times New Roman" w:cs="Times New Roman" w:eastAsia="Times New Roman" w:hAnsi="Times New Roman"/>
          <w:sz w:val="21"/>
          <w:szCs w:val="21"/>
          <w:color w:val="auto"/>
        </w:rPr>
        <w:t>This disclosure has been prepared in connection with offers to employees in Australia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Plan and the Agreement (copies of which are enclosed). It has been prepared to ensure that this grant and any other grant under the Plan (the “Offer”) satisfies the conditions for exemptions granted by the Australian Securities and Investments Commission (“ASIC”) under ASIC Class order 14/1000.</w:t>
      </w:r>
    </w:p>
    <w:p>
      <w:pPr>
        <w:spacing w:after="0" w:line="164" w:lineRule="exact"/>
        <w:rPr>
          <w:sz w:val="20"/>
          <w:szCs w:val="20"/>
          <w:color w:val="auto"/>
        </w:rPr>
      </w:pPr>
    </w:p>
    <w:p>
      <w:pPr>
        <w:sectPr>
          <w:pgSz w:w="11900" w:h="16838" w:orient="portrait"/>
          <w:cols w:equalWidth="0" w:num="2">
            <w:col w:w="980" w:space="720"/>
            <w:col w:w="9660"/>
          </w:cols>
          <w:pgMar w:left="240" w:top="369" w:right="29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22"/>
          <w:szCs w:val="22"/>
          <w:color w:val="auto"/>
        </w:rPr>
        <w:t>Any advice given to you in connection with the Offer is general advice only. It does not take into account the</w:t>
      </w:r>
    </w:p>
    <w:p>
      <w:pPr>
        <w:spacing w:after="0" w:line="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1"/>
          <w:szCs w:val="21"/>
          <w:color w:val="auto"/>
        </w:rPr>
        <w:t>objectives, financial situation and needs of any particular person. No financial product advice is provided in the</w:t>
      </w:r>
    </w:p>
    <w:p>
      <w:pPr>
        <w:spacing w:after="0" w:line="1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documentation relating to the Plan and nothing in the documentation should be taken to constitute a</w:t>
      </w:r>
    </w:p>
    <w:p>
      <w:pPr>
        <w:spacing w:after="0" w:line="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1"/>
          <w:szCs w:val="21"/>
          <w:color w:val="auto"/>
        </w:rPr>
        <w:t>recommendation or statement of opinion that is intended to influence you in making a decision to participate in</w:t>
      </w:r>
    </w:p>
    <w:p>
      <w:pPr>
        <w:spacing w:after="0" w:line="1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the Plan.</w:t>
      </w:r>
    </w:p>
    <w:p>
      <w:pPr>
        <w:spacing w:after="0" w:line="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1"/>
          <w:szCs w:val="21"/>
          <w:color w:val="auto"/>
        </w:rPr>
        <w:t>This means that you should consider obtaining your own financial product advice from an independent person</w:t>
      </w:r>
    </w:p>
    <w:p>
      <w:pPr>
        <w:spacing w:after="0" w:line="1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who is licensed by the ASIC to give such advice. LivePerson, Inc. will make available upon your request the</w:t>
      </w:r>
    </w:p>
    <w:p>
      <w:pPr>
        <w:spacing w:after="0" w:line="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1"/>
          <w:szCs w:val="21"/>
          <w:color w:val="auto"/>
        </w:rPr>
        <w:t>Australian dollar equivalent of the current market price of the underlying Shares subject to your RSUs. You can</w:t>
      </w:r>
    </w:p>
    <w:p>
      <w:pPr>
        <w:spacing w:after="0" w:line="1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get those details by contacting Human Resources.</w:t>
      </w:r>
    </w:p>
    <w:p>
      <w:pPr>
        <w:spacing w:after="0" w:line="23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b w:val="1"/>
          <w:bCs w:val="1"/>
          <w:color w:val="auto"/>
        </w:rPr>
        <w:t xml:space="preserve">Issue of RSUs. </w:t>
      </w:r>
      <w:r>
        <w:rPr>
          <w:rFonts w:ascii="Times New Roman" w:cs="Times New Roman" w:eastAsia="Times New Roman" w:hAnsi="Times New Roman"/>
          <w:sz w:val="22"/>
          <w:szCs w:val="22"/>
          <w:color w:val="auto"/>
        </w:rPr>
        <w:t>RSUs will be issued for no consideration.</w:t>
      </w:r>
    </w:p>
    <w:p>
      <w:pPr>
        <w:sectPr>
          <w:pgSz w:w="11900" w:h="16838" w:orient="portrait"/>
          <w:cols w:equalWidth="0" w:num="1">
            <w:col w:w="11360"/>
          </w:cols>
          <w:pgMar w:left="240" w:top="369" w:right="29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61"/>
        </w:trPr>
        <w:tc>
          <w:tcPr>
            <w:tcW w:w="1220" w:type="dxa"/>
            <w:vAlign w:val="bottom"/>
          </w:tcPr>
          <w:p>
            <w:pPr>
              <w:spacing w:after="0"/>
              <w:rPr>
                <w:sz w:val="22"/>
                <w:szCs w:val="22"/>
                <w:color w:val="auto"/>
              </w:rPr>
            </w:pPr>
          </w:p>
        </w:tc>
        <w:tc>
          <w:tcPr>
            <w:tcW w:w="1020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 xml:space="preserve">Risks of Participation in the Plan. </w:t>
            </w:r>
            <w:r>
              <w:rPr>
                <w:rFonts w:ascii="Times New Roman" w:cs="Times New Roman" w:eastAsia="Times New Roman" w:hAnsi="Times New Roman"/>
                <w:sz w:val="22"/>
                <w:szCs w:val="22"/>
                <w:color w:val="auto"/>
              </w:rPr>
              <w:t>Participation in the Plan and acquiring Shares in LivePerson, Inc. carries</w:t>
            </w:r>
          </w:p>
        </w:tc>
      </w:tr>
      <w:tr>
        <w:trPr>
          <w:trHeight w:val="257"/>
        </w:trPr>
        <w:tc>
          <w:tcPr>
            <w:tcW w:w="1220" w:type="dxa"/>
            <w:vAlign w:val="bottom"/>
          </w:tcPr>
          <w:p>
            <w:pPr>
              <w:spacing w:after="0"/>
              <w:rPr>
                <w:sz w:val="22"/>
                <w:szCs w:val="22"/>
                <w:color w:val="auto"/>
              </w:rPr>
            </w:pPr>
          </w:p>
        </w:tc>
        <w:tc>
          <w:tcPr>
            <w:tcW w:w="102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inherent risks. You should carefully consider these risks in light of your investment objectives and personal</w:t>
            </w:r>
          </w:p>
        </w:tc>
      </w:tr>
      <w:tr>
        <w:trPr>
          <w:trHeight w:val="283"/>
        </w:trPr>
        <w:tc>
          <w:tcPr>
            <w:tcW w:w="1220" w:type="dxa"/>
            <w:vAlign w:val="bottom"/>
          </w:tcPr>
          <w:p>
            <w:pPr>
              <w:spacing w:after="0"/>
              <w:rPr>
                <w:sz w:val="24"/>
                <w:szCs w:val="24"/>
                <w:color w:val="auto"/>
              </w:rPr>
            </w:pPr>
          </w:p>
        </w:tc>
        <w:tc>
          <w:tcPr>
            <w:tcW w:w="1020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circumstances.</w:t>
            </w:r>
          </w:p>
        </w:tc>
      </w:tr>
      <w:tr>
        <w:trPr>
          <w:trHeight w:val="447"/>
        </w:trPr>
        <w:tc>
          <w:tcPr>
            <w:tcW w:w="1220" w:type="dxa"/>
            <w:vAlign w:val="bottom"/>
          </w:tcPr>
          <w:p>
            <w:pPr>
              <w:spacing w:after="0"/>
              <w:rPr>
                <w:sz w:val="24"/>
                <w:szCs w:val="24"/>
                <w:color w:val="auto"/>
              </w:rPr>
            </w:pPr>
          </w:p>
        </w:tc>
        <w:tc>
          <w:tcPr>
            <w:tcW w:w="1020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w w:val="99"/>
              </w:rPr>
              <w:t xml:space="preserve">Settlement in Shares Only. </w:t>
            </w:r>
            <w:r>
              <w:rPr>
                <w:rFonts w:ascii="Times New Roman" w:cs="Times New Roman" w:eastAsia="Times New Roman" w:hAnsi="Times New Roman"/>
                <w:sz w:val="22"/>
                <w:szCs w:val="22"/>
                <w:color w:val="auto"/>
                <w:w w:val="99"/>
              </w:rPr>
              <w:t>Notwithstanding any discretion in the Plan or the RSU Agreement to the contrary,</w:t>
            </w:r>
          </w:p>
        </w:tc>
      </w:tr>
      <w:tr>
        <w:trPr>
          <w:trHeight w:val="283"/>
        </w:trPr>
        <w:tc>
          <w:tcPr>
            <w:tcW w:w="1220" w:type="dxa"/>
            <w:vAlign w:val="bottom"/>
          </w:tcPr>
          <w:p>
            <w:pPr>
              <w:spacing w:after="0"/>
              <w:rPr>
                <w:sz w:val="24"/>
                <w:szCs w:val="24"/>
                <w:color w:val="auto"/>
              </w:rPr>
            </w:pPr>
          </w:p>
        </w:tc>
        <w:tc>
          <w:tcPr>
            <w:tcW w:w="1020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8"/>
              </w:rPr>
              <w:t>settlement of the Restricted Stock Units shall be in Shares only and not, in whole or in part, in the form of cash.</w:t>
            </w:r>
          </w:p>
        </w:tc>
      </w:tr>
      <w:tr>
        <w:trPr>
          <w:trHeight w:val="319"/>
        </w:trPr>
        <w:tc>
          <w:tcPr>
            <w:tcW w:w="1220" w:type="dxa"/>
            <w:vAlign w:val="bottom"/>
            <w:tcBorders>
              <w:bottom w:val="single" w:sz="8" w:color="9A9A9A"/>
            </w:tcBorders>
          </w:tcPr>
          <w:p>
            <w:pPr>
              <w:spacing w:after="0"/>
              <w:rPr>
                <w:sz w:val="24"/>
                <w:szCs w:val="24"/>
                <w:color w:val="auto"/>
              </w:rPr>
            </w:pPr>
          </w:p>
        </w:tc>
        <w:tc>
          <w:tcPr>
            <w:tcW w:w="10200" w:type="dxa"/>
            <w:vAlign w:val="bottom"/>
            <w:tcBorders>
              <w:bottom w:val="single" w:sz="8" w:color="9A9A9A"/>
            </w:tcBorders>
          </w:tcPr>
          <w:p>
            <w:pPr>
              <w:spacing w:after="0"/>
              <w:rPr>
                <w:sz w:val="24"/>
                <w:szCs w:val="24"/>
                <w:color w:val="auto"/>
              </w:rPr>
            </w:pPr>
          </w:p>
        </w:tc>
      </w:tr>
      <w:tr>
        <w:trPr>
          <w:trHeight w:val="567"/>
        </w:trPr>
        <w:tc>
          <w:tcPr>
            <w:tcW w:w="12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France</w:t>
            </w:r>
          </w:p>
        </w:tc>
        <w:tc>
          <w:tcPr>
            <w:tcW w:w="102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 xml:space="preserve">Foreign Exchange Information. </w:t>
            </w:r>
            <w:r>
              <w:rPr>
                <w:rFonts w:ascii="Times New Roman" w:cs="Times New Roman" w:eastAsia="Times New Roman" w:hAnsi="Times New Roman"/>
                <w:sz w:val="22"/>
                <w:szCs w:val="22"/>
                <w:color w:val="auto"/>
              </w:rPr>
              <w:t>Residents of France with foreign account balances in excess of EUR 1</w:t>
            </w:r>
          </w:p>
        </w:tc>
      </w:tr>
      <w:tr>
        <w:trPr>
          <w:trHeight w:val="283"/>
        </w:trPr>
        <w:tc>
          <w:tcPr>
            <w:tcW w:w="1220" w:type="dxa"/>
            <w:vAlign w:val="bottom"/>
          </w:tcPr>
          <w:p>
            <w:pPr>
              <w:spacing w:after="0"/>
              <w:rPr>
                <w:sz w:val="24"/>
                <w:szCs w:val="24"/>
                <w:color w:val="auto"/>
              </w:rPr>
            </w:pPr>
          </w:p>
        </w:tc>
        <w:tc>
          <w:tcPr>
            <w:tcW w:w="102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million or its equivalent must report monthly to the Bank of France.</w:t>
            </w:r>
          </w:p>
        </w:tc>
      </w:tr>
      <w:tr>
        <w:trPr>
          <w:trHeight w:val="541"/>
        </w:trPr>
        <w:tc>
          <w:tcPr>
            <w:tcW w:w="1220" w:type="dxa"/>
            <w:vAlign w:val="bottom"/>
          </w:tcPr>
          <w:p>
            <w:pPr>
              <w:spacing w:after="0"/>
              <w:rPr>
                <w:sz w:val="24"/>
                <w:szCs w:val="24"/>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b w:val="1"/>
                <w:bCs w:val="1"/>
                <w:color w:val="auto"/>
              </w:rPr>
              <w:t xml:space="preserve">Consent to Receive Information in English. </w:t>
            </w:r>
            <w:r>
              <w:rPr>
                <w:rFonts w:ascii="Times New Roman" w:cs="Times New Roman" w:eastAsia="Times New Roman" w:hAnsi="Times New Roman"/>
                <w:sz w:val="22"/>
                <w:szCs w:val="22"/>
                <w:color w:val="auto"/>
              </w:rPr>
              <w:t>Participant confirms he or she has read and understands the</w:t>
            </w:r>
          </w:p>
        </w:tc>
      </w:tr>
      <w:tr>
        <w:trPr>
          <w:trHeight w:val="253"/>
        </w:trPr>
        <w:tc>
          <w:tcPr>
            <w:tcW w:w="1220" w:type="dxa"/>
            <w:vAlign w:val="bottom"/>
          </w:tcPr>
          <w:p>
            <w:pPr>
              <w:spacing w:after="0"/>
              <w:rPr>
                <w:sz w:val="21"/>
                <w:szCs w:val="21"/>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documents relating to this grant (the Plan and this Agreement) which were provided to Participant in the</w:t>
            </w:r>
          </w:p>
        </w:tc>
      </w:tr>
      <w:tr>
        <w:trPr>
          <w:trHeight w:val="257"/>
        </w:trPr>
        <w:tc>
          <w:tcPr>
            <w:tcW w:w="1220" w:type="dxa"/>
            <w:vAlign w:val="bottom"/>
          </w:tcPr>
          <w:p>
            <w:pPr>
              <w:spacing w:after="0"/>
              <w:rPr>
                <w:sz w:val="22"/>
                <w:szCs w:val="22"/>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 xml:space="preserve">English language. Participant accepts the terms of those documents accordingly. </w:t>
            </w:r>
            <w:r>
              <w:rPr>
                <w:rFonts w:ascii="Times New Roman" w:cs="Times New Roman" w:eastAsia="Times New Roman" w:hAnsi="Times New Roman"/>
                <w:sz w:val="22"/>
                <w:szCs w:val="22"/>
                <w:i w:val="1"/>
                <w:iCs w:val="1"/>
                <w:color w:val="auto"/>
              </w:rPr>
              <w:t>Vous confirmez avoir lu et</w:t>
            </w:r>
          </w:p>
        </w:tc>
      </w:tr>
      <w:tr>
        <w:trPr>
          <w:trHeight w:val="257"/>
        </w:trPr>
        <w:tc>
          <w:tcPr>
            <w:tcW w:w="1220" w:type="dxa"/>
            <w:vAlign w:val="bottom"/>
          </w:tcPr>
          <w:p>
            <w:pPr>
              <w:spacing w:after="0"/>
              <w:rPr>
                <w:sz w:val="22"/>
                <w:szCs w:val="22"/>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i w:val="1"/>
                <w:iCs w:val="1"/>
                <w:color w:val="auto"/>
              </w:rPr>
              <w:t>compris les documents relatifs à cette attribution (le Plan et ce Contrat) qui vous ont été communiqués en</w:t>
            </w:r>
          </w:p>
        </w:tc>
      </w:tr>
      <w:tr>
        <w:trPr>
          <w:trHeight w:val="287"/>
        </w:trPr>
        <w:tc>
          <w:tcPr>
            <w:tcW w:w="1220" w:type="dxa"/>
            <w:vAlign w:val="bottom"/>
          </w:tcPr>
          <w:p>
            <w:pPr>
              <w:spacing w:after="0"/>
              <w:rPr>
                <w:sz w:val="24"/>
                <w:szCs w:val="24"/>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i w:val="1"/>
                <w:iCs w:val="1"/>
                <w:color w:val="auto"/>
              </w:rPr>
              <w:t>langue anglaise. Vous en acceptez les termes en connaissance de cause.</w:t>
            </w:r>
          </w:p>
        </w:tc>
      </w:tr>
      <w:tr>
        <w:trPr>
          <w:trHeight w:val="603"/>
        </w:trPr>
        <w:tc>
          <w:tcPr>
            <w:tcW w:w="1220" w:type="dxa"/>
            <w:vAlign w:val="bottom"/>
            <w:tcBorders>
              <w:bottom w:val="single" w:sz="8" w:color="9A9A9A"/>
            </w:tcBorders>
          </w:tcPr>
          <w:p>
            <w:pPr>
              <w:spacing w:after="0"/>
              <w:rPr>
                <w:sz w:val="24"/>
                <w:szCs w:val="24"/>
                <w:color w:val="auto"/>
              </w:rPr>
            </w:pPr>
          </w:p>
        </w:tc>
        <w:tc>
          <w:tcPr>
            <w:tcW w:w="10200" w:type="dxa"/>
            <w:vAlign w:val="bottom"/>
            <w:tcBorders>
              <w:bottom w:val="single" w:sz="8" w:color="9A9A9A"/>
            </w:tcBorders>
          </w:tcPr>
          <w:p>
            <w:pPr>
              <w:spacing w:after="0"/>
              <w:rPr>
                <w:sz w:val="24"/>
                <w:szCs w:val="24"/>
                <w:color w:val="auto"/>
              </w:rPr>
            </w:pPr>
          </w:p>
        </w:tc>
      </w:tr>
      <w:tr>
        <w:trPr>
          <w:trHeight w:val="621"/>
        </w:trPr>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Israel</w:t>
            </w: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b w:val="1"/>
                <w:bCs w:val="1"/>
                <w:color w:val="auto"/>
              </w:rPr>
              <w:t xml:space="preserve">Sub-Plan for Israeli Participants. </w:t>
            </w:r>
            <w:r>
              <w:rPr>
                <w:rFonts w:ascii="Times New Roman" w:cs="Times New Roman" w:eastAsia="Times New Roman" w:hAnsi="Times New Roman"/>
                <w:sz w:val="22"/>
                <w:szCs w:val="22"/>
                <w:color w:val="auto"/>
              </w:rPr>
              <w:t>Your RSUs are granted under the Sub- Plan for Israeli Participants (the</w:t>
            </w:r>
          </w:p>
        </w:tc>
      </w:tr>
      <w:tr>
        <w:trPr>
          <w:trHeight w:val="257"/>
        </w:trPr>
        <w:tc>
          <w:tcPr>
            <w:tcW w:w="1220" w:type="dxa"/>
            <w:vAlign w:val="bottom"/>
          </w:tcPr>
          <w:p>
            <w:pPr>
              <w:spacing w:after="0"/>
              <w:rPr>
                <w:sz w:val="22"/>
                <w:szCs w:val="22"/>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“Israeli Sub-Plan”), which is considered part of the Plan. The terms used herein shall have the meaning</w:t>
            </w:r>
          </w:p>
        </w:tc>
      </w:tr>
      <w:tr>
        <w:trPr>
          <w:trHeight w:val="257"/>
        </w:trPr>
        <w:tc>
          <w:tcPr>
            <w:tcW w:w="1220" w:type="dxa"/>
            <w:vAlign w:val="bottom"/>
          </w:tcPr>
          <w:p>
            <w:pPr>
              <w:spacing w:after="0"/>
              <w:rPr>
                <w:sz w:val="22"/>
                <w:szCs w:val="22"/>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ascribed to them in the Plan or Israeli Sub-Plan. In the event of any conflict, whether explicit or implied,</w:t>
            </w:r>
          </w:p>
        </w:tc>
      </w:tr>
      <w:tr>
        <w:trPr>
          <w:trHeight w:val="257"/>
        </w:trPr>
        <w:tc>
          <w:tcPr>
            <w:tcW w:w="1220" w:type="dxa"/>
            <w:vAlign w:val="bottom"/>
          </w:tcPr>
          <w:p>
            <w:pPr>
              <w:spacing w:after="0"/>
              <w:rPr>
                <w:sz w:val="22"/>
                <w:szCs w:val="22"/>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8"/>
              </w:rPr>
              <w:t>between the provision of this Agreement and the Israeli Sub- Plan, the provisions set out in the Israeli Sub-Plan</w:t>
            </w:r>
          </w:p>
        </w:tc>
      </w:tr>
      <w:tr>
        <w:trPr>
          <w:trHeight w:val="257"/>
        </w:trPr>
        <w:tc>
          <w:tcPr>
            <w:tcW w:w="1220" w:type="dxa"/>
            <w:vAlign w:val="bottom"/>
          </w:tcPr>
          <w:p>
            <w:pPr>
              <w:spacing w:after="0"/>
              <w:rPr>
                <w:sz w:val="22"/>
                <w:szCs w:val="22"/>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8"/>
              </w:rPr>
              <w:t>shall prevail. By accepting this grant, you acknowledge that a copy of the Israeli Sub-Plan has been provided to</w:t>
            </w:r>
          </w:p>
        </w:tc>
      </w:tr>
      <w:tr>
        <w:trPr>
          <w:trHeight w:val="283"/>
        </w:trPr>
        <w:tc>
          <w:tcPr>
            <w:tcW w:w="1220" w:type="dxa"/>
            <w:vAlign w:val="bottom"/>
          </w:tcPr>
          <w:p>
            <w:pPr>
              <w:spacing w:after="0"/>
              <w:rPr>
                <w:sz w:val="24"/>
                <w:szCs w:val="24"/>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you. The Israeli Sub-Plan may also be obtained by contacting Human Resources.</w:t>
            </w:r>
          </w:p>
        </w:tc>
      </w:tr>
      <w:tr>
        <w:trPr>
          <w:trHeight w:val="447"/>
        </w:trPr>
        <w:tc>
          <w:tcPr>
            <w:tcW w:w="1220" w:type="dxa"/>
            <w:vAlign w:val="bottom"/>
          </w:tcPr>
          <w:p>
            <w:pPr>
              <w:spacing w:after="0"/>
              <w:rPr>
                <w:sz w:val="24"/>
                <w:szCs w:val="24"/>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b w:val="1"/>
                <w:bCs w:val="1"/>
                <w:color w:val="auto"/>
              </w:rPr>
              <w:t xml:space="preserve">Further Acknowledgement. </w:t>
            </w:r>
            <w:r>
              <w:rPr>
                <w:rFonts w:ascii="Times New Roman" w:cs="Times New Roman" w:eastAsia="Times New Roman" w:hAnsi="Times New Roman"/>
                <w:sz w:val="22"/>
                <w:szCs w:val="22"/>
                <w:color w:val="auto"/>
              </w:rPr>
              <w:t>Participant also (iii) declares that she/he is familiar with Section 102 and the</w:t>
            </w:r>
          </w:p>
        </w:tc>
      </w:tr>
      <w:tr>
        <w:trPr>
          <w:trHeight w:val="257"/>
        </w:trPr>
        <w:tc>
          <w:tcPr>
            <w:tcW w:w="1220" w:type="dxa"/>
            <w:vAlign w:val="bottom"/>
          </w:tcPr>
          <w:p>
            <w:pPr>
              <w:spacing w:after="0"/>
              <w:rPr>
                <w:sz w:val="22"/>
                <w:szCs w:val="22"/>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regulations and rules promulgated thereunder, including without limitations the provisions of the tax route</w:t>
            </w:r>
          </w:p>
        </w:tc>
      </w:tr>
      <w:tr>
        <w:trPr>
          <w:trHeight w:val="257"/>
        </w:trPr>
        <w:tc>
          <w:tcPr>
            <w:tcW w:w="1220" w:type="dxa"/>
            <w:vAlign w:val="bottom"/>
          </w:tcPr>
          <w:p>
            <w:pPr>
              <w:spacing w:after="0"/>
              <w:rPr>
                <w:sz w:val="22"/>
                <w:szCs w:val="22"/>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applicable to the RSUs, and agrees to comply with such provisions, as amended from time to time, provided</w:t>
            </w:r>
          </w:p>
        </w:tc>
      </w:tr>
      <w:tr>
        <w:trPr>
          <w:trHeight w:val="257"/>
        </w:trPr>
        <w:tc>
          <w:tcPr>
            <w:tcW w:w="1220" w:type="dxa"/>
            <w:vAlign w:val="bottom"/>
          </w:tcPr>
          <w:p>
            <w:pPr>
              <w:spacing w:after="0"/>
              <w:rPr>
                <w:sz w:val="22"/>
                <w:szCs w:val="22"/>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that if such terms are not met, Section 102 may not apply, and (iv) agrees to the terms and conditions of the</w:t>
            </w:r>
          </w:p>
        </w:tc>
      </w:tr>
      <w:tr>
        <w:trPr>
          <w:trHeight w:val="257"/>
        </w:trPr>
        <w:tc>
          <w:tcPr>
            <w:tcW w:w="1220" w:type="dxa"/>
            <w:vAlign w:val="bottom"/>
          </w:tcPr>
          <w:p>
            <w:pPr>
              <w:spacing w:after="0"/>
              <w:rPr>
                <w:sz w:val="22"/>
                <w:szCs w:val="22"/>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8"/>
              </w:rPr>
              <w:t>trust deed signed between the Trustee and the Company and/or the applicable Subsidiary, which is available for</w:t>
            </w:r>
          </w:p>
        </w:tc>
      </w:tr>
      <w:tr>
        <w:trPr>
          <w:trHeight w:val="257"/>
        </w:trPr>
        <w:tc>
          <w:tcPr>
            <w:tcW w:w="1220" w:type="dxa"/>
            <w:vAlign w:val="bottom"/>
          </w:tcPr>
          <w:p>
            <w:pPr>
              <w:spacing w:after="0"/>
              <w:rPr>
                <w:sz w:val="22"/>
                <w:szCs w:val="22"/>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the Participant's review, during normal working hours, at Company's offices, (v) acknowledges that releasing</w:t>
            </w:r>
          </w:p>
        </w:tc>
      </w:tr>
      <w:tr>
        <w:trPr>
          <w:trHeight w:val="257"/>
        </w:trPr>
        <w:tc>
          <w:tcPr>
            <w:tcW w:w="1220" w:type="dxa"/>
            <w:vAlign w:val="bottom"/>
          </w:tcPr>
          <w:p>
            <w:pPr>
              <w:spacing w:after="0"/>
              <w:rPr>
                <w:sz w:val="22"/>
                <w:szCs w:val="22"/>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8"/>
              </w:rPr>
              <w:t>the RSUs and Shares from the control of the Trustee prior to the termination of the Holding Period constitutes a</w:t>
            </w:r>
          </w:p>
        </w:tc>
      </w:tr>
      <w:tr>
        <w:trPr>
          <w:trHeight w:val="283"/>
        </w:trPr>
        <w:tc>
          <w:tcPr>
            <w:tcW w:w="1220" w:type="dxa"/>
            <w:vAlign w:val="bottom"/>
          </w:tcPr>
          <w:p>
            <w:pPr>
              <w:spacing w:after="0"/>
              <w:rPr>
                <w:sz w:val="24"/>
                <w:szCs w:val="24"/>
                <w:color w:val="auto"/>
              </w:rPr>
            </w:pPr>
          </w:p>
        </w:tc>
        <w:tc>
          <w:tcPr>
            <w:tcW w:w="102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violation of the terms of Section 102 and agrees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-4641850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-4641850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-2695575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-2695575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63" w:name="page64"/>
    <w:bookmarkEnd w:id="63"/>
    <w:p>
      <w:pPr>
        <w:ind w:left="560"/>
        <w:spacing w:after="0" w:line="245" w:lineRule="auto"/>
        <w:rPr>
          <w:sz w:val="20"/>
          <w:szCs w:val="20"/>
          <w:color w:val="auto"/>
        </w:rPr>
      </w:pPr>
      <w:r>
        <w:rPr>
          <w:rFonts w:ascii="Times New Roman" w:cs="Times New Roman" w:eastAsia="Times New Roman" w:hAnsi="Times New Roman"/>
          <w:sz w:val="22"/>
          <w:szCs w:val="22"/>
          <w:color w:val="auto"/>
        </w:rPr>
        <w:t>bear the relevant sanctions, (vi) authorizes the Company and/or the applicable Subsidiary to provide the Trustee with any information required for the purpose of administering the Plan including executing its obligations under the Ordinance, the trust deed and the trust agreement, including without limitation information about his/her RSUs, Shares, income tax rates, salary bank account, contact details and identification number, (vii) declares that he/she is a resident of the State of Israel for tax purposes on the grant date and agrees to notify the Company upon any change in the residence address indicated above and acknowledges that if his/her engagement with the Company or Subsidiary is terminated and he/she is no longer employed by the Company or any Subsidiary, the RSUs and Shares shall remain subject to Section 102, the trust agreement, the Plan and this Agreement; (viii) understands and agrees that if he/she ceases to be employed or engaged by an Israeli resident Subsidiary but remains employed by the Company or any Subsidiary thereof, all unvested RSUs shall be forfeited to the Company with all rights of the Participant to such RSUs immediately terminating prior to his/her termination of employment or services, and any Shares already issued upon the previous vesting of RSUs shall remain subject to Section 102, the trust agreement, the Plan and this Agreement; (ix) warrants and undertakes that at the time of grant of the RSUs herein, or as a consequence of the grant, the Participant is not and will not become a holder of a “controlling interest” in the Company, as such term is defined in Section 32(9) of the Ordinance, (x) the grant of RSUs is conditioned upon the Participant signing all documents requested by the Company or the Trustee.</w:t>
      </w:r>
    </w:p>
    <w:p>
      <w:pPr>
        <w:spacing w:after="0" w:line="184" w:lineRule="exact"/>
        <w:rPr>
          <w:sz w:val="20"/>
          <w:szCs w:val="20"/>
          <w:color w:val="auto"/>
        </w:rPr>
      </w:pPr>
    </w:p>
    <w:p>
      <w:pPr>
        <w:ind w:left="500" w:right="2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102 Capital Gains Trustee Route. </w:t>
      </w:r>
      <w:r>
        <w:rPr>
          <w:rFonts w:ascii="Times New Roman" w:cs="Times New Roman" w:eastAsia="Times New Roman" w:hAnsi="Times New Roman"/>
          <w:sz w:val="22"/>
          <w:szCs w:val="22"/>
          <w:color w:val="auto"/>
        </w:rPr>
        <w:t>The RSUs are intended to be subject to the Capital Gains Route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Section 102 of the Ordinance, subject to you consenting to the requirements of such tax route by accepting the terms of this agreement and the grant of RSUs, and subject further to the compliance with all the terms and conditions of such tax route. Under the Capital Gains Route tax is only due upon sale of the Shares or upon release of the Shares from the holding or control of the Trustee.</w:t>
      </w:r>
    </w:p>
    <w:p>
      <w:pPr>
        <w:spacing w:after="0" w:line="176" w:lineRule="exact"/>
        <w:rPr>
          <w:sz w:val="20"/>
          <w:szCs w:val="20"/>
          <w:color w:val="auto"/>
        </w:rPr>
      </w:pPr>
    </w:p>
    <w:p>
      <w:pPr>
        <w:ind w:left="500" w:right="80"/>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Trustee Arrangement. </w:t>
      </w:r>
      <w:r>
        <w:rPr>
          <w:rFonts w:ascii="Times New Roman" w:cs="Times New Roman" w:eastAsia="Times New Roman" w:hAnsi="Times New Roman"/>
          <w:sz w:val="21"/>
          <w:szCs w:val="21"/>
          <w:color w:val="auto"/>
        </w:rPr>
        <w:t>The RSUs, the Shares issued upon vesting and/or any additional rights, including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without limitation any right to receive any dividends or any shares received as a result of an adjustment made under the Plan that may be granted in connection with the RSUs (the “Additional Rights”), shall be issued to or controlled by the Trustee for the benefit of the Participant under the provisions of the 102 Capital Gains Route and will be controlled by the Trustee for at least the period stated in Section 102 of the Ordinance and the Income Tax Rules (Tax Benefits in Share Issuance to Employees) 5763-2003 (the “Rules”). In the event the RSUs do not meet the requirements of Section 102 of the Ordinance, such RSUs and the underlying Shares shall not qualify for the favorable tax treatment under Section 102 of the Ordinance. The Company makes no representations or guarantees that the RSUs will qualify for favorable tax treatment and will not be liable or responsible if favorable tax treatment is not available under Section 102 of the Ordinance. Any fees associated</w:t>
      </w:r>
    </w:p>
    <w:p>
      <w:pPr>
        <w:sectPr>
          <w:pgSz w:w="11900" w:h="16838" w:orient="portrait"/>
          <w:cols w:equalWidth="0" w:num="1">
            <w:col w:w="10220"/>
          </w:cols>
          <w:pgMar w:left="1440" w:top="369" w:right="239" w:bottom="1440" w:gutter="0" w:footer="0" w:header="0"/>
        </w:sectPr>
      </w:pPr>
    </w:p>
    <w:bookmarkStart w:id="64" w:name="page65"/>
    <w:bookmarkEnd w:id="64"/>
    <w:p>
      <w:pPr>
        <w:ind w:left="500" w:right="500"/>
        <w:spacing w:after="0" w:line="257" w:lineRule="auto"/>
        <w:rPr>
          <w:sz w:val="20"/>
          <w:szCs w:val="20"/>
          <w:color w:val="auto"/>
        </w:rPr>
      </w:pPr>
      <w:r>
        <w:rPr>
          <w:rFonts w:ascii="Times New Roman" w:cs="Times New Roman" w:eastAsia="Times New Roman" w:hAnsi="Times New Roman"/>
          <w:sz w:val="22"/>
          <w:szCs w:val="22"/>
          <w:color w:val="auto"/>
        </w:rPr>
        <w:t>with any exercise, sale, transfer or any act in relation to the RSUs shall be borne by the Participant and the Trustee and/or the Company and/or any Subsidiary shall be entitled to withhold or deduct such fees from payments otherwise due to you from the Company or a Subsidiary or the Trustee.</w:t>
      </w:r>
    </w:p>
    <w:p>
      <w:pPr>
        <w:spacing w:after="0" w:line="169" w:lineRule="exact"/>
        <w:rPr>
          <w:sz w:val="20"/>
          <w:szCs w:val="20"/>
          <w:color w:val="auto"/>
        </w:rPr>
      </w:pPr>
    </w:p>
    <w:p>
      <w:pPr>
        <w:ind w:left="500" w:right="2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Restrictions on Sale. </w:t>
      </w:r>
      <w:r>
        <w:rPr>
          <w:rFonts w:ascii="Times New Roman" w:cs="Times New Roman" w:eastAsia="Times New Roman" w:hAnsi="Times New Roman"/>
          <w:sz w:val="22"/>
          <w:szCs w:val="22"/>
          <w:color w:val="auto"/>
        </w:rPr>
        <w:t>In accordance with the requirements of Section 102 of the Ordinance and the Capital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Gains Route, the Participant shall not sell nor transfer the Shares or Additional Rights from the Trustee until the end of the required Holding Period. Notwithstanding the above, if any such sale or transfer occurs before the end of the required Holding Period, the sanctions under Section 102 shall apply to and shall be borne by the Participant.</w:t>
      </w:r>
    </w:p>
    <w:p>
      <w:pPr>
        <w:spacing w:after="0" w:line="244" w:lineRule="exact"/>
        <w:rPr>
          <w:sz w:val="20"/>
          <w:szCs w:val="20"/>
          <w:color w:val="auto"/>
        </w:rPr>
      </w:pPr>
    </w:p>
    <w:p>
      <w:pPr>
        <w:ind w:left="560" w:right="200"/>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Tax Treatment. </w:t>
      </w:r>
      <w:r>
        <w:rPr>
          <w:rFonts w:ascii="Times New Roman" w:cs="Times New Roman" w:eastAsia="Times New Roman" w:hAnsi="Times New Roman"/>
          <w:sz w:val="21"/>
          <w:szCs w:val="21"/>
          <w:color w:val="auto"/>
        </w:rPr>
        <w:t>The following language supplements Section 5 of the Agreement: The RSUs are intended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taxed in accordance with Section 102, subject to full and complete compliance with the terms of Section 102. Participants with dual residency for tax purposes may be subject to taxation in several jurisdictions.</w:t>
      </w:r>
    </w:p>
    <w:p>
      <w:pPr>
        <w:spacing w:after="0" w:line="154" w:lineRule="exact"/>
        <w:rPr>
          <w:sz w:val="20"/>
          <w:szCs w:val="20"/>
          <w:color w:val="auto"/>
        </w:rPr>
      </w:pPr>
    </w:p>
    <w:p>
      <w:pPr>
        <w:ind w:left="560"/>
        <w:spacing w:after="0" w:line="245" w:lineRule="auto"/>
        <w:rPr>
          <w:sz w:val="20"/>
          <w:szCs w:val="20"/>
          <w:color w:val="auto"/>
        </w:rPr>
      </w:pPr>
      <w:r>
        <w:rPr>
          <w:rFonts w:ascii="Times New Roman" w:cs="Times New Roman" w:eastAsia="Times New Roman" w:hAnsi="Times New Roman"/>
          <w:sz w:val="22"/>
          <w:szCs w:val="22"/>
          <w:color w:val="auto"/>
        </w:rPr>
        <w:t>Any Tax imposed in respect of the RSUs and/or Shares, including, but not limited to, the grant of RSUs, and/or the vesting, transfer, waiver, or expiration of RSUs and/or Shares, and/or the sale of Shares, shall be borne solely by the Participant, and in the event of death, by the Participant's heirs. The Company, any Subsidiary, the Trustee or anyone on their behalf shall not be required to bear the aforementioned Taxes, directly or indirectly, nor shall they be required to gross up such Tax in the Participant's salaries or remuneration. The applicable Tax shall be withheld from the proceeds of sale of Shares or shall be paid to the Company or a Subsidiary or the Trustee by the Participant. Without derogating from the aforementioned, the Company or a Subsidiary or the Trustee shall be entitled to withhold Taxes as it deems complying with applicable law and to deduct any Taxes from payments otherwise due to the Participant from the Company or a Subsidiary or the Trustee. The ramifications of any future modification of applicable law regarding the taxation of the RSUs granted to the Participant shall apply to the Participant accordingly and the Participant shall bear the full cost thereof, unless such modified laws expressly provide otherwise.</w:t>
      </w:r>
    </w:p>
    <w:p>
      <w:pPr>
        <w:spacing w:after="0" w:line="196" w:lineRule="exact"/>
        <w:rPr>
          <w:sz w:val="20"/>
          <w:szCs w:val="20"/>
          <w:color w:val="auto"/>
        </w:rPr>
      </w:pPr>
    </w:p>
    <w:p>
      <w:pPr>
        <w:ind w:left="560" w:right="80"/>
        <w:spacing w:after="0" w:line="271" w:lineRule="auto"/>
        <w:rPr>
          <w:sz w:val="20"/>
          <w:szCs w:val="20"/>
          <w:color w:val="auto"/>
        </w:rPr>
      </w:pPr>
      <w:r>
        <w:rPr>
          <w:rFonts w:ascii="Times New Roman" w:cs="Times New Roman" w:eastAsia="Times New Roman" w:hAnsi="Times New Roman"/>
          <w:sz w:val="22"/>
          <w:szCs w:val="22"/>
          <w:color w:val="auto"/>
        </w:rPr>
        <w:t>The issuance of the Shares upon the vesting of RSUs or in respect thereto, shall be subject to the full payments of any Tax (if applicable).</w:t>
      </w:r>
    </w:p>
    <w:p>
      <w:pPr>
        <w:spacing w:after="0" w:line="154"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Securities Law. </w:t>
      </w:r>
      <w:r>
        <w:rPr>
          <w:rFonts w:ascii="Times New Roman" w:cs="Times New Roman" w:eastAsia="Times New Roman" w:hAnsi="Times New Roman"/>
          <w:sz w:val="22"/>
          <w:szCs w:val="22"/>
          <w:color w:val="auto"/>
        </w:rPr>
        <w:t>The Company may rely on an exemption under applicable securities laws such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prospectus in relation to the Plan will not be filed with the Israel Securities Authority. If required by law, copies of the Plan and the Form S-8 registration statement for the Plan filed with the U.S. Securities and Exchange Commission will be made available by Human Resources upon Participant's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201930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00"/>
          </w:cols>
          <w:pgMar w:left="1440" w:top="369" w:right="259" w:bottom="1440" w:gutter="0" w:footer="0" w:header="0"/>
        </w:sectPr>
      </w:pPr>
    </w:p>
    <w:bookmarkStart w:id="65" w:name="page66"/>
    <w:bookmarkEnd w:id="65"/>
    <w:p>
      <w:pPr>
        <w:ind w:left="180"/>
        <w:spacing w:after="0"/>
        <w:rPr>
          <w:sz w:val="20"/>
          <w:szCs w:val="20"/>
          <w:color w:val="auto"/>
        </w:rPr>
      </w:pPr>
      <w:r>
        <w:rPr>
          <w:rFonts w:ascii="Times New Roman" w:cs="Times New Roman" w:eastAsia="Times New Roman" w:hAnsi="Times New Roman"/>
          <w:sz w:val="22"/>
          <w:szCs w:val="22"/>
          <w:b w:val="1"/>
          <w:bCs w:val="1"/>
          <w:color w:val="auto"/>
        </w:rPr>
        <w:t>Italy</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Data Privacy Consent. </w:t>
      </w:r>
      <w:r>
        <w:rPr>
          <w:rFonts w:ascii="Times New Roman" w:cs="Times New Roman" w:eastAsia="Times New Roman" w:hAnsi="Times New Roman"/>
          <w:sz w:val="22"/>
          <w:szCs w:val="22"/>
          <w:color w:val="auto"/>
        </w:rPr>
        <w:t>Pursuant to Legislative Decree no. 196/2003, the Controller of personal data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processing is LivePerson, Inc., with registered offices at 475 Tenth Avenue, New York, New York 10018, USA, and its Representative in Italy for privacy purposes is the EMEA HR Business Partner.</w:t>
      </w:r>
    </w:p>
    <w:p>
      <w:pPr>
        <w:spacing w:after="0" w:line="171" w:lineRule="exact"/>
        <w:rPr>
          <w:sz w:val="20"/>
          <w:szCs w:val="20"/>
          <w:color w:val="auto"/>
        </w:rPr>
      </w:pPr>
    </w:p>
    <w:p>
      <w:pPr>
        <w:sectPr>
          <w:pgSz w:w="11900" w:h="16838" w:orient="portrait"/>
          <w:cols w:equalWidth="0" w:num="2">
            <w:col w:w="1040" w:space="720"/>
            <w:col w:w="9660"/>
          </w:cols>
          <w:pgMar w:left="240" w:top="419" w:right="239" w:bottom="1440" w:gutter="0" w:footer="0" w:header="0"/>
        </w:sectPr>
      </w:pPr>
    </w:p>
    <w:p>
      <w:pPr>
        <w:ind w:left="1760" w:right="80"/>
        <w:spacing w:after="0" w:line="252" w:lineRule="auto"/>
        <w:rPr>
          <w:sz w:val="20"/>
          <w:szCs w:val="20"/>
          <w:color w:val="auto"/>
        </w:rPr>
      </w:pPr>
      <w:r>
        <w:rPr>
          <w:rFonts w:ascii="Times New Roman" w:cs="Times New Roman" w:eastAsia="Times New Roman" w:hAnsi="Times New Roman"/>
          <w:sz w:val="22"/>
          <w:szCs w:val="22"/>
          <w:color w:val="auto"/>
        </w:rPr>
        <w:t>I understand that Personal Data processing related to the purposes specified above shall take place under automated or non-automated conditions, anonymously when possible, that comply with the purposes for which Personal Data are collected and with confidentiality and security provisions as set forth by applicable laws and regulations, with specific reference to Legislative Decree no. 196/200.</w:t>
      </w:r>
    </w:p>
    <w:p>
      <w:pPr>
        <w:spacing w:after="0" w:line="220" w:lineRule="exact"/>
        <w:rPr>
          <w:sz w:val="20"/>
          <w:szCs w:val="20"/>
          <w:color w:val="auto"/>
        </w:rPr>
      </w:pPr>
    </w:p>
    <w:p>
      <w:pPr>
        <w:ind w:left="1800" w:right="20"/>
        <w:spacing w:after="0" w:line="246" w:lineRule="auto"/>
        <w:rPr>
          <w:sz w:val="20"/>
          <w:szCs w:val="20"/>
          <w:color w:val="auto"/>
        </w:rPr>
      </w:pPr>
      <w:r>
        <w:rPr>
          <w:rFonts w:ascii="Times New Roman" w:cs="Times New Roman" w:eastAsia="Times New Roman" w:hAnsi="Times New Roman"/>
          <w:sz w:val="22"/>
          <w:szCs w:val="22"/>
          <w:color w:val="auto"/>
        </w:rPr>
        <w:t>The processing activity, including the communication and transfer of my Personal Data abroad, including outside of the European Union, as herein specified and pursuant to applicable laws and regulations, does not require my consent thereto as the processing is necessary for the performance of contractual obligations related to the implementation, administration and management of the Plan. I understand that the use of my Personal Data will be minimized where it is not necessary for the implementation, administration and management of the Plan. I further understand that, pursuant to Section 7 of the Legislative Decree no. 196/2003, I have the right to, including but not limited to, access, delete, update, ask for rectification of my Personal Data and stop, for legitimate reason, the Personal Data processing. Furthermore, I am aware that my Personal Data will not be used for direct marketing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2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Japan</w:t>
            </w:r>
          </w:p>
        </w:tc>
        <w:tc>
          <w:tcPr>
            <w:tcW w:w="10160" w:type="dxa"/>
            <w:vAlign w:val="bottom"/>
          </w:tcPr>
          <w:p>
            <w:pPr>
              <w:ind w:left="540"/>
              <w:spacing w:after="0"/>
              <w:rPr>
                <w:sz w:val="20"/>
                <w:szCs w:val="20"/>
                <w:color w:val="auto"/>
              </w:rPr>
            </w:pPr>
            <w:r>
              <w:rPr>
                <w:rFonts w:ascii="Times New Roman" w:cs="Times New Roman" w:eastAsia="Times New Roman" w:hAnsi="Times New Roman"/>
                <w:sz w:val="22"/>
                <w:szCs w:val="22"/>
                <w:b w:val="1"/>
                <w:bCs w:val="1"/>
                <w:color w:val="auto"/>
              </w:rPr>
              <w:t xml:space="preserve">Foreign Exchange Information. </w:t>
            </w:r>
            <w:r>
              <w:rPr>
                <w:rFonts w:ascii="Times New Roman" w:cs="Times New Roman" w:eastAsia="Times New Roman" w:hAnsi="Times New Roman"/>
                <w:sz w:val="22"/>
                <w:szCs w:val="22"/>
                <w:color w:val="auto"/>
              </w:rPr>
              <w:t>If you acquire Shares valued at more than ¥100,000,000 in a single</w:t>
            </w:r>
          </w:p>
        </w:tc>
      </w:tr>
      <w:tr>
        <w:trPr>
          <w:trHeight w:val="257"/>
        </w:trPr>
        <w:tc>
          <w:tcPr>
            <w:tcW w:w="1260" w:type="dxa"/>
            <w:vAlign w:val="bottom"/>
          </w:tcPr>
          <w:p>
            <w:pPr>
              <w:spacing w:after="0"/>
              <w:rPr>
                <w:sz w:val="22"/>
                <w:szCs w:val="22"/>
                <w:color w:val="auto"/>
              </w:rPr>
            </w:pPr>
          </w:p>
        </w:tc>
        <w:tc>
          <w:tcPr>
            <w:tcW w:w="101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transaction, you must file a Securities Acquisition Report with the Ministry of Finance (“MOF”) through the</w:t>
            </w:r>
          </w:p>
        </w:tc>
      </w:tr>
      <w:tr>
        <w:trPr>
          <w:trHeight w:val="283"/>
        </w:trPr>
        <w:tc>
          <w:tcPr>
            <w:tcW w:w="1260" w:type="dxa"/>
            <w:vAlign w:val="bottom"/>
          </w:tcPr>
          <w:p>
            <w:pPr>
              <w:spacing w:after="0"/>
              <w:rPr>
                <w:sz w:val="24"/>
                <w:szCs w:val="24"/>
                <w:color w:val="auto"/>
              </w:rPr>
            </w:pPr>
          </w:p>
        </w:tc>
        <w:tc>
          <w:tcPr>
            <w:tcW w:w="101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Bank of Japan within 20 days of the exercise of the Shares.</w:t>
            </w:r>
          </w:p>
        </w:tc>
      </w:tr>
      <w:tr>
        <w:trPr>
          <w:trHeight w:val="103"/>
        </w:trPr>
        <w:tc>
          <w:tcPr>
            <w:tcW w:w="1260" w:type="dxa"/>
            <w:vAlign w:val="bottom"/>
            <w:tcBorders>
              <w:bottom w:val="single" w:sz="8" w:color="9A9A9A"/>
            </w:tcBorders>
          </w:tcPr>
          <w:p>
            <w:pPr>
              <w:spacing w:after="0"/>
              <w:rPr>
                <w:sz w:val="8"/>
                <w:szCs w:val="8"/>
                <w:color w:val="auto"/>
              </w:rPr>
            </w:pPr>
          </w:p>
        </w:tc>
        <w:tc>
          <w:tcPr>
            <w:tcW w:w="10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86" w:lineRule="exact"/>
        <w:rPr>
          <w:sz w:val="20"/>
          <w:szCs w:val="20"/>
          <w:color w:val="auto"/>
        </w:rPr>
      </w:pPr>
    </w:p>
    <w:p>
      <w:pPr>
        <w:ind w:left="1800" w:right="220" w:hanging="16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United Kingdom Settlement in Shares Only. </w:t>
      </w:r>
      <w:r>
        <w:rPr>
          <w:rFonts w:ascii="Times New Roman" w:cs="Times New Roman" w:eastAsia="Times New Roman" w:hAnsi="Times New Roman"/>
          <w:sz w:val="22"/>
          <w:szCs w:val="22"/>
          <w:color w:val="auto"/>
        </w:rPr>
        <w:t>Notwithstanding any discretion in the Plan, the RSU Agreement to the contrary,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of the Restricted Stock Units shall be in Shares only and not, in whole or in part, in the form of cash.</w:t>
      </w:r>
    </w:p>
    <w:p>
      <w:pPr>
        <w:spacing w:after="0" w:line="167" w:lineRule="exact"/>
        <w:rPr>
          <w:sz w:val="20"/>
          <w:szCs w:val="20"/>
          <w:color w:val="auto"/>
        </w:rPr>
      </w:pPr>
    </w:p>
    <w:p>
      <w:pPr>
        <w:ind w:left="1800"/>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Withholding of Tax. </w:t>
      </w:r>
      <w:r>
        <w:rPr>
          <w:rFonts w:ascii="Times New Roman" w:cs="Times New Roman" w:eastAsia="Times New Roman" w:hAnsi="Times New Roman"/>
          <w:sz w:val="22"/>
          <w:szCs w:val="22"/>
          <w:color w:val="auto"/>
        </w:rPr>
        <w:t>This provision supplements Section 5 of the RSU Agreement: If payment or 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Tax-Related Items is not made within ninety (90) days of the event giving rise to the Tax-Related Items (the “</w:t>
      </w:r>
      <w:r>
        <w:rPr>
          <w:rFonts w:ascii="Times New Roman" w:cs="Times New Roman" w:eastAsia="Times New Roman" w:hAnsi="Times New Roman"/>
          <w:sz w:val="22"/>
          <w:szCs w:val="22"/>
          <w:b w:val="1"/>
          <w:bCs w:val="1"/>
          <w:i w:val="1"/>
          <w:iCs w:val="1"/>
          <w:color w:val="auto"/>
        </w:rPr>
        <w:t>Due Date</w:t>
      </w:r>
      <w:r>
        <w:rPr>
          <w:rFonts w:ascii="Times New Roman" w:cs="Times New Roman" w:eastAsia="Times New Roman" w:hAnsi="Times New Roman"/>
          <w:sz w:val="22"/>
          <w:szCs w:val="22"/>
          <w:color w:val="auto"/>
        </w:rPr>
        <w:t>”) or such other period specified in Section 222(1)(c) of the U.K. Income Tax (Earnings and Pensions) Act 2003, the amount of any uncollected Tax-Related Items will constitute a loan owed by Participant to the Employer, effective on the Due Date. Participant agrees that the loan will bear interest at the then-current Official Rate of Her Majesty's Revenue and Customs (“</w:t>
      </w:r>
      <w:r>
        <w:rPr>
          <w:rFonts w:ascii="Times New Roman" w:cs="Times New Roman" w:eastAsia="Times New Roman" w:hAnsi="Times New Roman"/>
          <w:sz w:val="22"/>
          <w:szCs w:val="22"/>
          <w:b w:val="1"/>
          <w:bCs w:val="1"/>
          <w:i w:val="1"/>
          <w:iCs w:val="1"/>
          <w:color w:val="auto"/>
        </w:rPr>
        <w:t>HMRC</w:t>
      </w:r>
      <w:r>
        <w:rPr>
          <w:rFonts w:ascii="Times New Roman" w:cs="Times New Roman" w:eastAsia="Times New Roman" w:hAnsi="Times New Roman"/>
          <w:sz w:val="22"/>
          <w:szCs w:val="22"/>
          <w:color w:val="auto"/>
        </w:rPr>
        <w:t>”), it will be immediately due and repayable, and the Company or the employer may recover it at any time thereafter by any of the means referred to in Section 5 of the RSU Agreement. Notwithstanding</w:t>
      </w:r>
    </w:p>
    <w:p>
      <w:pPr>
        <w:sectPr>
          <w:pgSz w:w="11900" w:h="16838" w:orient="portrait"/>
          <w:cols w:equalWidth="0" w:num="1">
            <w:col w:w="11420"/>
          </w:cols>
          <w:pgMar w:left="240" w:top="419" w:right="239" w:bottom="1440" w:gutter="0" w:footer="0" w:header="0"/>
          <w:type w:val="continuous"/>
        </w:sectPr>
      </w:pPr>
    </w:p>
    <w:bookmarkStart w:id="66" w:name="page67"/>
    <w:bookmarkEnd w:id="66"/>
    <w:p>
      <w:pPr>
        <w:ind w:left="600"/>
        <w:spacing w:after="0" w:line="248" w:lineRule="auto"/>
        <w:rPr>
          <w:sz w:val="20"/>
          <w:szCs w:val="20"/>
          <w:color w:val="auto"/>
        </w:rPr>
      </w:pPr>
      <w:r>
        <w:rPr>
          <w:rFonts w:ascii="Times New Roman" w:cs="Times New Roman" w:eastAsia="Times New Roman" w:hAnsi="Times New Roman"/>
          <w:sz w:val="22"/>
          <w:szCs w:val="22"/>
          <w:color w:val="auto"/>
        </w:rPr>
        <w:t>the foregoing, if Participant is a director or executive officer of the Company (within the meaning of Section 13(k) of the U.S. Securities and Exchange Act of 1934, as amended), Participant will not be eligible for such a loan to cover the Tax-Related Items. In the event that Participant is a director or executive officer and the Tax-Related Items are not collected from or paid by Participant by the Due Date, the amount of any uncollected Tax-Related Items will constitute a benefit to Participant on which additional income tax and national insurance contributions will be payable. Participant will be responsible for reporting and paying any income tax due on this additional benefit directly to HMRC under the self-assessment regime.</w:t>
      </w:r>
    </w:p>
    <w:p>
      <w:pPr>
        <w:sectPr>
          <w:pgSz w:w="11900" w:h="16838" w:orient="portrait"/>
          <w:cols w:equalWidth="0" w:num="1">
            <w:col w:w="10140"/>
          </w:cols>
          <w:pgMar w:left="1440" w:top="369" w:right="31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LivePerson,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left="340" w:right="40" w:hanging="332"/>
        <w:spacing w:after="0" w:line="26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340" w:right="260" w:hanging="332"/>
        <w:spacing w:after="0" w:line="26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340" w:right="32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340" w:right="1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6, 2019</w:t>
            </w:r>
          </w:p>
        </w:tc>
        <w:tc>
          <w:tcPr>
            <w:tcW w:w="25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P. LOCASCIO</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560" w:type="dxa"/>
            <w:vAlign w:val="bottom"/>
            <w:vMerge w:val="restart"/>
          </w:tcPr>
          <w:p>
            <w:pPr>
              <w:ind w:left="1800"/>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560" w:type="dxa"/>
            <w:vAlign w:val="bottom"/>
            <w:vMerge w:val="continue"/>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LoCascio</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5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E. Greiner, certify that:</w:t>
      </w:r>
    </w:p>
    <w:p>
      <w:pPr>
        <w:spacing w:after="0" w:line="171"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LivePerson,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left="340" w:right="4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340" w:right="26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340" w:right="32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left="340" w:right="14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6, 2019</w:t>
            </w:r>
          </w:p>
        </w:tc>
        <w:tc>
          <w:tcPr>
            <w:tcW w:w="24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CHRISTOPHER E. GREINER</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440" w:type="dxa"/>
            <w:vAlign w:val="bottom"/>
            <w:vMerge w:val="restart"/>
          </w:tcPr>
          <w:p>
            <w:pPr>
              <w:ind w:left="1680"/>
              <w:spacing w:after="0"/>
              <w:rPr>
                <w:sz w:val="20"/>
                <w:szCs w:val="20"/>
                <w:color w:val="auto"/>
              </w:rPr>
            </w:pPr>
            <w:r>
              <w:rPr>
                <w:rFonts w:ascii="Times New Roman" w:cs="Times New Roman" w:eastAsia="Times New Roman" w:hAnsi="Times New Roman"/>
                <w:sz w:val="18"/>
                <w:szCs w:val="18"/>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440" w:type="dxa"/>
            <w:vAlign w:val="bottom"/>
            <w:vMerge w:val="continue"/>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E. Greiner</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Title:</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LoCascio, Chief Executive Officer of LivePerson, Inc. (the “Company”),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w:t>
      </w:r>
    </w:p>
    <w:p>
      <w:pPr>
        <w:spacing w:after="0" w:line="153" w:lineRule="exact"/>
        <w:rPr>
          <w:sz w:val="20"/>
          <w:szCs w:val="20"/>
          <w:color w:val="auto"/>
        </w:rPr>
      </w:pPr>
    </w:p>
    <w:p>
      <w:pPr>
        <w:ind w:left="660" w:right="30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March 31, 2019, as filed with the Securities and Exchange Commission (the “Report”),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6, 2019</w:t>
            </w: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P. LOCASCIO</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58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580" w:type="dxa"/>
            <w:vAlign w:val="bottom"/>
            <w:vMerge w:val="continue"/>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LoCascio</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25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E. Greiner, Chief Financial Officer of LivePerson, Inc. (the “Company”),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w:t>
      </w:r>
    </w:p>
    <w:p>
      <w:pPr>
        <w:spacing w:after="0" w:line="153" w:lineRule="exact"/>
        <w:rPr>
          <w:sz w:val="20"/>
          <w:szCs w:val="20"/>
          <w:color w:val="auto"/>
        </w:rPr>
      </w:pPr>
    </w:p>
    <w:p>
      <w:pPr>
        <w:ind w:left="660" w:right="30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March 31, 2019, as filed with the Securities and Exchange Commission (the “Report”),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May 6, 2019</w:t>
            </w:r>
          </w:p>
        </w:tc>
        <w:tc>
          <w:tcPr>
            <w:tcW w:w="26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CHRISTOPHER E. GREINER</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2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E. Greiner</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6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2"/>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4"/>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5"/>
    </w:lvl>
  </w:abstractNum>
  <w:abstractNum w:abstractNumId="9">
    <w:nsid w:val="22221A70"/>
    <w:multiLevelType w:val="hybridMultilevel"/>
    <w:lvl w:ilvl="0">
      <w:lvlJc w:val="left"/>
      <w:lvlText w:val="%1."/>
      <w:numFmt w:val="decimal"/>
      <w:start w:val="6"/>
    </w:lvl>
  </w:abstractNum>
  <w:abstractNum w:abstractNumId="10">
    <w:nsid w:val="4516DDE9"/>
    <w:multiLevelType w:val="hybridMultilevel"/>
    <w:lvl w:ilvl="0">
      <w:lvlJc w:val="left"/>
      <w:lvlText w:val="%1."/>
      <w:numFmt w:val="decimal"/>
      <w:start w:val="7"/>
    </w:lvl>
  </w:abstractNum>
  <w:abstractNum w:abstractNumId="11">
    <w:nsid w:val="3006C83E"/>
    <w:multiLevelType w:val="hybridMultilevel"/>
    <w:lvl w:ilvl="0">
      <w:lvlJc w:val="left"/>
      <w:lvlText w:val="%1."/>
      <w:numFmt w:val="decimal"/>
      <w:start w:val="8"/>
    </w:lvl>
  </w:abstractNum>
  <w:abstractNum w:abstractNumId="12">
    <w:nsid w:val="614FD4A1"/>
    <w:multiLevelType w:val="hybridMultilevel"/>
    <w:lvl w:ilvl="0">
      <w:lvlJc w:val="left"/>
      <w:lvlText w:val="%1."/>
      <w:numFmt w:val="decimal"/>
      <w:start w:val="9"/>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450"/>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2"/>
    </w:lvl>
  </w:abstractNum>
  <w:abstractNum w:abstractNumId="27">
    <w:nsid w:val="3855585C"/>
    <w:multiLevelType w:val="hybridMultilevel"/>
    <w:lvl w:ilvl="0">
      <w:lvlJc w:val="left"/>
      <w:lvlText w:val="%1."/>
      <w:numFmt w:val="decimal"/>
      <w:start w:val="3"/>
    </w:lvl>
  </w:abstractNum>
  <w:abstractNum w:abstractNumId="28">
    <w:nsid w:val="70A64E2A"/>
    <w:multiLevelType w:val="hybridMultilevel"/>
    <w:lvl w:ilvl="0">
      <w:lvlJc w:val="left"/>
      <w:lvlText w:val="%1."/>
      <w:numFmt w:val="decimal"/>
      <w:start w:val="4"/>
    </w:lvl>
    <w:lvl w:ilvl="1">
      <w:lvlJc w:val="left"/>
      <w:lvlText w:val="%2)"/>
      <w:numFmt w:val="lowerLetter"/>
      <w:start w:val="1"/>
    </w:lvl>
  </w:abstractNum>
  <w:abstractNum w:abstractNumId="29">
    <w:nsid w:val="6A2342EC"/>
    <w:multiLevelType w:val="hybridMultilevel"/>
    <w:lvl w:ilvl="0">
      <w:lvlJc w:val="left"/>
      <w:lvlText w:val="%1."/>
      <w:numFmt w:val="decimal"/>
      <w:start w:val="5"/>
    </w:lvl>
    <w:lvl w:ilvl="1">
      <w:lvlJc w:val="left"/>
      <w:lvlText w:val="%2)"/>
      <w:numFmt w:val="lowerLetter"/>
      <w:start w:val="1"/>
    </w:lvl>
  </w:abstractNum>
  <w:abstractNum w:abstractNumId="30">
    <w:nsid w:val="2A487CB0"/>
    <w:multiLevelType w:val="hybridMultilevel"/>
    <w:lvl w:ilvl="0">
      <w:lvlJc w:val="left"/>
      <w:lvlText w:val="%1."/>
      <w:numFmt w:val="decimal"/>
      <w:start w:val="7"/>
    </w:lvl>
  </w:abstractNum>
  <w:abstractNum w:abstractNumId="31">
    <w:nsid w:val="1D4ED43B"/>
    <w:multiLevelType w:val="hybridMultilevel"/>
    <w:lvl w:ilvl="0">
      <w:lvlJc w:val="left"/>
      <w:lvlText w:val="%1."/>
      <w:numFmt w:val="decimal"/>
      <w:start w:val="8"/>
    </w:lvl>
    <w:lvl w:ilvl="1">
      <w:lvlJc w:val="left"/>
      <w:lvlText w:val="%2)"/>
      <w:numFmt w:val="lowerLetter"/>
      <w:start w:val="1"/>
    </w:lvl>
  </w:abstractNum>
  <w:abstractNum w:abstractNumId="32">
    <w:nsid w:val="725A06FB"/>
    <w:multiLevelType w:val="hybridMultilevel"/>
    <w:lvl w:ilvl="0">
      <w:lvlJc w:val="left"/>
      <w:lvlText w:val="%1."/>
      <w:numFmt w:val="decimal"/>
      <w:start w:val="10"/>
    </w:lvl>
  </w:abstractNum>
  <w:abstractNum w:abstractNumId="33">
    <w:nsid w:val="2CD89A32"/>
    <w:multiLevelType w:val="hybridMultilevel"/>
    <w:lvl w:ilvl="0">
      <w:lvlJc w:val="left"/>
      <w:lvlText w:val="%1."/>
      <w:numFmt w:val="decimal"/>
      <w:start w:val="11"/>
    </w:lvl>
  </w:abstractNum>
  <w:abstractNum w:abstractNumId="34">
    <w:nsid w:val="57E4CCAF"/>
    <w:multiLevelType w:val="hybridMultilevel"/>
    <w:lvl w:ilvl="0">
      <w:lvlJc w:val="left"/>
      <w:lvlText w:val="%1."/>
      <w:numFmt w:val="decimal"/>
      <w:start w:val="12"/>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2"/>
    </w:lvl>
  </w:abstractNum>
  <w:abstractNum w:abstractNumId="37">
    <w:nsid w:val="542289EC"/>
    <w:multiLevelType w:val="hybridMultilevel"/>
    <w:lvl w:ilvl="0">
      <w:lvlJc w:val="left"/>
      <w:lvlText w:val="%1."/>
      <w:numFmt w:val="decimal"/>
      <w:start w:val="3"/>
    </w:lvl>
  </w:abstractNum>
  <w:abstractNum w:abstractNumId="38">
    <w:nsid w:val="6DE91B18"/>
    <w:multiLevelType w:val="hybridMultilevel"/>
    <w:lvl w:ilvl="0">
      <w:lvlJc w:val="left"/>
      <w:lvlText w:val="%1."/>
      <w:numFmt w:val="decimal"/>
      <w:start w:val="7"/>
    </w:lvl>
  </w:abstractNum>
  <w:abstractNum w:abstractNumId="39">
    <w:nsid w:val="38437FDB"/>
    <w:multiLevelType w:val="hybridMultilevel"/>
    <w:lvl w:ilvl="0">
      <w:lvlJc w:val="left"/>
      <w:lvlText w:val="%1."/>
      <w:numFmt w:val="decimal"/>
      <w:start w:val="9"/>
    </w:lvl>
  </w:abstractNum>
  <w:abstractNum w:abstractNumId="40">
    <w:nsid w:val="7644A45C"/>
    <w:multiLevelType w:val="hybridMultilevel"/>
    <w:lvl w:ilvl="0">
      <w:lvlJc w:val="left"/>
      <w:lvlText w:val="%1."/>
      <w:numFmt w:val="decimal"/>
      <w:start w:val="10"/>
    </w:lvl>
  </w:abstractNum>
  <w:abstractNum w:abstractNumId="41">
    <w:nsid w:val="32FFF902"/>
    <w:multiLevelType w:val="hybridMultilevel"/>
    <w:lvl w:ilvl="0">
      <w:lvlJc w:val="left"/>
      <w:lvlText w:val="%1."/>
      <w:numFmt w:val="decimal"/>
      <w:start w:val="12"/>
    </w:lvl>
  </w:abstractNum>
  <w:abstractNum w:abstractNumId="42">
    <w:nsid w:val="684A481A"/>
    <w:multiLevelType w:val="hybridMultilevel"/>
    <w:lvl w:ilvl="0">
      <w:lvlJc w:val="left"/>
      <w:lvlText w:val="%1"/>
      <w:numFmt w:val="decimal"/>
      <w:start w:val="1"/>
    </w:lvl>
    <w:lvl w:ilvl="1">
      <w:lvlJc w:val="left"/>
      <w:lvlText w:val="%2."/>
      <w:numFmt w:val="decimal"/>
      <w:start w:val="15"/>
    </w:lvl>
  </w:abstractNum>
  <w:abstractNum w:abstractNumId="43">
    <w:nsid w:val="579478FE"/>
    <w:multiLevelType w:val="hybridMultilevel"/>
    <w:lvl w:ilvl="0">
      <w:lvlJc w:val="left"/>
      <w:lvlText w:val="%1."/>
      <w:numFmt w:val="decimal"/>
      <w:start w:val="19"/>
    </w:lvl>
    <w:lvl w:ilvl="1">
      <w:lvlJc w:val="left"/>
      <w:lvlText w:val="%2"/>
      <w:numFmt w:val="decimal"/>
      <w:start w:val="1"/>
    </w:lvl>
  </w:abstractNum>
  <w:abstractNum w:abstractNumId="44">
    <w:nsid w:val="749ABB43"/>
    <w:multiLevelType w:val="hybridMultilevel"/>
    <w:lvl w:ilvl="0">
      <w:lvlJc w:val="left"/>
      <w:lvlText w:val="%1."/>
      <w:numFmt w:val="decimal"/>
      <w:start w:val="21"/>
    </w:lvl>
    <w:lvl w:ilvl="1">
      <w:lvlJc w:val="left"/>
      <w:lvlText w:val="%2."/>
      <w:numFmt w:val="decimal"/>
      <w:start w:val="23"/>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decimal"/>
      <w:start w:val="5"/>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5"/>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35" Type="http://schemas.openxmlformats.org/officeDocument/2006/relationships/hyperlink" Target="http://www.sec.gov/Archives/edgar/data/1102993/000110299319000026/exhibit41-indenture.htm" TargetMode="External"/><Relationship Id="rId38" Type="http://schemas.openxmlformats.org/officeDocument/2006/relationships/hyperlink" Target="http://www.sec.gov/Archives/edgar/data/1102993/000110299319000026/exhibit101-formofcappedc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2019-12-28T12:58:45Z</dcterms:created>
  <dcterms:modified xsi:type="dcterms:W3CDTF">2019-12-28T12:58:45Z</dcterms:modified>
</cp:coreProperties>
</file>