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left="4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ind w:left="400"/>
        <w:spacing w:after="0"/>
        <w:rPr>
          <w:sz w:val="20"/>
          <w:szCs w:val="20"/>
          <w:color w:val="auto"/>
        </w:rPr>
      </w:pPr>
      <w:r>
        <w:rPr>
          <w:rFonts w:ascii="Arial" w:cs="Arial" w:eastAsia="Arial" w:hAnsi="Arial"/>
          <w:sz w:val="27"/>
          <w:szCs w:val="27"/>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11" w:lineRule="exact"/>
        <w:rPr>
          <w:sz w:val="24"/>
          <w:szCs w:val="24"/>
          <w:color w:val="auto"/>
        </w:rPr>
      </w:pPr>
    </w:p>
    <w:p>
      <w:pPr>
        <w:ind w:left="1600" w:hanging="203"/>
        <w:spacing w:after="0"/>
        <w:tabs>
          <w:tab w:leader="none" w:pos="160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4"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For the quarterly period ended March 31, 2023</w:t>
      </w:r>
    </w:p>
    <w:p>
      <w:pPr>
        <w:spacing w:after="0" w:line="114"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or</w:t>
      </w:r>
    </w:p>
    <w:p>
      <w:pPr>
        <w:spacing w:after="0" w:line="111" w:lineRule="exact"/>
        <w:rPr>
          <w:sz w:val="24"/>
          <w:szCs w:val="24"/>
          <w:color w:val="auto"/>
        </w:rPr>
      </w:pPr>
    </w:p>
    <w:p>
      <w:pPr>
        <w:ind w:left="3700" w:right="1380" w:hanging="2311"/>
        <w:spacing w:after="0" w:line="416" w:lineRule="auto"/>
        <w:tabs>
          <w:tab w:leader="none" w:pos="158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For the transition period from __________ to __________.</w:t>
      </w:r>
    </w:p>
    <w:p>
      <w:pPr>
        <w:spacing w:after="0" w:line="2" w:lineRule="exact"/>
        <w:rPr>
          <w:rFonts w:ascii="MS PGothic" w:cs="MS PGothic" w:eastAsia="MS PGothic" w:hAnsi="MS PGothic"/>
          <w:sz w:val="16"/>
          <w:szCs w:val="16"/>
          <w:color w:val="auto"/>
        </w:rPr>
      </w:pPr>
    </w:p>
    <w:p>
      <w:pPr>
        <w:ind w:left="4460"/>
        <w:spacing w:after="0"/>
        <w:rPr>
          <w:rFonts w:ascii="MS PGothic" w:cs="MS PGothic" w:eastAsia="MS PGothic" w:hAnsi="MS PGothic"/>
          <w:sz w:val="16"/>
          <w:szCs w:val="16"/>
          <w:color w:val="auto"/>
        </w:rPr>
      </w:pPr>
      <w:r>
        <w:rPr>
          <w:rFonts w:ascii="Arial" w:cs="Arial" w:eastAsia="Arial" w:hAnsi="Arial"/>
          <w:sz w:val="17"/>
          <w:szCs w:val="17"/>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83820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96" w:lineRule="exact"/>
        <w:rPr>
          <w:sz w:val="24"/>
          <w:szCs w:val="24"/>
          <w:color w:val="auto"/>
        </w:rPr>
      </w:pPr>
    </w:p>
    <w:tbl>
      <w:tblPr>
        <w:tblLayout w:type="fixed"/>
        <w:tblInd w:w="760" w:type="dxa"/>
        <w:tblCellMar>
          <w:top w:w="0" w:type="dxa"/>
          <w:left w:w="0" w:type="dxa"/>
          <w:bottom w:w="0" w:type="dxa"/>
          <w:right w:w="0" w:type="dxa"/>
        </w:tblCellMar>
      </w:tblPr>
      <w:tr>
        <w:trPr>
          <w:trHeight w:val="321"/>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27"/>
                <w:szCs w:val="27"/>
                <w:b w:val="1"/>
                <w:bCs w:val="1"/>
                <w:color w:val="auto"/>
              </w:rPr>
              <w:t>LIVEPERSON,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6240" w:type="dxa"/>
            <w:vAlign w:val="bottom"/>
            <w:gridSpan w:val="6"/>
          </w:tcPr>
          <w:p>
            <w:pPr>
              <w:jc w:val="center"/>
              <w:ind w:right="2983"/>
              <w:spacing w:after="0"/>
              <w:rPr>
                <w:sz w:val="20"/>
                <w:szCs w:val="20"/>
                <w:color w:val="auto"/>
              </w:rPr>
            </w:pPr>
            <w:r>
              <w:rPr>
                <w:rFonts w:ascii="Arial" w:cs="Arial" w:eastAsia="Arial" w:hAnsi="Arial"/>
                <w:sz w:val="15"/>
                <w:szCs w:val="15"/>
                <w:color w:val="auto"/>
                <w:w w:val="93"/>
              </w:rPr>
              <w:t>(Exact name of registrant as specified in its charter)</w:t>
            </w:r>
          </w:p>
        </w:tc>
        <w:tc>
          <w:tcPr>
            <w:tcW w:w="0" w:type="dxa"/>
            <w:vAlign w:val="bottom"/>
          </w:tcPr>
          <w:p>
            <w:pPr>
              <w:spacing w:after="0"/>
              <w:rPr>
                <w:sz w:val="1"/>
                <w:szCs w:val="1"/>
                <w:color w:val="auto"/>
              </w:rPr>
            </w:pPr>
          </w:p>
        </w:tc>
      </w:tr>
      <w:tr>
        <w:trPr>
          <w:trHeight w:val="83"/>
        </w:trPr>
        <w:tc>
          <w:tcPr>
            <w:tcW w:w="3480" w:type="dxa"/>
            <w:vAlign w:val="bottom"/>
            <w:vMerge w:val="restart"/>
          </w:tcPr>
          <w:p>
            <w:pPr>
              <w:jc w:val="center"/>
              <w:ind w:left="903"/>
              <w:spacing w:after="0"/>
              <w:rPr>
                <w:sz w:val="20"/>
                <w:szCs w:val="20"/>
                <w:color w:val="auto"/>
              </w:rPr>
            </w:pPr>
            <w:r>
              <w:rPr>
                <w:rFonts w:ascii="Arial" w:cs="Arial" w:eastAsia="Arial" w:hAnsi="Arial"/>
                <w:sz w:val="15"/>
                <w:szCs w:val="15"/>
                <w:b w:val="1"/>
                <w:bCs w:val="1"/>
                <w:color w:val="auto"/>
                <w:w w:val="94"/>
              </w:rPr>
              <w:t>Delaware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0" w:type="dxa"/>
            <w:vAlign w:val="bottom"/>
            <w:vMerge w:val="restart"/>
          </w:tcPr>
          <w:p>
            <w:pPr>
              <w:jc w:val="right"/>
              <w:ind w:right="1363"/>
              <w:spacing w:after="0"/>
              <w:rPr>
                <w:sz w:val="20"/>
                <w:szCs w:val="20"/>
                <w:color w:val="auto"/>
              </w:rPr>
            </w:pPr>
            <w:r>
              <w:rPr>
                <w:rFonts w:ascii="Arial" w:cs="Arial" w:eastAsia="Arial" w:hAnsi="Arial"/>
                <w:sz w:val="15"/>
                <w:szCs w:val="15"/>
                <w:b w:val="1"/>
                <w:bCs w:val="1"/>
                <w:color w:val="auto"/>
              </w:rPr>
              <w:t>13-3861628</w:t>
            </w:r>
          </w:p>
        </w:tc>
        <w:tc>
          <w:tcPr>
            <w:tcW w:w="0" w:type="dxa"/>
            <w:vAlign w:val="bottom"/>
          </w:tcPr>
          <w:p>
            <w:pPr>
              <w:spacing w:after="0"/>
              <w:rPr>
                <w:sz w:val="1"/>
                <w:szCs w:val="1"/>
                <w:color w:val="auto"/>
              </w:rPr>
            </w:pPr>
          </w:p>
        </w:tc>
      </w:tr>
      <w:tr>
        <w:trPr>
          <w:trHeight w:val="361"/>
        </w:trPr>
        <w:tc>
          <w:tcPr>
            <w:tcW w:w="3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480" w:type="dxa"/>
            <w:vAlign w:val="bottom"/>
          </w:tcPr>
          <w:p>
            <w:pPr>
              <w:jc w:val="center"/>
              <w:ind w:left="903"/>
              <w:spacing w:after="0"/>
              <w:rPr>
                <w:sz w:val="20"/>
                <w:szCs w:val="20"/>
                <w:color w:val="auto"/>
              </w:rPr>
            </w:pPr>
            <w:r>
              <w:rPr>
                <w:rFonts w:ascii="Arial" w:cs="Arial" w:eastAsia="Arial" w:hAnsi="Arial"/>
                <w:sz w:val="15"/>
                <w:szCs w:val="15"/>
                <w:color w:val="auto"/>
                <w:w w:val="94"/>
              </w:rPr>
              <w:t>(State or other jurisdiction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tcPr>
          <w:p>
            <w:pPr>
              <w:ind w:left="520"/>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196"/>
        </w:trPr>
        <w:tc>
          <w:tcPr>
            <w:tcW w:w="3480" w:type="dxa"/>
            <w:vAlign w:val="bottom"/>
          </w:tcPr>
          <w:p>
            <w:pPr>
              <w:jc w:val="center"/>
              <w:ind w:left="903"/>
              <w:spacing w:after="0"/>
              <w:rPr>
                <w:sz w:val="20"/>
                <w:szCs w:val="20"/>
                <w:color w:val="auto"/>
              </w:rPr>
            </w:pPr>
            <w:r>
              <w:rPr>
                <w:rFonts w:ascii="Arial" w:cs="Arial" w:eastAsia="Arial" w:hAnsi="Arial"/>
                <w:sz w:val="15"/>
                <w:szCs w:val="15"/>
                <w:color w:val="auto"/>
                <w:w w:val="95"/>
              </w:rPr>
              <w:t>incorporation or organization)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3480" w:type="dxa"/>
            <w:vAlign w:val="bottom"/>
          </w:tcPr>
          <w:p>
            <w:pPr>
              <w:jc w:val="center"/>
              <w:ind w:left="903"/>
              <w:spacing w:after="0"/>
              <w:rPr>
                <w:sz w:val="20"/>
                <w:szCs w:val="20"/>
                <w:color w:val="auto"/>
              </w:rPr>
            </w:pPr>
            <w:r>
              <w:rPr>
                <w:rFonts w:ascii="Arial" w:cs="Arial" w:eastAsia="Arial" w:hAnsi="Arial"/>
                <w:sz w:val="15"/>
                <w:szCs w:val="15"/>
                <w:b w:val="1"/>
                <w:bCs w:val="1"/>
                <w:color w:val="auto"/>
                <w:w w:val="94"/>
              </w:rPr>
              <w:t>530 7th Ave, Floor M1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80" w:type="dxa"/>
            <w:vAlign w:val="bottom"/>
          </w:tcPr>
          <w:p>
            <w:pPr>
              <w:jc w:val="center"/>
              <w:ind w:left="903"/>
              <w:spacing w:after="0"/>
              <w:rPr>
                <w:sz w:val="20"/>
                <w:szCs w:val="20"/>
                <w:color w:val="auto"/>
              </w:rPr>
            </w:pPr>
            <w:r>
              <w:rPr>
                <w:rFonts w:ascii="Arial" w:cs="Arial" w:eastAsia="Arial" w:hAnsi="Arial"/>
                <w:sz w:val="15"/>
                <w:szCs w:val="15"/>
                <w:b w:val="1"/>
                <w:bCs w:val="1"/>
                <w:color w:val="auto"/>
                <w:w w:val="95"/>
              </w:rPr>
              <w:t>New York, New York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jc w:val="right"/>
              <w:ind w:right="1543"/>
              <w:spacing w:after="0"/>
              <w:rPr>
                <w:sz w:val="20"/>
                <w:szCs w:val="20"/>
                <w:color w:val="auto"/>
              </w:rPr>
            </w:pPr>
            <w:r>
              <w:rPr>
                <w:rFonts w:ascii="Arial" w:cs="Arial" w:eastAsia="Arial" w:hAnsi="Arial"/>
                <w:sz w:val="15"/>
                <w:szCs w:val="15"/>
                <w:b w:val="1"/>
                <w:bCs w:val="1"/>
                <w:color w:val="auto"/>
              </w:rPr>
              <w:t>10018</w:t>
            </w:r>
          </w:p>
        </w:tc>
        <w:tc>
          <w:tcPr>
            <w:tcW w:w="0" w:type="dxa"/>
            <w:vAlign w:val="bottom"/>
          </w:tcPr>
          <w:p>
            <w:pPr>
              <w:spacing w:after="0"/>
              <w:rPr>
                <w:sz w:val="1"/>
                <w:szCs w:val="1"/>
                <w:color w:val="auto"/>
              </w:rPr>
            </w:pPr>
          </w:p>
        </w:tc>
      </w:tr>
      <w:tr>
        <w:trPr>
          <w:trHeight w:val="232"/>
        </w:trPr>
        <w:tc>
          <w:tcPr>
            <w:tcW w:w="3480" w:type="dxa"/>
            <w:vAlign w:val="bottom"/>
          </w:tcPr>
          <w:p>
            <w:pPr>
              <w:jc w:val="center"/>
              <w:ind w:left="903"/>
              <w:spacing w:after="0"/>
              <w:rPr>
                <w:sz w:val="20"/>
                <w:szCs w:val="20"/>
                <w:color w:val="auto"/>
              </w:rPr>
            </w:pPr>
            <w:r>
              <w:rPr>
                <w:rFonts w:ascii="Arial" w:cs="Arial" w:eastAsia="Arial" w:hAnsi="Arial"/>
                <w:sz w:val="15"/>
                <w:szCs w:val="15"/>
                <w:color w:val="auto"/>
                <w:w w:val="95"/>
              </w:rPr>
              <w:t>(Address of principal executive offices)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tcPr>
          <w:p>
            <w:pPr>
              <w:ind w:left="1240"/>
              <w:spacing w:after="0"/>
              <w:rPr>
                <w:sz w:val="20"/>
                <w:szCs w:val="20"/>
                <w:color w:val="auto"/>
              </w:rPr>
            </w:pPr>
            <w:r>
              <w:rPr>
                <w:rFonts w:ascii="Arial" w:cs="Arial" w:eastAsia="Arial" w:hAnsi="Arial"/>
                <w:sz w:val="15"/>
                <w:szCs w:val="15"/>
                <w:color w:val="auto"/>
              </w:rPr>
              <w:t>(Zip Code)</w:t>
            </w:r>
          </w:p>
        </w:tc>
        <w:tc>
          <w:tcPr>
            <w:tcW w:w="0" w:type="dxa"/>
            <w:vAlign w:val="bottom"/>
          </w:tcPr>
          <w:p>
            <w:pPr>
              <w:spacing w:after="0"/>
              <w:rPr>
                <w:sz w:val="1"/>
                <w:szCs w:val="1"/>
                <w:color w:val="auto"/>
              </w:rPr>
            </w:pPr>
          </w:p>
        </w:tc>
      </w:tr>
      <w:tr>
        <w:trPr>
          <w:trHeight w:val="307"/>
        </w:trPr>
        <w:tc>
          <w:tcPr>
            <w:tcW w:w="3480" w:type="dxa"/>
            <w:vAlign w:val="bottom"/>
          </w:tcPr>
          <w:p>
            <w:pPr>
              <w:spacing w:after="0"/>
              <w:rPr>
                <w:sz w:val="24"/>
                <w:szCs w:val="24"/>
                <w:color w:val="auto"/>
              </w:rPr>
            </w:pPr>
          </w:p>
        </w:tc>
        <w:tc>
          <w:tcPr>
            <w:tcW w:w="2200" w:type="dxa"/>
            <w:vAlign w:val="bottom"/>
            <w:gridSpan w:val="3"/>
          </w:tcPr>
          <w:p>
            <w:pPr>
              <w:jc w:val="center"/>
              <w:ind w:left="898"/>
              <w:spacing w:after="0"/>
              <w:rPr>
                <w:sz w:val="20"/>
                <w:szCs w:val="20"/>
                <w:color w:val="auto"/>
              </w:rPr>
            </w:pPr>
            <w:r>
              <w:rPr>
                <w:rFonts w:ascii="Arial" w:cs="Arial" w:eastAsia="Arial" w:hAnsi="Arial"/>
                <w:sz w:val="17"/>
                <w:szCs w:val="17"/>
                <w:b w:val="1"/>
                <w:bCs w:val="1"/>
                <w:color w:val="auto"/>
                <w:w w:val="91"/>
              </w:rPr>
              <w:t>(212) 609-4200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720" w:type="dxa"/>
            <w:vAlign w:val="bottom"/>
            <w:gridSpan w:val="7"/>
          </w:tcPr>
          <w:p>
            <w:pPr>
              <w:jc w:val="center"/>
              <w:spacing w:after="0"/>
              <w:rPr>
                <w:sz w:val="20"/>
                <w:szCs w:val="20"/>
                <w:color w:val="auto"/>
              </w:rPr>
            </w:pPr>
            <w:r>
              <w:rPr>
                <w:rFonts w:ascii="Arial" w:cs="Arial" w:eastAsia="Arial" w:hAnsi="Arial"/>
                <w:sz w:val="15"/>
                <w:szCs w:val="15"/>
                <w:color w:val="auto"/>
                <w:w w:val="92"/>
              </w:rPr>
              <w:t>(Registrant’s telephone number, including area code)</w:t>
            </w:r>
          </w:p>
        </w:tc>
        <w:tc>
          <w:tcPr>
            <w:tcW w:w="0" w:type="dxa"/>
            <w:vAlign w:val="bottom"/>
          </w:tcPr>
          <w:p>
            <w:pPr>
              <w:spacing w:after="0"/>
              <w:rPr>
                <w:sz w:val="1"/>
                <w:szCs w:val="1"/>
                <w:color w:val="auto"/>
              </w:rPr>
            </w:pPr>
          </w:p>
        </w:tc>
      </w:tr>
      <w:tr>
        <w:trPr>
          <w:trHeight w:val="374"/>
        </w:trPr>
        <w:tc>
          <w:tcPr>
            <w:tcW w:w="9720" w:type="dxa"/>
            <w:vAlign w:val="bottom"/>
            <w:gridSpan w:val="7"/>
          </w:tcPr>
          <w:p>
            <w:pPr>
              <w:jc w:val="center"/>
              <w:spacing w:after="0"/>
              <w:rPr>
                <w:sz w:val="20"/>
                <w:szCs w:val="20"/>
                <w:color w:val="auto"/>
              </w:rPr>
            </w:pPr>
            <w:r>
              <w:rPr>
                <w:rFonts w:ascii="Arial" w:cs="Arial" w:eastAsia="Arial" w:hAnsi="Arial"/>
                <w:sz w:val="15"/>
                <w:szCs w:val="15"/>
                <w:color w:val="auto"/>
                <w:w w:val="93"/>
              </w:rPr>
              <w:t>Securities registered pursuant to Section 12(b) of the Act:</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4"/>
              </w:rPr>
              <w:t>Trading Symbol(s)</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480" w:type="dxa"/>
            <w:vAlign w:val="bottom"/>
          </w:tcPr>
          <w:p>
            <w:pPr>
              <w:jc w:val="center"/>
              <w:spacing w:after="0"/>
              <w:rPr>
                <w:sz w:val="20"/>
                <w:szCs w:val="20"/>
                <w:color w:val="auto"/>
              </w:rPr>
            </w:pPr>
            <w:r>
              <w:rPr>
                <w:rFonts w:ascii="Arial" w:cs="Arial" w:eastAsia="Arial" w:hAnsi="Arial"/>
                <w:sz w:val="15"/>
                <w:szCs w:val="15"/>
                <w:color w:val="auto"/>
                <w:w w:val="92"/>
              </w:rPr>
              <w:t>Common Stock, par value $0.001 per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jc w:val="center"/>
              <w:ind w:right="720"/>
              <w:spacing w:after="0"/>
              <w:rPr>
                <w:sz w:val="20"/>
                <w:szCs w:val="20"/>
                <w:color w:val="auto"/>
              </w:rPr>
            </w:pPr>
            <w:r>
              <w:rPr>
                <w:rFonts w:ascii="Arial" w:cs="Arial" w:eastAsia="Arial" w:hAnsi="Arial"/>
                <w:sz w:val="15"/>
                <w:szCs w:val="15"/>
                <w:color w:val="auto"/>
                <w:w w:val="96"/>
              </w:rPr>
              <w:t>LPSN</w:t>
            </w:r>
          </w:p>
        </w:tc>
        <w:tc>
          <w:tcPr>
            <w:tcW w:w="3400" w:type="dxa"/>
            <w:vAlign w:val="bottom"/>
          </w:tcPr>
          <w:p>
            <w:pPr>
              <w:ind w:left="540"/>
              <w:spacing w:after="0"/>
              <w:rPr>
                <w:sz w:val="20"/>
                <w:szCs w:val="20"/>
                <w:color w:val="auto"/>
              </w:rPr>
            </w:pPr>
            <w:r>
              <w:rPr>
                <w:rFonts w:ascii="Arial" w:cs="Arial" w:eastAsia="Arial" w:hAnsi="Arial"/>
                <w:sz w:val="15"/>
                <w:szCs w:val="15"/>
                <w:color w:val="auto"/>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2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6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1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560" w:type="dxa"/>
            <w:vAlign w:val="bottom"/>
          </w:tcPr>
          <w:p>
            <w:pPr>
              <w:ind w:left="130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20" w:type="dxa"/>
            <w:vAlign w:val="bottom"/>
          </w:tcPr>
          <w:p>
            <w:pPr>
              <w:spacing w:after="0"/>
              <w:rPr>
                <w:sz w:val="20"/>
                <w:szCs w:val="20"/>
                <w:color w:val="auto"/>
              </w:rPr>
            </w:pPr>
            <w:r>
              <w:rPr>
                <w:rFonts w:ascii="Arial" w:cs="Arial" w:eastAsia="Arial" w:hAnsi="Arial"/>
                <w:sz w:val="15"/>
                <w:szCs w:val="15"/>
                <w:color w:val="auto"/>
              </w:rPr>
              <w:t>Non-accelerated Filer</w:t>
            </w:r>
          </w:p>
        </w:tc>
        <w:tc>
          <w:tcPr>
            <w:tcW w:w="21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560" w:type="dxa"/>
            <w:vAlign w:val="bottom"/>
          </w:tcPr>
          <w:p>
            <w:pPr>
              <w:ind w:left="130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60" w:type="dxa"/>
            <w:vAlign w:val="bottom"/>
          </w:tcPr>
          <w:p>
            <w:pPr>
              <w:ind w:left="1300"/>
              <w:spacing w:after="0"/>
              <w:rPr>
                <w:sz w:val="20"/>
                <w:szCs w:val="20"/>
                <w:color w:val="auto"/>
              </w:rPr>
            </w:pPr>
            <w:r>
              <w:rPr>
                <w:rFonts w:ascii="Arial" w:cs="Arial" w:eastAsia="Arial" w:hAnsi="Arial"/>
                <w:sz w:val="15"/>
                <w:szCs w:val="15"/>
                <w:color w:val="auto"/>
              </w:rPr>
              <w:t>Emerging Growth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0" w:lineRule="exact"/>
        <w:rPr>
          <w:sz w:val="24"/>
          <w:szCs w:val="24"/>
          <w:color w:val="auto"/>
        </w:rPr>
      </w:pPr>
    </w:p>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right="250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On May 5, 2023, 78,964,573 shares of the registrant’s common stock were outstanding.</w:t>
      </w:r>
    </w:p>
    <w:p>
      <w:pPr>
        <w:spacing w:after="0" w:line="200" w:lineRule="exact"/>
        <w:rPr>
          <w:sz w:val="24"/>
          <w:szCs w:val="24"/>
          <w:color w:val="auto"/>
        </w:rPr>
      </w:pPr>
    </w:p>
    <w:p>
      <w:pPr>
        <w:spacing w:after="0" w:line="357" w:lineRule="exact"/>
        <w:rPr>
          <w:sz w:val="24"/>
          <w:szCs w:val="24"/>
          <w:color w:val="auto"/>
        </w:rPr>
      </w:pPr>
    </w:p>
    <w:p>
      <w:pPr>
        <w:jc w:val="center"/>
        <w:ind w:left="4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7"/>
          <w:szCs w:val="17"/>
          <w:b w:val="1"/>
          <w:bCs w:val="1"/>
          <w:color w:val="auto"/>
        </w:rPr>
        <w:t>LIVEPERSON, INC.</w:t>
      </w:r>
    </w:p>
    <w:p>
      <w:pPr>
        <w:spacing w:after="0" w:line="2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FORM 10-Q FOR THE PERIOD ENDED MARCH 31, 2023</w:t>
      </w:r>
    </w:p>
    <w:p>
      <w:pPr>
        <w:spacing w:after="0" w:line="14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5"/>
                <w:szCs w:val="15"/>
                <w:b w:val="1"/>
                <w:bCs w:val="1"/>
                <w:color w:val="auto"/>
              </w:rPr>
              <w:t>Page</w:t>
            </w:r>
          </w:p>
        </w:tc>
      </w:tr>
      <w:tr>
        <w:trPr>
          <w:trHeight w:val="166"/>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Borders>
              <w:bottom w:val="single" w:sz="8" w:color="0000FF"/>
            </w:tcBorders>
            <w:gridSpan w:val="7"/>
          </w:tcPr>
          <w:p>
            <w:pPr>
              <w:jc w:val="center"/>
              <w:spacing w:after="0" w:line="167" w:lineRule="exact"/>
              <w:rPr>
                <w:sz w:val="20"/>
                <w:szCs w:val="20"/>
                <w:color w:val="auto"/>
              </w:rPr>
            </w:pPr>
            <w:r>
              <w:rPr>
                <w:rFonts w:ascii="Arial" w:cs="Arial" w:eastAsia="Arial" w:hAnsi="Arial"/>
                <w:sz w:val="15"/>
                <w:szCs w:val="15"/>
                <w:b w:val="1"/>
                <w:bCs w:val="1"/>
                <w:color w:val="0000FF"/>
                <w:w w:val="98"/>
              </w:rPr>
              <w:t>PART I. Financial Information</w:t>
            </w:r>
          </w:p>
        </w:tc>
        <w:tc>
          <w:tcPr>
            <w:tcW w:w="3660" w:type="dxa"/>
            <w:vAlign w:val="bottom"/>
            <w:gridSpan w:val="4"/>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93"/>
        </w:trPr>
        <w:tc>
          <w:tcPr>
            <w:tcW w:w="1060" w:type="dxa"/>
            <w:vAlign w:val="bottom"/>
            <w:gridSpan w:val="2"/>
          </w:tcPr>
          <w:p>
            <w:pPr>
              <w:spacing w:after="0"/>
              <w:rPr>
                <w:sz w:val="20"/>
                <w:szCs w:val="20"/>
                <w:color w:val="auto"/>
              </w:rPr>
            </w:pPr>
            <w:r>
              <w:rPr>
                <w:rFonts w:ascii="Arial" w:cs="Arial" w:eastAsia="Arial" w:hAnsi="Arial"/>
                <w:sz w:val="15"/>
                <w:szCs w:val="15"/>
                <w:color w:val="auto"/>
              </w:rPr>
              <w:t>Item 1.</w:t>
            </w:r>
          </w:p>
        </w:tc>
        <w:tc>
          <w:tcPr>
            <w:tcW w:w="212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w w:val="92"/>
              </w:rPr>
              <w:t>Financial Statements (Unaudited):</w:t>
            </w:r>
          </w:p>
        </w:tc>
        <w:tc>
          <w:tcPr>
            <w:tcW w:w="7220" w:type="dxa"/>
            <w:vAlign w:val="bottom"/>
            <w:gridSpan w:val="13"/>
          </w:tcPr>
          <w:p>
            <w:pPr>
              <w:spacing w:after="0"/>
              <w:rPr>
                <w:sz w:val="24"/>
                <w:szCs w:val="24"/>
                <w:color w:val="auto"/>
              </w:rPr>
            </w:pPr>
          </w:p>
        </w:tc>
        <w:tc>
          <w:tcPr>
            <w:tcW w:w="560" w:type="dxa"/>
            <w:vAlign w:val="bottom"/>
            <w:gridSpan w:val="2"/>
          </w:tcPr>
          <w:p>
            <w:pPr>
              <w:spacing w:after="0"/>
              <w:rPr>
                <w:sz w:val="24"/>
                <w:szCs w:val="24"/>
                <w:color w:val="auto"/>
              </w:rPr>
            </w:pP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40" w:type="dxa"/>
            <w:vAlign w:val="bottom"/>
          </w:tcPr>
          <w:p>
            <w:pPr>
              <w:spacing w:after="0"/>
              <w:rPr>
                <w:sz w:val="24"/>
                <w:szCs w:val="24"/>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40" w:type="dxa"/>
            <w:vAlign w:val="bottom"/>
            <w:gridSpan w:val="20"/>
          </w:tcPr>
          <w:p>
            <w:pPr>
              <w:spacing w:after="0"/>
              <w:rPr>
                <w:sz w:val="20"/>
                <w:szCs w:val="20"/>
                <w:color w:val="auto"/>
              </w:rPr>
            </w:pPr>
            <w:r>
              <w:rPr>
                <w:rFonts w:ascii="Arial" w:cs="Arial" w:eastAsia="Arial" w:hAnsi="Arial"/>
                <w:sz w:val="15"/>
                <w:szCs w:val="15"/>
                <w:color w:val="0000FF"/>
              </w:rPr>
              <w:t>Condensed Consolidated Balance Sheets as of March 31, 2023 and December 31, 2022</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6</w:t>
            </w:r>
          </w:p>
        </w:tc>
        <w:tc>
          <w:tcPr>
            <w:tcW w:w="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0" w:type="dxa"/>
            <w:vAlign w:val="bottom"/>
            <w:tcBorders>
              <w:bottom w:val="single" w:sz="8" w:color="0000FF"/>
            </w:tcBorders>
            <w:gridSpan w:val="18"/>
          </w:tcPr>
          <w:p>
            <w:pPr>
              <w:spacing w:after="0"/>
              <w:rPr>
                <w:sz w:val="20"/>
                <w:szCs w:val="20"/>
                <w:color w:val="auto"/>
              </w:rPr>
            </w:pPr>
            <w:r>
              <w:rPr>
                <w:rFonts w:ascii="Arial" w:cs="Arial" w:eastAsia="Arial" w:hAnsi="Arial"/>
                <w:sz w:val="15"/>
                <w:szCs w:val="15"/>
                <w:color w:val="0000FF"/>
                <w:w w:val="92"/>
              </w:rPr>
              <w:t>Condensed Consolidated Statements of Operations for the Three Months Ended March 31, 2023 and 2022</w:t>
            </w:r>
          </w:p>
        </w:tc>
        <w:tc>
          <w:tcPr>
            <w:tcW w:w="2740" w:type="dxa"/>
            <w:vAlign w:val="bottom"/>
            <w:gridSpan w:val="2"/>
          </w:tcPr>
          <w:p>
            <w:pPr>
              <w:spacing w:after="0"/>
              <w:rPr>
                <w:sz w:val="16"/>
                <w:szCs w:val="16"/>
                <w:color w:val="auto"/>
              </w:rPr>
            </w:pPr>
          </w:p>
        </w:tc>
        <w:tc>
          <w:tcPr>
            <w:tcW w:w="560" w:type="dxa"/>
            <w:vAlign w:val="bottom"/>
            <w:gridSpan w:val="2"/>
          </w:tcPr>
          <w:p>
            <w:pPr>
              <w:spacing w:after="0"/>
              <w:rPr>
                <w:sz w:val="16"/>
                <w:szCs w:val="16"/>
                <w:color w:val="auto"/>
              </w:rPr>
            </w:pP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c>
          <w:tcPr>
            <w:tcW w:w="40" w:type="dxa"/>
            <w:vAlign w:val="bottom"/>
          </w:tcPr>
          <w:p>
            <w:pPr>
              <w:spacing w:after="0"/>
              <w:rPr>
                <w:sz w:val="16"/>
                <w:szCs w:val="16"/>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180" w:type="dxa"/>
            <w:vAlign w:val="bottom"/>
            <w:gridSpan w:val="19"/>
          </w:tcPr>
          <w:p>
            <w:pPr>
              <w:spacing w:after="0"/>
              <w:rPr>
                <w:sz w:val="20"/>
                <w:szCs w:val="20"/>
                <w:color w:val="auto"/>
              </w:rPr>
            </w:pPr>
            <w:r>
              <w:rPr>
                <w:rFonts w:ascii="Arial" w:cs="Arial" w:eastAsia="Arial" w:hAnsi="Arial"/>
                <w:sz w:val="15"/>
                <w:szCs w:val="15"/>
                <w:color w:val="0000FF"/>
                <w:w w:val="91"/>
              </w:rPr>
              <w:t>Condensed Consolidated Statements of Comprehensive Loss for the Three Months Ended March 31, 2023 and 2022</w:t>
            </w:r>
          </w:p>
        </w:tc>
        <w:tc>
          <w:tcPr>
            <w:tcW w:w="216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0000FF"/>
              </w:rPr>
              <w:t>8</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180" w:type="dxa"/>
            <w:vAlign w:val="bottom"/>
            <w:gridSpan w:val="19"/>
          </w:tcPr>
          <w:p>
            <w:pPr>
              <w:spacing w:after="0"/>
              <w:rPr>
                <w:sz w:val="20"/>
                <w:szCs w:val="20"/>
                <w:color w:val="auto"/>
              </w:rPr>
            </w:pPr>
            <w:r>
              <w:rPr>
                <w:rFonts w:ascii="Arial" w:cs="Arial" w:eastAsia="Arial" w:hAnsi="Arial"/>
                <w:sz w:val="15"/>
                <w:szCs w:val="15"/>
                <w:color w:val="0000FF"/>
                <w:w w:val="92"/>
              </w:rPr>
              <w:t>Condensed Consolidated Statements of Stockholders’ Equity for the Three Months Ended March 31, 2023 and 2022</w:t>
            </w:r>
          </w:p>
        </w:tc>
        <w:tc>
          <w:tcPr>
            <w:tcW w:w="216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0000FF"/>
              </w:rPr>
              <w:t>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180" w:type="dxa"/>
            <w:vAlign w:val="bottom"/>
            <w:tcBorders>
              <w:bottom w:val="single" w:sz="8" w:color="0000FF"/>
            </w:tcBorders>
            <w:gridSpan w:val="19"/>
          </w:tcPr>
          <w:p>
            <w:pPr>
              <w:spacing w:after="0"/>
              <w:rPr>
                <w:sz w:val="20"/>
                <w:szCs w:val="20"/>
                <w:color w:val="auto"/>
              </w:rPr>
            </w:pPr>
            <w:r>
              <w:rPr>
                <w:rFonts w:ascii="Arial" w:cs="Arial" w:eastAsia="Arial" w:hAnsi="Arial"/>
                <w:sz w:val="15"/>
                <w:szCs w:val="15"/>
                <w:color w:val="0000FF"/>
              </w:rPr>
              <w:t>Condensed Consolidated Statements of Cash Flows for the Three Months Ended March 31, 2023 and 2022</w:t>
            </w:r>
          </w:p>
        </w:tc>
        <w:tc>
          <w:tcPr>
            <w:tcW w:w="2160" w:type="dxa"/>
            <w:vAlign w:val="bottom"/>
            <w:tcBorders>
              <w:bottom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10</w:t>
            </w:r>
          </w:p>
        </w:tc>
        <w:tc>
          <w:tcPr>
            <w:tcW w:w="40" w:type="dxa"/>
            <w:vAlign w:val="bottom"/>
          </w:tcPr>
          <w:p>
            <w:pPr>
              <w:spacing w:after="0"/>
              <w:rPr>
                <w:sz w:val="16"/>
                <w:szCs w:val="16"/>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40" w:type="dxa"/>
            <w:vAlign w:val="bottom"/>
            <w:gridSpan w:val="20"/>
          </w:tcPr>
          <w:p>
            <w:pPr>
              <w:spacing w:after="0"/>
              <w:rPr>
                <w:sz w:val="20"/>
                <w:szCs w:val="20"/>
                <w:color w:val="auto"/>
              </w:rPr>
            </w:pPr>
            <w:r>
              <w:rPr>
                <w:rFonts w:ascii="Arial" w:cs="Arial" w:eastAsia="Arial" w:hAnsi="Arial"/>
                <w:sz w:val="15"/>
                <w:szCs w:val="15"/>
                <w:color w:val="0000FF"/>
              </w:rPr>
              <w:t>Notes to Condensed Consolidated Financial Statements</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12</w:t>
            </w:r>
          </w:p>
        </w:tc>
        <w:tc>
          <w:tcPr>
            <w:tcW w:w="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2.</w:t>
            </w:r>
          </w:p>
        </w:tc>
        <w:tc>
          <w:tcPr>
            <w:tcW w:w="554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w w:val="93"/>
              </w:rPr>
              <w:t>Management’s Discussion and Analysis of Financial Condition and Results of Operations</w:t>
            </w:r>
          </w:p>
        </w:tc>
        <w:tc>
          <w:tcPr>
            <w:tcW w:w="3800" w:type="dxa"/>
            <w:vAlign w:val="bottom"/>
            <w:gridSpan w:val="6"/>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45</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3.</w:t>
            </w:r>
          </w:p>
        </w:tc>
        <w:tc>
          <w:tcPr>
            <w:tcW w:w="3720" w:type="dxa"/>
            <w:vAlign w:val="bottom"/>
            <w:gridSpan w:val="11"/>
          </w:tcPr>
          <w:p>
            <w:pPr>
              <w:spacing w:after="0"/>
              <w:rPr>
                <w:sz w:val="20"/>
                <w:szCs w:val="20"/>
                <w:color w:val="auto"/>
              </w:rPr>
            </w:pPr>
            <w:r>
              <w:rPr>
                <w:rFonts w:ascii="Arial" w:cs="Arial" w:eastAsia="Arial" w:hAnsi="Arial"/>
                <w:sz w:val="15"/>
                <w:szCs w:val="15"/>
                <w:color w:val="0000FF"/>
                <w:w w:val="94"/>
              </w:rPr>
              <w:t>Quantitative and Qualitative Disclosures about Market Risk</w:t>
            </w:r>
          </w:p>
        </w:tc>
        <w:tc>
          <w:tcPr>
            <w:tcW w:w="5620" w:type="dxa"/>
            <w:vAlign w:val="bottom"/>
            <w:gridSpan w:val="9"/>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0000FF"/>
              </w:rPr>
              <w:t>63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4.</w:t>
            </w:r>
          </w:p>
        </w:tc>
        <w:tc>
          <w:tcPr>
            <w:tcW w:w="3720" w:type="dxa"/>
            <w:vAlign w:val="bottom"/>
            <w:gridSpan w:val="11"/>
          </w:tcPr>
          <w:p>
            <w:pPr>
              <w:spacing w:after="0"/>
              <w:rPr>
                <w:sz w:val="20"/>
                <w:szCs w:val="20"/>
                <w:color w:val="auto"/>
              </w:rPr>
            </w:pPr>
            <w:r>
              <w:rPr>
                <w:rFonts w:ascii="Arial" w:cs="Arial" w:eastAsia="Arial" w:hAnsi="Arial"/>
                <w:sz w:val="15"/>
                <w:szCs w:val="15"/>
                <w:color w:val="0000FF"/>
              </w:rPr>
              <w:t>Controls and Procedures</w:t>
            </w:r>
          </w:p>
        </w:tc>
        <w:tc>
          <w:tcPr>
            <w:tcW w:w="5620" w:type="dxa"/>
            <w:vAlign w:val="bottom"/>
            <w:gridSpan w:val="9"/>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65</w:t>
            </w:r>
          </w:p>
        </w:tc>
        <w:tc>
          <w:tcPr>
            <w:tcW w:w="40" w:type="dxa"/>
            <w:vAlign w:val="bottom"/>
          </w:tcPr>
          <w:p>
            <w:pPr>
              <w:spacing w:after="0"/>
              <w:rPr>
                <w:sz w:val="16"/>
                <w:szCs w:val="16"/>
                <w:color w:val="auto"/>
              </w:rPr>
            </w:pPr>
          </w:p>
        </w:tc>
      </w:t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40" w:type="dxa"/>
            <w:vAlign w:val="bottom"/>
            <w:gridSpan w:val="10"/>
          </w:tcPr>
          <w:p>
            <w:pPr>
              <w:jc w:val="center"/>
              <w:ind w:right="3740"/>
              <w:spacing w:after="0"/>
              <w:rPr>
                <w:sz w:val="20"/>
                <w:szCs w:val="20"/>
                <w:color w:val="auto"/>
              </w:rPr>
            </w:pPr>
            <w:r>
              <w:rPr>
                <w:rFonts w:ascii="Arial" w:cs="Arial" w:eastAsia="Arial" w:hAnsi="Arial"/>
                <w:sz w:val="15"/>
                <w:szCs w:val="15"/>
                <w:b w:val="1"/>
                <w:bCs w:val="1"/>
                <w:color w:val="0000FF"/>
                <w:w w:val="98"/>
              </w:rPr>
              <w:t>PART II. Other Information</w:t>
            </w:r>
          </w:p>
        </w:tc>
        <w:tc>
          <w:tcPr>
            <w:tcW w:w="54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1.</w:t>
            </w:r>
          </w:p>
        </w:tc>
        <w:tc>
          <w:tcPr>
            <w:tcW w:w="114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0"/>
              </w:rPr>
              <w:t>Legal Proceedings</w:t>
            </w:r>
          </w:p>
        </w:tc>
        <w:tc>
          <w:tcPr>
            <w:tcW w:w="2580" w:type="dxa"/>
            <w:vAlign w:val="bottom"/>
            <w:gridSpan w:val="7"/>
          </w:tcPr>
          <w:p>
            <w:pPr>
              <w:spacing w:after="0"/>
              <w:rPr>
                <w:sz w:val="16"/>
                <w:szCs w:val="16"/>
                <w:color w:val="auto"/>
              </w:rPr>
            </w:pPr>
          </w:p>
        </w:tc>
        <w:tc>
          <w:tcPr>
            <w:tcW w:w="1860" w:type="dxa"/>
            <w:vAlign w:val="bottom"/>
            <w:tcBorders>
              <w:top w:val="single" w:sz="8" w:color="0000FF"/>
            </w:tcBorders>
            <w:gridSpan w:val="4"/>
          </w:tcPr>
          <w:p>
            <w:pPr>
              <w:spacing w:after="0"/>
              <w:rPr>
                <w:sz w:val="16"/>
                <w:szCs w:val="16"/>
                <w:color w:val="auto"/>
              </w:rPr>
            </w:pPr>
          </w:p>
        </w:tc>
        <w:tc>
          <w:tcPr>
            <w:tcW w:w="3760" w:type="dxa"/>
            <w:vAlign w:val="bottom"/>
            <w:gridSpan w:val="5"/>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65</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1A.</w:t>
            </w: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w w:val="91"/>
              </w:rPr>
              <w:t>Risk Factors</w:t>
            </w:r>
          </w:p>
        </w:tc>
        <w:tc>
          <w:tcPr>
            <w:tcW w:w="8560" w:type="dxa"/>
            <w:vAlign w:val="bottom"/>
            <w:gridSpan w:val="18"/>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67</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2.</w:t>
            </w:r>
          </w:p>
        </w:tc>
        <w:tc>
          <w:tcPr>
            <w:tcW w:w="3740" w:type="dxa"/>
            <w:vAlign w:val="bottom"/>
            <w:tcBorders>
              <w:bottom w:val="single" w:sz="8" w:color="0000FF"/>
            </w:tcBorders>
            <w:gridSpan w:val="12"/>
          </w:tcPr>
          <w:p>
            <w:pPr>
              <w:spacing w:after="0"/>
              <w:rPr>
                <w:sz w:val="20"/>
                <w:szCs w:val="20"/>
                <w:color w:val="auto"/>
              </w:rPr>
            </w:pPr>
            <w:r>
              <w:rPr>
                <w:rFonts w:ascii="Arial" w:cs="Arial" w:eastAsia="Arial" w:hAnsi="Arial"/>
                <w:sz w:val="15"/>
                <w:szCs w:val="15"/>
                <w:color w:val="0000FF"/>
                <w:w w:val="91"/>
              </w:rPr>
              <w:t>Unregistered Sales of Equity Securities and Use of Proceeds</w:t>
            </w:r>
          </w:p>
        </w:tc>
        <w:tc>
          <w:tcPr>
            <w:tcW w:w="560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67</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3.</w:t>
            </w:r>
          </w:p>
        </w:tc>
        <w:tc>
          <w:tcPr>
            <w:tcW w:w="200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w w:val="93"/>
              </w:rPr>
              <w:t>Defaults Upon Senior Securities</w:t>
            </w:r>
          </w:p>
        </w:tc>
        <w:tc>
          <w:tcPr>
            <w:tcW w:w="7340" w:type="dxa"/>
            <w:vAlign w:val="bottom"/>
            <w:gridSpan w:val="14"/>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67</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4.</w:t>
            </w:r>
          </w:p>
        </w:tc>
        <w:tc>
          <w:tcPr>
            <w:tcW w:w="9340" w:type="dxa"/>
            <w:vAlign w:val="bottom"/>
            <w:tcBorders>
              <w:bottom w:val="single" w:sz="8" w:color="0000FF"/>
            </w:tcBorders>
            <w:gridSpan w:val="20"/>
          </w:tcPr>
          <w:p>
            <w:pPr>
              <w:spacing w:after="0"/>
              <w:rPr>
                <w:sz w:val="20"/>
                <w:szCs w:val="20"/>
                <w:color w:val="auto"/>
              </w:rPr>
            </w:pPr>
            <w:r>
              <w:rPr>
                <w:rFonts w:ascii="Arial" w:cs="Arial" w:eastAsia="Arial" w:hAnsi="Arial"/>
                <w:sz w:val="15"/>
                <w:szCs w:val="15"/>
                <w:color w:val="0000FF"/>
              </w:rPr>
              <w:t>Mine Safety Disclosures</w:t>
            </w:r>
          </w:p>
        </w:tc>
        <w:tc>
          <w:tcPr>
            <w:tcW w:w="540" w:type="dxa"/>
            <w:vAlign w:val="bottom"/>
          </w:tcPr>
          <w:p>
            <w:pPr>
              <w:spacing w:after="0"/>
              <w:rPr>
                <w:sz w:val="16"/>
                <w:szCs w:val="16"/>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67</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5.</w:t>
            </w:r>
          </w:p>
        </w:tc>
        <w:tc>
          <w:tcPr>
            <w:tcW w:w="9340" w:type="dxa"/>
            <w:vAlign w:val="bottom"/>
            <w:gridSpan w:val="20"/>
          </w:tcPr>
          <w:p>
            <w:pPr>
              <w:spacing w:after="0"/>
              <w:rPr>
                <w:sz w:val="20"/>
                <w:szCs w:val="20"/>
                <w:color w:val="auto"/>
              </w:rPr>
            </w:pPr>
            <w:r>
              <w:rPr>
                <w:rFonts w:ascii="Arial" w:cs="Arial" w:eastAsia="Arial" w:hAnsi="Arial"/>
                <w:sz w:val="15"/>
                <w:szCs w:val="15"/>
                <w:color w:val="0000FF"/>
              </w:rPr>
              <w:t>Other Information</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67</w:t>
            </w:r>
          </w:p>
        </w:tc>
        <w:tc>
          <w:tcPr>
            <w:tcW w:w="40" w:type="dxa"/>
            <w:vAlign w:val="bottom"/>
          </w:tcPr>
          <w:p>
            <w:pPr>
              <w:spacing w:after="0"/>
              <w:rPr>
                <w:sz w:val="16"/>
                <w:szCs w:val="16"/>
                <w:color w:val="auto"/>
              </w:rPr>
            </w:pPr>
          </w:p>
        </w:tc>
      </w:tr>
      <w:tr>
        <w:trPr>
          <w:trHeight w:val="186"/>
        </w:trPr>
        <w:tc>
          <w:tcPr>
            <w:tcW w:w="1060" w:type="dxa"/>
            <w:vAlign w:val="bottom"/>
            <w:gridSpan w:val="2"/>
          </w:tcPr>
          <w:p>
            <w:pPr>
              <w:spacing w:after="0"/>
              <w:rPr>
                <w:sz w:val="20"/>
                <w:szCs w:val="20"/>
                <w:color w:val="auto"/>
              </w:rPr>
            </w:pPr>
            <w:r>
              <w:rPr>
                <w:rFonts w:ascii="Arial" w:cs="Arial" w:eastAsia="Arial" w:hAnsi="Arial"/>
                <w:sz w:val="15"/>
                <w:szCs w:val="15"/>
                <w:color w:val="auto"/>
              </w:rPr>
              <w:t>Item 6.</w:t>
            </w:r>
          </w:p>
        </w:tc>
        <w:tc>
          <w:tcPr>
            <w:tcW w:w="1120" w:type="dxa"/>
            <w:vAlign w:val="bottom"/>
            <w:tcBorders>
              <w:top w:val="single" w:sz="8" w:color="0000FF"/>
            </w:tcBorders>
            <w:gridSpan w:val="3"/>
          </w:tcPr>
          <w:p>
            <w:pPr>
              <w:spacing w:after="0"/>
              <w:rPr>
                <w:sz w:val="20"/>
                <w:szCs w:val="20"/>
                <w:color w:val="auto"/>
              </w:rPr>
            </w:pPr>
            <w:r>
              <w:rPr>
                <w:rFonts w:ascii="Arial" w:cs="Arial" w:eastAsia="Arial" w:hAnsi="Arial"/>
                <w:sz w:val="15"/>
                <w:szCs w:val="15"/>
                <w:color w:val="0000FF"/>
              </w:rPr>
              <w:t>Exhibits</w:t>
            </w:r>
          </w:p>
        </w:tc>
        <w:tc>
          <w:tcPr>
            <w:tcW w:w="8220" w:type="dxa"/>
            <w:vAlign w:val="bottom"/>
            <w:gridSpan w:val="17"/>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68</w:t>
            </w:r>
          </w:p>
        </w:tc>
        <w:tc>
          <w:tcPr>
            <w:tcW w:w="40" w:type="dxa"/>
            <w:vAlign w:val="bottom"/>
          </w:tcPr>
          <w:p>
            <w:pPr>
              <w:spacing w:after="0"/>
              <w:rPr>
                <w:sz w:val="16"/>
                <w:szCs w:val="16"/>
                <w:color w:val="auto"/>
              </w:rPr>
            </w:pPr>
          </w:p>
        </w:tc>
      </w:tr>
      <w:tr>
        <w:trPr>
          <w:trHeight w:val="186"/>
        </w:trPr>
        <w:tc>
          <w:tcPr>
            <w:tcW w:w="66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89"/>
              </w:rPr>
              <w:t>Signatures</w:t>
            </w:r>
          </w:p>
        </w:tc>
        <w:tc>
          <w:tcPr>
            <w:tcW w:w="40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69</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400" w:top="1049"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our Annual Report on Form 10-K filed with the Securities and Exchange Commission (the “SEC”) on March 16, 2023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2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7"/>
          <w:szCs w:val="17"/>
          <w:b w:val="1"/>
          <w:bCs w:val="1"/>
          <w:color w:val="auto"/>
        </w:rPr>
        <w:t>LIVEPERSON, INC.</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99"/>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5"/>
                <w:szCs w:val="15"/>
                <w:b w:val="1"/>
                <w:bCs w:val="1"/>
                <w:color w:val="auto"/>
                <w:w w:val="94"/>
              </w:rPr>
              <w:t>December 31,</w:t>
            </w:r>
          </w:p>
        </w:tc>
        <w:tc>
          <w:tcPr>
            <w:tcW w:w="0" w:type="dxa"/>
            <w:vAlign w:val="bottom"/>
          </w:tcPr>
          <w:p>
            <w:pPr>
              <w:spacing w:after="0"/>
              <w:rPr>
                <w:sz w:val="1"/>
                <w:szCs w:val="1"/>
                <w:color w:val="auto"/>
              </w:rPr>
            </w:pPr>
          </w:p>
        </w:tc>
      </w:tr>
      <w:tr>
        <w:trPr>
          <w:trHeight w:val="199"/>
        </w:trPr>
        <w:tc>
          <w:tcPr>
            <w:tcW w:w="7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8"/>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999"/>
              <w:spacing w:after="0"/>
              <w:rPr>
                <w:sz w:val="20"/>
                <w:szCs w:val="20"/>
                <w:color w:val="auto"/>
              </w:rPr>
            </w:pPr>
            <w:r>
              <w:rPr>
                <w:rFonts w:ascii="Arial" w:cs="Arial" w:eastAsia="Arial" w:hAnsi="Arial"/>
                <w:sz w:val="15"/>
                <w:szCs w:val="15"/>
                <w:color w:val="auto"/>
              </w:rPr>
              <w:t>(In thousands)</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239,975</w:t>
            </w:r>
          </w:p>
        </w:tc>
        <w:tc>
          <w:tcPr>
            <w:tcW w:w="3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391,781</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12,197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65"/>
        </w:trPr>
        <w:tc>
          <w:tcPr>
            <w:tcW w:w="78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Accounts receivable, net of allowances of $9,134 and $9,239 as of March 31, 2023 and December 31, 2022,</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86,537</w:t>
            </w:r>
          </w:p>
        </w:tc>
        <w:tc>
          <w:tcPr>
            <w:tcW w:w="0" w:type="dxa"/>
            <w:vAlign w:val="bottom"/>
          </w:tcPr>
          <w:p>
            <w:pPr>
              <w:spacing w:after="0"/>
              <w:rPr>
                <w:sz w:val="1"/>
                <w:szCs w:val="1"/>
                <w:color w:val="auto"/>
              </w:rPr>
            </w:pPr>
          </w:p>
        </w:tc>
      </w:tr>
      <w:tr>
        <w:trPr>
          <w:trHeight w:val="206"/>
        </w:trPr>
        <w:tc>
          <w:tcPr>
            <w:tcW w:w="784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29,670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23,747</w:t>
            </w: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30,984</w:t>
            </w:r>
          </w:p>
        </w:tc>
        <w:tc>
          <w:tcPr>
            <w:tcW w:w="0" w:type="dxa"/>
            <w:vAlign w:val="bottom"/>
          </w:tcPr>
          <w:p>
            <w:pPr>
              <w:spacing w:after="0"/>
              <w:rPr>
                <w:sz w:val="1"/>
                <w:szCs w:val="1"/>
                <w:color w:val="auto"/>
              </w:rPr>
            </w:pPr>
          </w:p>
        </w:tc>
      </w:tr>
      <w:tr>
        <w:trPr>
          <w:trHeight w:val="208"/>
        </w:trPr>
        <w:tc>
          <w:tcPr>
            <w:tcW w:w="784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402,874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533,466</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 of use assets (Note 10)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 net (Note 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130,357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126,499</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acquisition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43,804</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 (Note 5)</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74,935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78,103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(Note 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296,214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joint venture (Note 17)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957,517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1,088,940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18,276</w:t>
            </w:r>
          </w:p>
        </w:tc>
        <w:tc>
          <w:tcPr>
            <w:tcW w:w="34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25,303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 (Note 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Deferred revenue (Note 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109,775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84,494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senior notes (Note 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840" w:type="dxa"/>
            <w:vAlign w:val="bottom"/>
          </w:tcPr>
          <w:p>
            <w:pPr>
              <w:ind w:left="140"/>
              <w:spacing w:after="0"/>
              <w:rPr>
                <w:sz w:val="20"/>
                <w:szCs w:val="20"/>
                <w:color w:val="auto"/>
              </w:rPr>
            </w:pPr>
            <w:r>
              <w:rPr>
                <w:rFonts w:ascii="Arial" w:cs="Arial" w:eastAsia="Arial" w:hAnsi="Arial"/>
                <w:sz w:val="16"/>
                <w:szCs w:val="16"/>
                <w:color w:val="auto"/>
              </w:rPr>
              <w:t>Operating lease liabilities (Note 10)</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associated with assets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0" w:type="dxa"/>
            <w:vAlign w:val="bottom"/>
          </w:tcPr>
          <w:p>
            <w:pPr>
              <w:spacing w:after="0"/>
              <w:rPr>
                <w:sz w:val="1"/>
                <w:szCs w:val="1"/>
                <w:color w:val="auto"/>
              </w:rPr>
            </w:pPr>
          </w:p>
        </w:tc>
      </w:tr>
      <w:tr>
        <w:trPr>
          <w:trHeight w:val="199"/>
        </w:trPr>
        <w:tc>
          <w:tcPr>
            <w:tcW w:w="784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355,148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251,558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 net of current portion (Note 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7840" w:type="dxa"/>
            <w:vAlign w:val="bottom"/>
          </w:tcPr>
          <w:p>
            <w:pPr>
              <w:ind w:left="40"/>
              <w:spacing w:after="0"/>
              <w:rPr>
                <w:sz w:val="20"/>
                <w:szCs w:val="20"/>
                <w:color w:val="auto"/>
              </w:rPr>
            </w:pPr>
            <w:r>
              <w:rPr>
                <w:rFonts w:ascii="Arial" w:cs="Arial" w:eastAsia="Arial" w:hAnsi="Arial"/>
                <w:sz w:val="16"/>
                <w:szCs w:val="16"/>
                <w:color w:val="auto"/>
              </w:rPr>
              <w:t>Convertible senior notes, net of current portion (Note 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510,024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737,423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net of current portion (Note 10)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784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28,465</w:t>
            </w:r>
          </w:p>
        </w:tc>
        <w:tc>
          <w:tcPr>
            <w:tcW w:w="0" w:type="dxa"/>
            <w:vAlign w:val="bottom"/>
          </w:tcPr>
          <w:p>
            <w:pPr>
              <w:spacing w:after="0"/>
              <w:rPr>
                <w:sz w:val="1"/>
                <w:szCs w:val="1"/>
                <w:color w:val="auto"/>
              </w:rPr>
            </w:pPr>
          </w:p>
        </w:tc>
      </w:tr>
      <w:tr>
        <w:trPr>
          <w:trHeight w:val="199"/>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892,513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1,020,852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840" w:type="dxa"/>
            <w:vAlign w:val="bottom"/>
          </w:tcPr>
          <w:p>
            <w:pPr>
              <w:ind w:left="120"/>
              <w:spacing w:after="0" w:line="176" w:lineRule="exact"/>
              <w:rPr>
                <w:sz w:val="20"/>
                <w:szCs w:val="20"/>
                <w:color w:val="auto"/>
              </w:rPr>
            </w:pPr>
            <w:r>
              <w:rPr>
                <w:rFonts w:ascii="Arial" w:cs="Arial" w:eastAsia="Arial" w:hAnsi="Arial"/>
                <w:sz w:val="16"/>
                <w:szCs w:val="16"/>
                <w:color w:val="auto"/>
                <w:w w:val="98"/>
              </w:rPr>
              <w:t>Common stock, $0.001 par value - 200,000,000 shares authorized, 78,870,717 and 78,350,984 shares issued,</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17"/>
        </w:trPr>
        <w:tc>
          <w:tcPr>
            <w:tcW w:w="7840" w:type="dxa"/>
            <w:vAlign w:val="bottom"/>
            <w:vMerge w:val="restart"/>
          </w:tcPr>
          <w:p>
            <w:pPr>
              <w:ind w:left="120"/>
              <w:spacing w:after="0"/>
              <w:rPr>
                <w:sz w:val="20"/>
                <w:szCs w:val="20"/>
                <w:color w:val="auto"/>
              </w:rPr>
            </w:pPr>
            <w:r>
              <w:rPr>
                <w:rFonts w:ascii="Arial" w:cs="Arial" w:eastAsia="Arial" w:hAnsi="Arial"/>
                <w:sz w:val="16"/>
                <w:szCs w:val="16"/>
                <w:color w:val="auto"/>
              </w:rPr>
              <w:t>76,104,644 and 75,584,911 shares outstanding as of March 31, 2023 and December 31, 2022, respectively</w:t>
            </w:r>
          </w:p>
        </w:tc>
        <w:tc>
          <w:tcPr>
            <w:tcW w:w="2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848,621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771,052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Treasury stock - 2,766,073 shares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(692,362)</w:t>
            </w:r>
          </w:p>
        </w:tc>
        <w:tc>
          <w:tcPr>
            <w:tcW w:w="0" w:type="dxa"/>
            <w:vAlign w:val="bottom"/>
          </w:tcPr>
          <w:p>
            <w:pPr>
              <w:spacing w:after="0"/>
              <w:rPr>
                <w:sz w:val="1"/>
                <w:szCs w:val="1"/>
                <w:color w:val="auto"/>
              </w:rPr>
            </w:pPr>
          </w:p>
        </w:tc>
      </w:tr>
      <w:tr>
        <w:trPr>
          <w:trHeight w:val="206"/>
        </w:trPr>
        <w:tc>
          <w:tcPr>
            <w:tcW w:w="784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68,088</w:t>
            </w: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957,517</w:t>
            </w:r>
          </w:p>
        </w:tc>
        <w:tc>
          <w:tcPr>
            <w:tcW w:w="34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1,088,940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420" w:top="817" w:right="63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LIVEPERSON, INC.</w:t>
      </w:r>
    </w:p>
    <w:p>
      <w:pPr>
        <w:spacing w:after="0" w:line="62"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140" w:lineRule="exact"/>
        <w:rPr>
          <w:sz w:val="20"/>
          <w:szCs w:val="20"/>
          <w:color w:val="auto"/>
        </w:rPr>
      </w:pPr>
    </w:p>
    <w:p>
      <w:pPr>
        <w:jc w:val="center"/>
        <w:ind w:left="8060"/>
        <w:spacing w:after="0"/>
        <w:rPr>
          <w:sz w:val="20"/>
          <w:szCs w:val="20"/>
          <w:color w:val="auto"/>
        </w:rPr>
      </w:pPr>
      <w:r>
        <w:rPr>
          <w:rFonts w:ascii="Arial" w:cs="Arial" w:eastAsia="Arial" w:hAnsi="Arial"/>
          <w:sz w:val="15"/>
          <w:szCs w:val="15"/>
          <w:b w:val="1"/>
          <w:bCs w:val="1"/>
          <w:color w:val="auto"/>
        </w:rPr>
        <w:t>Three Months Ended</w:t>
      </w:r>
    </w:p>
    <w:p>
      <w:pPr>
        <w:spacing w:after="0" w:line="34" w:lineRule="exact"/>
        <w:rPr>
          <w:sz w:val="20"/>
          <w:szCs w:val="20"/>
          <w:color w:val="auto"/>
        </w:rPr>
      </w:pPr>
    </w:p>
    <w:p>
      <w:pPr>
        <w:jc w:val="center"/>
        <w:ind w:left="806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22225</wp:posOffset>
            </wp:positionV>
            <wp:extent cx="1907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53"/>
        </w:trPr>
        <w:tc>
          <w:tcPr>
            <w:tcW w:w="8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4"/>
          </w:tcPr>
          <w:p>
            <w:pPr>
              <w:jc w:val="right"/>
              <w:ind w:right="135"/>
              <w:spacing w:after="0" w:line="154" w:lineRule="exact"/>
              <w:rPr>
                <w:sz w:val="20"/>
                <w:szCs w:val="20"/>
                <w:color w:val="auto"/>
              </w:rPr>
            </w:pPr>
            <w:r>
              <w:rPr>
                <w:rFonts w:ascii="Arial" w:cs="Arial" w:eastAsia="Arial" w:hAnsi="Arial"/>
                <w:sz w:val="15"/>
                <w:szCs w:val="15"/>
                <w:color w:val="auto"/>
                <w:w w:val="92"/>
              </w:rPr>
              <w:t>(In thousands, except share and per share</w:t>
            </w:r>
          </w:p>
        </w:tc>
        <w:tc>
          <w:tcPr>
            <w:tcW w:w="0" w:type="dxa"/>
            <w:vAlign w:val="bottom"/>
          </w:tcPr>
          <w:p>
            <w:pPr>
              <w:spacing w:after="0"/>
              <w:rPr>
                <w:sz w:val="1"/>
                <w:szCs w:val="1"/>
                <w:color w:val="auto"/>
              </w:rPr>
            </w:pPr>
          </w:p>
        </w:tc>
      </w:tr>
      <w:tr>
        <w:trPr>
          <w:trHeight w:val="199"/>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right"/>
              <w:ind w:right="74"/>
              <w:spacing w:after="0"/>
              <w:rPr>
                <w:sz w:val="20"/>
                <w:szCs w:val="20"/>
                <w:color w:val="auto"/>
              </w:rPr>
            </w:pPr>
            <w:r>
              <w:rPr>
                <w:rFonts w:ascii="Arial" w:cs="Arial" w:eastAsia="Arial" w:hAnsi="Arial"/>
                <w:sz w:val="15"/>
                <w:szCs w:val="15"/>
                <w:color w:val="auto"/>
              </w:rPr>
              <w:t>amounts)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107,661</w:t>
            </w:r>
          </w:p>
        </w:tc>
        <w:tc>
          <w:tcPr>
            <w:tcW w:w="52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130,197</w:t>
            </w:r>
          </w:p>
        </w:tc>
        <w:tc>
          <w:tcPr>
            <w:tcW w:w="0" w:type="dxa"/>
            <w:vAlign w:val="bottom"/>
          </w:tcPr>
          <w:p>
            <w:pPr>
              <w:spacing w:after="0"/>
              <w:rPr>
                <w:sz w:val="1"/>
                <w:szCs w:val="1"/>
                <w:color w:val="auto"/>
              </w:rPr>
            </w:pPr>
          </w:p>
        </w:tc>
      </w:tr>
      <w:tr>
        <w:trPr>
          <w:trHeight w:val="245"/>
        </w:trPr>
        <w:tc>
          <w:tcPr>
            <w:tcW w:w="8080" w:type="dxa"/>
            <w:vAlign w:val="bottom"/>
          </w:tcPr>
          <w:p>
            <w:pPr>
              <w:ind w:left="20"/>
              <w:spacing w:after="0" w:line="245" w:lineRule="exact"/>
              <w:rPr>
                <w:sz w:val="20"/>
                <w:szCs w:val="20"/>
                <w:color w:val="auto"/>
              </w:rPr>
            </w:pPr>
            <w:r>
              <w:rPr>
                <w:rFonts w:ascii="Arial" w:cs="Arial" w:eastAsia="Arial" w:hAnsi="Arial"/>
                <w:sz w:val="17"/>
                <w:szCs w:val="17"/>
                <w:color w:val="auto"/>
              </w:rPr>
              <w:t xml:space="preserve">Costs, expenses and other: </w:t>
            </w:r>
            <w:r>
              <w:rPr>
                <w:rFonts w:ascii="Arial" w:cs="Arial" w:eastAsia="Arial" w:hAnsi="Arial"/>
                <w:sz w:val="24"/>
                <w:szCs w:val="24"/>
                <w:color w:val="auto"/>
                <w:vertAlign w:val="superscript"/>
              </w:rPr>
              <w:t>(1) (2)</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080" w:type="dxa"/>
            <w:vAlign w:val="bottom"/>
            <w:shd w:val="clear" w:color="auto" w:fill="CCEEFF"/>
          </w:tcPr>
          <w:p>
            <w:pPr>
              <w:ind w:left="120"/>
              <w:spacing w:after="0" w:line="232"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43,096</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49,567</w:t>
            </w:r>
          </w:p>
        </w:tc>
        <w:tc>
          <w:tcPr>
            <w:tcW w:w="0" w:type="dxa"/>
            <w:vAlign w:val="bottom"/>
          </w:tcPr>
          <w:p>
            <w:pPr>
              <w:spacing w:after="0"/>
              <w:rPr>
                <w:sz w:val="1"/>
                <w:szCs w:val="1"/>
                <w:color w:val="auto"/>
              </w:rPr>
            </w:pPr>
          </w:p>
        </w:tc>
      </w:tr>
      <w:tr>
        <w:trPr>
          <w:trHeight w:val="225"/>
        </w:trPr>
        <w:tc>
          <w:tcPr>
            <w:tcW w:w="8080" w:type="dxa"/>
            <w:vAlign w:val="bottom"/>
          </w:tcPr>
          <w:p>
            <w:pPr>
              <w:ind w:left="12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34,470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58,132</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29,735</w:t>
            </w:r>
          </w:p>
        </w:tc>
        <w:tc>
          <w:tcPr>
            <w:tcW w:w="0" w:type="dxa"/>
            <w:vAlign w:val="bottom"/>
          </w:tcPr>
          <w:p>
            <w:pPr>
              <w:spacing w:after="0"/>
              <w:rPr>
                <w:sz w:val="1"/>
                <w:szCs w:val="1"/>
                <w:color w:val="auto"/>
              </w:rPr>
            </w:pPr>
          </w:p>
        </w:tc>
      </w:tr>
      <w:tr>
        <w:trPr>
          <w:trHeight w:val="218"/>
        </w:trPr>
        <w:tc>
          <w:tcPr>
            <w:tcW w:w="8080" w:type="dxa"/>
            <w:vAlign w:val="bottom"/>
          </w:tcPr>
          <w:p>
            <w:pPr>
              <w:ind w:left="120"/>
              <w:spacing w:after="0"/>
              <w:rPr>
                <w:sz w:val="20"/>
                <w:szCs w:val="20"/>
                <w:color w:val="auto"/>
              </w:rPr>
            </w:pPr>
            <w:r>
              <w:rPr>
                <w:rFonts w:ascii="Arial" w:cs="Arial" w:eastAsia="Arial" w:hAnsi="Arial"/>
                <w:sz w:val="17"/>
                <w:szCs w:val="17"/>
                <w:color w:val="auto"/>
              </w:rPr>
              <w:t>Product development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36,519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56,072</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costs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8080" w:type="dxa"/>
            <w:vAlign w:val="bottom"/>
          </w:tcPr>
          <w:p>
            <w:pPr>
              <w:ind w:left="120"/>
              <w:spacing w:after="0"/>
              <w:rPr>
                <w:sz w:val="20"/>
                <w:szCs w:val="20"/>
                <w:color w:val="auto"/>
              </w:rPr>
            </w:pPr>
            <w:r>
              <w:rPr>
                <w:rFonts w:ascii="Arial" w:cs="Arial" w:eastAsia="Arial" w:hAnsi="Arial"/>
                <w:sz w:val="17"/>
                <w:szCs w:val="17"/>
                <w:color w:val="auto"/>
              </w:rPr>
              <w:t>Gain on divestiture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(17,591)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Amortization of purchased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r>
        <w:trPr>
          <w:trHeight w:val="224"/>
        </w:trPr>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costs, expenses and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140,330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195,324</w:t>
            </w:r>
          </w:p>
        </w:tc>
        <w:tc>
          <w:tcPr>
            <w:tcW w:w="0" w:type="dxa"/>
            <w:vAlign w:val="bottom"/>
          </w:tcPr>
          <w:p>
            <w:pPr>
              <w:spacing w:after="0"/>
              <w:rPr>
                <w:sz w:val="1"/>
                <w:szCs w:val="1"/>
                <w:color w:val="auto"/>
              </w:rPr>
            </w:pP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(65,127)</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(expense), net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18"/>
        </w:trPr>
        <w:tc>
          <w:tcPr>
            <w:tcW w:w="8080" w:type="dxa"/>
            <w:vAlign w:val="bottom"/>
          </w:tcPr>
          <w:p>
            <w:pPr>
              <w:ind w:left="120"/>
              <w:spacing w:after="0"/>
              <w:rPr>
                <w:sz w:val="20"/>
                <w:szCs w:val="20"/>
                <w:color w:val="auto"/>
              </w:rPr>
            </w:pPr>
            <w:r>
              <w:rPr>
                <w:rFonts w:ascii="Arial" w:cs="Arial" w:eastAsia="Arial" w:hAnsi="Arial"/>
                <w:sz w:val="17"/>
                <w:szCs w:val="17"/>
                <w:color w:val="auto"/>
              </w:rPr>
              <w:t>Other income, net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16,463</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7"/>
                <w:szCs w:val="17"/>
                <w:color w:val="auto"/>
              </w:rPr>
              <w:t>Loss before provision for (benefit from) income taxes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(16,206)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(65,557)</w:t>
            </w:r>
          </w:p>
        </w:tc>
        <w:tc>
          <w:tcPr>
            <w:tcW w:w="0" w:type="dxa"/>
            <w:vAlign w:val="bottom"/>
          </w:tcPr>
          <w:p>
            <w:pPr>
              <w:spacing w:after="0"/>
              <w:rPr>
                <w:sz w:val="1"/>
                <w:szCs w:val="1"/>
                <w:color w:val="auto"/>
              </w:rPr>
            </w:pPr>
          </w:p>
        </w:tc>
      </w:tr>
      <w:tr>
        <w:trPr>
          <w:trHeight w:val="226"/>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(17,420)</w:t>
            </w:r>
          </w:p>
        </w:tc>
        <w:tc>
          <w:tcPr>
            <w:tcW w:w="520" w:type="dxa"/>
            <w:vAlign w:val="bottom"/>
            <w:gridSpan w:val="2"/>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(65,364)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7"/>
                <w:szCs w:val="17"/>
                <w:color w:val="auto"/>
              </w:rPr>
              <w:t>Net loss per share of common stock:</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4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vMerge w:val="continue"/>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(0.23)</w:t>
            </w:r>
          </w:p>
        </w:tc>
        <w:tc>
          <w:tcPr>
            <w:tcW w:w="520" w:type="dxa"/>
            <w:vAlign w:val="bottom"/>
            <w:gridSpan w:val="2"/>
          </w:tcPr>
          <w:p>
            <w:pPr>
              <w:jc w:val="right"/>
              <w:ind w:right="194"/>
              <w:spacing w:after="0" w:line="190"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0" w:lineRule="exact"/>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shares used to compute net loss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80" w:type="dxa"/>
            <w:vAlign w:val="bottom"/>
          </w:tcPr>
          <w:p>
            <w:pPr>
              <w:ind w:left="240"/>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75,774,812</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75,812,405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75,774,812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75,812,405</w:t>
            </w:r>
          </w:p>
        </w:tc>
        <w:tc>
          <w:tcPr>
            <w:tcW w:w="0" w:type="dxa"/>
            <w:vAlign w:val="bottom"/>
          </w:tcPr>
          <w:p>
            <w:pPr>
              <w:spacing w:after="0"/>
              <w:rPr>
                <w:sz w:val="1"/>
                <w:szCs w:val="1"/>
                <w:color w:val="auto"/>
              </w:rPr>
            </w:pPr>
          </w:p>
        </w:tc>
      </w:tr>
      <w:tr>
        <w:trPr>
          <w:trHeight w:val="206"/>
        </w:trPr>
        <w:tc>
          <w:tcPr>
            <w:tcW w:w="80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ind w:left="20"/>
              <w:spacing w:after="0" w:line="199"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Amounts include stock-based compensation expense, as follows: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2,035</w:t>
            </w:r>
          </w:p>
        </w:tc>
        <w:tc>
          <w:tcPr>
            <w:tcW w:w="520" w:type="dxa"/>
            <w:vAlign w:val="bottom"/>
            <w:gridSpan w:val="2"/>
          </w:tcPr>
          <w:p>
            <w:pPr>
              <w:jc w:val="right"/>
              <w:ind w:right="19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10,438</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Product development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080" w:type="dxa"/>
            <w:vAlign w:val="bottom"/>
            <w:shd w:val="clear" w:color="auto" w:fill="CCEEFF"/>
          </w:tcPr>
          <w:p>
            <w:pPr>
              <w:ind w:left="20"/>
              <w:spacing w:after="0" w:line="232" w:lineRule="exact"/>
              <w:rPr>
                <w:sz w:val="20"/>
                <w:szCs w:val="20"/>
                <w:color w:val="auto"/>
              </w:rPr>
            </w:pPr>
            <w:r>
              <w:rPr>
                <w:rFonts w:ascii="Arial" w:cs="Arial" w:eastAsia="Arial" w:hAnsi="Arial"/>
                <w:sz w:val="24"/>
                <w:szCs w:val="24"/>
                <w:color w:val="auto"/>
                <w:vertAlign w:val="superscript"/>
              </w:rPr>
              <w:t>(2)</w:t>
            </w:r>
            <w:r>
              <w:rPr>
                <w:rFonts w:ascii="Arial" w:cs="Arial" w:eastAsia="Arial" w:hAnsi="Arial"/>
                <w:sz w:val="16"/>
                <w:szCs w:val="16"/>
                <w:color w:val="auto"/>
              </w:rPr>
              <w:t xml:space="preserve"> Amounts include depreciation expense, as follows: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2,247</w:t>
            </w:r>
          </w:p>
        </w:tc>
        <w:tc>
          <w:tcPr>
            <w:tcW w:w="520" w:type="dxa"/>
            <w:vAlign w:val="bottom"/>
            <w:gridSpan w:val="2"/>
          </w:tcPr>
          <w:p>
            <w:pPr>
              <w:jc w:val="right"/>
              <w:ind w:right="19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6"/>
        </w:trPr>
        <w:tc>
          <w:tcPr>
            <w:tcW w:w="808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Product development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line="219" w:lineRule="exact"/>
              <w:rPr>
                <w:sz w:val="20"/>
                <w:szCs w:val="20"/>
                <w:color w:val="auto"/>
              </w:rPr>
            </w:pPr>
            <w:r>
              <w:rPr>
                <w:rFonts w:ascii="Arial" w:cs="Arial" w:eastAsia="Arial" w:hAnsi="Arial"/>
                <w:sz w:val="24"/>
                <w:szCs w:val="24"/>
                <w:color w:val="auto"/>
                <w:vertAlign w:val="superscript"/>
              </w:rPr>
              <w:t>(3)</w:t>
            </w:r>
            <w:r>
              <w:rPr>
                <w:rFonts w:ascii="Arial" w:cs="Arial" w:eastAsia="Arial" w:hAnsi="Arial"/>
                <w:sz w:val="16"/>
                <w:szCs w:val="16"/>
                <w:color w:val="auto"/>
              </w:rPr>
              <w:t xml:space="preserve"> Amounts include amortization of purchased intangibles and finance leases, as follows: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8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4,561</w:t>
            </w:r>
          </w:p>
        </w:tc>
        <w:tc>
          <w:tcPr>
            <w:tcW w:w="520" w:type="dxa"/>
            <w:vAlign w:val="bottom"/>
            <w:gridSpan w:val="2"/>
          </w:tcPr>
          <w:p>
            <w:pPr>
              <w:jc w:val="right"/>
              <w:ind w:right="19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400" w:top="1049"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center"/>
              <w:ind w:right="256"/>
              <w:spacing w:after="0"/>
              <w:rPr>
                <w:sz w:val="20"/>
                <w:szCs w:val="20"/>
                <w:color w:val="auto"/>
              </w:rPr>
            </w:pPr>
            <w:r>
              <w:rPr>
                <w:rFonts w:ascii="Arial" w:cs="Arial" w:eastAsia="Arial" w:hAnsi="Arial"/>
                <w:sz w:val="15"/>
                <w:szCs w:val="15"/>
                <w:b w:val="1"/>
                <w:bCs w:val="1"/>
                <w:color w:val="auto"/>
                <w:w w:val="95"/>
              </w:rPr>
              <w:t>Three Months Ended</w:t>
            </w:r>
          </w:p>
        </w:tc>
      </w:tr>
      <w:tr>
        <w:trPr>
          <w:trHeight w:val="209"/>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5"/>
                <w:szCs w:val="15"/>
                <w:b w:val="1"/>
                <w:bCs w:val="1"/>
                <w:color w:val="auto"/>
                <w:w w:val="95"/>
              </w:rPr>
              <w:t>March 31,</w:t>
            </w:r>
          </w:p>
        </w:tc>
        <w:tc>
          <w:tcPr>
            <w:tcW w:w="960" w:type="dxa"/>
            <w:vAlign w:val="bottom"/>
            <w:tcBorders>
              <w:bottom w:val="single" w:sz="8" w:color="auto"/>
            </w:tcBorders>
          </w:tcPr>
          <w:p>
            <w:pPr>
              <w:spacing w:after="0"/>
              <w:rPr>
                <w:sz w:val="18"/>
                <w:szCs w:val="18"/>
                <w:color w:val="auto"/>
              </w:rPr>
            </w:pPr>
          </w:p>
        </w:tc>
      </w:tr>
      <w:tr>
        <w:trPr>
          <w:trHeight w:val="200"/>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2022</w:t>
            </w:r>
          </w:p>
        </w:tc>
      </w:tr>
      <w:tr>
        <w:trPr>
          <w:trHeight w:val="250"/>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9"/>
              <w:spacing w:after="0"/>
              <w:rPr>
                <w:sz w:val="20"/>
                <w:szCs w:val="20"/>
                <w:color w:val="auto"/>
              </w:rPr>
            </w:pPr>
            <w:r>
              <w:rPr>
                <w:rFonts w:ascii="Arial" w:cs="Arial" w:eastAsia="Arial" w:hAnsi="Arial"/>
                <w:sz w:val="15"/>
                <w:szCs w:val="15"/>
                <w:color w:val="auto"/>
                <w:w w:val="93"/>
              </w:rPr>
              <w:t>(In thousands)</w:t>
            </w:r>
          </w:p>
        </w:tc>
        <w:tc>
          <w:tcPr>
            <w:tcW w:w="960" w:type="dxa"/>
            <w:vAlign w:val="bottom"/>
          </w:tcPr>
          <w:p>
            <w:pPr>
              <w:spacing w:after="0"/>
              <w:rPr>
                <w:sz w:val="21"/>
                <w:szCs w:val="21"/>
                <w:color w:val="auto"/>
              </w:rPr>
            </w:pPr>
          </w:p>
        </w:tc>
      </w:tr>
      <w:tr>
        <w:trPr>
          <w:trHeight w:val="215"/>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(17,420)</w:t>
            </w:r>
          </w:p>
        </w:tc>
        <w:tc>
          <w:tcPr>
            <w:tcW w:w="58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(65,364)</w:t>
            </w: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w:t>
            </w:r>
          </w:p>
        </w:tc>
      </w:tr>
      <w:tr>
        <w:trPr>
          <w:trHeight w:val="24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LIVEPERSON,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
              <w:spacing w:after="0" w:line="155"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tcBorders>
              <w:bottom w:val="single" w:sz="8" w:color="auto"/>
            </w:tcBorders>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Borders>
              <w:bottom w:val="single" w:sz="8" w:color="auto"/>
            </w:tcBorders>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9"/>
              </w:rPr>
              <w:t>Total Equity</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10"/>
          </w:tcPr>
          <w:p>
            <w:pPr>
              <w:ind w:left="140"/>
              <w:spacing w:after="0"/>
              <w:rPr>
                <w:sz w:val="20"/>
                <w:szCs w:val="20"/>
                <w:color w:val="auto"/>
              </w:rPr>
            </w:pPr>
            <w:r>
              <w:rPr>
                <w:rFonts w:ascii="Arial" w:cs="Arial" w:eastAsia="Arial" w:hAnsi="Arial"/>
                <w:sz w:val="14"/>
                <w:szCs w:val="14"/>
                <w:color w:val="auto"/>
                <w:w w:val="86"/>
              </w:rPr>
              <w:t>(In thousands, except share data)</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78,350,984</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340"/>
              <w:spacing w:after="0"/>
              <w:rPr>
                <w:sz w:val="20"/>
                <w:szCs w:val="20"/>
                <w:color w:val="auto"/>
              </w:rPr>
            </w:pPr>
            <w:r>
              <w:rPr>
                <w:rFonts w:ascii="Arial" w:cs="Arial" w:eastAsia="Arial" w:hAnsi="Arial"/>
                <w:sz w:val="15"/>
                <w:szCs w:val="15"/>
                <w:color w:val="auto"/>
                <w:w w:val="93"/>
              </w:rPr>
              <w:t>(2,766,073)</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5"/>
                <w:szCs w:val="15"/>
                <w:color w:val="auto"/>
                <w:w w:val="97"/>
              </w:rPr>
              <w:t>(3)</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771,052</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(692,362)</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68,088</w:t>
            </w: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w w:val="95"/>
              </w:rPr>
              <w:t>Common stock issued upon exercise of</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18,687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stock options</w:t>
            </w: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w w:val="98"/>
              </w:rPr>
              <w:t>Common stock issued upon vesting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413,252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restricted stock units</w:t>
            </w: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9,560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9,560</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Common stock issued under Employee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87,794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1"/>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Stock Purchase Plan (ESPP)</w:t>
            </w: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rPr>
              <w:t>Issuance of common stock in</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connection with acquisitions (Note 9)</w:t>
            </w:r>
          </w:p>
        </w:tc>
        <w:tc>
          <w:tcPr>
            <w:tcW w:w="10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8"/>
              </w:rPr>
              <w:t>Activity related to divestiture (Note 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(64,100)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2,732</w:t>
            </w:r>
          </w:p>
        </w:tc>
        <w:tc>
          <w:tcPr>
            <w:tcW w:w="0" w:type="dxa"/>
            <w:vAlign w:val="bottom"/>
          </w:tcPr>
          <w:p>
            <w:pPr>
              <w:spacing w:after="0"/>
              <w:rPr>
                <w:sz w:val="1"/>
                <w:szCs w:val="1"/>
                <w:color w:val="auto"/>
              </w:rPr>
            </w:pPr>
          </w:p>
        </w:tc>
      </w:tr>
      <w:tr>
        <w:trPr>
          <w:trHeight w:val="203"/>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(17,420)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(17,420)</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Other comprehensive loss</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center"/>
              <w:ind w:left="38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809</w:t>
            </w:r>
          </w:p>
        </w:tc>
        <w:tc>
          <w:tcPr>
            <w:tcW w:w="0" w:type="dxa"/>
            <w:vAlign w:val="bottom"/>
          </w:tcPr>
          <w:p>
            <w:pPr>
              <w:spacing w:after="0"/>
              <w:rPr>
                <w:sz w:val="1"/>
                <w:szCs w:val="1"/>
                <w:color w:val="auto"/>
              </w:rPr>
            </w:pPr>
          </w:p>
        </w:tc>
      </w:tr>
      <w:tr>
        <w:trPr>
          <w:trHeight w:val="199"/>
        </w:trPr>
        <w:tc>
          <w:tcPr>
            <w:tcW w:w="2620" w:type="dxa"/>
            <w:vAlign w:val="bottom"/>
            <w:gridSpan w:val="2"/>
          </w:tcPr>
          <w:p>
            <w:pPr>
              <w:ind w:left="20"/>
              <w:spacing w:after="0"/>
              <w:rPr>
                <w:sz w:val="20"/>
                <w:szCs w:val="20"/>
                <w:color w:val="auto"/>
              </w:rPr>
            </w:pPr>
            <w:r>
              <w:rPr>
                <w:rFonts w:ascii="Arial" w:cs="Arial" w:eastAsia="Arial" w:hAnsi="Arial"/>
                <w:sz w:val="15"/>
                <w:szCs w:val="15"/>
                <w:color w:val="auto"/>
              </w:rPr>
              <w:t>Balance at March 31, 2023</w:t>
            </w:r>
          </w:p>
        </w:tc>
        <w:tc>
          <w:tcPr>
            <w:tcW w:w="940" w:type="dxa"/>
            <w:vAlign w:val="bottom"/>
          </w:tcPr>
          <w:p>
            <w:pPr>
              <w:jc w:val="right"/>
              <w:spacing w:after="0"/>
              <w:rPr>
                <w:sz w:val="20"/>
                <w:szCs w:val="20"/>
                <w:color w:val="auto"/>
              </w:rPr>
            </w:pPr>
            <w:r>
              <w:rPr>
                <w:rFonts w:ascii="Arial" w:cs="Arial" w:eastAsia="Arial" w:hAnsi="Arial"/>
                <w:sz w:val="15"/>
                <w:szCs w:val="15"/>
                <w:color w:val="auto"/>
              </w:rPr>
              <w:t>78,870,717</w:t>
            </w:r>
          </w:p>
        </w:tc>
        <w:tc>
          <w:tcPr>
            <w:tcW w:w="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79</w:t>
            </w:r>
          </w:p>
        </w:tc>
        <w:tc>
          <w:tcPr>
            <w:tcW w:w="40" w:type="dxa"/>
            <w:vAlign w:val="bottom"/>
          </w:tcPr>
          <w:p>
            <w:pPr>
              <w:spacing w:after="0"/>
              <w:rPr>
                <w:sz w:val="17"/>
                <w:szCs w:val="17"/>
                <w:color w:val="auto"/>
              </w:rPr>
            </w:pPr>
          </w:p>
        </w:tc>
        <w:tc>
          <w:tcPr>
            <w:tcW w:w="1080" w:type="dxa"/>
            <w:vAlign w:val="bottom"/>
            <w:gridSpan w:val="4"/>
          </w:tcPr>
          <w:p>
            <w:pPr>
              <w:ind w:left="340"/>
              <w:spacing w:after="0"/>
              <w:rPr>
                <w:sz w:val="20"/>
                <w:szCs w:val="20"/>
                <w:color w:val="auto"/>
              </w:rPr>
            </w:pPr>
            <w:r>
              <w:rPr>
                <w:rFonts w:ascii="Arial" w:cs="Arial" w:eastAsia="Arial" w:hAnsi="Arial"/>
                <w:sz w:val="15"/>
                <w:szCs w:val="15"/>
                <w:color w:val="auto"/>
                <w:w w:val="93"/>
              </w:rPr>
              <w:t>(2,766,073)</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ind w:left="520"/>
              <w:spacing w:after="0"/>
              <w:rPr>
                <w:sz w:val="20"/>
                <w:szCs w:val="20"/>
                <w:color w:val="auto"/>
              </w:rPr>
            </w:pPr>
            <w:r>
              <w:rPr>
                <w:rFonts w:ascii="Arial" w:cs="Arial" w:eastAsia="Arial" w:hAnsi="Arial"/>
                <w:sz w:val="15"/>
                <w:szCs w:val="15"/>
                <w:color w:val="auto"/>
                <w:w w:val="97"/>
              </w:rPr>
              <w:t>(3)</w:t>
            </w:r>
          </w:p>
        </w:tc>
        <w:tc>
          <w:tcPr>
            <w:tcW w:w="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848,621</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(773,882)</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(9,811)</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65,004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2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7"/>
            <w:vMerge w:val="restart"/>
          </w:tcPr>
          <w:p>
            <w:pPr>
              <w:ind w:left="5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right"/>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restart"/>
          </w:tcPr>
          <w:p>
            <w:pPr>
              <w:jc w:val="center"/>
              <w:ind w:right="85"/>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9"/>
              </w:rPr>
              <w:t>Total Equity</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10"/>
          </w:tcPr>
          <w:p>
            <w:pPr>
              <w:ind w:left="100"/>
              <w:spacing w:after="0"/>
              <w:rPr>
                <w:sz w:val="20"/>
                <w:szCs w:val="20"/>
                <w:color w:val="auto"/>
              </w:rPr>
            </w:pPr>
            <w:r>
              <w:rPr>
                <w:rFonts w:ascii="Arial" w:cs="Arial" w:eastAsia="Arial" w:hAnsi="Arial"/>
                <w:sz w:val="14"/>
                <w:szCs w:val="14"/>
                <w:color w:val="auto"/>
                <w:w w:val="88"/>
              </w:rPr>
              <w:t>(In thousands, except share data)</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74,980,546</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(2,746,243)</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ind w:left="384"/>
              <w:spacing w:after="0"/>
              <w:rPr>
                <w:sz w:val="20"/>
                <w:szCs w:val="20"/>
                <w:color w:val="auto"/>
              </w:rPr>
            </w:pPr>
            <w:r>
              <w:rPr>
                <w:rFonts w:ascii="Arial" w:cs="Arial" w:eastAsia="Arial" w:hAnsi="Arial"/>
                <w:sz w:val="15"/>
                <w:szCs w:val="15"/>
                <w:color w:val="auto"/>
                <w:w w:val="97"/>
              </w:rPr>
              <w:t>(3)</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871,788</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(516,859)</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349,437</w:t>
            </w: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rPr>
              <w:t>Cumulative adjustment due to</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(209,651)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50,244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(159,407)</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adoption of ASU 2020-06</w:t>
            </w:r>
          </w:p>
        </w:tc>
        <w:tc>
          <w:tcPr>
            <w:tcW w:w="10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w w:val="95"/>
              </w:rPr>
              <w:t>Common stock issued upon exercise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40,483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1"/>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stock options</w:t>
            </w: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w w:val="98"/>
              </w:rPr>
              <w:t>Common stock issued upon vesting of</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444,043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restricted stock units</w:t>
            </w: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20,522</w:t>
            </w: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rPr>
              <w:t>Cash awards settled in shares of the</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735,519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17,298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17,299</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Company’s common stock</w:t>
            </w: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Common stock issued under ESPP</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1,415</w:t>
            </w: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line="160" w:lineRule="exact"/>
              <w:rPr>
                <w:sz w:val="20"/>
                <w:szCs w:val="20"/>
                <w:color w:val="auto"/>
              </w:rPr>
            </w:pPr>
            <w:r>
              <w:rPr>
                <w:rFonts w:ascii="Arial" w:cs="Arial" w:eastAsia="Arial" w:hAnsi="Arial"/>
                <w:sz w:val="15"/>
                <w:szCs w:val="15"/>
                <w:color w:val="auto"/>
              </w:rPr>
              <w:t>Issuance of common stock in</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779,946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17,636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17,637</w:t>
            </w:r>
          </w:p>
        </w:tc>
        <w:tc>
          <w:tcPr>
            <w:tcW w:w="0" w:type="dxa"/>
            <w:vAlign w:val="bottom"/>
          </w:tcPr>
          <w:p>
            <w:pPr>
              <w:spacing w:after="0"/>
              <w:rPr>
                <w:sz w:val="1"/>
                <w:szCs w:val="1"/>
                <w:color w:val="auto"/>
              </w:rPr>
            </w:pPr>
          </w:p>
        </w:tc>
      </w:tr>
      <w:tr>
        <w:trPr>
          <w:trHeight w:val="199"/>
        </w:trPr>
        <w:tc>
          <w:tcPr>
            <w:tcW w:w="2620" w:type="dxa"/>
            <w:vAlign w:val="bottom"/>
            <w:gridSpan w:val="2"/>
          </w:tcPr>
          <w:p>
            <w:pPr>
              <w:ind w:left="100"/>
              <w:spacing w:after="0"/>
              <w:rPr>
                <w:sz w:val="20"/>
                <w:szCs w:val="20"/>
                <w:color w:val="auto"/>
              </w:rPr>
            </w:pPr>
            <w:r>
              <w:rPr>
                <w:rFonts w:ascii="Arial" w:cs="Arial" w:eastAsia="Arial" w:hAnsi="Arial"/>
                <w:sz w:val="15"/>
                <w:szCs w:val="15"/>
                <w:color w:val="auto"/>
              </w:rPr>
              <w:t>connection with acquisitions (Note 9)</w:t>
            </w: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(65,364)</w:t>
            </w:r>
          </w:p>
        </w:tc>
        <w:tc>
          <w:tcPr>
            <w:tcW w:w="0" w:type="dxa"/>
            <w:vAlign w:val="bottom"/>
          </w:tcPr>
          <w:p>
            <w:pPr>
              <w:spacing w:after="0"/>
              <w:rPr>
                <w:sz w:val="1"/>
                <w:szCs w:val="1"/>
                <w:color w:val="auto"/>
              </w:rPr>
            </w:pPr>
          </w:p>
        </w:tc>
      </w:tr>
      <w:tr>
        <w:trPr>
          <w:trHeight w:val="206"/>
        </w:trPr>
        <w:tc>
          <w:tcPr>
            <w:tcW w:w="2540" w:type="dxa"/>
            <w:vAlign w:val="bottom"/>
          </w:tcPr>
          <w:p>
            <w:pPr>
              <w:ind w:left="100"/>
              <w:spacing w:after="0"/>
              <w:rPr>
                <w:sz w:val="20"/>
                <w:szCs w:val="20"/>
                <w:color w:val="auto"/>
              </w:rPr>
            </w:pPr>
            <w:r>
              <w:rPr>
                <w:rFonts w:ascii="Arial" w:cs="Arial" w:eastAsia="Arial" w:hAnsi="Arial"/>
                <w:sz w:val="15"/>
                <w:szCs w:val="15"/>
                <w:color w:val="auto"/>
              </w:rPr>
              <w:t>Other comprehensive loss</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(1,699)</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(1,699)</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March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77,062,637</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77</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(2,746,243)</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ind w:left="384"/>
              <w:spacing w:after="0"/>
              <w:rPr>
                <w:sz w:val="20"/>
                <w:szCs w:val="20"/>
                <w:color w:val="auto"/>
              </w:rPr>
            </w:pPr>
            <w:r>
              <w:rPr>
                <w:rFonts w:ascii="Arial" w:cs="Arial" w:eastAsia="Arial" w:hAnsi="Arial"/>
                <w:sz w:val="15"/>
                <w:szCs w:val="15"/>
                <w:color w:val="auto"/>
                <w:w w:val="97"/>
              </w:rPr>
              <w:t>(3)</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719,514</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(531,979)</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(7,263)</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180,346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center"/>
              <w:ind w:right="243"/>
              <w:spacing w:after="0"/>
              <w:rPr>
                <w:sz w:val="20"/>
                <w:szCs w:val="20"/>
                <w:color w:val="auto"/>
              </w:rPr>
            </w:pPr>
            <w:r>
              <w:rPr>
                <w:rFonts w:ascii="Arial" w:cs="Arial" w:eastAsia="Arial" w:hAnsi="Arial"/>
                <w:sz w:val="15"/>
                <w:szCs w:val="15"/>
                <w:b w:val="1"/>
                <w:bCs w:val="1"/>
                <w:color w:val="auto"/>
                <w:w w:val="94"/>
              </w:rPr>
              <w:t>Three Months Ended</w:t>
            </w:r>
          </w:p>
        </w:tc>
      </w:tr>
      <w:tr>
        <w:trPr>
          <w:trHeight w:val="209"/>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5"/>
                <w:szCs w:val="15"/>
                <w:b w:val="1"/>
                <w:bCs w:val="1"/>
                <w:color w:val="auto"/>
                <w:w w:val="98"/>
              </w:rPr>
              <w:t>March 31,</w:t>
            </w:r>
          </w:p>
        </w:tc>
        <w:tc>
          <w:tcPr>
            <w:tcW w:w="920" w:type="dxa"/>
            <w:vAlign w:val="bottom"/>
            <w:tcBorders>
              <w:bottom w:val="single" w:sz="8" w:color="auto"/>
            </w:tcBorders>
          </w:tcPr>
          <w:p>
            <w:pPr>
              <w:spacing w:after="0"/>
              <w:rPr>
                <w:sz w:val="18"/>
                <w:szCs w:val="18"/>
                <w:color w:val="auto"/>
              </w:rPr>
            </w:pPr>
          </w:p>
        </w:tc>
      </w:tr>
      <w:tr>
        <w:trPr>
          <w:trHeight w:val="200"/>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r>
      <w:tr>
        <w:trPr>
          <w:trHeight w:val="19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left="523"/>
              <w:spacing w:after="0"/>
              <w:rPr>
                <w:sz w:val="20"/>
                <w:szCs w:val="20"/>
                <w:color w:val="auto"/>
              </w:rPr>
            </w:pPr>
            <w:r>
              <w:rPr>
                <w:rFonts w:ascii="Arial" w:cs="Arial" w:eastAsia="Arial" w:hAnsi="Arial"/>
                <w:sz w:val="15"/>
                <w:szCs w:val="15"/>
                <w:color w:val="auto"/>
                <w:w w:val="91"/>
              </w:rPr>
              <w:t>(in Thousands)</w:t>
            </w:r>
          </w:p>
        </w:tc>
        <w:tc>
          <w:tcPr>
            <w:tcW w:w="920" w:type="dxa"/>
            <w:vAlign w:val="bottom"/>
          </w:tcPr>
          <w:p>
            <w:pPr>
              <w:spacing w:after="0"/>
              <w:rPr>
                <w:sz w:val="17"/>
                <w:szCs w:val="17"/>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(65,364)</w:t>
            </w:r>
          </w:p>
        </w:tc>
      </w:tr>
      <w:tr>
        <w:trPr>
          <w:trHeight w:val="203"/>
        </w:trPr>
        <w:tc>
          <w:tcPr>
            <w:tcW w:w="8320" w:type="dxa"/>
            <w:vAlign w:val="bottom"/>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8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31,866</w:t>
            </w: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Depreciation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7,362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7,224</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Amortization of purchased intangible assets and finance leases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5,316</w:t>
            </w: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in fair value of contingent consideration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Gain on repurchase of convertible notes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(6,100)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Allowance for doubtful accounts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w:t>
            </w: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Gain on divestiture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(17,591)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Equity loss in joint venture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618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832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(34,731)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(16,331)</w:t>
            </w:r>
          </w:p>
        </w:tc>
      </w:tr>
      <w:tr>
        <w:trPr>
          <w:trHeight w:val="209"/>
        </w:trPr>
        <w:tc>
          <w:tcPr>
            <w:tcW w:w="8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(9,344)</w:t>
            </w:r>
          </w:p>
        </w:tc>
      </w:tr>
      <w:tr>
        <w:trPr>
          <w:trHeight w:val="203"/>
        </w:trPr>
        <w:tc>
          <w:tcPr>
            <w:tcW w:w="8320" w:type="dxa"/>
            <w:vAlign w:val="bottom"/>
          </w:tcPr>
          <w:p>
            <w:pPr>
              <w:ind w:left="440"/>
              <w:spacing w:after="0"/>
              <w:rPr>
                <w:sz w:val="20"/>
                <w:szCs w:val="20"/>
                <w:color w:val="auto"/>
              </w:rPr>
            </w:pPr>
            <w:r>
              <w:rPr>
                <w:rFonts w:ascii="Arial" w:cs="Arial" w:eastAsia="Arial" w:hAnsi="Arial"/>
                <w:sz w:val="15"/>
                <w:szCs w:val="15"/>
                <w:color w:val="auto"/>
              </w:rPr>
              <w:t>Contract acquisition costs noncurrent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(2,793)</w:t>
            </w:r>
          </w:p>
        </w:tc>
      </w:tr>
      <w:tr>
        <w:trPr>
          <w:trHeight w:val="209"/>
        </w:trPr>
        <w:tc>
          <w:tcPr>
            <w:tcW w:w="83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203"/>
        </w:trPr>
        <w:tc>
          <w:tcPr>
            <w:tcW w:w="832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(9,910)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8,023</w:t>
            </w:r>
          </w:p>
        </w:tc>
      </w:tr>
      <w:tr>
        <w:trPr>
          <w:trHeight w:val="209"/>
        </w:trPr>
        <w:tc>
          <w:tcPr>
            <w:tcW w:w="83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41,266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r>
      <w:tr>
        <w:trPr>
          <w:trHeight w:val="203"/>
        </w:trPr>
        <w:tc>
          <w:tcPr>
            <w:tcW w:w="8320" w:type="dxa"/>
            <w:vAlign w:val="bottom"/>
          </w:tcPr>
          <w:p>
            <w:pPr>
              <w:ind w:left="440"/>
              <w:spacing w:after="0"/>
              <w:rPr>
                <w:sz w:val="20"/>
                <w:szCs w:val="20"/>
                <w:color w:val="auto"/>
              </w:rPr>
            </w:pPr>
            <w:r>
              <w:rPr>
                <w:rFonts w:ascii="Arial" w:cs="Arial" w:eastAsia="Arial" w:hAnsi="Arial"/>
                <w:sz w:val="15"/>
                <w:szCs w:val="15"/>
                <w:color w:val="auto"/>
              </w:rPr>
              <w:t>Deferred revenue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24,750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13,527</w:t>
            </w:r>
          </w:p>
        </w:tc>
      </w:tr>
      <w:tr>
        <w:trPr>
          <w:trHeight w:val="209"/>
        </w:trPr>
        <w:tc>
          <w:tcPr>
            <w:tcW w:w="83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Operating lease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r>
      <w:tr>
        <w:trPr>
          <w:trHeight w:val="206"/>
        </w:trPr>
        <w:tc>
          <w:tcPr>
            <w:tcW w:w="8320" w:type="dxa"/>
            <w:vAlign w:val="bottom"/>
          </w:tcPr>
          <w:p>
            <w:pPr>
              <w:ind w:left="440"/>
              <w:spacing w:after="0"/>
              <w:rPr>
                <w:sz w:val="20"/>
                <w:szCs w:val="20"/>
                <w:color w:val="auto"/>
              </w:rPr>
            </w:pPr>
            <w:r>
              <w:rPr>
                <w:rFonts w:ascii="Arial" w:cs="Arial" w:eastAsia="Arial" w:hAnsi="Arial"/>
                <w:sz w:val="15"/>
                <w:szCs w:val="15"/>
                <w:color w:val="auto"/>
              </w:rPr>
              <w:t>Other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(5,869)</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2,187</w:t>
            </w:r>
          </w:p>
        </w:tc>
      </w:tr>
      <w:tr>
        <w:trPr>
          <w:trHeight w:val="199"/>
        </w:trPr>
        <w:tc>
          <w:tcPr>
            <w:tcW w:w="83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(22,872)</w:t>
            </w:r>
          </w:p>
        </w:tc>
      </w:tr>
      <w:tr>
        <w:trPr>
          <w:trHeight w:val="197"/>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Purchases of property and equipment, including capitalized software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(13,135)</w:t>
            </w:r>
          </w:p>
        </w:tc>
      </w:tr>
      <w:tr>
        <w:trPr>
          <w:trHeight w:val="203"/>
        </w:trPr>
        <w:tc>
          <w:tcPr>
            <w:tcW w:w="8320" w:type="dxa"/>
            <w:vAlign w:val="bottom"/>
          </w:tcPr>
          <w:p>
            <w:pPr>
              <w:ind w:left="320"/>
              <w:spacing w:after="0"/>
              <w:rPr>
                <w:sz w:val="20"/>
                <w:szCs w:val="20"/>
                <w:color w:val="auto"/>
              </w:rPr>
            </w:pPr>
            <w:r>
              <w:rPr>
                <w:rFonts w:ascii="Arial" w:cs="Arial" w:eastAsia="Arial" w:hAnsi="Arial"/>
                <w:sz w:val="15"/>
                <w:szCs w:val="15"/>
                <w:color w:val="auto"/>
              </w:rPr>
              <w:t>Payments for acquisitions, net of cash acquired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(3,236)</w:t>
            </w:r>
          </w:p>
        </w:tc>
      </w:tr>
      <w:tr>
        <w:trPr>
          <w:trHeight w:val="209"/>
        </w:trPr>
        <w:tc>
          <w:tcPr>
            <w:tcW w:w="83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Purchases of intangible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w:t>
            </w:r>
          </w:p>
        </w:tc>
      </w:tr>
      <w:tr>
        <w:trPr>
          <w:trHeight w:val="203"/>
        </w:trPr>
        <w:tc>
          <w:tcPr>
            <w:tcW w:w="8320" w:type="dxa"/>
            <w:vAlign w:val="bottom"/>
          </w:tcPr>
          <w:p>
            <w:pPr>
              <w:ind w:left="340"/>
              <w:spacing w:after="0"/>
              <w:rPr>
                <w:sz w:val="20"/>
                <w:szCs w:val="20"/>
                <w:color w:val="auto"/>
              </w:rPr>
            </w:pPr>
            <w:r>
              <w:rPr>
                <w:rFonts w:ascii="Arial" w:cs="Arial" w:eastAsia="Arial" w:hAnsi="Arial"/>
                <w:sz w:val="15"/>
                <w:szCs w:val="15"/>
                <w:color w:val="auto"/>
              </w:rPr>
              <w:t>Proceeds from divestiture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13,819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Investment in joint venture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(2,790)</w:t>
            </w:r>
          </w:p>
        </w:tc>
      </w:tr>
      <w:tr>
        <w:trPr>
          <w:trHeight w:val="196"/>
        </w:trPr>
        <w:tc>
          <w:tcPr>
            <w:tcW w:w="8320" w:type="dxa"/>
            <w:vAlign w:val="bottom"/>
            <w:tcBorders>
              <w:bottom w:val="single" w:sz="8" w:color="CCEEFF"/>
            </w:tcBorders>
          </w:tcPr>
          <w:p>
            <w:pPr>
              <w:ind w:left="860"/>
              <w:spacing w:after="0"/>
              <w:rPr>
                <w:sz w:val="20"/>
                <w:szCs w:val="20"/>
                <w:color w:val="auto"/>
              </w:rPr>
            </w:pPr>
            <w:r>
              <w:rPr>
                <w:rFonts w:ascii="Arial" w:cs="Arial" w:eastAsia="Arial" w:hAnsi="Arial"/>
                <w:sz w:val="15"/>
                <w:szCs w:val="15"/>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(19,899)</w:t>
            </w: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5"/>
                <w:szCs w:val="15"/>
                <w:color w:val="auto"/>
              </w:rPr>
              <w:t>Principal payments for financing leases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(958)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(920)</w:t>
            </w:r>
          </w:p>
        </w:tc>
      </w:tr>
      <w:tr>
        <w:trPr>
          <w:trHeight w:val="209"/>
        </w:trPr>
        <w:tc>
          <w:tcPr>
            <w:tcW w:w="8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common stock in connection with the exercise of options and ESPP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1,921</w:t>
            </w:r>
          </w:p>
        </w:tc>
      </w:tr>
      <w:tr>
        <w:trPr>
          <w:trHeight w:val="203"/>
        </w:trPr>
        <w:tc>
          <w:tcPr>
            <w:tcW w:w="83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Payments on repurchase of convertible senior notes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(149,702)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32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(used in)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(149,806)</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w:t>
            </w:r>
          </w:p>
        </w:tc>
      </w:tr>
      <w:tr>
        <w:trPr>
          <w:trHeight w:val="196"/>
        </w:trPr>
        <w:tc>
          <w:tcPr>
            <w:tcW w:w="8320" w:type="dxa"/>
            <w:vAlign w:val="bottom"/>
          </w:tcPr>
          <w:p>
            <w:pPr>
              <w:ind w:left="120"/>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2,849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600</w:t>
            </w: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(41,170)</w:t>
            </w:r>
          </w:p>
        </w:tc>
      </w:tr>
      <w:tr>
        <w:trPr>
          <w:trHeight w:val="203"/>
        </w:trPr>
        <w:tc>
          <w:tcPr>
            <w:tcW w:w="83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beginning of year</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392,197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523,532</w:t>
            </w:r>
          </w:p>
        </w:tc>
      </w:tr>
      <w:tr>
        <w:trPr>
          <w:trHeight w:val="206"/>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 cash classified within current assets held for sale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10,011</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3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end of year</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252,172</w:t>
            </w:r>
          </w:p>
        </w:tc>
        <w:tc>
          <w:tcPr>
            <w:tcW w:w="6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482,362</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2"/>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center"/>
              <w:ind w:right="243"/>
              <w:spacing w:after="0"/>
              <w:rPr>
                <w:sz w:val="20"/>
                <w:szCs w:val="20"/>
                <w:color w:val="auto"/>
              </w:rPr>
            </w:pPr>
            <w:r>
              <w:rPr>
                <w:rFonts w:ascii="Arial" w:cs="Arial" w:eastAsia="Arial" w:hAnsi="Arial"/>
                <w:sz w:val="15"/>
                <w:szCs w:val="15"/>
                <w:b w:val="1"/>
                <w:bCs w:val="1"/>
                <w:color w:val="auto"/>
                <w:w w:val="94"/>
              </w:rPr>
              <w:t>Three Months Ended</w:t>
            </w:r>
          </w:p>
        </w:tc>
      </w:tr>
      <w:tr>
        <w:trPr>
          <w:trHeight w:val="209"/>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5"/>
                <w:szCs w:val="15"/>
                <w:b w:val="1"/>
                <w:bCs w:val="1"/>
                <w:color w:val="auto"/>
                <w:w w:val="98"/>
              </w:rPr>
              <w:t>March 31,</w:t>
            </w:r>
          </w:p>
        </w:tc>
        <w:tc>
          <w:tcPr>
            <w:tcW w:w="920" w:type="dxa"/>
            <w:vAlign w:val="bottom"/>
            <w:tcBorders>
              <w:bottom w:val="single" w:sz="8" w:color="auto"/>
            </w:tcBorders>
          </w:tcPr>
          <w:p>
            <w:pPr>
              <w:spacing w:after="0"/>
              <w:rPr>
                <w:sz w:val="18"/>
                <w:szCs w:val="18"/>
                <w:color w:val="auto"/>
              </w:rPr>
            </w:pPr>
          </w:p>
        </w:tc>
      </w:tr>
      <w:tr>
        <w:trPr>
          <w:trHeight w:val="200"/>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r>
      <w:tr>
        <w:trPr>
          <w:trHeight w:val="199"/>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left="523"/>
              <w:spacing w:after="0"/>
              <w:rPr>
                <w:sz w:val="20"/>
                <w:szCs w:val="20"/>
                <w:color w:val="auto"/>
              </w:rPr>
            </w:pPr>
            <w:r>
              <w:rPr>
                <w:rFonts w:ascii="Arial" w:cs="Arial" w:eastAsia="Arial" w:hAnsi="Arial"/>
                <w:sz w:val="15"/>
                <w:szCs w:val="15"/>
                <w:color w:val="auto"/>
                <w:w w:val="91"/>
              </w:rPr>
              <w:t>(in Thousands)</w:t>
            </w:r>
          </w:p>
        </w:tc>
        <w:tc>
          <w:tcPr>
            <w:tcW w:w="920" w:type="dxa"/>
            <w:vAlign w:val="bottom"/>
          </w:tcPr>
          <w:p>
            <w:pPr>
              <w:spacing w:after="0"/>
              <w:rPr>
                <w:sz w:val="17"/>
                <w:szCs w:val="17"/>
                <w:color w:val="auto"/>
              </w:rPr>
            </w:pP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 to consolidated balance sheets: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239,975</w:t>
            </w:r>
          </w:p>
        </w:tc>
        <w:tc>
          <w:tcPr>
            <w:tcW w:w="60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480,676</w:t>
            </w:r>
          </w:p>
        </w:tc>
      </w:tr>
      <w:tr>
        <w:trPr>
          <w:trHeight w:val="206"/>
        </w:trPr>
        <w:tc>
          <w:tcPr>
            <w:tcW w:w="8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cash</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12,197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1,686</w:t>
            </w:r>
          </w:p>
        </w:tc>
      </w:tr>
      <w:tr>
        <w:trPr>
          <w:trHeight w:val="202"/>
        </w:trPr>
        <w:tc>
          <w:tcPr>
            <w:tcW w:w="8320" w:type="dxa"/>
            <w:vAlign w:val="bottom"/>
          </w:tcPr>
          <w:p>
            <w:pPr>
              <w:ind w:left="120"/>
              <w:spacing w:after="0"/>
              <w:rPr>
                <w:sz w:val="20"/>
                <w:szCs w:val="20"/>
                <w:color w:val="auto"/>
              </w:rPr>
            </w:pPr>
            <w:r>
              <w:rPr>
                <w:rFonts w:ascii="Arial" w:cs="Arial" w:eastAsia="Arial" w:hAnsi="Arial"/>
                <w:sz w:val="15"/>
                <w:szCs w:val="15"/>
                <w:color w:val="auto"/>
              </w:rPr>
              <w:t>Total cash, cash equivalents, and restricted cash - end of period</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252,172</w:t>
            </w:r>
          </w:p>
        </w:tc>
        <w:tc>
          <w:tcPr>
            <w:tcW w:w="60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482,362</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04"/>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other cash flow information: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income taxes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600" w:type="dxa"/>
            <w:vAlign w:val="bottom"/>
            <w:gridSpan w:val="2"/>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320" w:type="dxa"/>
            <w:vAlign w:val="bottom"/>
          </w:tcPr>
          <w:p>
            <w:pPr>
              <w:ind w:left="140"/>
              <w:spacing w:after="0"/>
              <w:rPr>
                <w:sz w:val="20"/>
                <w:szCs w:val="20"/>
                <w:color w:val="auto"/>
              </w:rPr>
            </w:pPr>
            <w:r>
              <w:rPr>
                <w:rFonts w:ascii="Arial" w:cs="Arial" w:eastAsia="Arial" w:hAnsi="Arial"/>
                <w:sz w:val="15"/>
                <w:szCs w:val="15"/>
                <w:color w:val="auto"/>
              </w:rPr>
              <w:t>Cash paid for interest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888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1,259</w:t>
            </w: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8320" w:type="dxa"/>
            <w:vAlign w:val="bottom"/>
          </w:tcPr>
          <w:p>
            <w:pPr>
              <w:ind w:left="140"/>
              <w:spacing w:after="0"/>
              <w:rPr>
                <w:sz w:val="20"/>
                <w:szCs w:val="20"/>
                <w:color w:val="auto"/>
              </w:rPr>
            </w:pPr>
            <w:r>
              <w:rPr>
                <w:rFonts w:ascii="Arial" w:cs="Arial" w:eastAsia="Arial" w:hAnsi="Arial"/>
                <w:sz w:val="15"/>
                <w:szCs w:val="15"/>
                <w:color w:val="auto"/>
              </w:rPr>
              <w:t>Purchase of property and equipment recorded in accounts payable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790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159,407</w:t>
            </w:r>
          </w:p>
        </w:tc>
      </w:tr>
      <w:tr>
        <w:trPr>
          <w:trHeight w:val="209"/>
        </w:trPr>
        <w:tc>
          <w:tcPr>
            <w:tcW w:w="8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Right of use assets obtained in exchange for operating lease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w:t>
            </w:r>
          </w:p>
        </w:tc>
      </w:tr>
      <w:tr>
        <w:trPr>
          <w:trHeight w:val="204"/>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w w:val="96"/>
              </w:rPr>
              <w:t>Supplemental disclosure of non-cash financing activities related to the WildHealth acquisition in February 2022 (Note 9):</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shares of common stock</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r>
      <w:tr>
        <w:trPr>
          <w:trHeight w:val="203"/>
        </w:trPr>
        <w:tc>
          <w:tcPr>
            <w:tcW w:w="8320" w:type="dxa"/>
            <w:vAlign w:val="bottom"/>
          </w:tcPr>
          <w:p>
            <w:pPr>
              <w:ind w:left="20"/>
              <w:spacing w:after="0"/>
              <w:rPr>
                <w:sz w:val="20"/>
                <w:szCs w:val="20"/>
                <w:color w:val="auto"/>
              </w:rPr>
            </w:pPr>
            <w:r>
              <w:rPr>
                <w:rFonts w:ascii="Arial" w:cs="Arial" w:eastAsia="Arial" w:hAnsi="Arial"/>
                <w:sz w:val="15"/>
                <w:szCs w:val="15"/>
                <w:color w:val="auto"/>
              </w:rPr>
              <w:t>Supplemental disclosure of non-cash operating activities related to the WildHealth acquisition in February 2022 (Note 9):</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6"/>
              </w:rPr>
              <w:t>Supplemental disclosure of non-cash operating activities related to the WildHealth acquisition in February 2022 (Note 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1"/>
        </w:trPr>
        <w:tc>
          <w:tcPr>
            <w:tcW w:w="8320" w:type="dxa"/>
            <w:vAlign w:val="bottom"/>
          </w:tcPr>
          <w:p>
            <w:pPr>
              <w:ind w:left="140"/>
              <w:spacing w:after="0"/>
              <w:rPr>
                <w:sz w:val="20"/>
                <w:szCs w:val="20"/>
                <w:color w:val="auto"/>
              </w:rPr>
            </w:pPr>
            <w:r>
              <w:rPr>
                <w:rFonts w:ascii="Arial" w:cs="Arial" w:eastAsia="Arial" w:hAnsi="Arial"/>
                <w:sz w:val="15"/>
                <w:szCs w:val="15"/>
                <w:color w:val="auto"/>
              </w:rPr>
              <w:t>Fair value of contingent earn-out recorded in connection with WildHealth transaction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17,675</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0" w:name="page11"/>
    <w:bookmarkEnd w:id="10"/>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Business and Basis of Presentation</w:t>
      </w:r>
    </w:p>
    <w:p>
      <w:pPr>
        <w:spacing w:after="0" w:line="24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LivePerson, Inc. (“LivePerson”, the “Company”, “we”, “our” or “us”)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on our platform. These speech or text conversations decrease costs and increase revenue for our brands by harnessing the power of AI for convenient, personalized and content-rich journeys across the entire consumer lifecycle, and across consumer platforms. AI has accelerated our capability to leverage those prior conversations to enhance the consumer experience and to improve results for our customers by empowering them to leverage the latest Generative AI and Large Language Models (“LLMs”) in a safe and secure environment.</w:t>
      </w:r>
    </w:p>
    <w:p>
      <w:pPr>
        <w:spacing w:after="0" w:line="21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Conversational Cloud, the Company’s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Large Language Models in ways that help consumers and drive results for brands without sacrificing trust.</w:t>
      </w:r>
    </w:p>
    <w:p>
      <w:pPr>
        <w:spacing w:after="0" w:line="18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LivePerson’s Conversational AI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unlock the power of Generative AI and Large Language Models in safe and responsible ways, and deliver measurable return on investment for our customers.</w:t>
      </w:r>
    </w:p>
    <w:p>
      <w:pPr>
        <w:spacing w:after="0" w:line="1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LivePerson has adopted an “employee-centric” workforce model that does not rely on traditional offices.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accompanying unaudited condensed consolidated financial statements, and the financial data and other information disclosed in the notes to the condensed consolidated financial statements as of March 31, 2023 and for the three months ended March 31, 2023 are unaudited. In the opinion of management, the unaudited condensed consolidated financial statements have been prepared on the same basis as the annual financial statements and reflect all adjustments, which include</w:t>
      </w:r>
    </w:p>
    <w:p>
      <w:pPr>
        <w:spacing w:after="0" w:line="200" w:lineRule="exact"/>
        <w:rPr>
          <w:sz w:val="20"/>
          <w:szCs w:val="20"/>
          <w:color w:val="auto"/>
        </w:rPr>
      </w:pPr>
    </w:p>
    <w:p>
      <w:pPr>
        <w:spacing w:after="0" w:line="33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 w:name="page12"/>
    <w:bookmarkEnd w:id="11"/>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2022 has been derived from audited consolidated financial statements at that date.</w:t>
      </w:r>
    </w:p>
    <w:p>
      <w:pPr>
        <w:spacing w:after="0" w:line="204"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2022 included in the Company’s Annual Report on Form 10-K filed with the SEC on March 16, 2023.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unaudited condensed consolidated financial statements reflect the operations of LivePerson and its wholly-owned subsidiaries. All intercompany balances and transactions have been eliminated in consolidation.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Method Investment</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condensed consolidated financial statements include the financial statements of LivePerson, its wholly 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204"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 xml:space="preserve">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 See Note 18 –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 xml:space="preserve"> for the Company’s assessment of VIEs.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 w:name="page13"/>
    <w:bookmarkEnd w:id="12"/>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items subject to such estimates and assumptions include:</w:t>
      </w:r>
    </w:p>
    <w:p>
      <w:pPr>
        <w:spacing w:after="0" w:line="114" w:lineRule="exact"/>
        <w:rPr>
          <w:sz w:val="20"/>
          <w:szCs w:val="20"/>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stock-based compensation expense;</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accounts receivable;</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valuation of goodwill;</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valuation of intangible assets;</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taxes; and</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legal contingencies.</w:t>
      </w:r>
    </w:p>
    <w:p>
      <w:pPr>
        <w:spacing w:after="0" w:line="15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4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evaluates goodwill for impairment on an annual basis in the third quarter, and more frequently whenever events or substantive changes in circumstances indicate that it is more likely than not that the carrying value of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performing the quantitative test, impairment loss is recorded to the extent that the carrying value of the reporting unit exceeds its assessed fair value.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the fair value using the income and market approaches.</w:t>
      </w:r>
    </w:p>
    <w:p>
      <w:pPr>
        <w:spacing w:after="0" w:line="23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Under the market approach, the Company uses market multiples derived from comparable companies based on measures salient to investors in those companies.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Translation</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income (expense), net in the accompanying condensed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Divestitures</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3" w:name="page14"/>
    <w:bookmarkEnd w:id="13"/>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Prior-period financial statement amounts have been reclassified to conform to the current period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5"/>
          <w:szCs w:val="15"/>
          <w:color w:val="auto"/>
        </w:rPr>
        <w:t>On March 27, 2023, the FASB issued Accounting Standards Update (“ASU”) 2023-01, which amends certain provisions of ASC 842 that apply to arrangements between related parties under common control. Specifically, the ASU: 1) Offers private companies, as well as not-for-profit entities that are not conduit bond obligors, a practical expedient that gives them the option of using the written terms and conditions of a common-control arrangement when determining whether a lease exists and the subsequent accounting for the lease, including the lease’s classification and 2) Amends the accounting for leasehold improvements in common-control arrangements for all entities. ASU 2023-01 is effective for fiscal years beginning after December 15, 2023, including interim periods within those fiscal years. Early adoption is permitted in any annual or interim period as of the beginning of the related fiscal year. The Company does not expect the adoption of this standard to have a significant impact on its condensed consolidated financial statements and related disclosures.</w:t>
      </w:r>
    </w:p>
    <w:p>
      <w:pPr>
        <w:spacing w:after="0" w:line="19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June 2022, the FASB issued ASU 2022-03, Fair Value Measurement (Topic 820), Fair Value Measurement of Equity Securities Subject to Contractual Sale Restrictions to clarify that a contractual restriction on the sale of an equity security is not considered part of a 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1.The fair value of equity securities subject to the contractual sale restrictions reflected on the balance sheet.</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2.The nature and remaining duration of the restriction(s).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3.The circumstances that could cause a lapse in the restriction(s).</w:t>
      </w:r>
    </w:p>
    <w:p>
      <w:pPr>
        <w:spacing w:after="0" w:line="23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This guidance is effective for fiscal years beginning after December 15, 2023, and interim periods within those financial years. The Company does not expect the adoption of this standard to have a material impact on the Company’s condensed consolidated financial statements and related disclosures.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Revenue Recognition</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majority of the Company’s revenue is generated from hosted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total revenue for the three months ended March 31, 2023 and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As of March 31, 2023, the aggregate amount of the total transaction price allocated in contracts with original duration of one year or greater to the remaining performance obligations was $367.8 million. Approximately 87%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4" w:name="page15"/>
    <w:bookmarkEnd w:id="14"/>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records deferred revenues when cash payments are received or due in advance of its performance. The increase in the deferred revenue balance as of March 31, 2023 is primarily driven by cash payments received or due in advance of its performance obligations, partially offset by $44.1 million of revenues recognized that were included in the deferred revenue balance as of December 31, 2022.</w:t>
      </w: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deferred revenue by revenue source: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96"/>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77"/>
              <w:spacing w:after="0"/>
              <w:rPr>
                <w:sz w:val="20"/>
                <w:szCs w:val="20"/>
                <w:color w:val="auto"/>
              </w:rPr>
            </w:pPr>
            <w:r>
              <w:rPr>
                <w:rFonts w:ascii="Arial" w:cs="Arial" w:eastAsia="Arial" w:hAnsi="Arial"/>
                <w:sz w:val="15"/>
                <w:szCs w:val="15"/>
                <w:b w:val="1"/>
                <w:bCs w:val="1"/>
                <w:color w:val="auto"/>
                <w:w w:val="98"/>
              </w:rPr>
              <w:t>December 31,</w:t>
            </w:r>
          </w:p>
        </w:tc>
      </w:tr>
      <w:tr>
        <w:trPr>
          <w:trHeight w:val="204"/>
        </w:trPr>
        <w:tc>
          <w:tcPr>
            <w:tcW w:w="8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2022</w:t>
            </w:r>
          </w:p>
        </w:tc>
      </w:tr>
      <w:tr>
        <w:trPr>
          <w:trHeight w:val="265"/>
        </w:trPr>
        <w:tc>
          <w:tcPr>
            <w:tcW w:w="8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40" w:type="dxa"/>
            <w:vAlign w:val="bottom"/>
            <w:gridSpan w:val="4"/>
          </w:tcPr>
          <w:p>
            <w:pPr>
              <w:jc w:val="right"/>
              <w:ind w:right="917"/>
              <w:spacing w:after="0"/>
              <w:rPr>
                <w:sz w:val="20"/>
                <w:szCs w:val="20"/>
                <w:color w:val="auto"/>
              </w:rPr>
            </w:pPr>
            <w:r>
              <w:rPr>
                <w:rFonts w:ascii="Arial" w:cs="Arial" w:eastAsia="Arial" w:hAnsi="Arial"/>
                <w:sz w:val="17"/>
                <w:szCs w:val="17"/>
                <w:color w:val="auto"/>
              </w:rPr>
              <w:t>(In thousands)</w:t>
            </w: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Hosted services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108,838</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83,561</w:t>
            </w:r>
          </w:p>
        </w:tc>
      </w:tr>
      <w:tr>
        <w:trPr>
          <w:trHeight w:val="21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Professional services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r>
      <w:tr>
        <w:trPr>
          <w:trHeight w:val="233"/>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revenue - short term</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109,775</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Professional services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26"/>
        </w:trPr>
        <w:tc>
          <w:tcPr>
            <w:tcW w:w="8260" w:type="dxa"/>
            <w:vAlign w:val="bottom"/>
          </w:tcPr>
          <w:p>
            <w:pPr>
              <w:ind w:left="220"/>
              <w:spacing w:after="0"/>
              <w:rPr>
                <w:sz w:val="20"/>
                <w:szCs w:val="20"/>
                <w:color w:val="auto"/>
              </w:rPr>
            </w:pPr>
            <w:r>
              <w:rPr>
                <w:rFonts w:ascii="Arial" w:cs="Arial" w:eastAsia="Arial" w:hAnsi="Arial"/>
                <w:sz w:val="17"/>
                <w:szCs w:val="17"/>
                <w:color w:val="auto"/>
              </w:rPr>
              <w:t>Total deferred revenue - long term</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133</w:t>
            </w:r>
          </w:p>
        </w:tc>
        <w:tc>
          <w:tcPr>
            <w:tcW w:w="3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0"/>
        </w:trPr>
        <w:tc>
          <w:tcPr>
            <w:tcW w:w="8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Company’s revenues disaggregated by revenue source:</w:t>
      </w:r>
    </w:p>
    <w:p>
      <w:pPr>
        <w:spacing w:after="0" w:line="151" w:lineRule="exact"/>
        <w:rPr>
          <w:sz w:val="20"/>
          <w:szCs w:val="20"/>
          <w:color w:val="auto"/>
        </w:rPr>
      </w:pPr>
    </w:p>
    <w:p>
      <w:pPr>
        <w:jc w:val="center"/>
        <w:ind w:left="8260"/>
        <w:spacing w:after="0"/>
        <w:rPr>
          <w:sz w:val="20"/>
          <w:szCs w:val="20"/>
          <w:color w:val="auto"/>
        </w:rPr>
      </w:pPr>
      <w:r>
        <w:rPr>
          <w:rFonts w:ascii="Arial" w:cs="Arial" w:eastAsia="Arial" w:hAnsi="Arial"/>
          <w:sz w:val="15"/>
          <w:szCs w:val="15"/>
          <w:b w:val="1"/>
          <w:bCs w:val="1"/>
          <w:color w:val="auto"/>
        </w:rPr>
        <w:t>Three Months Ended</w:t>
      </w:r>
    </w:p>
    <w:p>
      <w:pPr>
        <w:spacing w:after="0" w:line="34" w:lineRule="exact"/>
        <w:rPr>
          <w:sz w:val="20"/>
          <w:szCs w:val="20"/>
          <w:color w:val="auto"/>
        </w:rPr>
      </w:pPr>
    </w:p>
    <w:p>
      <w:pPr>
        <w:jc w:val="center"/>
        <w:ind w:left="826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22225</wp:posOffset>
            </wp:positionV>
            <wp:extent cx="18827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2022</w:t>
            </w:r>
          </w:p>
        </w:tc>
      </w:tr>
      <w:tr>
        <w:trPr>
          <w:trHeight w:val="199"/>
        </w:trPr>
        <w:tc>
          <w:tcPr>
            <w:tcW w:w="8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5"/>
                <w:szCs w:val="15"/>
                <w:color w:val="auto"/>
              </w:rPr>
              <w:t>(In thousands)</w:t>
            </w:r>
          </w:p>
        </w:tc>
        <w:tc>
          <w:tcPr>
            <w:tcW w:w="960" w:type="dxa"/>
            <w:vAlign w:val="bottom"/>
          </w:tcPr>
          <w:p>
            <w:pPr>
              <w:spacing w:after="0"/>
              <w:rPr>
                <w:sz w:val="17"/>
                <w:szCs w:val="17"/>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8280" w:type="dxa"/>
            <w:vAlign w:val="bottom"/>
          </w:tcPr>
          <w:p>
            <w:pPr>
              <w:ind w:left="120"/>
              <w:spacing w:after="0" w:line="219" w:lineRule="exact"/>
              <w:rPr>
                <w:sz w:val="20"/>
                <w:szCs w:val="20"/>
                <w:color w:val="auto"/>
              </w:rPr>
            </w:pPr>
            <w:r>
              <w:rPr>
                <w:rFonts w:ascii="Arial" w:cs="Arial" w:eastAsia="Arial" w:hAnsi="Arial"/>
                <w:sz w:val="17"/>
                <w:szCs w:val="17"/>
                <w:color w:val="auto"/>
              </w:rPr>
              <w:t xml:space="preserve">Hosted services </w:t>
            </w:r>
            <w:r>
              <w:rPr>
                <w:rFonts w:ascii="Arial" w:cs="Arial" w:eastAsia="Arial" w:hAnsi="Arial"/>
                <w:sz w:val="22"/>
                <w:szCs w:val="22"/>
                <w:color w:val="auto"/>
                <w:vertAlign w:val="superscript"/>
              </w:rPr>
              <w:t>(1)</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87,338</w:t>
            </w: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115,446</w:t>
            </w:r>
          </w:p>
        </w:tc>
      </w:tr>
      <w:tr>
        <w:trPr>
          <w:trHeight w:val="231"/>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Professional services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20,323</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14,751</w:t>
            </w:r>
          </w:p>
        </w:tc>
      </w:tr>
      <w:tr>
        <w:trPr>
          <w:trHeight w:val="213"/>
        </w:trPr>
        <w:tc>
          <w:tcPr>
            <w:tcW w:w="828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107,661</w:t>
            </w: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130,197</w:t>
            </w:r>
          </w:p>
        </w:tc>
      </w:tr>
      <w:tr>
        <w:trPr>
          <w:trHeight w:val="20"/>
        </w:trPr>
        <w:tc>
          <w:tcPr>
            <w:tcW w:w="8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140" w:firstLine="3"/>
        <w:spacing w:after="0" w:line="241" w:lineRule="auto"/>
        <w:tabs>
          <w:tab w:leader="none" w:pos="158"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$7.2 million and $9.1 million of revenue for the three months ended March 31 2023, and 2022, respectively, relating to Kasamba.</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5" w:name="page16"/>
    <w:bookmarkEnd w:id="15"/>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Geographic Location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is domiciled in the United States and has international operations around the globe. The following table presents the Company’s revenues attributable to domestic and foreign operations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center"/>
              <w:ind w:right="255"/>
              <w:spacing w:after="0"/>
              <w:rPr>
                <w:sz w:val="20"/>
                <w:szCs w:val="20"/>
                <w:color w:val="auto"/>
              </w:rPr>
            </w:pPr>
            <w:r>
              <w:rPr>
                <w:rFonts w:ascii="Arial" w:cs="Arial" w:eastAsia="Arial" w:hAnsi="Arial"/>
                <w:sz w:val="15"/>
                <w:szCs w:val="15"/>
                <w:b w:val="1"/>
                <w:bCs w:val="1"/>
                <w:color w:val="auto"/>
                <w:w w:val="95"/>
              </w:rPr>
              <w:t>Three Months Ended</w:t>
            </w:r>
          </w:p>
        </w:tc>
      </w:tr>
      <w:tr>
        <w:trPr>
          <w:trHeight w:val="209"/>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5"/>
                <w:szCs w:val="15"/>
                <w:b w:val="1"/>
                <w:bCs w:val="1"/>
                <w:color w:val="auto"/>
                <w:w w:val="95"/>
              </w:rPr>
              <w:t>March 31,</w:t>
            </w:r>
          </w:p>
        </w:tc>
        <w:tc>
          <w:tcPr>
            <w:tcW w:w="960" w:type="dxa"/>
            <w:vAlign w:val="bottom"/>
            <w:tcBorders>
              <w:bottom w:val="single" w:sz="8" w:color="auto"/>
            </w:tcBorders>
          </w:tcPr>
          <w:p>
            <w:pPr>
              <w:spacing w:after="0"/>
              <w:rPr>
                <w:sz w:val="18"/>
                <w:szCs w:val="18"/>
                <w:color w:val="auto"/>
              </w:rPr>
            </w:pPr>
          </w:p>
        </w:tc>
      </w:tr>
      <w:tr>
        <w:trPr>
          <w:trHeight w:val="200"/>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2022</w:t>
            </w:r>
          </w:p>
        </w:tc>
      </w:tr>
      <w:tr>
        <w:trPr>
          <w:trHeight w:val="250"/>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8"/>
              <w:spacing w:after="0"/>
              <w:rPr>
                <w:sz w:val="20"/>
                <w:szCs w:val="20"/>
                <w:color w:val="auto"/>
              </w:rPr>
            </w:pPr>
            <w:r>
              <w:rPr>
                <w:rFonts w:ascii="Arial" w:cs="Arial" w:eastAsia="Arial" w:hAnsi="Arial"/>
                <w:sz w:val="15"/>
                <w:szCs w:val="15"/>
                <w:color w:val="auto"/>
                <w:w w:val="93"/>
              </w:rPr>
              <w:t>(In thousands)</w:t>
            </w:r>
          </w:p>
        </w:tc>
        <w:tc>
          <w:tcPr>
            <w:tcW w:w="960" w:type="dxa"/>
            <w:vAlign w:val="bottom"/>
          </w:tcPr>
          <w:p>
            <w:pPr>
              <w:spacing w:after="0"/>
              <w:rPr>
                <w:sz w:val="21"/>
                <w:szCs w:val="2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68,509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87,137</w:t>
            </w:r>
          </w:p>
        </w:tc>
      </w:tr>
      <w:tr>
        <w:trPr>
          <w:trHeight w:val="232"/>
        </w:trPr>
        <w:tc>
          <w:tcPr>
            <w:tcW w:w="8260" w:type="dxa"/>
            <w:vAlign w:val="bottom"/>
            <w:tcBorders>
              <w:bottom w:val="single" w:sz="8" w:color="CCEEFF"/>
            </w:tcBorders>
          </w:tcPr>
          <w:p>
            <w:pPr>
              <w:ind w:left="20"/>
              <w:spacing w:after="0" w:line="232" w:lineRule="exact"/>
              <w:rPr>
                <w:sz w:val="20"/>
                <w:szCs w:val="20"/>
                <w:color w:val="auto"/>
              </w:rPr>
            </w:pPr>
            <w:r>
              <w:rPr>
                <w:rFonts w:ascii="Arial" w:cs="Arial" w:eastAsia="Arial" w:hAnsi="Arial"/>
                <w:sz w:val="17"/>
                <w:szCs w:val="17"/>
                <w:color w:val="auto"/>
              </w:rPr>
              <w:t xml:space="preserve">Other Americas </w:t>
            </w:r>
            <w:r>
              <w:rPr>
                <w:rFonts w:ascii="Arial" w:cs="Arial" w:eastAsia="Arial" w:hAnsi="Arial"/>
                <w:sz w:val="22"/>
                <w:szCs w:val="22"/>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5,039</w:t>
            </w:r>
          </w:p>
        </w:tc>
      </w:tr>
      <w:tr>
        <w:trPr>
          <w:trHeight w:val="212"/>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Americas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92,176</w:t>
            </w:r>
          </w:p>
        </w:tc>
      </w:tr>
      <w:tr>
        <w:trPr>
          <w:trHeight w:val="219"/>
        </w:trPr>
        <w:tc>
          <w:tcPr>
            <w:tcW w:w="8260" w:type="dxa"/>
            <w:vAlign w:val="bottom"/>
          </w:tcPr>
          <w:p>
            <w:pPr>
              <w:ind w:left="20"/>
              <w:spacing w:after="0" w:line="218" w:lineRule="exact"/>
              <w:rPr>
                <w:sz w:val="20"/>
                <w:szCs w:val="20"/>
                <w:color w:val="auto"/>
              </w:rPr>
            </w:pPr>
            <w:r>
              <w:rPr>
                <w:rFonts w:ascii="Arial" w:cs="Arial" w:eastAsia="Arial" w:hAnsi="Arial"/>
                <w:sz w:val="25"/>
                <w:szCs w:val="25"/>
                <w:color w:val="auto"/>
                <w:vertAlign w:val="subscript"/>
              </w:rPr>
              <w:t>EMEA</w:t>
            </w:r>
            <w:r>
              <w:rPr>
                <w:rFonts w:ascii="Arial" w:cs="Arial" w:eastAsia="Arial" w:hAnsi="Arial"/>
                <w:sz w:val="10"/>
                <w:szCs w:val="10"/>
                <w:color w:val="auto"/>
              </w:rPr>
              <w:t xml:space="preserve"> (2) (3)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23,820</w:t>
            </w:r>
          </w:p>
        </w:tc>
      </w:tr>
      <w:tr>
        <w:trPr>
          <w:trHeight w:val="232"/>
        </w:trPr>
        <w:tc>
          <w:tcPr>
            <w:tcW w:w="826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APAC </w:t>
            </w:r>
            <w:r>
              <w:rPr>
                <w:rFonts w:ascii="Arial" w:cs="Arial" w:eastAsia="Arial" w:hAnsi="Arial"/>
                <w:sz w:val="22"/>
                <w:szCs w:val="22"/>
                <w:color w:val="auto"/>
                <w:vertAlign w:val="superscript"/>
              </w:rPr>
              <w:t>(4)</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14,201</w:t>
            </w:r>
          </w:p>
        </w:tc>
      </w:tr>
      <w:tr>
        <w:trPr>
          <w:trHeight w:val="212"/>
        </w:trPr>
        <w:tc>
          <w:tcPr>
            <w:tcW w:w="826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107,661</w:t>
            </w:r>
          </w:p>
        </w:tc>
        <w:tc>
          <w:tcPr>
            <w:tcW w:w="5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130,197</w:t>
            </w:r>
          </w:p>
        </w:tc>
      </w:tr>
      <w:tr>
        <w:trPr>
          <w:trHeight w:val="20"/>
        </w:trPr>
        <w:tc>
          <w:tcPr>
            <w:tcW w:w="8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spacing w:after="0" w:line="33" w:lineRule="exact"/>
        <w:rPr>
          <w:rFonts w:ascii="Arial" w:cs="Arial" w:eastAsia="Arial" w:hAnsi="Arial"/>
          <w:sz w:val="14"/>
          <w:szCs w:val="14"/>
          <w:color w:val="auto"/>
        </w:rPr>
      </w:pPr>
    </w:p>
    <w:p>
      <w:pPr>
        <w:ind w:left="320" w:hanging="317"/>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spacing w:after="0" w:line="58" w:lineRule="exact"/>
        <w:rPr>
          <w:rFonts w:ascii="Arial" w:cs="Arial" w:eastAsia="Arial" w:hAnsi="Arial"/>
          <w:sz w:val="14"/>
          <w:szCs w:val="14"/>
          <w:color w:val="auto"/>
        </w:rPr>
      </w:pPr>
    </w:p>
    <w:p>
      <w:pPr>
        <w:ind w:left="320" w:hanging="317"/>
        <w:spacing w:after="0" w:line="269"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revenues from the United Kingdom of $15.3 million and $14.7 million for the three months ended March 31, 2023 and 2022, respectively, and from the Netherlands of $0.3 million and $1.3 million for the three months ended March 31, 2023 and 2022, respectively.</w:t>
      </w:r>
    </w:p>
    <w:p>
      <w:pPr>
        <w:spacing w:after="0" w:line="25" w:lineRule="exact"/>
        <w:rPr>
          <w:rFonts w:ascii="Arial" w:cs="Arial" w:eastAsia="Arial" w:hAnsi="Arial"/>
          <w:sz w:val="14"/>
          <w:szCs w:val="14"/>
          <w:color w:val="auto"/>
        </w:rPr>
      </w:pPr>
    </w:p>
    <w:p>
      <w:pPr>
        <w:ind w:left="320" w:hanging="317"/>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Asia Pacific (“APAC”)</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about Contract Balances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Amounts collected in advance of services being provided are accounted for as deferred revenue. Nearly all of the Company’s deferred revenue balance is related to Hosted services revenue</w:t>
      </w:r>
      <w:r>
        <w:rPr>
          <w:rFonts w:ascii="Arial" w:cs="Arial" w:eastAsia="Arial" w:hAnsi="Arial"/>
          <w:sz w:val="17"/>
          <w:szCs w:val="17"/>
          <w:i w:val="1"/>
          <w:iCs w:val="1"/>
          <w:color w:val="auto"/>
        </w:rPr>
        <w:t>.</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and deferred revenues are as follows:</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Arial" w:cs="Arial" w:eastAsia="Arial" w:hAnsi="Arial"/>
                <w:sz w:val="15"/>
                <w:szCs w:val="15"/>
                <w:b w:val="1"/>
                <w:bCs w:val="1"/>
                <w:color w:val="auto"/>
                <w:w w:val="97"/>
              </w:rPr>
              <w:t>Contract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17"/>
              <w:spacing w:after="0"/>
              <w:rPr>
                <w:sz w:val="20"/>
                <w:szCs w:val="20"/>
                <w:color w:val="auto"/>
              </w:rPr>
            </w:pPr>
            <w:r>
              <w:rPr>
                <w:rFonts w:ascii="Arial" w:cs="Arial" w:eastAsia="Arial" w:hAnsi="Arial"/>
                <w:sz w:val="15"/>
                <w:szCs w:val="15"/>
                <w:b w:val="1"/>
                <w:bCs w:val="1"/>
                <w:color w:val="auto"/>
                <w:w w:val="90"/>
              </w:rPr>
              <w:t>Accounts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5"/>
                <w:szCs w:val="15"/>
                <w:b w:val="1"/>
                <w:bCs w:val="1"/>
                <w:color w:val="auto"/>
              </w:rPr>
              <w:t>Unbilled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8"/>
              <w:spacing w:after="0" w:line="155" w:lineRule="exact"/>
              <w:rPr>
                <w:sz w:val="20"/>
                <w:szCs w:val="20"/>
                <w:color w:val="auto"/>
              </w:rPr>
            </w:pPr>
            <w:r>
              <w:rPr>
                <w:rFonts w:ascii="Arial" w:cs="Arial" w:eastAsia="Arial" w:hAnsi="Arial"/>
                <w:sz w:val="15"/>
                <w:szCs w:val="15"/>
                <w:b w:val="1"/>
                <w:bCs w:val="1"/>
                <w:color w:val="auto"/>
                <w:w w:val="92"/>
              </w:rPr>
              <w:t>Acquisition</w:t>
            </w: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6"/>
              </w:rPr>
              <w:t>Deferred Revenue</w:t>
            </w: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6"/>
              </w:rPr>
              <w:t>Deferred Revenue</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8"/>
              <w:spacing w:after="0" w:line="155" w:lineRule="exact"/>
              <w:rPr>
                <w:sz w:val="20"/>
                <w:szCs w:val="20"/>
                <w:color w:val="auto"/>
              </w:rPr>
            </w:pPr>
            <w:r>
              <w:rPr>
                <w:rFonts w:ascii="Arial" w:cs="Arial" w:eastAsia="Arial" w:hAnsi="Arial"/>
                <w:sz w:val="15"/>
                <w:szCs w:val="15"/>
                <w:b w:val="1"/>
                <w:bCs w:val="1"/>
                <w:color w:val="auto"/>
                <w:w w:val="86"/>
              </w:rPr>
              <w:t>Costs</w:t>
            </w: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Receivable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w w:val="99"/>
              </w:rPr>
              <w:t>Receivable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95"/>
              </w:rPr>
              <w:t>(Non-current)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(Current)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5"/>
                <w:szCs w:val="15"/>
                <w:b w:val="1"/>
                <w:bCs w:val="1"/>
                <w:color w:val="auto"/>
              </w:rPr>
              <w:t>(Non-current)</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color w:val="auto"/>
                <w:w w:val="91"/>
              </w:rPr>
              <w:t>(In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Opening balance as of December 31, 2021</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417"/>
              <w:spacing w:after="0"/>
              <w:rPr>
                <w:sz w:val="20"/>
                <w:szCs w:val="20"/>
                <w:color w:val="auto"/>
              </w:rPr>
            </w:pPr>
            <w:r>
              <w:rPr>
                <w:rFonts w:ascii="Arial" w:cs="Arial" w:eastAsia="Arial" w:hAnsi="Arial"/>
                <w:sz w:val="17"/>
                <w:szCs w:val="17"/>
                <w:color w:val="auto"/>
                <w:w w:val="92"/>
              </w:rPr>
              <w:t>69,259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40,675</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1"/>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Increase (decrease), net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97"/>
              <w:spacing w:after="0"/>
              <w:rPr>
                <w:sz w:val="20"/>
                <w:szCs w:val="20"/>
                <w:color w:val="auto"/>
              </w:rPr>
            </w:pPr>
            <w:r>
              <w:rPr>
                <w:rFonts w:ascii="Arial" w:cs="Arial" w:eastAsia="Arial" w:hAnsi="Arial"/>
                <w:sz w:val="17"/>
                <w:szCs w:val="17"/>
                <w:color w:val="auto"/>
                <w:w w:val="91"/>
              </w:rPr>
              <w:t>(15,791)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balance as of December 31, 2022</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417"/>
              <w:spacing w:after="0"/>
              <w:rPr>
                <w:sz w:val="20"/>
                <w:szCs w:val="20"/>
                <w:color w:val="auto"/>
              </w:rPr>
            </w:pPr>
            <w:r>
              <w:rPr>
                <w:rFonts w:ascii="Arial" w:cs="Arial" w:eastAsia="Arial" w:hAnsi="Arial"/>
                <w:sz w:val="17"/>
                <w:szCs w:val="17"/>
                <w:color w:val="auto"/>
                <w:w w:val="92"/>
              </w:rPr>
              <w:t>53,468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43,804</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8"/>
        </w:trPr>
        <w:tc>
          <w:tcPr>
            <w:tcW w:w="3940" w:type="dxa"/>
            <w:vAlign w:val="bottom"/>
          </w:tcPr>
          <w:p>
            <w:pPr>
              <w:ind w:left="140"/>
              <w:spacing w:after="0"/>
              <w:rPr>
                <w:sz w:val="20"/>
                <w:szCs w:val="20"/>
                <w:color w:val="auto"/>
              </w:rPr>
            </w:pPr>
            <w:r>
              <w:rPr>
                <w:rFonts w:ascii="Arial" w:cs="Arial" w:eastAsia="Arial" w:hAnsi="Arial"/>
                <w:sz w:val="17"/>
                <w:szCs w:val="17"/>
                <w:color w:val="auto"/>
              </w:rPr>
              <w:t>Increase (decrease),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17"/>
              <w:spacing w:after="0"/>
              <w:rPr>
                <w:sz w:val="20"/>
                <w:szCs w:val="20"/>
                <w:color w:val="auto"/>
              </w:rPr>
            </w:pPr>
            <w:r>
              <w:rPr>
                <w:rFonts w:ascii="Arial" w:cs="Arial" w:eastAsia="Arial" w:hAnsi="Arial"/>
                <w:sz w:val="17"/>
                <w:szCs w:val="17"/>
                <w:color w:val="auto"/>
                <w:w w:val="92"/>
              </w:rPr>
              <w:t>39,651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25,281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 as of March 31, 2023</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417"/>
              <w:spacing w:after="0"/>
              <w:rPr>
                <w:sz w:val="20"/>
                <w:szCs w:val="20"/>
                <w:color w:val="auto"/>
              </w:rPr>
            </w:pPr>
            <w:r>
              <w:rPr>
                <w:rFonts w:ascii="Arial" w:cs="Arial" w:eastAsia="Arial" w:hAnsi="Arial"/>
                <w:sz w:val="17"/>
                <w:szCs w:val="17"/>
                <w:color w:val="auto"/>
                <w:w w:val="92"/>
              </w:rPr>
              <w:t>93,119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42,829</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Net</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6" w:name="page17"/>
    <w:bookmarkEnd w:id="16"/>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collection have been exhausted and the potential for recovery is considered remote. Accounts receivable are written off against the allowance for uncollectible accounts when the Company determines amounts are no longer collectible.</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right"/>
        <w:ind w:right="6739"/>
        <w:spacing w:after="0"/>
        <w:rPr>
          <w:sz w:val="20"/>
          <w:szCs w:val="20"/>
          <w:color w:val="auto"/>
        </w:rPr>
      </w:pPr>
      <w:r>
        <w:rPr>
          <w:rFonts w:ascii="Arial" w:cs="Arial" w:eastAsia="Arial" w:hAnsi="Arial"/>
          <w:sz w:val="15"/>
          <w:szCs w:val="15"/>
          <w:color w:val="auto"/>
        </w:rPr>
        <w:t>Allowance for doubtful accounts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38670" cy="14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40" w:lineRule="exact"/>
        <w:rPr>
          <w:sz w:val="20"/>
          <w:szCs w:val="20"/>
          <w:color w:val="auto"/>
        </w:rPr>
      </w:pPr>
    </w:p>
    <w:p>
      <w:pPr>
        <w:jc w:val="right"/>
        <w:ind w:right="6739"/>
        <w:spacing w:after="0"/>
        <w:rPr>
          <w:sz w:val="20"/>
          <w:szCs w:val="20"/>
          <w:color w:val="auto"/>
        </w:rPr>
      </w:pPr>
      <w:r>
        <w:rPr>
          <w:rFonts w:ascii="Arial" w:cs="Arial" w:eastAsia="Arial" w:hAnsi="Arial"/>
          <w:sz w:val="16"/>
          <w:szCs w:val="16"/>
          <w:color w:val="auto"/>
        </w:rPr>
        <w:t>Balance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Additions charged to costs and expenses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Deductions/write-offs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Balance as of March 31, 2023</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1"/>
          <w:szCs w:val="11"/>
          <w:b w:val="1"/>
          <w:bCs w:val="1"/>
          <w:color w:val="auto"/>
        </w:rPr>
        <w:t>Allowance for Doubtful</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wp:posOffset>
            </wp:positionV>
            <wp:extent cx="916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 w:lineRule="exact"/>
        <w:rPr>
          <w:sz w:val="20"/>
          <w:szCs w:val="20"/>
          <w:color w:val="auto"/>
        </w:rPr>
      </w:pPr>
    </w:p>
    <w:p>
      <w:pPr>
        <w:ind w:left="281"/>
        <w:spacing w:after="0"/>
        <w:rPr>
          <w:sz w:val="20"/>
          <w:szCs w:val="20"/>
          <w:color w:val="auto"/>
        </w:rPr>
      </w:pPr>
      <w:r>
        <w:rPr>
          <w:rFonts w:ascii="Arial" w:cs="Arial" w:eastAsia="Arial" w:hAnsi="Arial"/>
          <w:sz w:val="14"/>
          <w:szCs w:val="14"/>
          <w:b w:val="1"/>
          <w:bCs w:val="1"/>
          <w:color w:val="auto"/>
        </w:rPr>
        <w:t>(In thousands)</w:t>
      </w:r>
    </w:p>
    <w:p>
      <w:pPr>
        <w:spacing w:after="0" w:line="262" w:lineRule="exact"/>
        <w:rPr>
          <w:sz w:val="20"/>
          <w:szCs w:val="20"/>
          <w:color w:val="auto"/>
        </w:rPr>
      </w:pPr>
    </w:p>
    <w:p>
      <w:pPr>
        <w:ind w:left="961" w:hanging="961"/>
        <w:spacing w:after="0"/>
        <w:tabs>
          <w:tab w:leader="none" w:pos="961" w:val="left"/>
        </w:tabs>
        <w:numPr>
          <w:ilvl w:val="0"/>
          <w:numId w:val="6"/>
        </w:numPr>
        <w:rPr>
          <w:rFonts w:ascii="Arial" w:cs="Arial" w:eastAsia="Arial" w:hAnsi="Arial"/>
          <w:sz w:val="17"/>
          <w:szCs w:val="17"/>
          <w:color w:val="auto"/>
        </w:rPr>
      </w:pPr>
      <w:r>
        <w:rPr>
          <w:rFonts w:ascii="Arial" w:cs="Arial" w:eastAsia="Arial" w:hAnsi="Arial"/>
          <w:sz w:val="17"/>
          <w:szCs w:val="17"/>
          <w:color w:val="auto"/>
        </w:rPr>
        <w:t>9,239</w:t>
      </w:r>
    </w:p>
    <w:p>
      <w:pPr>
        <w:spacing w:after="0" w:line="23" w:lineRule="exact"/>
        <w:rPr>
          <w:rFonts w:ascii="Arial" w:cs="Arial" w:eastAsia="Arial" w:hAnsi="Arial"/>
          <w:sz w:val="17"/>
          <w:szCs w:val="17"/>
          <w:color w:val="auto"/>
        </w:rPr>
      </w:pPr>
    </w:p>
    <w:p>
      <w:pPr>
        <w:ind w:left="961"/>
        <w:spacing w:after="0"/>
        <w:rPr>
          <w:rFonts w:ascii="Arial" w:cs="Arial" w:eastAsia="Arial" w:hAnsi="Arial"/>
          <w:sz w:val="17"/>
          <w:szCs w:val="17"/>
          <w:color w:val="auto"/>
        </w:rPr>
      </w:pPr>
      <w:r>
        <w:rPr>
          <w:rFonts w:ascii="Arial" w:cs="Arial" w:eastAsia="Arial" w:hAnsi="Arial"/>
          <w:sz w:val="17"/>
          <w:szCs w:val="17"/>
          <w:color w:val="auto"/>
        </w:rPr>
        <w:t>1,079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(1,184)</w:t>
      </w:r>
    </w:p>
    <w:p>
      <w:pPr>
        <w:spacing w:after="0" w:line="49" w:lineRule="exact"/>
        <w:rPr>
          <w:sz w:val="20"/>
          <w:szCs w:val="20"/>
          <w:color w:val="auto"/>
        </w:rPr>
      </w:pPr>
    </w:p>
    <w:p>
      <w:pPr>
        <w:ind w:left="961" w:hanging="961"/>
        <w:spacing w:after="0"/>
        <w:tabs>
          <w:tab w:leader="none" w:pos="961" w:val="left"/>
        </w:tabs>
        <w:numPr>
          <w:ilvl w:val="0"/>
          <w:numId w:val="7"/>
        </w:numPr>
        <w:rPr>
          <w:rFonts w:ascii="Arial" w:cs="Arial" w:eastAsia="Arial" w:hAnsi="Arial"/>
          <w:sz w:val="17"/>
          <w:szCs w:val="17"/>
          <w:color w:val="auto"/>
        </w:rPr>
      </w:pPr>
      <w:r>
        <w:rPr>
          <w:rFonts w:ascii="Arial" w:cs="Arial" w:eastAsia="Arial" w:hAnsi="Arial"/>
          <w:sz w:val="17"/>
          <w:szCs w:val="17"/>
          <w:color w:val="auto"/>
        </w:rPr>
        <w:t>9,134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16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099" w:space="720"/>
            <w:col w:w="1421"/>
          </w:cols>
          <w:pgMar w:left="320" w:top="173" w:right="33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Net Loss Per Share</w:t>
      </w:r>
    </w:p>
    <w:p>
      <w:pPr>
        <w:spacing w:after="0" w:line="223"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6"/>
          <w:szCs w:val="16"/>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a ratio of 25.9182 shares of its common stock per $1,000 principal amount of the 2024 Notes. The Company would assume conversion of the 2026 Notes at a ratio of 13.2933 shares of its common stock per $1,000 principal amount of the 2026 Notes. Assumed converted shares of our common stock are weighted for the period the Notes were outstanding. The potential impact from the conversion of the convertible senior notes was excluded from the calculation of diluted net loss per share for the three months ended March 31, 2023 because the effect would have been anti-dilutive.</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See Note 8 – </w:t>
      </w:r>
      <w:r>
        <w:rPr>
          <w:rFonts w:ascii="Arial" w:cs="Arial" w:eastAsia="Arial" w:hAnsi="Arial"/>
          <w:sz w:val="17"/>
          <w:szCs w:val="17"/>
          <w:i w:val="1"/>
          <w:iCs w:val="1"/>
          <w:color w:val="auto"/>
        </w:rPr>
        <w:t>Convertible Senior Notes, Net and Capped Call Transactions</w:t>
      </w:r>
      <w:r>
        <w:rPr>
          <w:rFonts w:ascii="Arial" w:cs="Arial" w:eastAsia="Arial" w:hAnsi="Arial"/>
          <w:sz w:val="17"/>
          <w:szCs w:val="17"/>
          <w:color w:val="auto"/>
        </w:rPr>
        <w:t xml:space="preserve"> for a full description of the Notes.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Basic and diluted earnings per common share for the three months ended March 31, 2023 and 2022,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41"/>
              <w:spacing w:after="0"/>
              <w:rPr>
                <w:sz w:val="20"/>
                <w:szCs w:val="20"/>
                <w:color w:val="auto"/>
              </w:rPr>
            </w:pPr>
            <w:r>
              <w:rPr>
                <w:rFonts w:ascii="Arial" w:cs="Arial" w:eastAsia="Arial" w:hAnsi="Arial"/>
                <w:sz w:val="15"/>
                <w:szCs w:val="15"/>
                <w:b w:val="1"/>
                <w:bCs w:val="1"/>
                <w:color w:val="auto"/>
              </w:rPr>
              <w:t>Three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2022</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thousands)</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(65,364)</w:t>
            </w:r>
          </w:p>
        </w:tc>
      </w:tr>
      <w:tr>
        <w:trPr>
          <w:trHeight w:val="21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number of shares outstanding, basic and 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75,774,812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75,812,405</w:t>
            </w:r>
          </w:p>
        </w:tc>
      </w:tr>
      <w:tr>
        <w:trPr>
          <w:trHeight w:val="23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anti-dilutive securities excluded from the shares used to calculate diluted net loss per share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60" w:type="dxa"/>
            <w:vAlign w:val="bottom"/>
          </w:tcPr>
          <w:p>
            <w:pPr>
              <w:spacing w:after="0"/>
              <w:rPr>
                <w:sz w:val="16"/>
                <w:szCs w:val="16"/>
                <w:color w:val="auto"/>
              </w:rPr>
            </w:pPr>
          </w:p>
        </w:tc>
        <w:tc>
          <w:tcPr>
            <w:tcW w:w="2060" w:type="dxa"/>
            <w:vAlign w:val="bottom"/>
            <w:tcBorders>
              <w:bottom w:val="single" w:sz="8" w:color="auto"/>
            </w:tcBorders>
            <w:gridSpan w:val="3"/>
          </w:tcPr>
          <w:p>
            <w:pPr>
              <w:ind w:left="1000"/>
              <w:spacing w:after="0"/>
              <w:rPr>
                <w:sz w:val="20"/>
                <w:szCs w:val="20"/>
                <w:color w:val="auto"/>
              </w:rPr>
            </w:pPr>
            <w:r>
              <w:rPr>
                <w:rFonts w:ascii="Arial" w:cs="Arial" w:eastAsia="Arial" w:hAnsi="Arial"/>
                <w:sz w:val="15"/>
                <w:szCs w:val="15"/>
                <w:b w:val="1"/>
                <w:bCs w:val="1"/>
                <w:color w:val="auto"/>
                <w:w w:val="93"/>
              </w:rPr>
              <w:t>As of March 31,</w:t>
            </w:r>
          </w:p>
        </w:tc>
        <w:tc>
          <w:tcPr>
            <w:tcW w:w="92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2022</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subject to outstanding common stock options and employee stock purchase plan</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4,078,938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5,027,605</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4,331,255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4,292,153</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Earnouts</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23,818,594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4,915,718</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Conversion option of the 2024 Notes</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1,878,862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5,961,186</w:t>
            </w: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Conversion option of the 2026 Notes</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6,879,283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6,879,283</w:t>
            </w:r>
          </w:p>
        </w:tc>
      </w:tr>
      <w:tr>
        <w:trPr>
          <w:trHeight w:val="208"/>
        </w:trPr>
        <w:tc>
          <w:tcPr>
            <w:tcW w:w="826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40,986,932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27,075,945</w:t>
            </w:r>
          </w:p>
        </w:tc>
      </w:tr>
      <w:tr>
        <w:trPr>
          <w:trHeight w:val="25"/>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7" w:name="page18"/>
    <w:bookmarkEnd w:id="17"/>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Segment Information</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 xml:space="preserve">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was previously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facilitated online transactions between Experts and Users seeking information and knowledge for a fee via mobile and online messaging. During the first quarter of 2023, the Consumer segment (comprised solely of the Kasamba business) was divested (see Note 20 – </w:t>
      </w:r>
      <w:r>
        <w:rPr>
          <w:rFonts w:ascii="Arial" w:cs="Arial" w:eastAsia="Arial" w:hAnsi="Arial"/>
          <w:sz w:val="16"/>
          <w:szCs w:val="16"/>
          <w:i w:val="1"/>
          <w:iCs w:val="1"/>
          <w:color w:val="auto"/>
        </w:rPr>
        <w:t>Divestiture</w:t>
      </w:r>
      <w:r>
        <w:rPr>
          <w:rFonts w:ascii="Arial" w:cs="Arial" w:eastAsia="Arial" w:hAnsi="Arial"/>
          <w:sz w:val="16"/>
          <w:szCs w:val="16"/>
          <w:color w:val="auto"/>
        </w:rPr>
        <w:t>). The chief operating decision maker (“CODM”), who is the Company’s Chief Executive Officer, evaluates performance, makes operating decisions, and allocates resources based on the operating income of the remaining Business segment. The Business reporting segment follows the same accounting policies used in the preparation of the Company’s consolidated financial statements which are described in the summary of significant accounting policies. The Company allocates cost of revenue, sales and marketing and amortization of purchased intangible assets to the segments, but it does not allocate product development expenses, general and administrative expenses, restructuring costs and income tax expense because management does not use this information to measure performance of the operating segments. There were no inter-segment sales.</w:t>
      </w:r>
    </w:p>
    <w:p>
      <w:pPr>
        <w:spacing w:after="0" w:line="31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Summarized financial information by segment for the three months ended March 31, 2023 based on the Company’s internal financial reporting system utilized by the Company’s CODM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w w:val="96"/>
              </w:rPr>
              <w:t>Consolidated</w:t>
            </w:r>
          </w:p>
        </w:tc>
      </w:tr>
      <w:tr>
        <w:trPr>
          <w:trHeight w:val="183"/>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20"/>
              <w:spacing w:after="0"/>
              <w:rPr>
                <w:sz w:val="20"/>
                <w:szCs w:val="20"/>
                <w:color w:val="auto"/>
              </w:rPr>
            </w:pPr>
            <w:r>
              <w:rPr>
                <w:rFonts w:ascii="Arial" w:cs="Arial" w:eastAsia="Arial" w:hAnsi="Arial"/>
                <w:sz w:val="15"/>
                <w:szCs w:val="15"/>
                <w:color w:val="auto"/>
                <w:w w:val="95"/>
              </w:rPr>
              <w:t>(In thousands)</w:t>
            </w:r>
          </w:p>
        </w:tc>
      </w:tr>
      <w:tr>
        <w:trPr>
          <w:trHeight w:val="20"/>
        </w:trPr>
        <w:tc>
          <w:tcPr>
            <w:tcW w:w="9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9800" w:type="dxa"/>
            <w:vAlign w:val="bottom"/>
          </w:tcPr>
          <w:p>
            <w:pPr>
              <w:ind w:left="140"/>
              <w:spacing w:after="0" w:line="219" w:lineRule="exact"/>
              <w:rPr>
                <w:sz w:val="20"/>
                <w:szCs w:val="20"/>
                <w:color w:val="auto"/>
              </w:rPr>
            </w:pPr>
            <w:r>
              <w:rPr>
                <w:rFonts w:ascii="Arial" w:cs="Arial" w:eastAsia="Arial" w:hAnsi="Arial"/>
                <w:sz w:val="16"/>
                <w:szCs w:val="16"/>
                <w:color w:val="auto"/>
              </w:rPr>
              <w:t xml:space="preserve">Hosted services </w:t>
            </w:r>
            <w:r>
              <w:rPr>
                <w:rFonts w:ascii="Arial" w:cs="Arial" w:eastAsia="Arial" w:hAnsi="Arial"/>
                <w:sz w:val="21"/>
                <w:szCs w:val="21"/>
                <w:color w:val="auto"/>
                <w:vertAlign w:val="superscript"/>
              </w:rPr>
              <w:t>(1)</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87,338</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20,323</w:t>
            </w:r>
          </w:p>
        </w:tc>
      </w:tr>
      <w:tr>
        <w:trPr>
          <w:trHeight w:val="199"/>
        </w:trPr>
        <w:tc>
          <w:tcPr>
            <w:tcW w:w="98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107,661</w:t>
            </w:r>
          </w:p>
        </w:tc>
      </w:tr>
      <w:tr>
        <w:trPr>
          <w:trHeight w:val="21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43,096</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34,470</w:t>
            </w:r>
          </w:p>
        </w:tc>
      </w:tr>
      <w:tr>
        <w:trPr>
          <w:trHeight w:val="21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8"/>
        </w:trPr>
        <w:tc>
          <w:tcPr>
            <w:tcW w:w="9800" w:type="dxa"/>
            <w:vAlign w:val="bottom"/>
          </w:tcPr>
          <w:p>
            <w:pPr>
              <w:ind w:left="20"/>
              <w:spacing w:after="0"/>
              <w:rPr>
                <w:sz w:val="20"/>
                <w:szCs w:val="20"/>
                <w:color w:val="auto"/>
              </w:rPr>
            </w:pPr>
            <w:r>
              <w:rPr>
                <w:rFonts w:ascii="Arial" w:cs="Arial" w:eastAsia="Arial" w:hAnsi="Arial"/>
                <w:sz w:val="16"/>
                <w:szCs w:val="16"/>
                <w:color w:val="auto"/>
              </w:rPr>
              <w:t>Gain on divestiture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(17,591)</w:t>
            </w:r>
          </w:p>
        </w:tc>
      </w:tr>
      <w:tr>
        <w:trPr>
          <w:trHeight w:val="21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79,481</w:t>
            </w:r>
          </w:p>
        </w:tc>
      </w:tr>
      <w:tr>
        <w:trPr>
          <w:trHeight w:val="201"/>
        </w:trPr>
        <w:tc>
          <w:tcPr>
            <w:tcW w:w="98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(32,669)</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9" w:lineRule="exact"/>
        <w:rPr>
          <w:sz w:val="20"/>
          <w:szCs w:val="20"/>
          <w:color w:val="auto"/>
        </w:rPr>
      </w:pPr>
    </w:p>
    <w:p>
      <w:pPr>
        <w:ind w:right="140" w:firstLine="3"/>
        <w:spacing w:after="0" w:line="241" w:lineRule="auto"/>
        <w:tabs>
          <w:tab w:leader="none" w:pos="158" w:val="left"/>
        </w:tabs>
        <w:numPr>
          <w:ilvl w:val="0"/>
          <w:numId w:val="8"/>
        </w:numPr>
        <w:rPr>
          <w:rFonts w:ascii="Arial" w:cs="Arial" w:eastAsia="Arial" w:hAnsi="Arial"/>
          <w:sz w:val="19"/>
          <w:szCs w:val="19"/>
          <w:color w:val="auto"/>
          <w:vertAlign w:val="superscript"/>
        </w:rPr>
      </w:pPr>
      <w:r>
        <w:rPr>
          <w:rFonts w:ascii="Arial" w:cs="Arial" w:eastAsia="Arial" w:hAnsi="Arial"/>
          <w:sz w:val="12"/>
          <w:szCs w:val="12"/>
          <w:color w:val="auto"/>
        </w:rPr>
        <w:t>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$7.2 million of revenue for the three months ended March 31, 2023, relating to Kasamba.</w:t>
      </w:r>
    </w:p>
    <w:p>
      <w:pPr>
        <w:spacing w:after="0" w:line="335" w:lineRule="exact"/>
        <w:rPr>
          <w:sz w:val="20"/>
          <w:szCs w:val="20"/>
          <w:color w:val="auto"/>
        </w:rPr>
      </w:pPr>
    </w:p>
    <w:p>
      <w:pPr>
        <w:jc w:val="both"/>
        <w:ind w:firstLine="209"/>
        <w:spacing w:after="0" w:line="266" w:lineRule="auto"/>
        <w:rPr>
          <w:sz w:val="20"/>
          <w:szCs w:val="20"/>
          <w:color w:val="auto"/>
        </w:rPr>
      </w:pPr>
      <w:r>
        <w:rPr>
          <w:rFonts w:ascii="Arial" w:cs="Arial" w:eastAsia="Arial" w:hAnsi="Arial"/>
          <w:sz w:val="17"/>
          <w:szCs w:val="17"/>
          <w:color w:val="auto"/>
        </w:rPr>
        <w:t>During the first quarter of 2023, the Company completed the sale of Kasamba, which was reported under the Consumer segment, and had ceased recognizing revenues and expenses effective the transaction close date. As a result, the divestiture of Kasamba eliminates the Company’s Consumer segment as the Company focuses on the core business segment. See Note 20 –</w:t>
      </w:r>
      <w:r>
        <w:rPr>
          <w:rFonts w:ascii="Arial" w:cs="Arial" w:eastAsia="Arial" w:hAnsi="Arial"/>
          <w:sz w:val="17"/>
          <w:szCs w:val="17"/>
          <w:i w:val="1"/>
          <w:iCs w:val="1"/>
          <w:color w:val="auto"/>
        </w:rPr>
        <w:t>Divestiture,</w:t>
      </w:r>
      <w:r>
        <w:rPr>
          <w:rFonts w:ascii="Arial" w:cs="Arial" w:eastAsia="Arial" w:hAnsi="Arial"/>
          <w:sz w:val="17"/>
          <w:szCs w:val="17"/>
          <w:color w:val="auto"/>
        </w:rPr>
        <w:t xml:space="preserve"> for further details.</w:t>
      </w: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8" w:name="page19"/>
    <w:bookmarkEnd w:id="18"/>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Summarized financial information by segment for the three months ended March 31, 2022, based on the Company’s internal financial reporting system utilized by the Company’s CODM,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Arial" w:cs="Arial" w:eastAsia="Arial" w:hAnsi="Arial"/>
                <w:sz w:val="15"/>
                <w:szCs w:val="15"/>
                <w:b w:val="1"/>
                <w:bCs w:val="1"/>
                <w:color w:val="auto"/>
                <w:w w:val="94"/>
              </w:rPr>
              <w:t>Consolidated</w:t>
            </w: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9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20"/>
              <w:spacing w:after="0"/>
              <w:rPr>
                <w:sz w:val="20"/>
                <w:szCs w:val="20"/>
                <w:color w:val="auto"/>
              </w:rPr>
            </w:pPr>
            <w:r>
              <w:rPr>
                <w:rFonts w:ascii="Arial" w:cs="Arial" w:eastAsia="Arial" w:hAnsi="Arial"/>
                <w:sz w:val="15"/>
                <w:szCs w:val="15"/>
                <w:color w:val="auto"/>
                <w:w w:val="95"/>
              </w:rPr>
              <w:t>(In thousands)</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6"/>
        </w:trPr>
        <w:tc>
          <w:tcPr>
            <w:tcW w:w="9460" w:type="dxa"/>
            <w:vAlign w:val="bottom"/>
          </w:tcPr>
          <w:p>
            <w:pPr>
              <w:ind w:left="140"/>
              <w:spacing w:after="0" w:line="207" w:lineRule="exact"/>
              <w:rPr>
                <w:sz w:val="20"/>
                <w:szCs w:val="20"/>
                <w:color w:val="auto"/>
              </w:rPr>
            </w:pPr>
            <w:r>
              <w:rPr>
                <w:rFonts w:ascii="Arial" w:cs="Arial" w:eastAsia="Arial" w:hAnsi="Arial"/>
                <w:sz w:val="16"/>
                <w:szCs w:val="16"/>
                <w:color w:val="auto"/>
              </w:rPr>
              <w:t xml:space="preserve">Hosted services </w:t>
            </w:r>
            <w:r>
              <w:rPr>
                <w:rFonts w:ascii="Arial" w:cs="Arial" w:eastAsia="Arial" w:hAnsi="Arial"/>
                <w:sz w:val="21"/>
                <w:szCs w:val="21"/>
                <w:color w:val="auto"/>
                <w:vertAlign w:val="superscript"/>
              </w:rPr>
              <w:t>(1)</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115,446</w:t>
            </w:r>
          </w:p>
        </w:tc>
      </w:tr>
      <w:tr>
        <w:trPr>
          <w:trHeight w:val="217"/>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14,751</w:t>
            </w:r>
          </w:p>
        </w:tc>
      </w:tr>
      <w:tr>
        <w:trPr>
          <w:trHeight w:val="212"/>
        </w:trPr>
        <w:tc>
          <w:tcPr>
            <w:tcW w:w="9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130,197</w:t>
            </w:r>
          </w:p>
        </w:tc>
      </w:tr>
      <w:tr>
        <w:trPr>
          <w:trHeight w:val="201"/>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49,567</w:t>
            </w:r>
          </w:p>
        </w:tc>
      </w:tr>
      <w:tr>
        <w:trPr>
          <w:trHeight w:val="213"/>
        </w:trPr>
        <w:tc>
          <w:tcPr>
            <w:tcW w:w="9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58,132</w:t>
            </w:r>
          </w:p>
        </w:tc>
      </w:tr>
      <w:tr>
        <w:trPr>
          <w:trHeight w:val="225"/>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r>
      <w:tr>
        <w:trPr>
          <w:trHeight w:val="206"/>
        </w:trPr>
        <w:tc>
          <w:tcPr>
            <w:tcW w:w="9460" w:type="dxa"/>
            <w:vAlign w:val="bottom"/>
          </w:tcPr>
          <w:p>
            <w:pPr>
              <w:ind w:left="20"/>
              <w:spacing w:after="0"/>
              <w:rPr>
                <w:sz w:val="20"/>
                <w:szCs w:val="20"/>
                <w:color w:val="auto"/>
              </w:rPr>
            </w:pPr>
            <w:r>
              <w:rPr>
                <w:rFonts w:ascii="Arial" w:cs="Arial" w:eastAsia="Arial" w:hAnsi="Arial"/>
                <w:sz w:val="16"/>
                <w:szCs w:val="16"/>
                <w:color w:val="auto"/>
              </w:rPr>
              <w:t>Unallocated corporate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85,784</w:t>
            </w:r>
          </w:p>
        </w:tc>
      </w:tr>
      <w:tr>
        <w:trPr>
          <w:trHeight w:val="237"/>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(65,127)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40" w:firstLine="3"/>
        <w:spacing w:after="0" w:line="241" w:lineRule="auto"/>
        <w:tabs>
          <w:tab w:leader="none" w:pos="158"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$9.1 million of revenue for the three months ended March 31, 2022, relating to Kasamba.</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is domiciled in the United States and has international operations around the globe. The following table presents the Company’s long-lived assets by geographic region as of March 31, 2023 and December 31,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21"/>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Arial" w:cs="Arial" w:eastAsia="Arial" w:hAnsi="Arial"/>
                <w:sz w:val="15"/>
                <w:szCs w:val="15"/>
                <w:b w:val="1"/>
                <w:bCs w:val="1"/>
                <w:color w:val="auto"/>
                <w:w w:val="94"/>
              </w:rPr>
              <w:t>December 31,</w:t>
            </w:r>
          </w:p>
        </w:tc>
      </w:tr>
      <w:tr>
        <w:trPr>
          <w:trHeight w:val="193"/>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01"/>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Arial" w:cs="Arial" w:eastAsia="Arial" w:hAnsi="Arial"/>
                <w:sz w:val="15"/>
                <w:szCs w:val="15"/>
                <w:b w:val="1"/>
                <w:bCs w:val="1"/>
                <w:color w:val="auto"/>
              </w:rPr>
              <w:t>2022</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183"/>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980"/>
              <w:spacing w:after="0"/>
              <w:rPr>
                <w:sz w:val="20"/>
                <w:szCs w:val="20"/>
                <w:color w:val="auto"/>
              </w:rPr>
            </w:pPr>
            <w:r>
              <w:rPr>
                <w:rFonts w:ascii="Arial" w:cs="Arial" w:eastAsia="Arial" w:hAnsi="Arial"/>
                <w:sz w:val="15"/>
                <w:szCs w:val="15"/>
                <w:color w:val="auto"/>
              </w:rPr>
              <w:t>(In thousands)</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475,433</w:t>
            </w:r>
          </w:p>
        </w:tc>
        <w:tc>
          <w:tcPr>
            <w:tcW w:w="3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476,040</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46,337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46,323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12,057</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w:t>
            </w:r>
          </w:p>
        </w:tc>
      </w:tr>
      <w:tr>
        <w:trPr>
          <w:trHeight w:val="219"/>
        </w:trPr>
        <w:tc>
          <w:tcPr>
            <w:tcW w:w="826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13,520</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554,643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United Kingdom, Japan, France, Italy, Spain, Canada, and Singapore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Goodwill and Intangible Assets, Net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carrying amount of goodwill for the three months ended March 31, 2023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2"/>
              <w:spacing w:after="0"/>
              <w:rPr>
                <w:sz w:val="20"/>
                <w:szCs w:val="20"/>
                <w:color w:val="auto"/>
              </w:rPr>
            </w:pPr>
            <w:r>
              <w:rPr>
                <w:rFonts w:ascii="Arial" w:cs="Arial" w:eastAsia="Arial" w:hAnsi="Arial"/>
                <w:sz w:val="15"/>
                <w:szCs w:val="15"/>
                <w:b w:val="1"/>
                <w:bCs w:val="1"/>
                <w:color w:val="auto"/>
              </w:rPr>
              <w:t>Business</w:t>
            </w:r>
          </w:p>
        </w:tc>
      </w:tr>
      <w:tr>
        <w:trPr>
          <w:trHeight w:val="238"/>
        </w:trPr>
        <w:tc>
          <w:tcPr>
            <w:tcW w:w="9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2"/>
              <w:spacing w:after="0"/>
              <w:rPr>
                <w:sz w:val="20"/>
                <w:szCs w:val="20"/>
                <w:color w:val="auto"/>
              </w:rPr>
            </w:pPr>
            <w:r>
              <w:rPr>
                <w:rFonts w:ascii="Arial" w:cs="Arial" w:eastAsia="Arial" w:hAnsi="Arial"/>
                <w:sz w:val="15"/>
                <w:szCs w:val="15"/>
                <w:color w:val="auto"/>
                <w:w w:val="95"/>
              </w:rPr>
              <w:t>(In thousands)</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296,214</w:t>
            </w:r>
          </w:p>
        </w:tc>
      </w:tr>
      <w:tr>
        <w:trPr>
          <w:trHeight w:val="206"/>
        </w:trPr>
        <w:tc>
          <w:tcPr>
            <w:tcW w:w="9800" w:type="dxa"/>
            <w:vAlign w:val="bottom"/>
          </w:tcPr>
          <w:p>
            <w:pPr>
              <w:ind w:left="140"/>
              <w:spacing w:after="0"/>
              <w:rPr>
                <w:sz w:val="20"/>
                <w:szCs w:val="20"/>
                <w:color w:val="auto"/>
              </w:rPr>
            </w:pPr>
            <w:r>
              <w:rPr>
                <w:rFonts w:ascii="Arial" w:cs="Arial" w:eastAsia="Arial" w:hAnsi="Arial"/>
                <w:sz w:val="16"/>
                <w:szCs w:val="16"/>
                <w:color w:val="auto"/>
              </w:rPr>
              <w:t>Adjustments to goodwill:</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7"/>
        </w:trPr>
        <w:tc>
          <w:tcPr>
            <w:tcW w:w="9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Foreign exchange adjustment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14"/>
        </w:trPr>
        <w:tc>
          <w:tcPr>
            <w:tcW w:w="980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296,790</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9" w:name="page20"/>
    <w:bookmarkEnd w:id="19"/>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Goodwill is not amortized, but is tested for impairment at the reporting unit level using either a qualitative or quantitative assessment on an annual basis during third quarter of each fiscal year, and whenever events or changes in circumstances indicate that the carrying value may not be recoverable. Impairment of goodwill is measured at the reporting unit level by comparing the carrying amount, including goodwill, to the fair market value of the reporting unit. As of March 31, 2023, there was no indication of impairment of the Company's goodwill balances. As a result of the expected divestiture of Kasamba under the Consumer segment, the Company recorded a reduction to its goodwill of $8.0 million during the year ended December 31, 2022, based on the relative fair value of the segment. See Note 20 - </w:t>
      </w:r>
      <w:r>
        <w:rPr>
          <w:rFonts w:ascii="Arial" w:cs="Arial" w:eastAsia="Arial" w:hAnsi="Arial"/>
          <w:sz w:val="17"/>
          <w:szCs w:val="17"/>
          <w:i w:val="1"/>
          <w:iCs w:val="1"/>
          <w:color w:val="auto"/>
        </w:rPr>
        <w:t>Divestiture</w:t>
      </w:r>
      <w:r>
        <w:rPr>
          <w:rFonts w:ascii="Arial" w:cs="Arial" w:eastAsia="Arial" w:hAnsi="Arial"/>
          <w:sz w:val="17"/>
          <w:szCs w:val="17"/>
          <w:color w:val="auto"/>
        </w:rPr>
        <w:t>,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are summarized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center"/>
              <w:ind w:left="442"/>
              <w:spacing w:after="0"/>
              <w:rPr>
                <w:sz w:val="20"/>
                <w:szCs w:val="20"/>
                <w:color w:val="auto"/>
              </w:rPr>
            </w:pPr>
            <w:r>
              <w:rPr>
                <w:rFonts w:ascii="Arial" w:cs="Arial" w:eastAsia="Arial" w:hAnsi="Arial"/>
                <w:sz w:val="15"/>
                <w:szCs w:val="15"/>
                <w:b w:val="1"/>
                <w:bCs w:val="1"/>
                <w:color w:val="auto"/>
                <w:w w:val="89"/>
              </w:rPr>
              <w:t>March 31, 2023</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201"/>
              <w:spacing w:after="0"/>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w w:val="88"/>
              </w:rPr>
              <w:t>Weighted</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222"/>
              <w:spacing w:after="0"/>
              <w:rPr>
                <w:sz w:val="20"/>
                <w:szCs w:val="20"/>
                <w:color w:val="auto"/>
              </w:rPr>
            </w:pPr>
            <w:r>
              <w:rPr>
                <w:rFonts w:ascii="Arial" w:cs="Arial" w:eastAsia="Arial" w:hAnsi="Arial"/>
                <w:sz w:val="15"/>
                <w:szCs w:val="15"/>
                <w:b w:val="1"/>
                <w:bCs w:val="1"/>
                <w:color w:val="auto"/>
                <w:w w:val="97"/>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5"/>
                <w:szCs w:val="15"/>
                <w:b w:val="1"/>
                <w:bCs w:val="1"/>
                <w:color w:val="auto"/>
                <w:w w:val="84"/>
              </w:rPr>
              <w:t>Average</w:t>
            </w:r>
          </w:p>
        </w:tc>
        <w:tc>
          <w:tcPr>
            <w:tcW w:w="0" w:type="dxa"/>
            <w:vAlign w:val="bottom"/>
          </w:tcPr>
          <w:p>
            <w:pPr>
              <w:spacing w:after="0"/>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81"/>
              <w:spacing w:after="0" w:line="151" w:lineRule="exact"/>
              <w:rPr>
                <w:sz w:val="20"/>
                <w:szCs w:val="20"/>
                <w:color w:val="auto"/>
              </w:rPr>
            </w:pPr>
            <w:r>
              <w:rPr>
                <w:rFonts w:ascii="Arial" w:cs="Arial" w:eastAsia="Arial" w:hAnsi="Arial"/>
                <w:sz w:val="15"/>
                <w:szCs w:val="15"/>
                <w:b w:val="1"/>
                <w:bCs w:val="1"/>
                <w:color w:val="auto"/>
                <w:w w:val="93"/>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Amortization</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5"/>
                <w:szCs w:val="15"/>
                <w:b w:val="1"/>
                <w:bCs w:val="1"/>
                <w:color w:val="auto"/>
                <w:w w:val="88"/>
              </w:rPr>
              <w:t>Amount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Net Carrying Amount</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Period</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2"/>
              <w:spacing w:after="0"/>
              <w:rPr>
                <w:sz w:val="20"/>
                <w:szCs w:val="20"/>
                <w:color w:val="auto"/>
              </w:rPr>
            </w:pPr>
            <w:r>
              <w:rPr>
                <w:rFonts w:ascii="Arial" w:cs="Arial" w:eastAsia="Arial" w:hAnsi="Arial"/>
                <w:sz w:val="15"/>
                <w:szCs w:val="15"/>
                <w:color w:val="auto"/>
                <w:w w:val="95"/>
              </w:rPr>
              <w:t>(In thousands)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97,488</w:t>
            </w:r>
          </w:p>
        </w:tc>
        <w:tc>
          <w:tcPr>
            <w:tcW w:w="3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(49,633)</w:t>
            </w:r>
          </w:p>
        </w:tc>
        <w:tc>
          <w:tcPr>
            <w:tcW w:w="8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47,855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years</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10,866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 years</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06"/>
        </w:trPr>
        <w:tc>
          <w:tcPr>
            <w:tcW w:w="52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 years</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years</w:t>
            </w:r>
          </w:p>
        </w:tc>
        <w:tc>
          <w:tcPr>
            <w:tcW w:w="0" w:type="dxa"/>
            <w:vAlign w:val="bottom"/>
          </w:tcPr>
          <w:p>
            <w:pPr>
              <w:spacing w:after="0"/>
              <w:rPr>
                <w:sz w:val="1"/>
                <w:szCs w:val="1"/>
                <w:color w:val="auto"/>
              </w:rPr>
            </w:pPr>
          </w:p>
        </w:tc>
      </w:tr>
      <w:tr>
        <w:trPr>
          <w:trHeight w:val="212"/>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(70,298)</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74,935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center"/>
              <w:ind w:left="442"/>
              <w:spacing w:after="0"/>
              <w:rPr>
                <w:sz w:val="20"/>
                <w:szCs w:val="20"/>
                <w:color w:val="auto"/>
              </w:rPr>
            </w:pPr>
            <w:r>
              <w:rPr>
                <w:rFonts w:ascii="Arial" w:cs="Arial" w:eastAsia="Arial" w:hAnsi="Arial"/>
                <w:sz w:val="15"/>
                <w:szCs w:val="15"/>
                <w:b w:val="1"/>
                <w:bCs w:val="1"/>
                <w:color w:val="auto"/>
                <w:w w:val="85"/>
              </w:rPr>
              <w:t>December 31, 2022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201"/>
              <w:spacing w:after="0"/>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w w:val="88"/>
              </w:rPr>
              <w:t>Weighted</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222"/>
              <w:spacing w:after="0"/>
              <w:rPr>
                <w:sz w:val="20"/>
                <w:szCs w:val="20"/>
                <w:color w:val="auto"/>
              </w:rPr>
            </w:pPr>
            <w:r>
              <w:rPr>
                <w:rFonts w:ascii="Arial" w:cs="Arial" w:eastAsia="Arial" w:hAnsi="Arial"/>
                <w:sz w:val="15"/>
                <w:szCs w:val="15"/>
                <w:b w:val="1"/>
                <w:bCs w:val="1"/>
                <w:color w:val="auto"/>
                <w:w w:val="97"/>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5"/>
                <w:szCs w:val="15"/>
                <w:b w:val="1"/>
                <w:bCs w:val="1"/>
                <w:color w:val="auto"/>
                <w:w w:val="84"/>
              </w:rPr>
              <w:t>Average</w:t>
            </w:r>
          </w:p>
        </w:tc>
        <w:tc>
          <w:tcPr>
            <w:tcW w:w="0" w:type="dxa"/>
            <w:vAlign w:val="bottom"/>
          </w:tcPr>
          <w:p>
            <w:pPr>
              <w:spacing w:after="0"/>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81"/>
              <w:spacing w:after="0" w:line="151" w:lineRule="exact"/>
              <w:rPr>
                <w:sz w:val="20"/>
                <w:szCs w:val="20"/>
                <w:color w:val="auto"/>
              </w:rPr>
            </w:pPr>
            <w:r>
              <w:rPr>
                <w:rFonts w:ascii="Arial" w:cs="Arial" w:eastAsia="Arial" w:hAnsi="Arial"/>
                <w:sz w:val="15"/>
                <w:szCs w:val="15"/>
                <w:b w:val="1"/>
                <w:bCs w:val="1"/>
                <w:color w:val="auto"/>
                <w:w w:val="93"/>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Amortization</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5"/>
                <w:szCs w:val="15"/>
                <w:b w:val="1"/>
                <w:bCs w:val="1"/>
                <w:color w:val="auto"/>
                <w:w w:val="88"/>
              </w:rPr>
              <w:t>Amount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Net Carrying Amount</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Period</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2"/>
              <w:spacing w:after="0"/>
              <w:rPr>
                <w:sz w:val="20"/>
                <w:szCs w:val="20"/>
                <w:color w:val="auto"/>
              </w:rPr>
            </w:pPr>
            <w:r>
              <w:rPr>
                <w:rFonts w:ascii="Arial" w:cs="Arial" w:eastAsia="Arial" w:hAnsi="Arial"/>
                <w:sz w:val="15"/>
                <w:szCs w:val="15"/>
                <w:color w:val="auto"/>
                <w:w w:val="95"/>
              </w:rPr>
              <w:t>(In thousands)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97,454</w:t>
            </w:r>
          </w:p>
        </w:tc>
        <w:tc>
          <w:tcPr>
            <w:tcW w:w="3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(45,907)</w:t>
            </w:r>
          </w:p>
        </w:tc>
        <w:tc>
          <w:tcPr>
            <w:tcW w:w="8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51,547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years</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 years</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06"/>
        </w:trPr>
        <w:tc>
          <w:tcPr>
            <w:tcW w:w="52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 years</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years</w:t>
            </w:r>
          </w:p>
        </w:tc>
        <w:tc>
          <w:tcPr>
            <w:tcW w:w="0" w:type="dxa"/>
            <w:vAlign w:val="bottom"/>
          </w:tcPr>
          <w:p>
            <w:pPr>
              <w:spacing w:after="0"/>
              <w:rPr>
                <w:sz w:val="1"/>
                <w:szCs w:val="1"/>
                <w:color w:val="auto"/>
              </w:rPr>
            </w:pPr>
          </w:p>
        </w:tc>
      </w:tr>
      <w:tr>
        <w:trPr>
          <w:trHeight w:val="199"/>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143,930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(65,827)</w:t>
            </w:r>
          </w:p>
        </w:tc>
        <w:tc>
          <w:tcPr>
            <w:tcW w:w="10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78,103</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0" w:name="page21"/>
    <w:bookmarkEnd w:id="20"/>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Amortization expense is calculated over the estimated useful life of the asset. Aggregate amortization expense for intangible assets was $4.6 million and $4.4 million for the three months ended March 31, 2023 and 2022, respectively, and a portion of this amortization was included in cost of revenue in the condensed consolidated statements of operations.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Estimated amortization expense for the next five years is as follows:</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Remaining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3867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0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3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Property and Equipment, Net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detail of property and equipment, net for the periods presented: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left="-1199"/>
        <w:spacing w:after="0"/>
        <w:rPr>
          <w:sz w:val="20"/>
          <w:szCs w:val="20"/>
          <w:color w:val="auto"/>
        </w:rPr>
      </w:pPr>
      <w:r>
        <w:rPr>
          <w:rFonts w:ascii="Arial" w:cs="Arial" w:eastAsia="Arial" w:hAnsi="Arial"/>
          <w:sz w:val="15"/>
          <w:szCs w:val="15"/>
          <w:b w:val="1"/>
          <w:bCs w:val="1"/>
          <w:color w:val="auto"/>
        </w:rPr>
        <w:t>Estimated</w:t>
      </w:r>
    </w:p>
    <w:p>
      <w:pPr>
        <w:jc w:val="center"/>
        <w:ind w:left="-1199"/>
        <w:spacing w:after="0"/>
        <w:rPr>
          <w:sz w:val="20"/>
          <w:szCs w:val="20"/>
          <w:color w:val="auto"/>
        </w:rPr>
      </w:pPr>
      <w:r>
        <w:rPr>
          <w:rFonts w:ascii="Arial" w:cs="Arial" w:eastAsia="Arial" w:hAnsi="Arial"/>
          <w:sz w:val="13"/>
          <w:szCs w:val="13"/>
          <w:b w:val="1"/>
          <w:bCs w:val="1"/>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28575</wp:posOffset>
            </wp:positionV>
            <wp:extent cx="9251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(In thousands)</w:t>
      </w:r>
    </w:p>
    <w:p>
      <w:pPr>
        <w:spacing w:after="0" w:line="17" w:lineRule="exact"/>
        <w:rPr>
          <w:sz w:val="20"/>
          <w:szCs w:val="20"/>
          <w:color w:val="auto"/>
        </w:rPr>
      </w:pPr>
    </w:p>
    <w:p>
      <w:pPr>
        <w:ind w:left="2460" w:hanging="909"/>
        <w:spacing w:after="0"/>
        <w:tabs>
          <w:tab w:leader="none" w:pos="2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13,549</w:t>
      </w:r>
    </w:p>
    <w:p>
      <w:pPr>
        <w:spacing w:after="0" w:line="35"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6"/>
          <w:szCs w:val="16"/>
          <w:color w:val="auto"/>
        </w:rPr>
        <w:t>16,133</w:t>
      </w:r>
    </w:p>
    <w:p>
      <w:pPr>
        <w:spacing w:after="0" w:line="23"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6"/>
          <w:szCs w:val="16"/>
          <w:color w:val="auto"/>
        </w:rPr>
        <w:t>15,690</w:t>
      </w:r>
    </w:p>
    <w:p>
      <w:pPr>
        <w:spacing w:after="0" w:line="34"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6"/>
          <w:szCs w:val="16"/>
          <w:color w:val="auto"/>
        </w:rPr>
        <w:t>12,997</w:t>
      </w:r>
    </w:p>
    <w:p>
      <w:pPr>
        <w:spacing w:after="0" w:line="35" w:lineRule="exact"/>
        <w:rPr>
          <w:rFonts w:ascii="Arial" w:cs="Arial" w:eastAsia="Arial" w:hAnsi="Arial"/>
          <w:sz w:val="16"/>
          <w:szCs w:val="16"/>
          <w:color w:val="auto"/>
        </w:rPr>
      </w:pPr>
    </w:p>
    <w:p>
      <w:pPr>
        <w:ind w:left="2540"/>
        <w:spacing w:after="0"/>
        <w:rPr>
          <w:rFonts w:ascii="Arial" w:cs="Arial" w:eastAsia="Arial" w:hAnsi="Arial"/>
          <w:sz w:val="16"/>
          <w:szCs w:val="16"/>
          <w:color w:val="auto"/>
        </w:rPr>
      </w:pPr>
      <w:r>
        <w:rPr>
          <w:rFonts w:ascii="Arial" w:cs="Arial" w:eastAsia="Arial" w:hAnsi="Arial"/>
          <w:sz w:val="16"/>
          <w:szCs w:val="16"/>
          <w:color w:val="auto"/>
        </w:rPr>
        <w:t>1,383</w:t>
      </w:r>
    </w:p>
    <w:p>
      <w:pPr>
        <w:spacing w:after="0" w:line="23"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6"/>
          <w:szCs w:val="16"/>
          <w:color w:val="auto"/>
        </w:rPr>
        <w:t>15,183</w:t>
      </w:r>
    </w:p>
    <w:p>
      <w:pPr>
        <w:spacing w:after="0" w:line="47" w:lineRule="exact"/>
        <w:rPr>
          <w:sz w:val="20"/>
          <w:szCs w:val="20"/>
          <w:color w:val="auto"/>
        </w:rPr>
      </w:pPr>
    </w:p>
    <w:p>
      <w:pPr>
        <w:ind w:left="2460" w:hanging="909"/>
        <w:spacing w:after="0"/>
        <w:tabs>
          <w:tab w:leader="none" w:pos="2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74,935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50165</wp:posOffset>
            </wp:positionV>
            <wp:extent cx="925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8"/>
              </w:rPr>
              <w:t>March 31,</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2"/>
              </w:rPr>
              <w:t>December 31,</w:t>
            </w:r>
          </w:p>
        </w:tc>
      </w:tr>
      <w:tr>
        <w:trPr>
          <w:trHeight w:val="204"/>
        </w:trPr>
        <w:tc>
          <w:tcPr>
            <w:tcW w:w="14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r>
    </w:tbl>
    <w:p>
      <w:pPr>
        <w:spacing w:after="0" w:line="56" w:lineRule="exact"/>
        <w:rPr>
          <w:sz w:val="20"/>
          <w:szCs w:val="20"/>
          <w:color w:val="auto"/>
        </w:rPr>
      </w:pPr>
    </w:p>
    <w:p>
      <w:pPr>
        <w:sectPr>
          <w:pgSz w:w="11900" w:h="16838" w:orient="portrait"/>
          <w:cols w:equalWidth="0" w:num="2">
            <w:col w:w="7540" w:space="720"/>
            <w:col w:w="2980"/>
          </w:cols>
          <w:pgMar w:left="320" w:top="173"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8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3"/>
          </w:tcPr>
          <w:p>
            <w:pPr>
              <w:jc w:val="right"/>
              <w:ind w:right="94"/>
              <w:spacing w:after="0"/>
              <w:rPr>
                <w:sz w:val="20"/>
                <w:szCs w:val="20"/>
                <w:color w:val="auto"/>
              </w:rPr>
            </w:pPr>
            <w:r>
              <w:rPr>
                <w:rFonts w:ascii="Arial" w:cs="Arial" w:eastAsia="Arial" w:hAnsi="Arial"/>
                <w:sz w:val="15"/>
                <w:szCs w:val="15"/>
                <w:color w:val="auto"/>
              </w:rPr>
              <w:t>(In thousands)</w:t>
            </w:r>
          </w:p>
        </w:tc>
        <w:tc>
          <w:tcPr>
            <w:tcW w:w="8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121,147</w:t>
            </w:r>
          </w:p>
        </w:tc>
        <w:tc>
          <w:tcPr>
            <w:tcW w:w="68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128,206</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Internal-use software development costs</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169,733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161,633</w:t>
            </w: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 of use assets</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Furniture, equipment, and building improvements</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 at cost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293,428</w:t>
            </w:r>
          </w:p>
        </w:tc>
      </w:tr>
      <w:tr>
        <w:trPr>
          <w:trHeight w:val="23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(163,193)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(155,706)</w:t>
            </w: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130,357</w:t>
            </w:r>
          </w:p>
        </w:tc>
        <w:tc>
          <w:tcPr>
            <w:tcW w:w="68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137,722</w:t>
            </w: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Less: assets held for sale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(11,223)</w:t>
            </w:r>
          </w:p>
        </w:tc>
      </w:tr>
      <w:tr>
        <w:trPr>
          <w:trHeight w:val="245"/>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130,357</w:t>
            </w:r>
          </w:p>
        </w:tc>
        <w:tc>
          <w:tcPr>
            <w:tcW w:w="68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21" w:name="page22"/>
    <w:bookmarkEnd w:id="21"/>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Accrued Expenses and Other Current Liabilities</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96"/>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76"/>
              <w:spacing w:after="0"/>
              <w:rPr>
                <w:sz w:val="20"/>
                <w:szCs w:val="20"/>
                <w:color w:val="auto"/>
              </w:rPr>
            </w:pPr>
            <w:r>
              <w:rPr>
                <w:rFonts w:ascii="Arial" w:cs="Arial" w:eastAsia="Arial" w:hAnsi="Arial"/>
                <w:sz w:val="15"/>
                <w:szCs w:val="15"/>
                <w:b w:val="1"/>
                <w:bCs w:val="1"/>
                <w:color w:val="auto"/>
                <w:w w:val="98"/>
              </w:rPr>
              <w:t>December 31,</w:t>
            </w:r>
          </w:p>
        </w:tc>
      </w:tr>
      <w:tr>
        <w:trPr>
          <w:trHeight w:val="204"/>
        </w:trPr>
        <w:tc>
          <w:tcPr>
            <w:tcW w:w="8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2022</w:t>
            </w:r>
          </w:p>
        </w:tc>
      </w:tr>
      <w:tr>
        <w:trPr>
          <w:trHeight w:val="250"/>
        </w:trPr>
        <w:tc>
          <w:tcPr>
            <w:tcW w:w="8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4"/>
          </w:tcPr>
          <w:p>
            <w:pPr>
              <w:jc w:val="right"/>
              <w:ind w:right="936"/>
              <w:spacing w:after="0"/>
              <w:rPr>
                <w:sz w:val="20"/>
                <w:szCs w:val="20"/>
                <w:color w:val="auto"/>
              </w:rPr>
            </w:pPr>
            <w:r>
              <w:rPr>
                <w:rFonts w:ascii="Arial" w:cs="Arial" w:eastAsia="Arial" w:hAnsi="Arial"/>
                <w:sz w:val="15"/>
                <w:szCs w:val="15"/>
                <w:color w:val="auto"/>
              </w:rPr>
              <w:t>(In thousands)</w:t>
            </w:r>
          </w:p>
        </w:tc>
      </w:tr>
      <w:tr>
        <w:trPr>
          <w:trHeight w:val="222"/>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services and consulting and other vendor fees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51,067</w:t>
            </w:r>
          </w:p>
        </w:tc>
      </w:tr>
      <w:tr>
        <w:trPr>
          <w:trHeight w:val="225"/>
        </w:trPr>
        <w:tc>
          <w:tcPr>
            <w:tcW w:w="8300" w:type="dxa"/>
            <w:vAlign w:val="bottom"/>
          </w:tcPr>
          <w:p>
            <w:pPr>
              <w:ind w:left="20"/>
              <w:spacing w:after="0"/>
              <w:rPr>
                <w:sz w:val="20"/>
                <w:szCs w:val="20"/>
                <w:color w:val="auto"/>
              </w:rPr>
            </w:pPr>
            <w:r>
              <w:rPr>
                <w:rFonts w:ascii="Arial" w:cs="Arial" w:eastAsia="Arial" w:hAnsi="Arial"/>
                <w:sz w:val="17"/>
                <w:szCs w:val="17"/>
                <w:color w:val="auto"/>
              </w:rPr>
              <w:t>Payroll and other employee related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19,182</w:t>
            </w:r>
          </w:p>
        </w:tc>
      </w:tr>
      <w:tr>
        <w:trPr>
          <w:trHeight w:val="22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contingent earn-out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47,819</w:t>
            </w:r>
          </w:p>
        </w:tc>
      </w:tr>
      <w:tr>
        <w:trPr>
          <w:trHeight w:val="218"/>
        </w:trPr>
        <w:tc>
          <w:tcPr>
            <w:tcW w:w="8300" w:type="dxa"/>
            <w:vAlign w:val="bottom"/>
          </w:tcPr>
          <w:p>
            <w:pPr>
              <w:ind w:left="20"/>
              <w:spacing w:after="0"/>
              <w:rPr>
                <w:sz w:val="20"/>
                <w:szCs w:val="20"/>
                <w:color w:val="auto"/>
              </w:rPr>
            </w:pPr>
            <w:r>
              <w:rPr>
                <w:rFonts w:ascii="Arial" w:cs="Arial" w:eastAsia="Arial" w:hAnsi="Arial"/>
                <w:sz w:val="17"/>
                <w:szCs w:val="17"/>
                <w:color w:val="auto"/>
              </w:rPr>
              <w:t>Sales commissions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4,402</w:t>
            </w:r>
          </w:p>
        </w:tc>
      </w:tr>
      <w:tr>
        <w:trPr>
          <w:trHeight w:val="23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r>
      <w:tr>
        <w:trPr>
          <w:trHeight w:val="218"/>
        </w:trPr>
        <w:tc>
          <w:tcPr>
            <w:tcW w:w="8300" w:type="dxa"/>
            <w:vAlign w:val="bottom"/>
          </w:tcPr>
          <w:p>
            <w:pPr>
              <w:ind w:left="20"/>
              <w:spacing w:after="0"/>
              <w:rPr>
                <w:sz w:val="20"/>
                <w:szCs w:val="20"/>
                <w:color w:val="auto"/>
              </w:rPr>
            </w:pPr>
            <w:r>
              <w:rPr>
                <w:rFonts w:ascii="Arial" w:cs="Arial" w:eastAsia="Arial" w:hAnsi="Arial"/>
                <w:sz w:val="17"/>
                <w:szCs w:val="17"/>
                <w:color w:val="auto"/>
              </w:rPr>
              <w:t>Restructuring</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803</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other than income tax</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r>
      <w:tr>
        <w:trPr>
          <w:trHeight w:val="231"/>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w:t>
            </w:r>
          </w:p>
        </w:tc>
      </w:tr>
      <w:tr>
        <w:trPr>
          <w:trHeight w:val="23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accrued expenses and other current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129,244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Convertible Senior Notes, Net and Capped Call Transactions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Convertible Senior Notes due 2024 and Capped Calls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March 2019, the Company issued $230.0 million aggregate principal amount of its 0.750% Convertible Senior Notes due 2024 (the “2024 Notes”) in a private placement. Interest on the 2024 Notes is payable semi-annually in arrears on March 1 and September 1 of each year.</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2024 Notes will mature on March 1, 2024, unless earlier repurchased or redeemed by the Company or converted pursuant to their terms. The total net proceeds from the offering of the 2024 Notes, after deducting debt issuance costs, was approximately $221.4 million.</w:t>
      </w:r>
    </w:p>
    <w:p>
      <w:pPr>
        <w:spacing w:after="0" w:line="19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96" w:lineRule="exact"/>
        <w:rPr>
          <w:sz w:val="20"/>
          <w:szCs w:val="20"/>
          <w:color w:val="auto"/>
        </w:rPr>
      </w:pPr>
    </w:p>
    <w:p>
      <w:pPr>
        <w:jc w:val="both"/>
        <w:ind w:firstLine="412"/>
        <w:spacing w:after="0" w:line="293" w:lineRule="auto"/>
        <w:rPr>
          <w:sz w:val="20"/>
          <w:szCs w:val="20"/>
          <w:color w:val="auto"/>
        </w:rPr>
      </w:pPr>
      <w:r>
        <w:rPr>
          <w:rFonts w:ascii="Arial" w:cs="Arial" w:eastAsia="Arial" w:hAnsi="Arial"/>
          <w:sz w:val="15"/>
          <w:szCs w:val="15"/>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0" w:lineRule="exact"/>
        <w:rPr>
          <w:sz w:val="20"/>
          <w:szCs w:val="20"/>
          <w:color w:val="auto"/>
        </w:rPr>
      </w:pPr>
    </w:p>
    <w:p>
      <w:pPr>
        <w:spacing w:after="0" w:line="32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2" w:name="page23"/>
    <w:bookmarkEnd w:id="22"/>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three months ended March 31, 2023, the conditions allowing holders of the 2024 Notes to convert were not met.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2024 Notes are senior unsecured obligations of the Company.</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196"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Prior to the adoption of ASU 2020-06 on January 1, 2022, the Company allocated the total amount of issuance costs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17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a result of the adoption of ASU 2020-06, the 2024 Notes are accounted for as a single liability, and the carrying amount of the 2024 Notes, after giving effect to the March 2023 repurchases described below, is $72.0 million as of March 31, 2023, consisting of principal of $73.6 million, net of unamortized debt issuance costs of $1.6 million. The 2024 Notes were classified as short term liabilities as of March 31, 2023. The remaining term over which the 2024 Notes’ debt issuance costs will be amortized is 11 months. The effective interest rate on the debt was 1.53% for the period ended March 31, 2023.</w:t>
      </w:r>
    </w:p>
    <w:p>
      <w:pPr>
        <w:spacing w:after="0" w:line="18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$157.5 million in aggregate principal amount of the 2024 Notes (the “Note Repurchases”).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During the three months ended March 31, 2023, the Company recognized a $6.1 million gain, net of transaction costs of $0.5 million on debt extinguishment, which represented the difference between the carrying value and the fair value of the 2024 Notes just prior to Note Repurchases, in gain on extinguishment of debt in the accompanying condensed consolidated statement of operations for the three months ended March 31, 2023.</w:t>
      </w:r>
    </w:p>
    <w:p>
      <w:pPr>
        <w:spacing w:after="0" w:line="20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Upon completion of the Note Repurchases, the aggregate principal amount of the 2024 Notes was reduced by $157.5 million to $73.6 million and the carrying amount of the 2024 Notes reduced by $228.3 million to $72.0 million. A corresponding portion of the 2024 capped calls were terminated in connection following the Note Repurchases as required by their terms for minimal consideration.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3" w:name="page24"/>
    <w:bookmarkEnd w:id="23"/>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The closing price of the Company’s common stock did not exceed 130% of the $38.58 conversion price for the required period during the three months period ended March 31, 2023. As a result, the 2024 Notes are not convertible as of March 31, 2023.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 due 2026 and Capped Calls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December 2020, the Company issued $517.5 million aggregate principal amount of its 0% Convertible Senior Notes due 2026 (the “2026 Notes” and together with the 2024 Notes, the “Notes”) in a private placement.</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spacing w:after="0" w:line="19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8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three months ended March 31, 2023, the conditions allowing holders of the 2026 Notes to convert were not met.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2026 Notes are senior unsecured obligations of the Company.</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4" w:name="page25"/>
    <w:bookmarkEnd w:id="24"/>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firstLine="619"/>
        <w:spacing w:after="0" w:line="302" w:lineRule="auto"/>
        <w:rPr>
          <w:sz w:val="20"/>
          <w:szCs w:val="20"/>
          <w:color w:val="auto"/>
        </w:rPr>
      </w:pPr>
      <w:r>
        <w:rPr>
          <w:rFonts w:ascii="Arial" w:cs="Arial" w:eastAsia="Arial" w:hAnsi="Arial"/>
          <w:sz w:val="15"/>
          <w:szCs w:val="15"/>
          <w:color w:val="auto"/>
        </w:rPr>
        <w:t>Prior to the adoption of ASU 2020-06 on January 1, 2022, the Company allocated the total amount of issuance costs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178"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As a result of the adoption of ASU 2020-06, the 2026 Notes are accounted for as a single liability, and the carrying amount of the 2026 Notes is $510.0 million as of March 31, 2023, consisting of principal of $517.5 million, net of issuance costs of $7.5 million. The 2026 Notes were classified as long term liabilities as of March 31, 2023.The remaining term over which the 2026 Notes’ debt issuance costs will be amortized is 3.7 years. The effective interest rate on the debt was 0.40% for the period ended March 31, 2023.</w:t>
      </w:r>
    </w:p>
    <w:p>
      <w:pPr>
        <w:spacing w:after="0" w:line="204" w:lineRule="exact"/>
        <w:rPr>
          <w:sz w:val="20"/>
          <w:szCs w:val="20"/>
          <w:color w:val="auto"/>
        </w:rPr>
      </w:pPr>
    </w:p>
    <w:p>
      <w:pPr>
        <w:jc w:val="both"/>
        <w:ind w:right="100" w:firstLine="619"/>
        <w:spacing w:after="0" w:line="273" w:lineRule="auto"/>
        <w:rPr>
          <w:sz w:val="20"/>
          <w:szCs w:val="20"/>
          <w:color w:val="auto"/>
        </w:rPr>
      </w:pPr>
      <w:r>
        <w:rPr>
          <w:rFonts w:ascii="Arial" w:cs="Arial" w:eastAsia="Arial" w:hAnsi="Arial"/>
          <w:sz w:val="16"/>
          <w:szCs w:val="16"/>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carrying amount of the liability component of the Notes as of March 31, 2023 and as of December 31, 2022 was as follows:</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8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319"/>
              <w:spacing w:after="0"/>
              <w:rPr>
                <w:sz w:val="20"/>
                <w:szCs w:val="20"/>
                <w:color w:val="auto"/>
              </w:rPr>
            </w:pPr>
            <w:r>
              <w:rPr>
                <w:rFonts w:ascii="Arial" w:cs="Arial" w:eastAsia="Arial" w:hAnsi="Arial"/>
                <w:sz w:val="15"/>
                <w:szCs w:val="15"/>
                <w:b w:val="1"/>
                <w:bCs w:val="1"/>
                <w:color w:val="auto"/>
              </w:rPr>
              <w:t>March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99"/>
        </w:trPr>
        <w:tc>
          <w:tcPr>
            <w:tcW w:w="8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5"/>
          </w:tcPr>
          <w:p>
            <w:pPr>
              <w:jc w:val="right"/>
              <w:ind w:right="43"/>
              <w:spacing w:after="0"/>
              <w:rPr>
                <w:sz w:val="20"/>
                <w:szCs w:val="20"/>
                <w:color w:val="auto"/>
              </w:rPr>
            </w:pPr>
            <w:r>
              <w:rPr>
                <w:rFonts w:ascii="Arial" w:cs="Arial" w:eastAsia="Arial" w:hAnsi="Arial"/>
                <w:sz w:val="15"/>
                <w:szCs w:val="15"/>
                <w:color w:val="auto"/>
              </w:rPr>
              <w:t>(In thousands)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589,992</w:t>
            </w:r>
          </w:p>
        </w:tc>
        <w:tc>
          <w:tcPr>
            <w:tcW w:w="600" w:type="dxa"/>
            <w:vAlign w:val="bottom"/>
            <w:gridSpan w:val="4"/>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3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issuance costs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carrying amount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581,986</w:t>
            </w:r>
          </w:p>
        </w:tc>
        <w:tc>
          <w:tcPr>
            <w:tcW w:w="600" w:type="dxa"/>
            <w:vAlign w:val="bottom"/>
            <w:gridSpan w:val="4"/>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The following table sets forth the interest expense recognized related to the Notes: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center"/>
              <w:ind w:left="39"/>
              <w:spacing w:after="0"/>
              <w:rPr>
                <w:sz w:val="20"/>
                <w:szCs w:val="20"/>
                <w:color w:val="auto"/>
              </w:rPr>
            </w:pPr>
            <w:r>
              <w:rPr>
                <w:rFonts w:ascii="Arial" w:cs="Arial" w:eastAsia="Arial" w:hAnsi="Arial"/>
                <w:sz w:val="15"/>
                <w:szCs w:val="15"/>
                <w:b w:val="1"/>
                <w:bCs w:val="1"/>
                <w:color w:val="auto"/>
                <w:w w:val="94"/>
              </w:rPr>
              <w:t>Three Months Ended</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5"/>
                <w:szCs w:val="15"/>
                <w:b w:val="1"/>
                <w:bCs w:val="1"/>
                <w:color w:val="auto"/>
                <w:w w:val="98"/>
              </w:rPr>
              <w:t>March 31,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9"/>
        </w:trPr>
        <w:tc>
          <w:tcPr>
            <w:tcW w:w="8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5"/>
          </w:tcPr>
          <w:p>
            <w:pPr>
              <w:jc w:val="center"/>
              <w:ind w:left="659"/>
              <w:spacing w:after="0"/>
              <w:rPr>
                <w:sz w:val="20"/>
                <w:szCs w:val="20"/>
                <w:color w:val="auto"/>
              </w:rPr>
            </w:pPr>
            <w:r>
              <w:rPr>
                <w:rFonts w:ascii="Arial" w:cs="Arial" w:eastAsia="Arial" w:hAnsi="Arial"/>
                <w:sz w:val="15"/>
                <w:szCs w:val="15"/>
                <w:color w:val="auto"/>
                <w:w w:val="91"/>
              </w:rPr>
              <w:t>(In thousands)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600" w:type="dxa"/>
            <w:vAlign w:val="bottom"/>
            <w:gridSpan w:val="4"/>
            <w:shd w:val="clear" w:color="auto" w:fill="CCEEFF"/>
          </w:tcPr>
          <w:p>
            <w:pPr>
              <w:jc w:val="right"/>
              <w:ind w:right="28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Amortization of issuance costs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interest expense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600" w:type="dxa"/>
            <w:vAlign w:val="bottom"/>
            <w:gridSpan w:val="4"/>
            <w:shd w:val="clear" w:color="auto" w:fill="CCEEFF"/>
          </w:tcPr>
          <w:p>
            <w:pPr>
              <w:jc w:val="right"/>
              <w:ind w:right="28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Interest expense of $1.4 million and $1.4 million is reflected as a component of interest expense, net in the accompanying condensed consolidated statement of operations for the three months ended March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25" w:name="page26"/>
    <w:bookmarkEnd w:id="25"/>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million on the acquisition date of February 7, 2022. This acquisition is part of the Company’s strategy to accelerate its technology-driven healthcare offerings by combining a rich healthcare data platform with Conversational AI to enable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 acquisition. The Company has allocated the purchase consideration subject to the stock forfeiture agreements between pre and post combination periods.</w:t>
      </w:r>
    </w:p>
    <w:p>
      <w:pPr>
        <w:spacing w:after="0" w:line="21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Former stockholders of WildHealth have the right to receive in the aggregate up to an additional $120.0 million earn-out (to be settled in the Company’s equity or cash at the Company’s election, but with the cash election restricted to $18.0 million percent of the total earn-out) based upon satisfaction of certain financial milestones over the period from October 31, 2022 through December 31, 2025. The Company has accounted for the earn-out as a compensation arrangement in accordance with ASC 718, “Compensation - Stock Compensation,” pursuant to which such earn-out payments are liability classified to be recognized over the requisite service periods. For the earn-outs, the Company reduced the accrual by $2.1 million and accrued $8.7 million for the three months ended March 31, 2023 and 2022, respectively, which is reflected as a component of other liabilities and accrued expenses and other current liabilities in the accompanying condensed consolidated balance sheets and as a component of stock-based compensation expense in the accompanying condensed consolidated statements of operations.</w:t>
      </w:r>
    </w:p>
    <w:p>
      <w:pPr>
        <w:spacing w:after="0" w:line="11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and an indemnification asset of $1.2 million relating to a pre-acquisition liability assumed as of December 31,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Leases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has operating and finance leases for its corporate offices and other service agreements. Its leases have remaining lease terms of less than one to four years, some of which include options to extend.</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connection with the leases, the Company recognized operating lease right of use assets of $1.0 million and $1.6 million and an aggregate lease liability of $1.9 million and $2.8 million in its condensed consolidated balance sheet as of March 31, 2023 and December 31, 2022, respectively.</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As of March 31, 2023, due to a dispute with respect to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$0.2 million as of March 31, 2023, which is recorded as restricted cash in the condensed consolidated balance sheets. In the third quarter of 2021, the Company entered into a new lease in Australia and was required to pledge $0.2 million in cash as collateral security, which is also recorded as restricted cash in the condensed consolidated balance sheets.</w:t>
      </w:r>
    </w:p>
    <w:p>
      <w:pPr>
        <w:spacing w:after="0" w:line="19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6" w:name="page27"/>
    <w:bookmarkEnd w:id="26"/>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cash flow information related to leases for the periods ended March 31, 2023 and 2022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rPr>
                <w:sz w:val="17"/>
                <w:szCs w:val="17"/>
                <w:color w:val="auto"/>
              </w:rPr>
            </w:pPr>
          </w:p>
        </w:tc>
        <w:tc>
          <w:tcPr>
            <w:tcW w:w="2480" w:type="dxa"/>
            <w:vAlign w:val="bottom"/>
            <w:gridSpan w:val="3"/>
          </w:tcPr>
          <w:p>
            <w:pPr>
              <w:jc w:val="center"/>
              <w:ind w:left="420"/>
              <w:spacing w:after="0"/>
              <w:rPr>
                <w:sz w:val="20"/>
                <w:szCs w:val="20"/>
                <w:color w:val="auto"/>
              </w:rPr>
            </w:pPr>
            <w:r>
              <w:rPr>
                <w:rFonts w:ascii="Arial" w:cs="Arial" w:eastAsia="Arial" w:hAnsi="Arial"/>
                <w:sz w:val="15"/>
                <w:szCs w:val="15"/>
                <w:b w:val="1"/>
                <w:bCs w:val="1"/>
                <w:color w:val="auto"/>
                <w:w w:val="95"/>
              </w:rPr>
              <w:t>Three Months Ended</w:t>
            </w:r>
          </w:p>
        </w:tc>
        <w:tc>
          <w:tcPr>
            <w:tcW w:w="500" w:type="dxa"/>
            <w:vAlign w:val="bottom"/>
          </w:tcPr>
          <w:p>
            <w:pPr>
              <w:spacing w:after="0"/>
              <w:rPr>
                <w:sz w:val="17"/>
                <w:szCs w:val="17"/>
                <w:color w:val="auto"/>
              </w:rPr>
            </w:pPr>
          </w:p>
        </w:tc>
      </w:tr>
      <w:tr>
        <w:trPr>
          <w:trHeight w:val="209"/>
        </w:trPr>
        <w:tc>
          <w:tcPr>
            <w:tcW w:w="8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58"/>
              <w:spacing w:after="0"/>
              <w:rPr>
                <w:sz w:val="20"/>
                <w:szCs w:val="20"/>
                <w:color w:val="auto"/>
              </w:rPr>
            </w:pPr>
            <w:r>
              <w:rPr>
                <w:rFonts w:ascii="Arial" w:cs="Arial" w:eastAsia="Arial" w:hAnsi="Arial"/>
                <w:sz w:val="15"/>
                <w:szCs w:val="15"/>
                <w:b w:val="1"/>
                <w:bCs w:val="1"/>
                <w:color w:val="auto"/>
                <w:w w:val="98"/>
              </w:rPr>
              <w:t>March 31,</w:t>
            </w:r>
          </w:p>
        </w:tc>
        <w:tc>
          <w:tcPr>
            <w:tcW w:w="500" w:type="dxa"/>
            <w:vAlign w:val="bottom"/>
            <w:tcBorders>
              <w:bottom w:val="single" w:sz="8" w:color="auto"/>
            </w:tcBorders>
          </w:tcPr>
          <w:p>
            <w:pPr>
              <w:spacing w:after="0"/>
              <w:rPr>
                <w:sz w:val="18"/>
                <w:szCs w:val="18"/>
                <w:color w:val="auto"/>
              </w:rPr>
            </w:pPr>
          </w:p>
        </w:tc>
      </w:tr>
      <w:tr>
        <w:trPr>
          <w:trHeight w:val="200"/>
        </w:trPr>
        <w:tc>
          <w:tcPr>
            <w:tcW w:w="8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199"/>
        </w:trPr>
        <w:tc>
          <w:tcPr>
            <w:tcW w:w="8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378"/>
              <w:spacing w:after="0"/>
              <w:rPr>
                <w:sz w:val="20"/>
                <w:szCs w:val="20"/>
                <w:color w:val="auto"/>
              </w:rPr>
            </w:pPr>
            <w:r>
              <w:rPr>
                <w:rFonts w:ascii="Arial" w:cs="Arial" w:eastAsia="Arial" w:hAnsi="Arial"/>
                <w:sz w:val="15"/>
                <w:szCs w:val="15"/>
                <w:color w:val="auto"/>
                <w:w w:val="93"/>
              </w:rPr>
              <w:t>(In thousands)</w:t>
            </w:r>
          </w:p>
        </w:tc>
        <w:tc>
          <w:tcPr>
            <w:tcW w:w="500" w:type="dxa"/>
            <w:vAlign w:val="bottom"/>
          </w:tcPr>
          <w:p>
            <w:pPr>
              <w:spacing w:after="0"/>
              <w:rPr>
                <w:sz w:val="17"/>
                <w:szCs w:val="17"/>
                <w:color w:val="auto"/>
              </w:rPr>
            </w:pPr>
          </w:p>
        </w:tc>
      </w:tr>
      <w:tr>
        <w:trPr>
          <w:trHeight w:val="235"/>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18"/>
        </w:trPr>
        <w:tc>
          <w:tcPr>
            <w:tcW w:w="8260" w:type="dxa"/>
            <w:vAlign w:val="bottom"/>
          </w:tcPr>
          <w:p>
            <w:pPr>
              <w:ind w:left="140"/>
              <w:spacing w:after="0"/>
              <w:rPr>
                <w:sz w:val="20"/>
                <w:szCs w:val="20"/>
                <w:color w:val="auto"/>
              </w:rPr>
            </w:pPr>
            <w:r>
              <w:rPr>
                <w:rFonts w:ascii="Arial" w:cs="Arial" w:eastAsia="Arial" w:hAnsi="Arial"/>
                <w:sz w:val="17"/>
                <w:szCs w:val="17"/>
                <w:color w:val="auto"/>
              </w:rPr>
              <w:t>Operating cash flows for operating leases</w:t>
            </w:r>
          </w:p>
        </w:tc>
        <w:tc>
          <w:tcPr>
            <w:tcW w:w="960" w:type="dxa"/>
            <w:vAlign w:val="bottom"/>
          </w:tcPr>
          <w:p>
            <w:pPr>
              <w:jc w:val="right"/>
              <w:ind w:right="78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974</w:t>
            </w:r>
          </w:p>
        </w:tc>
        <w:tc>
          <w:tcPr>
            <w:tcW w:w="1020" w:type="dxa"/>
            <w:vAlign w:val="bottom"/>
          </w:tcPr>
          <w:p>
            <w:pPr>
              <w:jc w:val="right"/>
              <w:ind w:right="758"/>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1,119</w:t>
            </w:r>
          </w:p>
        </w:tc>
      </w:tr>
      <w:tr>
        <w:trPr>
          <w:trHeight w:val="220"/>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for finance leases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24</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8"/>
        </w:trPr>
        <w:tc>
          <w:tcPr>
            <w:tcW w:w="8260" w:type="dxa"/>
            <w:vAlign w:val="bottom"/>
          </w:tcPr>
          <w:p>
            <w:pPr>
              <w:ind w:left="140"/>
              <w:spacing w:after="0"/>
              <w:rPr>
                <w:sz w:val="20"/>
                <w:szCs w:val="20"/>
                <w:color w:val="auto"/>
              </w:rPr>
            </w:pPr>
            <w:r>
              <w:rPr>
                <w:rFonts w:ascii="Arial" w:cs="Arial" w:eastAsia="Arial" w:hAnsi="Arial"/>
                <w:sz w:val="17"/>
                <w:szCs w:val="17"/>
                <w:color w:val="auto"/>
              </w:rPr>
              <w:t>Financing cash flows for finance leases</w:t>
            </w:r>
          </w:p>
        </w:tc>
        <w:tc>
          <w:tcPr>
            <w:tcW w:w="9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958</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costs for the periods ended March 31, 2023 and 2022 are as follows:</w:t>
      </w:r>
    </w:p>
    <w:p>
      <w:pPr>
        <w:spacing w:after="0" w:line="200" w:lineRule="exact"/>
        <w:rPr>
          <w:sz w:val="20"/>
          <w:szCs w:val="20"/>
          <w:color w:val="auto"/>
        </w:rPr>
      </w:pPr>
    </w:p>
    <w:p>
      <w:pPr>
        <w:spacing w:after="0" w:line="286" w:lineRule="exact"/>
        <w:rPr>
          <w:sz w:val="20"/>
          <w:szCs w:val="20"/>
          <w:color w:val="auto"/>
        </w:rPr>
      </w:pPr>
    </w:p>
    <w:p>
      <w:pPr>
        <w:jc w:val="center"/>
        <w:ind w:left="8240"/>
        <w:spacing w:after="0"/>
        <w:rPr>
          <w:sz w:val="20"/>
          <w:szCs w:val="20"/>
          <w:color w:val="auto"/>
        </w:rPr>
      </w:pPr>
      <w:r>
        <w:rPr>
          <w:rFonts w:ascii="Arial" w:cs="Arial" w:eastAsia="Arial" w:hAnsi="Arial"/>
          <w:sz w:val="15"/>
          <w:szCs w:val="15"/>
          <w:b w:val="1"/>
          <w:bCs w:val="1"/>
          <w:color w:val="auto"/>
        </w:rPr>
        <w:t>Three Months Ended</w:t>
      </w:r>
    </w:p>
    <w:p>
      <w:pPr>
        <w:spacing w:after="0" w:line="34" w:lineRule="exact"/>
        <w:rPr>
          <w:sz w:val="20"/>
          <w:szCs w:val="20"/>
          <w:color w:val="auto"/>
        </w:rPr>
      </w:pPr>
    </w:p>
    <w:p>
      <w:pPr>
        <w:jc w:val="center"/>
        <w:ind w:left="824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22225</wp:posOffset>
            </wp:positionV>
            <wp:extent cx="1899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27" w:lineRule="exact"/>
        <w:rPr>
          <w:sz w:val="20"/>
          <w:szCs w:val="20"/>
          <w:color w:val="auto"/>
        </w:rPr>
      </w:pPr>
    </w:p>
    <w:p>
      <w:pPr>
        <w:ind w:left="8820"/>
        <w:spacing w:after="0"/>
        <w:tabs>
          <w:tab w:leader="none" w:pos="10360" w:val="left"/>
        </w:tabs>
        <w:rPr>
          <w:sz w:val="20"/>
          <w:szCs w:val="20"/>
          <w:color w:val="auto"/>
        </w:rPr>
      </w:pPr>
      <w:r>
        <w:rPr>
          <w:rFonts w:ascii="Arial" w:cs="Arial" w:eastAsia="Arial" w:hAnsi="Arial"/>
          <w:sz w:val="15"/>
          <w:szCs w:val="15"/>
          <w:b w:val="1"/>
          <w:bCs w:val="1"/>
          <w:color w:val="auto"/>
        </w:rPr>
        <w:t>2023</w:t>
      </w:r>
      <w:r>
        <w:rPr>
          <w:sz w:val="20"/>
          <w:szCs w:val="20"/>
          <w:color w:val="auto"/>
        </w:rPr>
        <w:tab/>
      </w:r>
      <w:r>
        <w:rPr>
          <w:rFonts w:ascii="Arial" w:cs="Arial" w:eastAsia="Arial" w:hAnsi="Arial"/>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22225</wp:posOffset>
            </wp:positionV>
            <wp:extent cx="18992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33"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47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cost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Amortization of right of use assets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Interest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cost</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911</w:t>
            </w:r>
          </w:p>
        </w:tc>
        <w:tc>
          <w:tcPr>
            <w:tcW w:w="6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912</w:t>
            </w:r>
          </w:p>
        </w:tc>
      </w:tr>
      <w:tr>
        <w:trPr>
          <w:trHeight w:val="219"/>
        </w:trPr>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7"/>
        </w:trPr>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3,002</w:t>
            </w:r>
          </w:p>
        </w:tc>
      </w:tr>
      <w:tr>
        <w:trPr>
          <w:trHeight w:val="218"/>
        </w:trPr>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3,675</w:t>
            </w:r>
          </w:p>
        </w:tc>
        <w:tc>
          <w:tcPr>
            <w:tcW w:w="6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3,978</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-466090</wp:posOffset>
            </wp:positionV>
            <wp:extent cx="713867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-179705</wp:posOffset>
            </wp:positionV>
            <wp:extent cx="7138670"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tabs>
          <w:tab w:leader="none" w:pos="1860" w:val="left"/>
        </w:tabs>
        <w:rPr>
          <w:sz w:val="20"/>
          <w:szCs w:val="20"/>
          <w:color w:val="auto"/>
        </w:rPr>
      </w:pPr>
      <w:r>
        <w:rPr>
          <w:rFonts w:ascii="Arial" w:cs="Arial" w:eastAsia="Arial" w:hAnsi="Arial"/>
          <w:sz w:val="15"/>
          <w:szCs w:val="15"/>
          <w:b w:val="1"/>
          <w:bCs w:val="1"/>
          <w:color w:val="auto"/>
        </w:rPr>
        <w:t>March 31,</w:t>
      </w:r>
      <w:r>
        <w:rPr>
          <w:sz w:val="20"/>
          <w:szCs w:val="20"/>
          <w:color w:val="auto"/>
        </w:rPr>
        <w:tab/>
      </w:r>
      <w:r>
        <w:rPr>
          <w:rFonts w:ascii="Arial" w:cs="Arial" w:eastAsia="Arial" w:hAnsi="Arial"/>
          <w:sz w:val="14"/>
          <w:szCs w:val="14"/>
          <w:b w:val="1"/>
          <w:bCs w:val="1"/>
          <w:color w:val="auto"/>
        </w:rPr>
        <w:t>March 31,</w:t>
      </w:r>
    </w:p>
    <w:p>
      <w:pPr>
        <w:ind w:left="400"/>
        <w:spacing w:after="0"/>
        <w:tabs>
          <w:tab w:leader="none" w:pos="2040" w:val="left"/>
        </w:tabs>
        <w:rPr>
          <w:sz w:val="20"/>
          <w:szCs w:val="20"/>
          <w:color w:val="auto"/>
        </w:rPr>
      </w:pPr>
      <w:r>
        <w:rPr>
          <w:rFonts w:ascii="Arial" w:cs="Arial" w:eastAsia="Arial" w:hAnsi="Arial"/>
          <w:sz w:val="15"/>
          <w:szCs w:val="15"/>
          <w:b w:val="1"/>
          <w:bCs w:val="1"/>
          <w:color w:val="auto"/>
        </w:rPr>
        <w:t>2023</w:t>
      </w:r>
      <w:r>
        <w:rPr>
          <w:sz w:val="20"/>
          <w:szCs w:val="20"/>
          <w:color w:val="auto"/>
        </w:rPr>
        <w:tab/>
      </w:r>
      <w:r>
        <w:rPr>
          <w:rFonts w:ascii="Arial" w:cs="Arial" w:eastAsia="Arial" w:hAnsi="Arial"/>
          <w:sz w:val="15"/>
          <w:szCs w:val="15"/>
          <w:b w:val="1"/>
          <w:bCs w:val="1"/>
          <w:color w:val="auto"/>
        </w:rPr>
        <w:t>2022</w:t>
      </w:r>
    </w:p>
    <w:p>
      <w:pPr>
        <w:spacing w:after="0" w:line="11" w:lineRule="exact"/>
        <w:rPr>
          <w:sz w:val="20"/>
          <w:szCs w:val="20"/>
          <w:color w:val="auto"/>
        </w:rPr>
      </w:pPr>
    </w:p>
    <w:p>
      <w:pPr>
        <w:sectPr>
          <w:pgSz w:w="11900" w:h="16838" w:orient="portrait"/>
          <w:cols w:equalWidth="0" w:num="2">
            <w:col w:w="7540" w:space="720"/>
            <w:col w:w="2980"/>
          </w:cols>
          <w:pgMar w:left="320" w:top="173"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560" w:type="dxa"/>
            <w:vAlign w:val="bottom"/>
          </w:tcPr>
          <w:p>
            <w:pPr>
              <w:jc w:val="right"/>
              <w:spacing w:after="0"/>
              <w:rPr>
                <w:sz w:val="20"/>
                <w:szCs w:val="20"/>
                <w:color w:val="auto"/>
              </w:rPr>
            </w:pPr>
            <w:r>
              <w:rPr>
                <w:rFonts w:ascii="Arial" w:cs="Arial" w:eastAsia="Arial" w:hAnsi="Arial"/>
                <w:sz w:val="17"/>
                <w:szCs w:val="17"/>
                <w:color w:val="auto"/>
              </w:rPr>
              <w:t>1.7 years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 years</w:t>
            </w:r>
          </w:p>
        </w:tc>
      </w:tr>
      <w:tr>
        <w:trPr>
          <w:trHeight w:val="22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year</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years</w:t>
            </w:r>
          </w:p>
        </w:tc>
      </w:tr>
      <w:tr>
        <w:trPr>
          <w:trHeight w:val="258"/>
        </w:trPr>
        <w:tc>
          <w:tcPr>
            <w:tcW w:w="8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560" w:type="dxa"/>
            <w:vAlign w:val="bottom"/>
          </w:tcPr>
          <w:p>
            <w:pPr>
              <w:jc w:val="right"/>
              <w:spacing w:after="0"/>
              <w:rPr>
                <w:sz w:val="20"/>
                <w:szCs w:val="20"/>
                <w:color w:val="auto"/>
              </w:rPr>
            </w:pPr>
            <w:r>
              <w:rPr>
                <w:rFonts w:ascii="Arial" w:cs="Arial" w:eastAsia="Arial" w:hAnsi="Arial"/>
                <w:sz w:val="17"/>
                <w:szCs w:val="17"/>
                <w:color w:val="auto"/>
              </w:rPr>
              <w:t>7 %</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7 %</w:t>
            </w:r>
          </w:p>
        </w:tc>
      </w:tr>
      <w:tr>
        <w:trPr>
          <w:trHeight w:val="22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733"/>
        </w:trPr>
        <w:tc>
          <w:tcPr>
            <w:tcW w:w="8040" w:type="dxa"/>
            <w:vAlign w:val="bottom"/>
          </w:tcPr>
          <w:p>
            <w:pPr>
              <w:ind w:left="420"/>
              <w:spacing w:after="0"/>
              <w:rPr>
                <w:sz w:val="20"/>
                <w:szCs w:val="20"/>
                <w:color w:val="auto"/>
              </w:rPr>
            </w:pPr>
            <w:r>
              <w:rPr>
                <w:rFonts w:ascii="Arial" w:cs="Arial" w:eastAsia="Arial" w:hAnsi="Arial"/>
                <w:sz w:val="17"/>
                <w:szCs w:val="17"/>
                <w:color w:val="auto"/>
                <w:w w:val="95"/>
              </w:rPr>
              <w:t>Supplemental balance sheet information related to leases as of March 31, 2023 and 2022 were as follows: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877"/>
        </w:trPr>
        <w:tc>
          <w:tcPr>
            <w:tcW w:w="8040" w:type="dxa"/>
            <w:vAlign w:val="bottom"/>
          </w:tcPr>
          <w:p>
            <w:pPr>
              <w:ind w:left="5740"/>
              <w:spacing w:after="0"/>
              <w:rPr>
                <w:sz w:val="20"/>
                <w:szCs w:val="20"/>
                <w:color w:val="auto"/>
              </w:rPr>
            </w:pPr>
            <w:r>
              <w:rPr>
                <w:rFonts w:ascii="Arial" w:cs="Arial" w:eastAsia="Arial" w:hAnsi="Arial"/>
                <w:sz w:val="17"/>
                <w:szCs w:val="17"/>
                <w:color w:val="auto"/>
              </w:rPr>
              <w:t>27</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0"/>
        </w:trPr>
        <w:tc>
          <w:tcPr>
            <w:tcW w:w="80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27" w:name="page28"/>
    <w:bookmarkEnd w:id="27"/>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Financial Statement Classification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5"/>
                <w:szCs w:val="15"/>
                <w:b w:val="1"/>
                <w:bCs w:val="1"/>
                <w:color w:val="auto"/>
                <w:w w:val="98"/>
              </w:rPr>
              <w:t>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96"/>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4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5"/>
                <w:szCs w:val="15"/>
                <w:b w:val="1"/>
                <w:bCs w:val="1"/>
                <w:color w:val="auto"/>
                <w:w w:val="89"/>
              </w:rPr>
              <w:t>2022</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4"/>
          </w:tcPr>
          <w:p>
            <w:pPr>
              <w:jc w:val="center"/>
              <w:ind w:right="156"/>
              <w:spacing w:after="0"/>
              <w:rPr>
                <w:sz w:val="20"/>
                <w:szCs w:val="20"/>
                <w:color w:val="auto"/>
              </w:rPr>
            </w:pPr>
            <w:r>
              <w:rPr>
                <w:rFonts w:ascii="Arial" w:cs="Arial" w:eastAsia="Arial" w:hAnsi="Arial"/>
                <w:sz w:val="15"/>
                <w:szCs w:val="15"/>
                <w:color w:val="auto"/>
                <w:w w:val="91"/>
              </w:rPr>
              <w:t>(In thousands)</w:t>
            </w:r>
          </w:p>
        </w:tc>
        <w:tc>
          <w:tcPr>
            <w:tcW w:w="0" w:type="dxa"/>
            <w:vAlign w:val="bottom"/>
          </w:tcPr>
          <w:p>
            <w:pPr>
              <w:spacing w:after="0"/>
              <w:rPr>
                <w:sz w:val="1"/>
                <w:szCs w:val="1"/>
                <w:color w:val="auto"/>
              </w:rPr>
            </w:pPr>
          </w:p>
        </w:tc>
      </w:tr>
      <w:tr>
        <w:trPr>
          <w:trHeight w:val="235"/>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120"/>
              <w:spacing w:after="0"/>
              <w:rPr>
                <w:sz w:val="20"/>
                <w:szCs w:val="20"/>
                <w:color w:val="auto"/>
              </w:rPr>
            </w:pPr>
            <w:r>
              <w:rPr>
                <w:rFonts w:ascii="Arial" w:cs="Arial" w:eastAsia="Arial" w:hAnsi="Arial"/>
                <w:sz w:val="17"/>
                <w:szCs w:val="17"/>
                <w:color w:val="auto"/>
              </w:rPr>
              <w:t>Operating right of use assets</w:t>
            </w:r>
          </w:p>
        </w:tc>
        <w:tc>
          <w:tcPr>
            <w:tcW w:w="4380" w:type="dxa"/>
            <w:vAlign w:val="bottom"/>
          </w:tcPr>
          <w:p>
            <w:pPr>
              <w:jc w:val="center"/>
              <w:spacing w:after="0"/>
              <w:rPr>
                <w:sz w:val="20"/>
                <w:szCs w:val="20"/>
                <w:color w:val="auto"/>
              </w:rPr>
            </w:pPr>
            <w:r>
              <w:rPr>
                <w:rFonts w:ascii="Arial" w:cs="Arial" w:eastAsia="Arial" w:hAnsi="Arial"/>
                <w:sz w:val="17"/>
                <w:szCs w:val="17"/>
                <w:color w:val="auto"/>
                <w:w w:val="89"/>
              </w:rPr>
              <w:t>Operating lease right of use assets</w:t>
            </w: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952</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1,604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right of use assets</w:t>
            </w:r>
          </w:p>
        </w:tc>
        <w:tc>
          <w:tcPr>
            <w:tcW w:w="4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Property and equipment, net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0" w:type="dxa"/>
            <w:vAlign w:val="bottom"/>
          </w:tcPr>
          <w:p>
            <w:pPr>
              <w:spacing w:after="0"/>
              <w:rPr>
                <w:sz w:val="1"/>
                <w:szCs w:val="1"/>
                <w:color w:val="auto"/>
              </w:rPr>
            </w:pPr>
          </w:p>
        </w:tc>
      </w:tr>
      <w:tr>
        <w:trPr>
          <w:trHeight w:val="245"/>
        </w:trPr>
        <w:tc>
          <w:tcPr>
            <w:tcW w:w="38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4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20"/>
              <w:spacing w:after="0"/>
              <w:rPr>
                <w:sz w:val="20"/>
                <w:szCs w:val="20"/>
                <w:color w:val="auto"/>
              </w:rPr>
            </w:pPr>
            <w:r>
              <w:rPr>
                <w:rFonts w:ascii="Arial" w:cs="Arial" w:eastAsia="Arial" w:hAnsi="Arial"/>
                <w:sz w:val="17"/>
                <w:szCs w:val="17"/>
                <w:color w:val="auto"/>
              </w:rPr>
              <w:t>Current liabilities:</w:t>
            </w:r>
          </w:p>
        </w:tc>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4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Operating lease liabilities</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w:t>
            </w:r>
          </w:p>
        </w:tc>
        <w:tc>
          <w:tcPr>
            <w:tcW w:w="0" w:type="dxa"/>
            <w:vAlign w:val="bottom"/>
          </w:tcPr>
          <w:p>
            <w:pPr>
              <w:spacing w:after="0"/>
              <w:rPr>
                <w:sz w:val="1"/>
                <w:szCs w:val="1"/>
                <w:color w:val="auto"/>
              </w:rPr>
            </w:pPr>
          </w:p>
        </w:tc>
      </w:tr>
      <w:tr>
        <w:trPr>
          <w:trHeight w:val="218"/>
        </w:trPr>
        <w:tc>
          <w:tcPr>
            <w:tcW w:w="3800" w:type="dxa"/>
            <w:vAlign w:val="bottom"/>
          </w:tcPr>
          <w:p>
            <w:pPr>
              <w:ind w:left="220"/>
              <w:spacing w:after="0"/>
              <w:rPr>
                <w:sz w:val="20"/>
                <w:szCs w:val="20"/>
                <w:color w:val="auto"/>
              </w:rPr>
            </w:pPr>
            <w:r>
              <w:rPr>
                <w:rFonts w:ascii="Arial" w:cs="Arial" w:eastAsia="Arial" w:hAnsi="Arial"/>
                <w:sz w:val="17"/>
                <w:szCs w:val="17"/>
                <w:color w:val="auto"/>
              </w:rPr>
              <w:t>Finance lease liability</w:t>
            </w:r>
          </w:p>
        </w:tc>
        <w:tc>
          <w:tcPr>
            <w:tcW w:w="4380" w:type="dxa"/>
            <w:vAlign w:val="bottom"/>
          </w:tcPr>
          <w:p>
            <w:pPr>
              <w:jc w:val="center"/>
              <w:spacing w:after="0"/>
              <w:rPr>
                <w:sz w:val="20"/>
                <w:szCs w:val="20"/>
                <w:color w:val="auto"/>
              </w:rPr>
            </w:pPr>
            <w:r>
              <w:rPr>
                <w:rFonts w:ascii="Arial" w:cs="Arial" w:eastAsia="Arial" w:hAnsi="Arial"/>
                <w:sz w:val="17"/>
                <w:szCs w:val="17"/>
                <w:color w:val="auto"/>
                <w:w w:val="91"/>
              </w:rPr>
              <w:t>Accrued expenses and other 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2,569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Non-current liabilities:</w:t>
            </w:r>
          </w:p>
        </w:tc>
        <w:tc>
          <w:tcPr>
            <w:tcW w:w="4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20"/>
              <w:spacing w:after="0"/>
              <w:rPr>
                <w:sz w:val="20"/>
                <w:szCs w:val="20"/>
                <w:color w:val="auto"/>
              </w:rPr>
            </w:pPr>
            <w:r>
              <w:rPr>
                <w:rFonts w:ascii="Arial" w:cs="Arial" w:eastAsia="Arial" w:hAnsi="Arial"/>
                <w:sz w:val="17"/>
                <w:szCs w:val="17"/>
                <w:color w:val="auto"/>
              </w:rPr>
              <w:t>Operating lease liability</w:t>
            </w:r>
          </w:p>
        </w:tc>
        <w:tc>
          <w:tcPr>
            <w:tcW w:w="4380" w:type="dxa"/>
            <w:vAlign w:val="bottom"/>
          </w:tcPr>
          <w:p>
            <w:pPr>
              <w:jc w:val="center"/>
              <w:spacing w:after="0"/>
              <w:rPr>
                <w:sz w:val="20"/>
                <w:szCs w:val="20"/>
                <w:color w:val="auto"/>
              </w:rPr>
            </w:pPr>
            <w:r>
              <w:rPr>
                <w:rFonts w:ascii="Arial" w:cs="Arial" w:eastAsia="Arial" w:hAnsi="Arial"/>
                <w:sz w:val="17"/>
                <w:szCs w:val="17"/>
                <w:color w:val="auto"/>
                <w:w w:val="92"/>
              </w:rPr>
              <w:t>Operating lease liability, net of current portion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 liability</w:t>
            </w:r>
          </w:p>
        </w:tc>
        <w:tc>
          <w:tcPr>
            <w:tcW w:w="4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Other liabilities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722"/>
        </w:trPr>
        <w:tc>
          <w:tcPr>
            <w:tcW w:w="11240" w:type="dxa"/>
            <w:vAlign w:val="bottom"/>
            <w:gridSpan w:val="9"/>
          </w:tcPr>
          <w:p>
            <w:pPr>
              <w:ind w:left="620"/>
              <w:spacing w:after="0"/>
              <w:rPr>
                <w:sz w:val="20"/>
                <w:szCs w:val="20"/>
                <w:color w:val="auto"/>
              </w:rPr>
            </w:pPr>
            <w:r>
              <w:rPr>
                <w:rFonts w:ascii="Arial" w:cs="Arial" w:eastAsia="Arial" w:hAnsi="Arial"/>
                <w:sz w:val="17"/>
                <w:szCs w:val="17"/>
                <w:color w:val="auto"/>
                <w:w w:val="91"/>
              </w:rPr>
              <w:t>Future minimum lease payments under non-cancellable operating and finance leases (with an initial or remaining lease term in excess of one year) are as</w:t>
            </w:r>
          </w:p>
        </w:tc>
        <w:tc>
          <w:tcPr>
            <w:tcW w:w="0" w:type="dxa"/>
            <w:vAlign w:val="bottom"/>
          </w:tcPr>
          <w:p>
            <w:pPr>
              <w:spacing w:after="0"/>
              <w:rPr>
                <w:sz w:val="1"/>
                <w:szCs w:val="1"/>
                <w:color w:val="auto"/>
              </w:rPr>
            </w:pPr>
          </w:p>
        </w:tc>
      </w:tr>
      <w:tr>
        <w:trPr>
          <w:trHeight w:val="217"/>
        </w:trPr>
        <w:tc>
          <w:tcPr>
            <w:tcW w:w="3800" w:type="dxa"/>
            <w:vAlign w:val="bottom"/>
          </w:tcPr>
          <w:p>
            <w:pPr>
              <w:spacing w:after="0"/>
              <w:rPr>
                <w:sz w:val="20"/>
                <w:szCs w:val="20"/>
                <w:color w:val="auto"/>
              </w:rPr>
            </w:pPr>
            <w:r>
              <w:rPr>
                <w:rFonts w:ascii="Arial" w:cs="Arial" w:eastAsia="Arial" w:hAnsi="Arial"/>
                <w:sz w:val="17"/>
                <w:szCs w:val="17"/>
                <w:color w:val="auto"/>
              </w:rPr>
              <w:t>follows:</w:t>
            </w: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8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5"/>
                <w:szCs w:val="15"/>
                <w:b w:val="1"/>
                <w:bCs w:val="1"/>
                <w:color w:val="auto"/>
                <w:w w:val="95"/>
              </w:rPr>
              <w:t>March 31, 2023</w:t>
            </w: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77"/>
              <w:spacing w:after="0" w:line="151" w:lineRule="exact"/>
              <w:rPr>
                <w:sz w:val="20"/>
                <w:szCs w:val="20"/>
                <w:color w:val="auto"/>
              </w:rPr>
            </w:pPr>
            <w:r>
              <w:rPr>
                <w:rFonts w:ascii="Arial" w:cs="Arial" w:eastAsia="Arial" w:hAnsi="Arial"/>
                <w:sz w:val="15"/>
                <w:szCs w:val="15"/>
                <w:b w:val="1"/>
                <w:bCs w:val="1"/>
                <w:color w:val="auto"/>
                <w:w w:val="95"/>
              </w:rPr>
              <w:t>Operating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116"/>
              <w:spacing w:after="0" w:line="151" w:lineRule="exact"/>
              <w:rPr>
                <w:sz w:val="20"/>
                <w:szCs w:val="20"/>
                <w:color w:val="auto"/>
              </w:rPr>
            </w:pPr>
            <w:r>
              <w:rPr>
                <w:rFonts w:ascii="Arial" w:cs="Arial" w:eastAsia="Arial" w:hAnsi="Arial"/>
                <w:sz w:val="15"/>
                <w:szCs w:val="15"/>
                <w:b w:val="1"/>
                <w:bCs w:val="1"/>
                <w:color w:val="auto"/>
                <w:w w:val="91"/>
              </w:rPr>
              <w:t>Finance</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5"/>
                <w:szCs w:val="15"/>
                <w:b w:val="1"/>
                <w:bCs w:val="1"/>
                <w:color w:val="auto"/>
                <w:w w:val="86"/>
              </w:rPr>
              <w:t>Leases</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5"/>
                <w:szCs w:val="15"/>
                <w:b w:val="1"/>
                <w:bCs w:val="1"/>
                <w:color w:val="auto"/>
                <w:w w:val="86"/>
              </w:rPr>
              <w:t>Leases</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4"/>
          </w:tcPr>
          <w:p>
            <w:pPr>
              <w:jc w:val="center"/>
              <w:ind w:right="176"/>
              <w:spacing w:after="0"/>
              <w:rPr>
                <w:sz w:val="20"/>
                <w:szCs w:val="20"/>
                <w:color w:val="auto"/>
              </w:rPr>
            </w:pPr>
            <w:r>
              <w:rPr>
                <w:rFonts w:ascii="Arial" w:cs="Arial" w:eastAsia="Arial" w:hAnsi="Arial"/>
                <w:sz w:val="15"/>
                <w:szCs w:val="15"/>
                <w:color w:val="auto"/>
                <w:w w:val="93"/>
              </w:rPr>
              <w:t>(In thousands)</w:t>
            </w: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(remaining nine months for March 31, 2023)</w:t>
            </w:r>
          </w:p>
        </w:tc>
        <w:tc>
          <w:tcPr>
            <w:tcW w:w="43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7"/>
                <w:szCs w:val="17"/>
                <w:color w:val="auto"/>
              </w:rPr>
              <w:t>2024</w:t>
            </w:r>
          </w:p>
        </w:tc>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2026</w:t>
            </w: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800" w:type="dxa"/>
            <w:vAlign w:val="bottom"/>
          </w:tcPr>
          <w:p>
            <w:pPr>
              <w:ind w:left="180"/>
              <w:spacing w:after="0"/>
              <w:rPr>
                <w:sz w:val="20"/>
                <w:szCs w:val="20"/>
                <w:color w:val="auto"/>
              </w:rPr>
            </w:pPr>
            <w:r>
              <w:rPr>
                <w:rFonts w:ascii="Arial" w:cs="Arial" w:eastAsia="Arial" w:hAnsi="Arial"/>
                <w:sz w:val="17"/>
                <w:szCs w:val="17"/>
                <w:color w:val="auto"/>
              </w:rPr>
              <w:t>Total minimum lease payments</w:t>
            </w: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adjustment</w:t>
            </w:r>
          </w:p>
        </w:tc>
        <w:tc>
          <w:tcPr>
            <w:tcW w:w="4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3"/>
        </w:trPr>
        <w:tc>
          <w:tcPr>
            <w:tcW w:w="3800" w:type="dxa"/>
            <w:vAlign w:val="bottom"/>
          </w:tcPr>
          <w:p>
            <w:pPr>
              <w:ind w:left="180"/>
              <w:spacing w:after="0"/>
              <w:rPr>
                <w:sz w:val="20"/>
                <w:szCs w:val="20"/>
                <w:color w:val="auto"/>
              </w:rPr>
            </w:pPr>
            <w:r>
              <w:rPr>
                <w:rFonts w:ascii="Arial" w:cs="Arial" w:eastAsia="Arial" w:hAnsi="Arial"/>
                <w:sz w:val="17"/>
                <w:szCs w:val="17"/>
                <w:color w:val="auto"/>
              </w:rPr>
              <w:t>Present value of lease liabilities</w:t>
            </w:r>
          </w:p>
        </w:tc>
        <w:tc>
          <w:tcPr>
            <w:tcW w:w="438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1,920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1,798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Fair Value Measurements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5" w:lineRule="exact"/>
        <w:rPr>
          <w:sz w:val="20"/>
          <w:szCs w:val="20"/>
          <w:color w:val="auto"/>
        </w:rPr>
      </w:pPr>
    </w:p>
    <w:p>
      <w:pPr>
        <w:ind w:left="1080" w:hanging="303"/>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1: Observable inputs that reflect quoted prices (unadjusted) for identical assets or liabilities in active markets.</w:t>
      </w:r>
    </w:p>
    <w:p>
      <w:pPr>
        <w:spacing w:after="0" w:line="113" w:lineRule="exact"/>
        <w:rPr>
          <w:rFonts w:ascii="Arial" w:cs="Arial" w:eastAsia="Arial" w:hAnsi="Arial"/>
          <w:sz w:val="17"/>
          <w:szCs w:val="17"/>
          <w:color w:val="auto"/>
        </w:rPr>
      </w:pPr>
    </w:p>
    <w:p>
      <w:pPr>
        <w:jc w:val="both"/>
        <w:ind w:left="1080" w:hanging="303"/>
        <w:spacing w:after="0" w:line="26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hanging="303"/>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Assets and Liabilities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2023 and December 31, 2022, are summarized as follows: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5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5"/>
                <w:szCs w:val="15"/>
                <w:b w:val="1"/>
                <w:bCs w:val="1"/>
                <w:color w:val="auto"/>
                <w:w w:val="95"/>
              </w:rPr>
              <w:t>March 31, 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0"/>
        </w:trPr>
        <w:tc>
          <w:tcPr>
            <w:tcW w:w="5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w w:val="90"/>
              </w:rPr>
              <w:t>Level 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r>
      <w:tr>
        <w:trPr>
          <w:trHeight w:val="208"/>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center"/>
              <w:ind w:left="557"/>
              <w:spacing w:after="0"/>
              <w:rPr>
                <w:sz w:val="20"/>
                <w:szCs w:val="20"/>
                <w:color w:val="auto"/>
              </w:rPr>
            </w:pPr>
            <w:r>
              <w:rPr>
                <w:rFonts w:ascii="Arial" w:cs="Arial" w:eastAsia="Arial" w:hAnsi="Arial"/>
                <w:sz w:val="16"/>
                <w:szCs w:val="16"/>
                <w:color w:val="auto"/>
                <w:w w:val="91"/>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420" w:type="dxa"/>
            <w:vAlign w:val="bottom"/>
          </w:tcPr>
          <w:p>
            <w:pPr>
              <w:ind w:left="120"/>
              <w:spacing w:after="0"/>
              <w:rPr>
                <w:sz w:val="20"/>
                <w:szCs w:val="20"/>
                <w:color w:val="auto"/>
              </w:rPr>
            </w:pPr>
            <w:r>
              <w:rPr>
                <w:rFonts w:ascii="Arial" w:cs="Arial" w:eastAsia="Arial" w:hAnsi="Arial"/>
                <w:sz w:val="17"/>
                <w:szCs w:val="17"/>
                <w:color w:val="auto"/>
              </w:rPr>
              <w:t>Cash equivalents: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161,448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161,448</w:t>
            </w:r>
          </w:p>
        </w:tc>
      </w:tr>
      <w:tr>
        <w:trPr>
          <w:trHeight w:val="213"/>
        </w:trPr>
        <w:tc>
          <w:tcPr>
            <w:tcW w:w="5420" w:type="dxa"/>
            <w:vAlign w:val="bottom"/>
          </w:tcPr>
          <w:p>
            <w:pPr>
              <w:ind w:left="200"/>
              <w:spacing w:after="0"/>
              <w:rPr>
                <w:sz w:val="20"/>
                <w:szCs w:val="20"/>
                <w:color w:val="auto"/>
              </w:rPr>
            </w:pPr>
            <w:r>
              <w:rPr>
                <w:rFonts w:ascii="Arial" w:cs="Arial" w:eastAsia="Arial" w:hAnsi="Arial"/>
                <w:sz w:val="17"/>
                <w:szCs w:val="17"/>
                <w:color w:val="auto"/>
              </w:rPr>
              <w:t>Total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161,448</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161,448</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5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Earn-outs treated as contingent consideration</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22,432</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22,432</w:t>
            </w:r>
          </w:p>
        </w:tc>
      </w:tr>
      <w:tr>
        <w:trPr>
          <w:trHeight w:val="218"/>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Earn-outs treated as liability awards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50,051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50,051</w:t>
            </w:r>
          </w:p>
        </w:tc>
      </w:tr>
      <w:tr>
        <w:trPr>
          <w:trHeight w:val="233"/>
        </w:trPr>
        <w:tc>
          <w:tcPr>
            <w:tcW w:w="5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72,483</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0"/>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Level 3</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r>
      <w:tr>
        <w:trPr>
          <w:trHeight w:val="208"/>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796"/>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5700" w:type="dxa"/>
            <w:vAlign w:val="bottom"/>
          </w:tcPr>
          <w:p>
            <w:pPr>
              <w:ind w:left="120"/>
              <w:spacing w:after="0"/>
              <w:rPr>
                <w:sz w:val="20"/>
                <w:szCs w:val="20"/>
                <w:color w:val="auto"/>
              </w:rPr>
            </w:pPr>
            <w:r>
              <w:rPr>
                <w:rFonts w:ascii="Arial" w:cs="Arial" w:eastAsia="Arial" w:hAnsi="Arial"/>
                <w:sz w:val="17"/>
                <w:szCs w:val="17"/>
                <w:color w:val="auto"/>
              </w:rPr>
              <w:t>Cash equivalents: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5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308,295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308,295</w:t>
            </w:r>
          </w:p>
        </w:tc>
      </w:tr>
      <w:tr>
        <w:trPr>
          <w:trHeight w:val="211"/>
        </w:trPr>
        <w:tc>
          <w:tcPr>
            <w:tcW w:w="5700" w:type="dxa"/>
            <w:vAlign w:val="bottom"/>
          </w:tcPr>
          <w:p>
            <w:pPr>
              <w:ind w:left="220"/>
              <w:spacing w:after="0"/>
              <w:rPr>
                <w:sz w:val="20"/>
                <w:szCs w:val="20"/>
                <w:color w:val="auto"/>
              </w:rPr>
            </w:pPr>
            <w:r>
              <w:rPr>
                <w:rFonts w:ascii="Arial" w:cs="Arial" w:eastAsia="Arial" w:hAnsi="Arial"/>
                <w:sz w:val="17"/>
                <w:szCs w:val="17"/>
                <w:color w:val="auto"/>
              </w:rPr>
              <w:t>Total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308,295</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308,295</w:t>
            </w: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700" w:type="dxa"/>
            <w:vAlign w:val="bottom"/>
          </w:tcPr>
          <w:p>
            <w:pPr>
              <w:ind w:left="120"/>
              <w:spacing w:after="0"/>
              <w:rPr>
                <w:sz w:val="20"/>
                <w:szCs w:val="20"/>
                <w:color w:val="auto"/>
              </w:rPr>
            </w:pPr>
            <w:r>
              <w:rPr>
                <w:rFonts w:ascii="Arial" w:cs="Arial" w:eastAsia="Arial" w:hAnsi="Arial"/>
                <w:sz w:val="17"/>
                <w:szCs w:val="17"/>
                <w:color w:val="auto"/>
              </w:rPr>
              <w:t>Earn-outs treated as contingent consideration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20,722</w:t>
            </w:r>
          </w:p>
        </w:tc>
        <w:tc>
          <w:tcPr>
            <w:tcW w:w="4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20,722</w:t>
            </w:r>
          </w:p>
        </w:tc>
      </w:tr>
      <w:tr>
        <w:trPr>
          <w:trHeight w:val="226"/>
        </w:trPr>
        <w:tc>
          <w:tcPr>
            <w:tcW w:w="5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Earn-outs treated as liability awards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51,499</w:t>
            </w:r>
          </w:p>
        </w:tc>
      </w:tr>
      <w:tr>
        <w:trPr>
          <w:trHeight w:val="213"/>
        </w:trPr>
        <w:tc>
          <w:tcPr>
            <w:tcW w:w="5700" w:type="dxa"/>
            <w:vAlign w:val="bottom"/>
          </w:tcPr>
          <w:p>
            <w:pPr>
              <w:ind w:left="220"/>
              <w:spacing w:after="0"/>
              <w:rPr>
                <w:sz w:val="20"/>
                <w:szCs w:val="20"/>
                <w:color w:val="auto"/>
              </w:rPr>
            </w:pPr>
            <w:r>
              <w:rPr>
                <w:rFonts w:ascii="Arial" w:cs="Arial" w:eastAsia="Arial" w:hAnsi="Arial"/>
                <w:sz w:val="17"/>
                <w:szCs w:val="17"/>
                <w:color w:val="auto"/>
              </w:rPr>
              <w:t>Total liabilities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72,221</w:t>
            </w:r>
          </w:p>
        </w:tc>
        <w:tc>
          <w:tcPr>
            <w:tcW w:w="4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72,221</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8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spacing w:after="0" w:line="18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As of March 31, 2023, the fair value of the 2024 Notes and 2026 Notes, as further described in Note 8 – </w:t>
      </w:r>
      <w:r>
        <w:rPr>
          <w:rFonts w:ascii="Arial" w:cs="Arial" w:eastAsia="Arial" w:hAnsi="Arial"/>
          <w:sz w:val="17"/>
          <w:szCs w:val="17"/>
          <w:i w:val="1"/>
          <w:iCs w:val="1"/>
          <w:color w:val="auto"/>
        </w:rPr>
        <w:t>Convertible Senior Notes, Net and Capped Call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above, was approximately $389.7 million. Management determines the fair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9" w:name="page30"/>
    <w:bookmarkEnd w:id="29"/>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value by utilizing an independent valuation specialist using the antithetic variable technique and is considered a Level 2 fair value measurement.</w:t>
      </w:r>
    </w:p>
    <w:p>
      <w:pPr>
        <w:spacing w:after="0" w:line="3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fair value of the Level 3 liabilities are as follows:</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57"/>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37"/>
              <w:spacing w:after="0"/>
              <w:rPr>
                <w:sz w:val="20"/>
                <w:szCs w:val="20"/>
                <w:color w:val="auto"/>
              </w:rPr>
            </w:pPr>
            <w:r>
              <w:rPr>
                <w:rFonts w:ascii="Arial" w:cs="Arial" w:eastAsia="Arial" w:hAnsi="Arial"/>
                <w:sz w:val="15"/>
                <w:szCs w:val="15"/>
                <w:b w:val="1"/>
                <w:bCs w:val="1"/>
                <w:color w:val="auto"/>
              </w:rPr>
              <w:t>December 31,</w:t>
            </w:r>
          </w:p>
        </w:tc>
      </w:tr>
      <w:tr>
        <w:trPr>
          <w:trHeight w:val="204"/>
        </w:trPr>
        <w:tc>
          <w:tcPr>
            <w:tcW w:w="7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2022</w:t>
            </w:r>
          </w:p>
        </w:tc>
      </w:tr>
      <w:tr>
        <w:trPr>
          <w:trHeight w:val="208"/>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4"/>
          </w:tcPr>
          <w:p>
            <w:pPr>
              <w:jc w:val="right"/>
              <w:ind w:right="1037"/>
              <w:spacing w:after="0"/>
              <w:rPr>
                <w:sz w:val="20"/>
                <w:szCs w:val="20"/>
                <w:color w:val="auto"/>
              </w:rPr>
            </w:pPr>
            <w:r>
              <w:rPr>
                <w:rFonts w:ascii="Arial" w:cs="Arial" w:eastAsia="Arial" w:hAnsi="Arial"/>
                <w:sz w:val="16"/>
                <w:szCs w:val="16"/>
                <w:color w:val="auto"/>
              </w:rPr>
              <w:t>(In thousands)</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29,830</w:t>
            </w:r>
          </w:p>
        </w:tc>
      </w:tr>
      <w:tr>
        <w:trPr>
          <w:trHeight w:val="225"/>
        </w:trPr>
        <w:tc>
          <w:tcPr>
            <w:tcW w:w="7860" w:type="dxa"/>
            <w:vAlign w:val="bottom"/>
          </w:tcPr>
          <w:p>
            <w:pPr>
              <w:ind w:left="120"/>
              <w:spacing w:after="0"/>
              <w:rPr>
                <w:sz w:val="20"/>
                <w:szCs w:val="20"/>
                <w:color w:val="auto"/>
              </w:rPr>
            </w:pPr>
            <w:r>
              <w:rPr>
                <w:rFonts w:ascii="Arial" w:cs="Arial" w:eastAsia="Arial" w:hAnsi="Arial"/>
                <w:sz w:val="17"/>
                <w:szCs w:val="17"/>
                <w:color w:val="auto"/>
              </w:rPr>
              <w:t>Additions in the period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61,920</w:t>
            </w:r>
          </w:p>
        </w:tc>
      </w:tr>
      <w:tr>
        <w:trPr>
          <w:trHeight w:val="226"/>
        </w:trPr>
        <w:tc>
          <w:tcPr>
            <w:tcW w:w="7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contingent consideration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(8,516)</w:t>
            </w:r>
          </w:p>
        </w:tc>
      </w:tr>
      <w:tr>
        <w:trPr>
          <w:trHeight w:val="218"/>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 in fair value of liability awards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(11,013)</w:t>
            </w: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Certain former stakeholders of the Company’s acquisitions are eligible to receive additional cash or share considerations based on the attainment of certain operating metrics in the periods subsequent to the acquisitions. These earn-out arrangements are accounted for as either contingent considerations arrangements or compensation arrangements. Contingent considerations are fair valued using significant inputs that are not observable in the market.</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earn-outs determined to be compensatory are remeasured each reporting period based on whether the performance targets are probable of being</w:t>
      </w:r>
    </w:p>
    <w:p>
      <w:pPr>
        <w:spacing w:after="0" w:line="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achieved and recognized over the related service periods. For the three months ended March 31, 2023 and 2022, $0.7 million and $10.8 million, respectively, was recognized as a component of stock-based compensation expense in the accompanying condensed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 Plans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$1.4 million and $1.6 million of employer matching contributions for the three months ended March 31, 2023 and 2022,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the Company had letters of credit totaling $0.7 million outstanding as a security deposit for the due performance by the Company of the terms and conditions of a supply contract.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Indemnifications</w:t>
      </w:r>
    </w:p>
    <w:p>
      <w:pPr>
        <w:spacing w:after="0" w:line="243"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1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the three months ended March 31, 2023 and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Non-Income Related Taxes</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0" w:name="page31"/>
    <w:bookmarkEnd w:id="30"/>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As of March 31, 2023, there is a $1.2 million accrual balance for sales tax liabilities. The decrease in the balance of this accrual is primarily due to payments made for the sales tax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March 31, 2023, there were 200,000,000 shares of common stock authorized, 78,870,717 shares issued, and 76,104,644 shares outstanding. As of December 31, 2022, there were 200,000,000 shares of common stock authorized, 78,350,984 shares issued and 75,584,911 shares outstanding. The par value for the common stock is $0.001 per share.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and December 31, 2022, there were 5,000,000 shares of preferred stock authorized, and no shares were issued or outstanding. The par value for the preferred stock is $0.001 per share.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6"/>
          <w:szCs w:val="16"/>
          <w:color w:val="auto"/>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Plans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March 31, 2023, approximately 2.4 million shares of common stock remained available for issuance (taking into account all option exercises and other equity award settlements through March 31, 2023).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There are 1,000,000 shares authorized and reserved for issuance under the 2019 Employee Stock Purchase Plan. As of March 31, 2023, approximately 0.3 million shares of common stock remain available for issuance under the Employee Stock Purchase Plan (taking into account all share purchases through March 31, 2023).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Inducement Plan</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There are 6,159,009 shares of common stock authorized and reserved for issuance under the Inducement Plan. On February 9, 2022, the Company’s board of directors amended the plan and authorized 2,790,961 new shares for issuance. As of March 31, 2023, approximately 1.0 million shares of common stock remained available for issuance under the Inducement Plan (taking into account all option exercises and other equity award settlements through March 31, 2023).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1" w:name="page32"/>
    <w:bookmarkEnd w:id="31"/>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Activity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stock option activity and weighted average exercise prices follows:</w:t>
      </w:r>
    </w:p>
    <w:p>
      <w:pPr>
        <w:spacing w:after="0" w:line="345" w:lineRule="exact"/>
        <w:rPr>
          <w:sz w:val="20"/>
          <w:szCs w:val="20"/>
          <w:color w:val="auto"/>
        </w:rPr>
      </w:pPr>
    </w:p>
    <w:p>
      <w:pPr>
        <w:ind w:left="5940"/>
        <w:spacing w:after="0"/>
        <w:rPr>
          <w:sz w:val="20"/>
          <w:szCs w:val="20"/>
          <w:color w:val="auto"/>
        </w:rPr>
      </w:pPr>
      <w:r>
        <w:rPr>
          <w:rFonts w:ascii="Arial" w:cs="Arial" w:eastAsia="Arial" w:hAnsi="Arial"/>
          <w:sz w:val="15"/>
          <w:szCs w:val="15"/>
          <w:b w:val="1"/>
          <w:bCs w:val="1"/>
          <w:color w:val="auto"/>
        </w:rPr>
        <w:t>Stock Option Activity</w:t>
      </w:r>
    </w:p>
    <w:tbl>
      <w:tblPr>
        <w:tblLayout w:type="fixed"/>
        <w:tblInd w:w="0" w:type="dxa"/>
        <w:tblCellMar>
          <w:top w:w="0" w:type="dxa"/>
          <w:left w:w="0" w:type="dxa"/>
          <w:bottom w:w="0" w:type="dxa"/>
          <w:right w:w="0" w:type="dxa"/>
        </w:tblCellMar>
      </w:tblPr>
      <w:tr>
        <w:trPr>
          <w:trHeight w:val="48"/>
        </w:trPr>
        <w:tc>
          <w:tcPr>
            <w:tcW w:w="51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40" w:type="dxa"/>
            <w:vAlign w:val="bottom"/>
            <w:vMerge w:val="restart"/>
          </w:tcPr>
          <w:p>
            <w:pPr>
              <w:jc w:val="center"/>
              <w:spacing w:after="0" w:line="138" w:lineRule="exact"/>
              <w:rPr>
                <w:sz w:val="20"/>
                <w:szCs w:val="20"/>
                <w:color w:val="auto"/>
              </w:rPr>
            </w:pPr>
            <w:r>
              <w:rPr>
                <w:rFonts w:ascii="Arial" w:cs="Arial" w:eastAsia="Arial" w:hAnsi="Arial"/>
                <w:sz w:val="15"/>
                <w:szCs w:val="15"/>
                <w:b w:val="1"/>
                <w:bCs w:val="1"/>
                <w:color w:val="auto"/>
                <w:w w:val="91"/>
              </w:rPr>
              <w:t>Weighted Average</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5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restart"/>
          </w:tcPr>
          <w:p>
            <w:pPr>
              <w:jc w:val="center"/>
              <w:ind w:right="97"/>
              <w:spacing w:after="0"/>
              <w:rPr>
                <w:sz w:val="20"/>
                <w:szCs w:val="20"/>
                <w:color w:val="auto"/>
              </w:rPr>
            </w:pPr>
            <w:r>
              <w:rPr>
                <w:rFonts w:ascii="Arial" w:cs="Arial" w:eastAsia="Arial" w:hAnsi="Arial"/>
                <w:sz w:val="15"/>
                <w:szCs w:val="15"/>
                <w:b w:val="1"/>
                <w:bCs w:val="1"/>
                <w:color w:val="auto"/>
                <w:w w:val="91"/>
              </w:rPr>
              <w:t>Weighted</w:t>
            </w:r>
          </w:p>
        </w:tc>
        <w:tc>
          <w:tcPr>
            <w:tcW w:w="1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3"/>
              </w:rPr>
              <w:t>Aggregate Intrinsic</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440" w:type="dxa"/>
            <w:vAlign w:val="bottom"/>
            <w:vMerge w:val="restart"/>
          </w:tcPr>
          <w:p>
            <w:pPr>
              <w:jc w:val="right"/>
              <w:ind w:right="376"/>
              <w:spacing w:after="0"/>
              <w:rPr>
                <w:sz w:val="20"/>
                <w:szCs w:val="20"/>
                <w:color w:val="auto"/>
              </w:rPr>
            </w:pPr>
            <w:r>
              <w:rPr>
                <w:rFonts w:ascii="Arial" w:cs="Arial" w:eastAsia="Arial" w:hAnsi="Arial"/>
                <w:sz w:val="15"/>
                <w:szCs w:val="15"/>
                <w:b w:val="1"/>
                <w:bCs w:val="1"/>
                <w:color w:val="auto"/>
              </w:rPr>
              <w:t>Options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Remaining</w:t>
            </w: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97"/>
              <w:spacing w:after="0" w:line="155" w:lineRule="exact"/>
              <w:rPr>
                <w:sz w:val="20"/>
                <w:szCs w:val="20"/>
                <w:color w:val="auto"/>
              </w:rPr>
            </w:pPr>
            <w:r>
              <w:rPr>
                <w:rFonts w:ascii="Arial" w:cs="Arial" w:eastAsia="Arial" w:hAnsi="Arial"/>
                <w:sz w:val="15"/>
                <w:szCs w:val="15"/>
                <w:b w:val="1"/>
                <w:bCs w:val="1"/>
                <w:color w:val="auto"/>
                <w:w w:val="91"/>
              </w:rPr>
              <w:t>Average</w:t>
            </w:r>
          </w:p>
        </w:tc>
        <w:tc>
          <w:tcPr>
            <w:tcW w:w="1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4"/>
              </w:rPr>
              <w:t>Contractual Term</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77"/>
              <w:spacing w:after="0" w:line="155" w:lineRule="exact"/>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1"/>
              </w:rPr>
              <w:t>Exercise Price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(In years)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2"/>
              </w:rPr>
              <w:t>(In thousands)</w:t>
            </w: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outstanding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18"/>
        </w:trPr>
        <w:tc>
          <w:tcPr>
            <w:tcW w:w="5160" w:type="dxa"/>
            <w:vAlign w:val="bottom"/>
          </w:tcPr>
          <w:p>
            <w:pPr>
              <w:ind w:left="14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11.37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Cancelled or 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33.88</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outstanding at March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rPr>
                <w:sz w:val="20"/>
                <w:szCs w:val="20"/>
                <w:color w:val="auto"/>
              </w:rPr>
            </w:pPr>
            <w:r>
              <w:rPr>
                <w:rFonts w:ascii="Arial" w:cs="Arial" w:eastAsia="Arial" w:hAnsi="Arial"/>
                <w:sz w:val="17"/>
                <w:szCs w:val="17"/>
                <w:color w:val="auto"/>
              </w:rPr>
              <w:t>Options vested and expected to vest</w:t>
            </w:r>
          </w:p>
        </w:tc>
        <w:tc>
          <w:tcPr>
            <w:tcW w:w="1440" w:type="dxa"/>
            <w:vAlign w:val="bottom"/>
          </w:tcPr>
          <w:p>
            <w:pPr>
              <w:jc w:val="right"/>
              <w:spacing w:after="0"/>
              <w:rPr>
                <w:sz w:val="20"/>
                <w:szCs w:val="20"/>
                <w:color w:val="auto"/>
              </w:rPr>
            </w:pPr>
            <w:r>
              <w:rPr>
                <w:rFonts w:ascii="Arial" w:cs="Arial" w:eastAsia="Arial" w:hAnsi="Arial"/>
                <w:sz w:val="17"/>
                <w:szCs w:val="17"/>
                <w:color w:val="auto"/>
              </w:rPr>
              <w:t>733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28.53</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exercisable at March 31, 2023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total fair value of stock options exercised during the three months ended March 31, 2023 was approximately $1.0 million. As of March 31, 2023, there was approximately $13.3 million of total unrecognized compensation cost related to nonvested share-based compensation arrangements. That cost is expected to be recognized over a weighted average period of approximately 1.9 years.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per share weighted average fair value of stock options granted was $6.54 and $13.81 during the three months ended March 31, 2023 and 2022, respectively. The fair value of each option grant is estimated on the date of grant, adjusted for estimated forfeitures, using the Black-Scholes option-pricing model with the following weighted average assumptions: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gridSpan w:val="3"/>
          </w:tcPr>
          <w:p>
            <w:pPr>
              <w:jc w:val="right"/>
              <w:ind w:right="203"/>
              <w:spacing w:after="0"/>
              <w:rPr>
                <w:sz w:val="20"/>
                <w:szCs w:val="20"/>
                <w:color w:val="auto"/>
              </w:rPr>
            </w:pPr>
            <w:r>
              <w:rPr>
                <w:rFonts w:ascii="Arial" w:cs="Arial" w:eastAsia="Arial" w:hAnsi="Arial"/>
                <w:sz w:val="15"/>
                <w:szCs w:val="15"/>
                <w:b w:val="1"/>
                <w:bCs w:val="1"/>
                <w:color w:val="auto"/>
                <w:w w:val="94"/>
              </w:rPr>
              <w:t>Three Months Ended</w:t>
            </w:r>
          </w:p>
        </w:tc>
        <w:tc>
          <w:tcPr>
            <w:tcW w:w="1020" w:type="dxa"/>
            <w:vAlign w:val="bottom"/>
          </w:tcPr>
          <w:p>
            <w:pPr>
              <w:spacing w:after="0"/>
              <w:rPr>
                <w:sz w:val="17"/>
                <w:szCs w:val="17"/>
                <w:color w:val="auto"/>
              </w:rPr>
            </w:pPr>
          </w:p>
        </w:tc>
      </w:tr>
      <w:tr>
        <w:trPr>
          <w:trHeight w:val="209"/>
        </w:trPr>
        <w:tc>
          <w:tcPr>
            <w:tcW w:w="72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0"/>
        </w:trPr>
        <w:tc>
          <w:tcPr>
            <w:tcW w:w="7240" w:type="dxa"/>
            <w:vAlign w:val="bottom"/>
          </w:tcPr>
          <w:p>
            <w:pPr>
              <w:spacing w:after="0"/>
              <w:rPr>
                <w:sz w:val="17"/>
                <w:szCs w:val="17"/>
                <w:color w:val="auto"/>
              </w:rPr>
            </w:pPr>
          </w:p>
        </w:tc>
        <w:tc>
          <w:tcPr>
            <w:tcW w:w="1280" w:type="dxa"/>
            <w:vAlign w:val="bottom"/>
            <w:tcBorders>
              <w:bottom w:val="single" w:sz="8" w:color="auto"/>
            </w:tcBorders>
          </w:tcPr>
          <w:p>
            <w:pPr>
              <w:jc w:val="center"/>
              <w:ind w:left="596"/>
              <w:spacing w:after="0"/>
              <w:rPr>
                <w:sz w:val="20"/>
                <w:szCs w:val="20"/>
                <w:color w:val="auto"/>
              </w:rPr>
            </w:pPr>
            <w:r>
              <w:rPr>
                <w:rFonts w:ascii="Arial" w:cs="Arial" w:eastAsia="Arial" w:hAnsi="Arial"/>
                <w:sz w:val="15"/>
                <w:szCs w:val="15"/>
                <w:b w:val="1"/>
                <w:bCs w:val="1"/>
                <w:color w:val="auto"/>
                <w:w w:val="95"/>
              </w:rPr>
              <w:t>2023</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2022</w:t>
            </w:r>
          </w:p>
        </w:tc>
      </w:tr>
      <w:tr>
        <w:trPr>
          <w:trHeight w:val="227"/>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280" w:type="dxa"/>
            <w:vAlign w:val="bottom"/>
            <w:shd w:val="clear" w:color="auto" w:fill="CCEEFF"/>
          </w:tcPr>
          <w:p>
            <w:pPr>
              <w:jc w:val="center"/>
              <w:ind w:left="596"/>
              <w:spacing w:after="0"/>
              <w:rPr>
                <w:sz w:val="20"/>
                <w:szCs w:val="20"/>
                <w:color w:val="auto"/>
              </w:rPr>
            </w:pPr>
            <w:r>
              <w:rPr>
                <w:rFonts w:ascii="Arial" w:cs="Arial" w:eastAsia="Arial" w:hAnsi="Arial"/>
                <w:sz w:val="17"/>
                <w:szCs w:val="17"/>
                <w:color w:val="auto"/>
                <w:w w:val="92"/>
              </w:rPr>
              <w:t>0.0%</w:t>
            </w:r>
          </w:p>
        </w:tc>
        <w:tc>
          <w:tcPr>
            <w:tcW w:w="2720" w:type="dxa"/>
            <w:vAlign w:val="bottom"/>
            <w:gridSpan w:val="4"/>
            <w:shd w:val="clear" w:color="auto" w:fill="CCEEFF"/>
          </w:tcPr>
          <w:p>
            <w:pPr>
              <w:jc w:val="center"/>
              <w:ind w:left="718"/>
              <w:spacing w:after="0"/>
              <w:rPr>
                <w:sz w:val="20"/>
                <w:szCs w:val="20"/>
                <w:color w:val="auto"/>
              </w:rPr>
            </w:pPr>
            <w:r>
              <w:rPr>
                <w:rFonts w:ascii="Arial" w:cs="Arial" w:eastAsia="Arial" w:hAnsi="Arial"/>
                <w:sz w:val="17"/>
                <w:szCs w:val="17"/>
                <w:color w:val="auto"/>
                <w:w w:val="92"/>
              </w:rPr>
              <w:t>0.0%</w:t>
            </w: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280" w:type="dxa"/>
            <w:vAlign w:val="bottom"/>
          </w:tcPr>
          <w:p>
            <w:pPr>
              <w:jc w:val="center"/>
              <w:ind w:left="596"/>
              <w:spacing w:after="0"/>
              <w:rPr>
                <w:sz w:val="20"/>
                <w:szCs w:val="20"/>
                <w:color w:val="auto"/>
              </w:rPr>
            </w:pPr>
            <w:r>
              <w:rPr>
                <w:rFonts w:ascii="Arial" w:cs="Arial" w:eastAsia="Arial" w:hAnsi="Arial"/>
                <w:sz w:val="17"/>
                <w:szCs w:val="17"/>
                <w:color w:val="auto"/>
                <w:w w:val="91"/>
              </w:rPr>
              <w:t>3.60%</w:t>
            </w: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1.62%</w:t>
            </w:r>
          </w:p>
        </w:tc>
        <w:tc>
          <w:tcPr>
            <w:tcW w:w="1020" w:type="dxa"/>
            <w:vAlign w:val="bottom"/>
          </w:tcPr>
          <w:p>
            <w:pPr>
              <w:ind w:left="20"/>
              <w:spacing w:after="0"/>
              <w:rPr>
                <w:sz w:val="20"/>
                <w:szCs w:val="20"/>
                <w:color w:val="auto"/>
              </w:rPr>
            </w:pPr>
            <w:r>
              <w:rPr>
                <w:rFonts w:ascii="Arial" w:cs="Arial" w:eastAsia="Arial" w:hAnsi="Arial"/>
                <w:sz w:val="17"/>
                <w:szCs w:val="17"/>
                <w:color w:val="auto"/>
              </w:rPr>
              <w:t>- 2.10%</w:t>
            </w: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280" w:type="dxa"/>
            <w:vAlign w:val="bottom"/>
            <w:shd w:val="clear" w:color="auto" w:fill="CCEEFF"/>
          </w:tcPr>
          <w:p>
            <w:pPr>
              <w:jc w:val="center"/>
              <w:ind w:left="596"/>
              <w:spacing w:after="0"/>
              <w:rPr>
                <w:sz w:val="20"/>
                <w:szCs w:val="20"/>
                <w:color w:val="auto"/>
              </w:rPr>
            </w:pPr>
            <w:r>
              <w:rPr>
                <w:rFonts w:ascii="Arial" w:cs="Arial" w:eastAsia="Arial" w:hAnsi="Arial"/>
                <w:sz w:val="17"/>
                <w:szCs w:val="17"/>
                <w:color w:val="0E32E1"/>
                <w:w w:val="84"/>
              </w:rPr>
              <w:t>5</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834"/>
              <w:spacing w:after="0"/>
              <w:rPr>
                <w:sz w:val="20"/>
                <w:szCs w:val="20"/>
                <w:color w:val="auto"/>
              </w:rPr>
            </w:pPr>
            <w:r>
              <w:rPr>
                <w:rFonts w:ascii="Arial" w:cs="Arial" w:eastAsia="Arial" w:hAnsi="Arial"/>
                <w:sz w:val="17"/>
                <w:szCs w:val="17"/>
                <w:color w:val="auto"/>
              </w:rPr>
              <w:t>5</w:t>
            </w: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Historical volatility</w:t>
            </w:r>
          </w:p>
        </w:tc>
        <w:tc>
          <w:tcPr>
            <w:tcW w:w="1280" w:type="dxa"/>
            <w:vAlign w:val="bottom"/>
          </w:tcPr>
          <w:p>
            <w:pPr>
              <w:jc w:val="center"/>
              <w:ind w:left="596"/>
              <w:spacing w:after="0"/>
              <w:rPr>
                <w:sz w:val="20"/>
                <w:szCs w:val="20"/>
                <w:color w:val="auto"/>
              </w:rPr>
            </w:pPr>
            <w:r>
              <w:rPr>
                <w:rFonts w:ascii="Arial" w:cs="Arial" w:eastAsia="Arial" w:hAnsi="Arial"/>
                <w:sz w:val="17"/>
                <w:szCs w:val="17"/>
                <w:color w:val="auto"/>
                <w:w w:val="90"/>
              </w:rPr>
              <w:t>65.17%</w:t>
            </w: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53.87%</w:t>
            </w:r>
          </w:p>
        </w:tc>
        <w:tc>
          <w:tcPr>
            <w:tcW w:w="1020" w:type="dxa"/>
            <w:vAlign w:val="bottom"/>
          </w:tcPr>
          <w:p>
            <w:pPr>
              <w:ind w:left="20"/>
              <w:spacing w:after="0"/>
              <w:rPr>
                <w:sz w:val="20"/>
                <w:szCs w:val="20"/>
                <w:color w:val="auto"/>
              </w:rPr>
            </w:pPr>
            <w:r>
              <w:rPr>
                <w:rFonts w:ascii="Arial" w:cs="Arial" w:eastAsia="Arial" w:hAnsi="Arial"/>
                <w:sz w:val="17"/>
                <w:szCs w:val="17"/>
                <w:color w:val="auto"/>
              </w:rPr>
              <w:t>- 57.14%</w:t>
            </w: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125" w:lineRule="exact"/>
        <w:rPr>
          <w:sz w:val="20"/>
          <w:szCs w:val="20"/>
          <w:color w:val="auto"/>
        </w:rPr>
      </w:pPr>
    </w:p>
    <w:p>
      <w:pPr>
        <w:ind w:left="1080" w:hanging="303"/>
        <w:spacing w:after="0"/>
        <w:tabs>
          <w:tab w:leader="none" w:pos="108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The Company uses 0% as it has never issued dividends and does not anticipate issuing dividends in the near term.</w:t>
      </w:r>
    </w:p>
    <w:p>
      <w:pPr>
        <w:spacing w:after="0" w:line="113" w:lineRule="exact"/>
        <w:rPr>
          <w:rFonts w:ascii="Arial" w:cs="Arial" w:eastAsia="Arial" w:hAnsi="Arial"/>
          <w:sz w:val="17"/>
          <w:szCs w:val="17"/>
          <w:i w:val="1"/>
          <w:iCs w:val="1"/>
          <w:color w:val="auto"/>
        </w:rPr>
      </w:pPr>
    </w:p>
    <w:p>
      <w:pPr>
        <w:ind w:left="1080" w:hanging="303"/>
        <w:spacing w:after="0" w:line="27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 </w:t>
      </w:r>
      <w:r>
        <w:rPr>
          <w:rFonts w:ascii="Arial" w:cs="Arial" w:eastAsia="Arial" w:hAnsi="Arial"/>
          <w:sz w:val="17"/>
          <w:szCs w:val="17"/>
          <w:color w:val="auto"/>
        </w:rPr>
        <w:t>The Company uses the market yield on U.S. Treasury securities at 5 years with constant maturity, representing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life of stock options in years.</w:t>
      </w:r>
    </w:p>
    <w:p>
      <w:pPr>
        <w:spacing w:after="0" w:line="61" w:lineRule="exact"/>
        <w:rPr>
          <w:rFonts w:ascii="Arial" w:cs="Arial" w:eastAsia="Arial" w:hAnsi="Arial"/>
          <w:sz w:val="17"/>
          <w:szCs w:val="17"/>
          <w:color w:val="auto"/>
        </w:rPr>
      </w:pPr>
    </w:p>
    <w:p>
      <w:pPr>
        <w:ind w:left="1080" w:hanging="303"/>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 </w:t>
      </w:r>
      <w:r>
        <w:rPr>
          <w:rFonts w:ascii="Arial" w:cs="Arial" w:eastAsia="Arial" w:hAnsi="Arial"/>
          <w:sz w:val="17"/>
          <w:szCs w:val="17"/>
          <w:color w:val="auto"/>
        </w:rPr>
        <w:t>The Company uses historical data to estimate the expected life of a stock option.</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Historical volatility – </w:t>
      </w:r>
      <w:r>
        <w:rPr>
          <w:rFonts w:ascii="Arial" w:cs="Arial" w:eastAsia="Arial" w:hAnsi="Arial"/>
          <w:sz w:val="17"/>
          <w:szCs w:val="17"/>
          <w:color w:val="auto"/>
        </w:rPr>
        <w:t>The Company uses a trailing five year from grant date to determine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2" w:name="page33"/>
    <w:bookmarkEnd w:id="32"/>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 and Performance-Vesting Restricted Stock Unit Activity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RSUs and PRSUs activity and weighted average exercise prices follows:</w:t>
      </w:r>
    </w:p>
    <w:p>
      <w:pPr>
        <w:spacing w:after="0" w:line="151"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5"/>
                <w:szCs w:val="15"/>
                <w:b w:val="1"/>
                <w:bCs w:val="1"/>
                <w:color w:val="auto"/>
              </w:rPr>
              <w:t>Restricted Stock Unit Activity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60" w:type="dxa"/>
            <w:vAlign w:val="bottom"/>
          </w:tcPr>
          <w:p>
            <w:pPr>
              <w:spacing w:after="0"/>
              <w:rPr>
                <w:sz w:val="13"/>
                <w:szCs w:val="13"/>
                <w:color w:val="auto"/>
              </w:rPr>
            </w:pPr>
          </w:p>
        </w:tc>
        <w:tc>
          <w:tcPr>
            <w:tcW w:w="1700" w:type="dxa"/>
            <w:vAlign w:val="bottom"/>
            <w:vMerge w:val="restart"/>
          </w:tcPr>
          <w:p>
            <w:pPr>
              <w:jc w:val="right"/>
              <w:ind w:right="17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ind w:right="16"/>
              <w:spacing w:after="0" w:line="151" w:lineRule="exact"/>
              <w:rPr>
                <w:sz w:val="20"/>
                <w:szCs w:val="20"/>
                <w:color w:val="auto"/>
              </w:rPr>
            </w:pPr>
            <w:r>
              <w:rPr>
                <w:rFonts w:ascii="Arial" w:cs="Arial" w:eastAsia="Arial" w:hAnsi="Arial"/>
                <w:sz w:val="15"/>
                <w:szCs w:val="15"/>
                <w:b w:val="1"/>
                <w:bCs w:val="1"/>
                <w:color w:val="auto"/>
                <w:w w:val="90"/>
              </w:rPr>
              <w:t>Weighted Average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w w:val="91"/>
              </w:rPr>
              <w:t>Aggregate Fair Value</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right="36"/>
              <w:spacing w:after="0"/>
              <w:rPr>
                <w:sz w:val="20"/>
                <w:szCs w:val="20"/>
                <w:color w:val="auto"/>
              </w:rPr>
            </w:pPr>
            <w:r>
              <w:rPr>
                <w:rFonts w:ascii="Arial" w:cs="Arial" w:eastAsia="Arial" w:hAnsi="Arial"/>
                <w:sz w:val="15"/>
                <w:szCs w:val="15"/>
                <w:b w:val="1"/>
                <w:bCs w:val="1"/>
                <w:color w:val="auto"/>
                <w:w w:val="96"/>
              </w:rPr>
              <w:t>Grant Date Fair Value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6"/>
                <w:szCs w:val="16"/>
                <w:color w:val="auto"/>
              </w:rPr>
              <w:t>(In thousands)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6"/>
                <w:szCs w:val="16"/>
                <w:color w:val="auto"/>
                <w:w w:val="87"/>
              </w:rPr>
              <w:t>(Per share)</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60" w:type="dxa"/>
            <w:vAlign w:val="bottom"/>
          </w:tcPr>
          <w:p>
            <w:pPr>
              <w:ind w:left="20"/>
              <w:spacing w:after="0"/>
              <w:rPr>
                <w:sz w:val="20"/>
                <w:szCs w:val="20"/>
                <w:color w:val="auto"/>
              </w:rPr>
            </w:pPr>
            <w:r>
              <w:rPr>
                <w:rFonts w:ascii="Arial" w:cs="Arial" w:eastAsia="Arial" w:hAnsi="Arial"/>
                <w:sz w:val="17"/>
                <w:szCs w:val="17"/>
                <w:color w:val="auto"/>
              </w:rPr>
              <w:t>Balance outstanding at December 31, 2022</w:t>
            </w:r>
          </w:p>
        </w:tc>
        <w:tc>
          <w:tcPr>
            <w:tcW w:w="1700" w:type="dxa"/>
            <w:vAlign w:val="bottom"/>
          </w:tcPr>
          <w:p>
            <w:pPr>
              <w:jc w:val="right"/>
              <w:spacing w:after="0"/>
              <w:rPr>
                <w:sz w:val="20"/>
                <w:szCs w:val="20"/>
                <w:color w:val="auto"/>
              </w:rPr>
            </w:pPr>
            <w:r>
              <w:rPr>
                <w:rFonts w:ascii="Arial" w:cs="Arial" w:eastAsia="Arial" w:hAnsi="Arial"/>
                <w:sz w:val="17"/>
                <w:szCs w:val="17"/>
                <w:color w:val="auto"/>
              </w:rPr>
              <w:t>5,235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25.42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Awarded</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660" w:type="dxa"/>
            <w:vAlign w:val="bottom"/>
          </w:tcPr>
          <w:p>
            <w:pPr>
              <w:ind w:left="120"/>
              <w:spacing w:after="0"/>
              <w:rPr>
                <w:sz w:val="20"/>
                <w:szCs w:val="20"/>
                <w:color w:val="auto"/>
              </w:rPr>
            </w:pPr>
            <w:r>
              <w:rPr>
                <w:rFonts w:ascii="Arial" w:cs="Arial" w:eastAsia="Arial" w:hAnsi="Arial"/>
                <w:sz w:val="17"/>
                <w:szCs w:val="17"/>
                <w:color w:val="auto"/>
              </w:rPr>
              <w:t>Vested</w:t>
            </w:r>
          </w:p>
        </w:tc>
        <w:tc>
          <w:tcPr>
            <w:tcW w:w="170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tcPr>
          <w:p>
            <w:pPr>
              <w:ind w:left="20"/>
              <w:spacing w:after="0"/>
              <w:rPr>
                <w:sz w:val="20"/>
                <w:szCs w:val="20"/>
                <w:color w:val="auto"/>
              </w:rPr>
            </w:pPr>
            <w:r>
              <w:rPr>
                <w:rFonts w:ascii="Arial" w:cs="Arial" w:eastAsia="Arial" w:hAnsi="Arial"/>
                <w:sz w:val="17"/>
                <w:szCs w:val="17"/>
                <w:color w:val="auto"/>
              </w:rPr>
              <w:t>Non-vested and outstanding at March 31, 2023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to vest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RSUs granted to employees generally vest over a three to four-year period or upon achievement of certain performance conditions. As of March 31, 2023, total unrecognized compensation cost, adjusted for estimated forfeitures, related to nonvested RSUs and PRSUs was approximately $82.1 million and the weighted-average remaining vesting period was 2.1 years.</w:t>
      </w:r>
    </w:p>
    <w:p>
      <w:pPr>
        <w:spacing w:after="0" w:line="201" w:lineRule="exact"/>
        <w:rPr>
          <w:sz w:val="20"/>
          <w:szCs w:val="20"/>
          <w:color w:val="auto"/>
        </w:rPr>
      </w:pPr>
    </w:p>
    <w:p>
      <w:pPr>
        <w:jc w:val="both"/>
        <w:ind w:right="100" w:firstLine="619"/>
        <w:spacing w:after="0" w:line="318" w:lineRule="auto"/>
        <w:rPr>
          <w:sz w:val="20"/>
          <w:szCs w:val="20"/>
          <w:color w:val="auto"/>
        </w:rPr>
      </w:pPr>
      <w:r>
        <w:rPr>
          <w:rFonts w:ascii="Arial" w:cs="Arial" w:eastAsia="Arial" w:hAnsi="Arial"/>
          <w:sz w:val="15"/>
          <w:szCs w:val="15"/>
          <w:color w:val="auto"/>
        </w:rPr>
        <w:t>For the three months ended March 31, 2023 and 2022, the Company accrued approximately $1.6 million and $7.1 million in cash awards, respectively, to be settled in shares of the Company’s stock and recorded a corresponding expense, which is included as a component of stock-based compensation expense in the accompanying condensed consolidated statements of operations for the three months ended March 31, 2023 and 2022, respectively.</w:t>
      </w:r>
    </w:p>
    <w:p>
      <w:pPr>
        <w:spacing w:after="0" w:line="165"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Stock-based compensation expense recognized in the Company’s condensed consolidated statements of operations and cash flows was $11.3 million and $31.9 million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Restructuring</w:t>
      </w:r>
    </w:p>
    <w:p>
      <w:pPr>
        <w:spacing w:after="0" w:line="249" w:lineRule="exact"/>
        <w:rPr>
          <w:sz w:val="20"/>
          <w:szCs w:val="20"/>
          <w:color w:val="auto"/>
        </w:rPr>
      </w:pPr>
    </w:p>
    <w:p>
      <w:pPr>
        <w:jc w:val="both"/>
        <w:ind w:right="100" w:firstLine="619"/>
        <w:spacing w:after="0" w:line="275" w:lineRule="auto"/>
        <w:rPr>
          <w:sz w:val="20"/>
          <w:szCs w:val="20"/>
          <w:color w:val="auto"/>
        </w:rPr>
      </w:pPr>
      <w:r>
        <w:rPr>
          <w:rFonts w:ascii="Arial" w:cs="Arial" w:eastAsia="Arial" w:hAnsi="Arial"/>
          <w:sz w:val="16"/>
          <w:szCs w:val="16"/>
          <w:color w:val="auto"/>
        </w:rPr>
        <w:t>During the second quarter of 2022, LivePerson began a restructuring initiative to realign the Company’s cost structure to better reflect significant product and business model innovation and changes over the past year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The Company believes these initiatives will better align resources to provide further operating flexibility and position the business for long-term success. In connection with the restructuring initiatives, the Company recognized restructuring costs of $11.5 million during the three months ended March 31, 2023 which is included in restructuring costs in the accompanying condensed consolidated statements of operations. The majority of these costs relate to the Company’s Business segment. Such costs primarily include severance and other compensation costs. There were no expenses associated with these restructuring events during the three months ended March 31, 2022.</w:t>
      </w:r>
    </w:p>
    <w:p>
      <w:pPr>
        <w:spacing w:after="0" w:line="196"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following table presents the detail of the liability for the Company’s restructuring charges, which is included within accrued expenses and other current liabilities within the accompanying consolidated balance sheet,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33" w:name="page34"/>
    <w:bookmarkEnd w:id="33"/>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w:t>
      </w:r>
    </w:p>
    <w:p>
      <w:pPr>
        <w:spacing w:after="0" w:line="13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37"/>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7"/>
              <w:spacing w:after="0"/>
              <w:rPr>
                <w:sz w:val="20"/>
                <w:szCs w:val="20"/>
                <w:color w:val="auto"/>
              </w:rPr>
            </w:pPr>
            <w:r>
              <w:rPr>
                <w:rFonts w:ascii="Arial" w:cs="Arial" w:eastAsia="Arial" w:hAnsi="Arial"/>
                <w:sz w:val="15"/>
                <w:szCs w:val="15"/>
                <w:b w:val="1"/>
                <w:bCs w:val="1"/>
                <w:color w:val="auto"/>
              </w:rPr>
              <w:t>December 31,</w:t>
            </w:r>
          </w:p>
        </w:tc>
      </w:tr>
      <w:tr>
        <w:trPr>
          <w:trHeight w:val="204"/>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2022</w:t>
            </w:r>
          </w:p>
        </w:tc>
      </w:tr>
      <w:tr>
        <w:trPr>
          <w:trHeight w:val="208"/>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997"/>
              <w:spacing w:after="0"/>
              <w:rPr>
                <w:sz w:val="20"/>
                <w:szCs w:val="20"/>
                <w:color w:val="auto"/>
              </w:rPr>
            </w:pPr>
            <w:r>
              <w:rPr>
                <w:rFonts w:ascii="Arial" w:cs="Arial" w:eastAsia="Arial" w:hAnsi="Arial"/>
                <w:sz w:val="16"/>
                <w:szCs w:val="16"/>
                <w:color w:val="auto"/>
              </w:rPr>
              <w:t>(In thousands)</w:t>
            </w:r>
          </w:p>
        </w:tc>
      </w:tr>
      <w:tr>
        <w:trPr>
          <w:trHeight w:val="225"/>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the year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r>
      <w:tr>
        <w:trPr>
          <w:trHeight w:val="225"/>
        </w:trPr>
        <w:tc>
          <w:tcPr>
            <w:tcW w:w="7720" w:type="dxa"/>
            <w:vAlign w:val="bottom"/>
          </w:tcPr>
          <w:p>
            <w:pPr>
              <w:ind w:left="220"/>
              <w:spacing w:after="0"/>
              <w:rPr>
                <w:sz w:val="20"/>
                <w:szCs w:val="20"/>
                <w:color w:val="auto"/>
              </w:rPr>
            </w:pPr>
            <w:r>
              <w:rPr>
                <w:rFonts w:ascii="Arial" w:cs="Arial" w:eastAsia="Arial" w:hAnsi="Arial"/>
                <w:sz w:val="17"/>
                <w:szCs w:val="17"/>
                <w:color w:val="auto"/>
              </w:rPr>
              <w:t>Lease restructuring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442</w:t>
            </w:r>
          </w:p>
        </w:tc>
      </w:tr>
      <w:tr>
        <w:trPr>
          <w:trHeight w:val="226"/>
        </w:trPr>
        <w:tc>
          <w:tcPr>
            <w:tcW w:w="7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Severance and other compensation associated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19,525</w:t>
            </w:r>
          </w:p>
        </w:tc>
      </w:tr>
      <w:tr>
        <w:trPr>
          <w:trHeight w:val="219"/>
        </w:trPr>
        <w:tc>
          <w:tcPr>
            <w:tcW w:w="7720" w:type="dxa"/>
            <w:vAlign w:val="bottom"/>
          </w:tcPr>
          <w:p>
            <w:pPr>
              <w:ind w:left="220"/>
              <w:spacing w:after="0"/>
              <w:rPr>
                <w:sz w:val="20"/>
                <w:szCs w:val="20"/>
                <w:color w:val="auto"/>
              </w:rPr>
            </w:pPr>
            <w:r>
              <w:rPr>
                <w:rFonts w:ascii="Arial" w:cs="Arial" w:eastAsia="Arial" w:hAnsi="Arial"/>
                <w:sz w:val="17"/>
                <w:szCs w:val="17"/>
                <w:color w:val="auto"/>
              </w:rPr>
              <w:t>Cash payments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(20,858)</w:t>
            </w:r>
          </w:p>
        </w:tc>
      </w:tr>
      <w:tr>
        <w:trPr>
          <w:trHeight w:val="245"/>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 Company anticipates that payments associated with the employee severance and other compensation associated costs reflected in the table above will be substantially completed by December 31, 2023.</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three months ended March 31, 2023:</w:t>
      </w: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7880" w:type="dxa"/>
            <w:vAlign w:val="bottom"/>
          </w:tcPr>
          <w:p>
            <w:pPr>
              <w:spacing w:after="0"/>
              <w:rPr>
                <w:sz w:val="17"/>
                <w:szCs w:val="17"/>
                <w:color w:val="auto"/>
              </w:rPr>
            </w:pPr>
          </w:p>
        </w:tc>
        <w:tc>
          <w:tcPr>
            <w:tcW w:w="2700" w:type="dxa"/>
            <w:vAlign w:val="bottom"/>
            <w:gridSpan w:val="4"/>
          </w:tcPr>
          <w:p>
            <w:pPr>
              <w:jc w:val="center"/>
              <w:ind w:left="384"/>
              <w:spacing w:after="0"/>
              <w:rPr>
                <w:sz w:val="20"/>
                <w:szCs w:val="20"/>
                <w:color w:val="auto"/>
              </w:rPr>
            </w:pPr>
            <w:r>
              <w:rPr>
                <w:rFonts w:ascii="Arial" w:cs="Arial" w:eastAsia="Arial" w:hAnsi="Arial"/>
                <w:sz w:val="15"/>
                <w:szCs w:val="15"/>
                <w:b w:val="1"/>
                <w:bCs w:val="1"/>
                <w:color w:val="auto"/>
                <w:w w:val="94"/>
              </w:rPr>
              <w:t>Three Months Ended</w:t>
            </w:r>
          </w:p>
        </w:tc>
        <w:tc>
          <w:tcPr>
            <w:tcW w:w="460" w:type="dxa"/>
            <w:vAlign w:val="bottom"/>
          </w:tcPr>
          <w:p>
            <w:pPr>
              <w:spacing w:after="0"/>
              <w:rPr>
                <w:sz w:val="17"/>
                <w:szCs w:val="17"/>
                <w:color w:val="auto"/>
              </w:rPr>
            </w:pPr>
          </w:p>
        </w:tc>
      </w:tr>
      <w:tr>
        <w:trPr>
          <w:trHeight w:val="209"/>
        </w:trPr>
        <w:tc>
          <w:tcPr>
            <w:tcW w:w="7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5"/>
                <w:szCs w:val="15"/>
                <w:b w:val="1"/>
                <w:bCs w:val="1"/>
                <w:color w:val="auto"/>
                <w:w w:val="98"/>
              </w:rPr>
              <w:t>March 31,</w:t>
            </w:r>
          </w:p>
        </w:tc>
        <w:tc>
          <w:tcPr>
            <w:tcW w:w="460" w:type="dxa"/>
            <w:vAlign w:val="bottom"/>
            <w:tcBorders>
              <w:bottom w:val="single" w:sz="8" w:color="auto"/>
            </w:tcBorders>
          </w:tcPr>
          <w:p>
            <w:pPr>
              <w:spacing w:after="0"/>
              <w:rPr>
                <w:sz w:val="18"/>
                <w:szCs w:val="18"/>
                <w:color w:val="auto"/>
              </w:rPr>
            </w:pPr>
          </w:p>
        </w:tc>
      </w:tr>
      <w:tr>
        <w:trPr>
          <w:trHeight w:val="200"/>
        </w:trPr>
        <w:tc>
          <w:tcPr>
            <w:tcW w:w="78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tcBorders>
          </w:tcPr>
          <w:p>
            <w:pPr>
              <w:spacing w:after="0"/>
              <w:rPr>
                <w:sz w:val="17"/>
                <w:szCs w:val="17"/>
                <w:color w:val="auto"/>
              </w:rPr>
            </w:pPr>
          </w:p>
        </w:tc>
      </w:tr>
      <w:tr>
        <w:trPr>
          <w:trHeight w:val="220"/>
        </w:trPr>
        <w:tc>
          <w:tcPr>
            <w:tcW w:w="7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60" w:type="dxa"/>
            <w:vAlign w:val="bottom"/>
            <w:gridSpan w:val="3"/>
          </w:tcPr>
          <w:p>
            <w:pPr>
              <w:jc w:val="center"/>
              <w:ind w:right="500"/>
              <w:spacing w:after="0"/>
              <w:rPr>
                <w:sz w:val="20"/>
                <w:szCs w:val="20"/>
                <w:color w:val="auto"/>
              </w:rPr>
            </w:pPr>
            <w:r>
              <w:rPr>
                <w:rFonts w:ascii="Arial" w:cs="Arial" w:eastAsia="Arial" w:hAnsi="Arial"/>
                <w:sz w:val="17"/>
                <w:szCs w:val="17"/>
                <w:color w:val="auto"/>
                <w:w w:val="90"/>
              </w:rPr>
              <w:t>(In thousands)</w:t>
            </w:r>
          </w:p>
        </w:tc>
        <w:tc>
          <w:tcPr>
            <w:tcW w:w="460" w:type="dxa"/>
            <w:vAlign w:val="bottom"/>
          </w:tcPr>
          <w:p>
            <w:pPr>
              <w:spacing w:after="0"/>
              <w:rPr>
                <w:sz w:val="19"/>
                <w:szCs w:val="19"/>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Other lease restructuring costs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18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460" w:type="dxa"/>
            <w:vAlign w:val="bottom"/>
          </w:tcPr>
          <w:p>
            <w:pPr>
              <w:jc w:val="center"/>
              <w:ind w:left="54"/>
              <w:spacing w:after="0"/>
              <w:rPr>
                <w:sz w:val="20"/>
                <w:szCs w:val="20"/>
                <w:color w:val="auto"/>
              </w:rPr>
            </w:pPr>
            <w:r>
              <w:rPr>
                <w:rFonts w:ascii="Arial" w:cs="Arial" w:eastAsia="Arial" w:hAnsi="Arial"/>
                <w:sz w:val="17"/>
                <w:szCs w:val="17"/>
                <w:color w:val="auto"/>
                <w:w w:val="92"/>
              </w:rPr>
              <w:t>(23)</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restructuring costs</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center"/>
              <w:ind w:left="54"/>
              <w:spacing w:after="0"/>
              <w:rPr>
                <w:sz w:val="20"/>
                <w:szCs w:val="20"/>
                <w:color w:val="auto"/>
              </w:rPr>
            </w:pPr>
            <w:r>
              <w:rPr>
                <w:rFonts w:ascii="Arial" w:cs="Arial" w:eastAsia="Arial" w:hAnsi="Arial"/>
                <w:sz w:val="17"/>
                <w:szCs w:val="17"/>
                <w:color w:val="auto"/>
                <w:w w:val="92"/>
              </w:rPr>
              <w:t>(23)</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Severance and other compensation associated costs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11,514</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rPr>
              <w:t>—</w:t>
            </w:r>
          </w:p>
        </w:tc>
      </w:tr>
      <w:tr>
        <w:trPr>
          <w:trHeight w:val="233"/>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restructuring costs</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11,515</w:t>
            </w:r>
          </w:p>
        </w:tc>
        <w:tc>
          <w:tcPr>
            <w:tcW w:w="118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2"/>
              </w:rPr>
              <w:t>(23)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Legal Matters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Putative Class Action</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On April 24, 2023, a putative stockholder class action entitled Straub v. LivePerson, Inc., No. 1:23-cv-03078, was filed under the federal securities laws against the Company, its Chief Executive Officer, and Chief Financial Officer in the United States District Court for the Eastern District of New York. The complaint alleges that in violation of Section 10(b) of the Securities Exchange Act of 1934, the Company made false and misleading statements in its Form 10-Q filings and forecasts for the first, second, and third quarters of fiscal year 2022 pointing to the Company’s subsequent disclosures regarding the adequacy and effectiveness of its internal controls over financial reporting, and regarding the fourth quarter financial performance of the Company’s WildHealth subsidiary and seeks to recover unspecified damages through the time of the Company’s filing of its annual report on Form 10-K on March 16, 2023. On May 1, 2023, a similar putative stockholder class action entitled Weissbrod v. LivePerson, Inc., was filed in the District Court of Tel Aviv, Israel on behalf of Company stockholders who traded Company shares on the Tel Aviv Stock Exchange following the issuance of the 10-Qs for the first, second and third quarters of fiscal year 2022. The Weissbrod complaint asserts claims under the U.S. federal securities law similar to those asserted in the Straub case and seeks unspecified damages. Both lawsuits also claim that the Company’s executives are liable as control persons for the Company’s alleged misstatements. The Company believes these claims are without merit and intends to vigorously defend itself and its executives in both proceedings.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[24]7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4" w:name="page35"/>
    <w:bookmarkEnd w:id="34"/>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filed an intellectual property suit (the “Company IP Suit”) against [24]7 Customer, Inc. (“[24]7”) on March 6, 2014. On June 22, 2015, and December 7, 2015, [24]7 filed separate countersuits (together, the “Countersuits”) against the Company in the Northern District of California (the “Court”) alleging patent infringement. The trial with respect to the Company IP Suit occurred on May 24, 2021, with respect to the Company’s first set of intellectual property claims, and the jury awarded approximately $30.3 million in favor of the Company. The Company and [24]7 subsequently reached an agreement on the terms of a permanent injunction and that additional costs were owed to the Company in the amount of $0.4 million. On July 28, 2022, the Court granted the Company’s motion for interest, awarding an additional approximately $4.3 million. In August 2022, 24[7] appealed the judgment in favor of the Company with respect to the Company IP Suit. In addition, a trial to adjudicate the Countersuits has been set for late 2023, and a trial with respect to the Company’s second set of intellectual property claims against [24]7 has been set for early 2024.</w:t>
      </w:r>
    </w:p>
    <w:p>
      <w:pPr>
        <w:spacing w:after="0" w:line="20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February 20, 2023, the Company and [24]7 entered into a binding Memorandum of Understanding (“MOU”) detailing the terms for settlement and resolution of all litigation matters between the parties. The terms of the resolution are confidential and provide for a settlement as well as entry into a commercial agreement between the parties. Dismissal with prejudice of all litigation matters between the parties is expected following the completion of the final documentation described in the MOU.</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COVID-Related Matters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inquires by Medicare, the Department of Justice and the U.S. Food and Drug Administration (“governmental agencies”).</w:t>
      </w:r>
    </w:p>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November 2022, a professional corporation managed by WildHealth received notice that Medicare reimbursements for its services rendered under a Medicare demonstration program related to COVID-19 testing (the “Program”) were suspended pending further review. Subsequently, WildHealth has received and is responding to inquiries from additional governmental agencies with respect to its participation in the Program.</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previously provided other products and services related to COVID-19 testing and accompanying software. Those COVID-19 related products and services have also been the subject of inquiry and pending review by governmental agencies.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5" w:name="page36"/>
    <w:bookmarkEnd w:id="35"/>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Income Taxes</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5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 includes interest accrued on the underpayment of income taxes in interest expense and penalties, if any, related to unrecognized tax benefits in general and administrative expenses. The Company recorded a valuation allowance against its U.S. and e-bot7 deferred tax assets as it considered its cumulative losses in recent years as a significant piece of negative evidence. Since valuation allowances are evaluated by jurisdiction, the Company believes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$80.5 million.</w:t>
      </w:r>
    </w:p>
    <w:p>
      <w:pPr>
        <w:spacing w:after="0" w:line="10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the three months ended March 31, 2023, the Company recorded a tax provision of $1.2 million. This amount consists of a tax provision of $0.3 million on operating earnings coupled with a stock compensation tax deficiency of $0.1 million related to stock compensation arrangements of LivePerson, LivePerson (UK) Ltd. and LivePerson Ltd. (Israel). During the quarter ended March 31, 2023, the Company sold Kasamba Inc and Kasamba LTD in a taxable transaction that resulted in a tax provision of $0.8 million related to an increase in valuation allowance on deferred tax assets resulting from a release of Kasamba’s deferred tax liabilities.</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The Company had a valuation allowance on certain deferred tax assets for the year ended December 31, 2022 of $187.5 million. Inherent in the Company’s 2023 annual effective tax rate is an estimated increase in the valuation allowance of $39.1 million, all of which will be recorded as an expense. During 2022, an increase in the valuation allowance in the amount of $38.8 million was recorded as an expense and an additional increase to the valuation allowance of $0.5 million was recorded to goodwill against acquired federal and state net operating losses and due to the adoption of ASU 2020-06, </w:t>
      </w:r>
      <w:r>
        <w:rPr>
          <w:rFonts w:ascii="Arial" w:cs="Arial" w:eastAsia="Arial" w:hAnsi="Arial"/>
          <w:sz w:val="17"/>
          <w:szCs w:val="17"/>
          <w:i w:val="1"/>
          <w:iCs w:val="1"/>
          <w:color w:val="auto"/>
        </w:rPr>
        <w:t>Accounting for 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and Contracts in an Entity’s Own Equity</w:t>
      </w:r>
      <w:r>
        <w:rPr>
          <w:rFonts w:ascii="Arial" w:cs="Arial" w:eastAsia="Arial" w:hAnsi="Arial"/>
          <w:sz w:val="17"/>
          <w:szCs w:val="17"/>
          <w:color w:val="auto"/>
        </w:rPr>
        <w:t>, the Company recorded an increase of the valuation allowance to other comprehensive income of</w:t>
      </w:r>
      <w:r>
        <w:rPr>
          <w:rFonts w:ascii="Arial" w:cs="Arial" w:eastAsia="Arial" w:hAnsi="Arial"/>
          <w:sz w:val="17"/>
          <w:szCs w:val="17"/>
          <w:i w:val="1"/>
          <w:iCs w:val="1"/>
          <w:color w:val="auto"/>
        </w:rPr>
        <w:t xml:space="preserve"> </w:t>
      </w:r>
      <w:r>
        <w:rPr>
          <w:rFonts w:ascii="Arial" w:cs="Arial" w:eastAsia="Arial" w:hAnsi="Arial"/>
          <w:sz w:val="17"/>
          <w:szCs w:val="17"/>
          <w:color w:val="auto"/>
        </w:rPr>
        <w:t>$41.2 million.</w:t>
      </w:r>
    </w:p>
    <w:p>
      <w:pPr>
        <w:spacing w:after="0" w:line="11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currently do not expect the tax-related provisions of the IRA to have a material impact on our financial results.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Equity Method Investment</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On February 13, 2022, the Company and Pasaca Capital Inc. (“Pasaca”) entered into a joint venture agreement (the “JV Agreement”) to form Claire, a joint venture to build, create, and administer a marketplace for health and well-being diagnostic testing. Claire is intended to operate an app store-like platform to make medical testing and accessing results easier and more informative. Claire is being developed with the goal of creating a single place to shop for testing services from numerous testing providers, including Claire-branded tests and at-home tests.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As of March 31, 2023, $9.1 million remained to be contributed to Claire by the Company under the terms of the JV Agreement. The Company accounts for its 19.2% interest in Claire using the equity method of accounting. The Company recorded its ownership percentage of losses of Claire in Other income (expense), net for $0.6 million for the three months ended March 31, 2023.</w:t>
      </w:r>
    </w:p>
    <w:p>
      <w:pPr>
        <w:spacing w:after="0" w:line="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31, 2023, the Company’s equity method investment was $1.6 million and was included in investment in joint venture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6" w:name="page37"/>
    <w:bookmarkEnd w:id="36"/>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Variable Interest Entities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prepares its condensed consolidated financial statements in accordance with ASC 810, which provides for the consolidation of VIEs of which the Company is the primary beneficiary.</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WildHealth consolidates the PCs as VIEs. The Company determined that the PCs are VIEs as WildHealth is the primary beneficiary of the PCs.</w:t>
      </w:r>
    </w:p>
    <w:p>
      <w:pPr>
        <w:spacing w:after="0" w:line="8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assets, liabilities, revenues, and operating results of the VIEs after elimination of intercompany transactions were not material as of and for the three months ended March 31, 2023.</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Related Parties</w:t>
      </w:r>
    </w:p>
    <w:p>
      <w:pPr>
        <w:spacing w:after="0" w:line="249"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Related parties are defined as entities related to the Company’s directors or main shareholders as well as equity method affiliates. The Company provides services to Claire, an equity method affiliate (refer to Note 17 – Equity Method Investment for additional information on the equity method affiliate) in exchange for fees through certain transition service agreements and commercial arrangements. In accordance with the agreement between the Company and Claire, the Company will be developing the Claire platform, host the platform in LivePerson’s cloud and perform professional services to support the development and hosting of the Claire platform. These services and the stated prices are set forth in the agreement. These agreements facilitate the operations of the newly formed company by allowing Claire to operate independently prior to establishing stand-alone back-office systems across its organization.</w:t>
      </w:r>
    </w:p>
    <w:p>
      <w:pPr>
        <w:spacing w:after="0" w:line="5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In connection with the JV Agreement, the Company entered into a transition services agreement with Claire, under which, the Company agreed to provide custom software development and managed services (Professional Services) in exchange for fees governed by the terms and conditions set forth in the Build-Out Services Agreement (the “Build-Out Services Agreement). The related fees are based on a percentage of completion of work as of January 1, 2022 through December 31, 2023. The Company also entered into commercial arrangements with Claire, which provide access to the Company’s Conversational Cloud Platform as hosting services and professional services in exchange for fees governed by the terms and conditions set forth in the Master Service Agreement (the “MSA”). In accordance with guidance under ASC 606, Claire is considered a customer of the Company and is expected to utilize its Conversational Cloud software and services in a manner similar to that of the Company’s customer base. Usage-based fees are invoiced in the aggregate in equal upfront quarterly installments beginning on January 1, 2023 and continuing through December 31, 2026. Contract terms may be extended by mutual written agreement of the parties but cannot be terminated earlier except as set forth in the Build-Out Services Agreement or MSA, as applicable.</w:t>
      </w:r>
    </w:p>
    <w:p>
      <w:pPr>
        <w:spacing w:after="0" w:line="6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Revenues for the services provided to related parties included in the Company’s condensed consolidated statements of operations were $3.8 million for three months ended March 31, 2023. There were no accounts receivable or deferred revenues for amounts billed to related parties as of March 31, 2023. Total unbilled invoices and account receivables were $4.8 million and $1.4 million as of December 31, 2022, respectively, and were included in the Company’s Consolidated Balance Sheet.</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Divestiture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the fourth quarter of 2022, the Company entered into a non-binding Letter of Intent to divest Kasamba, Inc. and Kasamba LTD (together “Kasamba”), which facilitates online transactions between Experts and Users seeking information and knowledge for a fee via mobile and online messaging. The Company determined that Kasamba met the criteria for classification as held for sale in accordance with ASC Subtopic 360-10, and the related net assets were separately presented in current assets and current liabilities as held for sale on the consolidated balance sheets as of December 31, 2022 and depreciation of long-lived assets ceased. Pursuant to ASC 205-20, the divestiture did not meet the criteria for presentation as a discontinued operation. Kasamba represented the Company’s Consumer segment.</w:t>
      </w:r>
    </w:p>
    <w:p>
      <w:pPr>
        <w:spacing w:after="0" w:line="196"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The Share Purchase Agreement between Ingenio, LLC (“Ingenio”) and the Company was executed and the transaction closed on March 20, 2023. In accordance with the Share Purchase Agreement, the Company sold all of the issued and outstanding shares of Kasamba subject to certain post-closing adjustments. Cash of $16.9 million was received upon closing,</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7" w:name="page38"/>
    <w:bookmarkEnd w:id="37"/>
    <w:p>
      <w:pPr>
        <w:jc w:val="center"/>
        <w:ind w:left="4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$2.6 million as a deferred payment is expected to be received within a year, and was included in prepaid expenses and other current assets on the Company’s consolidated balance sheets as of March 31, 2023. $11.8 million will be held in various escrow accounts for up to 15 months, and was included in restricted cash on the Company’s consolidated balance sheets as of March 31, 2023. The transaction resulted in a gain of $17.6 million, which was recorded in Other income, net on the Company’s consolidated statements of operations for the three months ended March 31, 2023.</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Major classes of assets and liabilities sold were as follows:</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As of March 20,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22225</wp:posOffset>
            </wp:positionV>
            <wp:extent cx="1097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 w:lineRule="exact"/>
        <w:rPr>
          <w:sz w:val="20"/>
          <w:szCs w:val="20"/>
          <w:color w:val="auto"/>
        </w:rPr>
      </w:pPr>
    </w:p>
    <w:p>
      <w:pPr>
        <w:ind w:left="10300"/>
        <w:spacing w:after="0"/>
        <w:rPr>
          <w:sz w:val="20"/>
          <w:szCs w:val="20"/>
          <w:color w:val="auto"/>
        </w:rPr>
      </w:pPr>
      <w:r>
        <w:rPr>
          <w:rFonts w:ascii="Arial" w:cs="Arial" w:eastAsia="Arial" w:hAnsi="Arial"/>
          <w:sz w:val="15"/>
          <w:szCs w:val="15"/>
          <w:color w:val="auto"/>
        </w:rPr>
        <w:t>(in thousands)</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720" w:type="dxa"/>
            <w:vAlign w:val="bottom"/>
            <w:shd w:val="clear" w:color="auto" w:fill="CCEEFF"/>
          </w:tcPr>
          <w:p>
            <w:pPr>
              <w:spacing w:after="0"/>
              <w:rPr>
                <w:sz w:val="17"/>
                <w:szCs w:val="17"/>
                <w:color w:val="auto"/>
              </w:rPr>
            </w:pP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Cash</w:t>
            </w:r>
          </w:p>
        </w:tc>
        <w:tc>
          <w:tcPr>
            <w:tcW w:w="1720" w:type="dxa"/>
            <w:vAlign w:val="bottom"/>
          </w:tcPr>
          <w:p>
            <w:pPr>
              <w:jc w:val="right"/>
              <w:ind w:right="1534"/>
              <w:spacing w:after="0"/>
              <w:rPr>
                <w:sz w:val="20"/>
                <w:szCs w:val="20"/>
                <w:color w:val="auto"/>
              </w:rPr>
            </w:pPr>
            <w:r>
              <w:rPr>
                <w:rFonts w:ascii="Arial" w:cs="Arial" w:eastAsia="Arial" w:hAnsi="Arial"/>
                <w:sz w:val="17"/>
                <w:szCs w:val="17"/>
                <w:color w:val="auto"/>
                <w:w w:val="84"/>
              </w:rPr>
              <w: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1720" w:type="dxa"/>
            <w:vAlign w:val="bottom"/>
            <w:shd w:val="clear" w:color="auto" w:fill="CCEEFF"/>
          </w:tcPr>
          <w:p>
            <w:pPr>
              <w:spacing w:after="0"/>
              <w:rPr>
                <w:sz w:val="19"/>
                <w:szCs w:val="19"/>
                <w:color w:val="auto"/>
              </w:rPr>
            </w:pPr>
          </w:p>
        </w:tc>
      </w:tr>
      <w:tr>
        <w:trPr>
          <w:trHeight w:val="218"/>
        </w:trPr>
        <w:tc>
          <w:tcPr>
            <w:tcW w:w="900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720" w:type="dxa"/>
            <w:vAlign w:val="bottom"/>
          </w:tcPr>
          <w:p>
            <w:pPr>
              <w:spacing w:after="0"/>
              <w:rPr>
                <w:sz w:val="18"/>
                <w:szCs w:val="18"/>
                <w:color w:val="auto"/>
              </w:rPr>
            </w:pPr>
          </w:p>
        </w:tc>
      </w:tr>
      <w:tr>
        <w:trPr>
          <w:trHeight w:val="23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720" w:type="dxa"/>
            <w:vAlign w:val="bottom"/>
            <w:shd w:val="clear" w:color="auto" w:fill="CCEEFF"/>
          </w:tcPr>
          <w:p>
            <w:pPr>
              <w:spacing w:after="0"/>
              <w:rPr>
                <w:sz w:val="20"/>
                <w:szCs w:val="20"/>
                <w:color w:val="auto"/>
              </w:rPr>
            </w:pPr>
          </w:p>
        </w:tc>
      </w:tr>
      <w:tr>
        <w:trPr>
          <w:trHeight w:val="218"/>
        </w:trPr>
        <w:tc>
          <w:tcPr>
            <w:tcW w:w="9000" w:type="dxa"/>
            <w:vAlign w:val="bottom"/>
          </w:tcPr>
          <w:p>
            <w:pPr>
              <w:ind w:left="20"/>
              <w:spacing w:after="0"/>
              <w:rPr>
                <w:sz w:val="20"/>
                <w:szCs w:val="20"/>
                <w:color w:val="auto"/>
              </w:rPr>
            </w:pPr>
            <w:r>
              <w:rPr>
                <w:rFonts w:ascii="Arial" w:cs="Arial" w:eastAsia="Arial" w:hAnsi="Arial"/>
                <w:sz w:val="17"/>
                <w:szCs w:val="17"/>
                <w:color w:val="auto"/>
              </w:rPr>
              <w:t>Goodwill</w:t>
            </w:r>
          </w:p>
        </w:tc>
        <w:tc>
          <w:tcPr>
            <w:tcW w:w="1720" w:type="dxa"/>
            <w:vAlign w:val="bottom"/>
          </w:tcPr>
          <w:p>
            <w:pPr>
              <w:spacing w:after="0"/>
              <w:rPr>
                <w:sz w:val="18"/>
                <w:szCs w:val="18"/>
                <w:color w:val="auto"/>
              </w:rPr>
            </w:pP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720" w:type="dxa"/>
            <w:vAlign w:val="bottom"/>
            <w:shd w:val="clear" w:color="auto" w:fill="CCEEFF"/>
          </w:tcPr>
          <w:p>
            <w:pPr>
              <w:spacing w:after="0"/>
              <w:rPr>
                <w:sz w:val="19"/>
                <w:szCs w:val="19"/>
                <w:color w:val="auto"/>
              </w:rPr>
            </w:pPr>
          </w:p>
        </w:tc>
      </w:tr>
      <w:tr>
        <w:trPr>
          <w:trHeight w:val="231"/>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720" w:type="dxa"/>
            <w:vAlign w:val="bottom"/>
            <w:tcBorders>
              <w:bottom w:val="single" w:sz="8" w:color="auto"/>
            </w:tcBorders>
          </w:tcPr>
          <w:p>
            <w:pPr>
              <w:spacing w:after="0"/>
              <w:rPr>
                <w:sz w:val="20"/>
                <w:szCs w:val="20"/>
                <w:color w:val="auto"/>
              </w:rPr>
            </w:pPr>
          </w:p>
        </w:tc>
      </w:tr>
      <w:tr>
        <w:trPr>
          <w:trHeight w:val="238"/>
        </w:trPr>
        <w:tc>
          <w:tcPr>
            <w:tcW w:w="9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 sold</w:t>
            </w:r>
          </w:p>
        </w:tc>
        <w:tc>
          <w:tcPr>
            <w:tcW w:w="1720" w:type="dxa"/>
            <w:vAlign w:val="bottom"/>
            <w:tcBorders>
              <w:bottom w:val="single" w:sz="8" w:color="auto"/>
            </w:tcBorders>
            <w:shd w:val="clear" w:color="auto" w:fill="CCEEFF"/>
          </w:tcPr>
          <w:p>
            <w:pPr>
              <w:jc w:val="right"/>
              <w:ind w:right="1534"/>
              <w:spacing w:after="0"/>
              <w:rPr>
                <w:sz w:val="20"/>
                <w:szCs w:val="20"/>
                <w:color w:val="auto"/>
              </w:rPr>
            </w:pPr>
            <w:r>
              <w:rPr>
                <w:rFonts w:ascii="Arial" w:cs="Arial" w:eastAsia="Arial" w:hAnsi="Arial"/>
                <w:sz w:val="17"/>
                <w:szCs w:val="17"/>
                <w:color w:val="auto"/>
                <w:w w:val="84"/>
              </w:rPr>
              <w:t>$</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0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720" w:type="dxa"/>
            <w:vAlign w:val="bottom"/>
            <w:shd w:val="clear" w:color="auto" w:fill="CCEEFF"/>
          </w:tcPr>
          <w:p>
            <w:pPr>
              <w:spacing w:after="0"/>
              <w:rPr>
                <w:sz w:val="19"/>
                <w:szCs w:val="19"/>
                <w:color w:val="auto"/>
              </w:rPr>
            </w:pP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720" w:type="dxa"/>
            <w:vAlign w:val="bottom"/>
          </w:tcPr>
          <w:p>
            <w:pPr>
              <w:jc w:val="right"/>
              <w:ind w:right="1534"/>
              <w:spacing w:after="0"/>
              <w:rPr>
                <w:sz w:val="20"/>
                <w:szCs w:val="20"/>
                <w:color w:val="auto"/>
              </w:rPr>
            </w:pPr>
            <w:r>
              <w:rPr>
                <w:rFonts w:ascii="Arial" w:cs="Arial" w:eastAsia="Arial" w:hAnsi="Arial"/>
                <w:sz w:val="17"/>
                <w:szCs w:val="17"/>
                <w:color w:val="auto"/>
                <w:w w:val="84"/>
              </w:rPr>
              <w: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720" w:type="dxa"/>
            <w:vAlign w:val="bottom"/>
            <w:shd w:val="clear" w:color="auto" w:fill="CCEEFF"/>
          </w:tcPr>
          <w:p>
            <w:pPr>
              <w:spacing w:after="0"/>
              <w:rPr>
                <w:sz w:val="19"/>
                <w:szCs w:val="19"/>
                <w:color w:val="auto"/>
              </w:rPr>
            </w:pPr>
          </w:p>
        </w:tc>
      </w:tr>
      <w:tr>
        <w:trPr>
          <w:trHeight w:val="218"/>
        </w:trPr>
        <w:tc>
          <w:tcPr>
            <w:tcW w:w="900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1720" w:type="dxa"/>
            <w:vAlign w:val="bottom"/>
          </w:tcPr>
          <w:p>
            <w:pPr>
              <w:spacing w:after="0"/>
              <w:rPr>
                <w:sz w:val="18"/>
                <w:szCs w:val="18"/>
                <w:color w:val="auto"/>
              </w:rPr>
            </w:pPr>
          </w:p>
        </w:tc>
      </w:tr>
      <w:tr>
        <w:trPr>
          <w:trHeight w:val="232"/>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720" w:type="dxa"/>
            <w:vAlign w:val="bottom"/>
            <w:tcBorders>
              <w:bottom w:val="single" w:sz="8" w:color="auto"/>
            </w:tcBorders>
            <w:shd w:val="clear" w:color="auto" w:fill="CCEEFF"/>
          </w:tcPr>
          <w:p>
            <w:pPr>
              <w:spacing w:after="0"/>
              <w:rPr>
                <w:sz w:val="20"/>
                <w:szCs w:val="20"/>
                <w:color w:val="auto"/>
              </w:rPr>
            </w:pPr>
          </w:p>
        </w:tc>
      </w:tr>
      <w:tr>
        <w:trPr>
          <w:trHeight w:val="213"/>
        </w:trPr>
        <w:tc>
          <w:tcPr>
            <w:tcW w:w="9000" w:type="dxa"/>
            <w:vAlign w:val="bottom"/>
          </w:tcPr>
          <w:p>
            <w:pPr>
              <w:ind w:left="740"/>
              <w:spacing w:after="0"/>
              <w:rPr>
                <w:sz w:val="20"/>
                <w:szCs w:val="20"/>
                <w:color w:val="auto"/>
              </w:rPr>
            </w:pPr>
            <w:r>
              <w:rPr>
                <w:rFonts w:ascii="Arial" w:cs="Arial" w:eastAsia="Arial" w:hAnsi="Arial"/>
                <w:sz w:val="17"/>
                <w:szCs w:val="17"/>
                <w:color w:val="auto"/>
              </w:rPr>
              <w:t>Total liabilities sold</w:t>
            </w:r>
          </w:p>
        </w:tc>
        <w:tc>
          <w:tcPr>
            <w:tcW w:w="172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color w:val="auto"/>
                <w:w w:val="84"/>
              </w:rPr>
              <w:t>$</w:t>
            </w:r>
          </w:p>
        </w:tc>
      </w:tr>
      <w:tr>
        <w:trPr>
          <w:trHeight w:val="20"/>
        </w:trPr>
        <w:tc>
          <w:tcPr>
            <w:tcW w:w="9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6"/>
          <w:szCs w:val="16"/>
          <w:color w:val="auto"/>
        </w:rPr>
        <w:t>As part of the Share Purchase Agreement, the Company also entered into a Transition Services Agreement (“TSA”) with Kasamba pursuant to which the Company will provide services, including, but not limited to, human resources, finance, IT and legal, to Kasamba. These services commenced upon the close of the transaction and will continue to be provided over a period of up to 12 months, depending on the transition service being provided.</w:t>
      </w:r>
    </w:p>
    <w:p>
      <w:pPr>
        <w:spacing w:after="0" w:line="200" w:lineRule="exact"/>
        <w:rPr>
          <w:sz w:val="20"/>
          <w:szCs w:val="20"/>
          <w:color w:val="auto"/>
        </w:rPr>
      </w:pPr>
    </w:p>
    <w:p>
      <w:pPr>
        <w:spacing w:after="0" w:line="229"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Item 2. Management</w:t>
      </w:r>
      <w:r>
        <w:rPr>
          <w:rFonts w:ascii="Arial" w:cs="Arial" w:eastAsia="Arial" w:hAnsi="Arial"/>
          <w:sz w:val="17"/>
          <w:szCs w:val="17"/>
          <w:color w:val="auto"/>
        </w:rPr>
        <w:t>’</w:t>
      </w:r>
      <w:r>
        <w:rPr>
          <w:rFonts w:ascii="Arial" w:cs="Arial" w:eastAsia="Arial" w:hAnsi="Arial"/>
          <w:sz w:val="17"/>
          <w:szCs w:val="17"/>
          <w:b w:val="1"/>
          <w:bCs w:val="1"/>
          <w:color w:val="auto"/>
        </w:rPr>
        <w:t>s Discussion and Analysis of Financial Condition and Results of Operations</w:t>
      </w: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General</w:t>
      </w:r>
    </w:p>
    <w:p>
      <w:pPr>
        <w:spacing w:after="0" w:line="249"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5"/>
          <w:szCs w:val="15"/>
          <w:i w:val="1"/>
          <w:iCs w:val="1"/>
          <w:color w:val="212529"/>
        </w:rPr>
        <w:t>In</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12529"/>
        </w:rPr>
        <w:t>addition, our actual results could differ from our estimates and assumptions based upon impacts on our business and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LivePerson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These speech or text conversations harness human agents, bots and AI to power convenient, personalized and content-rich journeys across the entire consumer lifecycle, and across consumer platforms. AI has accelerated our capability to leverage those prior conversations to enhance the consumer experience and to improve results for our customers.</w:t>
      </w:r>
    </w:p>
    <w:p>
      <w:pPr>
        <w:spacing w:after="0" w:line="21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Large Language Models in ways that help consumers and drive results for brands without sacrificing trust.</w:t>
      </w:r>
    </w:p>
    <w:p>
      <w:pPr>
        <w:spacing w:after="0" w:line="2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LivePerson’s Conversational AI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and deliver measurable return on investment for our customers. Certain of our customers have achieved the following advantages from our offerings:</w:t>
      </w:r>
    </w:p>
    <w:p>
      <w:pPr>
        <w:spacing w:after="0" w:line="60" w:lineRule="exact"/>
        <w:rPr>
          <w:sz w:val="20"/>
          <w:szCs w:val="20"/>
          <w:color w:val="auto"/>
        </w:rPr>
      </w:pPr>
    </w:p>
    <w:p>
      <w:pPr>
        <w:ind w:left="1080" w:hanging="303"/>
        <w:spacing w:after="0" w:line="31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37" w:lineRule="exact"/>
        <w:rPr>
          <w:rFonts w:ascii="Arial" w:cs="Arial" w:eastAsia="Arial" w:hAnsi="Arial"/>
          <w:sz w:val="16"/>
          <w:szCs w:val="16"/>
          <w:color w:val="auto"/>
        </w:rPr>
      </w:pPr>
    </w:p>
    <w:p>
      <w:pPr>
        <w:ind w:left="1080" w:hanging="303"/>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labor efficiency gains of at least two times that of voice agents, effectively cutting labor costs by at least 50%;</w:t>
      </w:r>
    </w:p>
    <w:p>
      <w:pPr>
        <w:spacing w:after="0" w:line="113" w:lineRule="exact"/>
        <w:rPr>
          <w:rFonts w:ascii="Arial" w:cs="Arial" w:eastAsia="Arial" w:hAnsi="Arial"/>
          <w:sz w:val="17"/>
          <w:szCs w:val="17"/>
          <w:color w:val="auto"/>
        </w:rPr>
      </w:pPr>
    </w:p>
    <w:p>
      <w:pPr>
        <w:ind w:left="1080" w:hanging="303"/>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improving the overall customer experience, thereby fueling customer satisfaction score increases of up to 20 percentage points, and enhancing retention and loyalty;</w:t>
      </w:r>
    </w:p>
    <w:p>
      <w:pPr>
        <w:spacing w:after="0" w:line="61" w:lineRule="exact"/>
        <w:rPr>
          <w:rFonts w:ascii="Arial" w:cs="Arial" w:eastAsia="Arial" w:hAnsi="Arial"/>
          <w:sz w:val="17"/>
          <w:szCs w:val="17"/>
          <w:color w:val="auto"/>
        </w:rPr>
      </w:pPr>
    </w:p>
    <w:p>
      <w:pPr>
        <w:ind w:left="1080" w:hanging="303"/>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more convenient, personalized and content-rich conversations that increase sales conversion by up to 20%, increase average order value and reduce abandonment;</w:t>
      </w:r>
    </w:p>
    <w:p>
      <w:pPr>
        <w:spacing w:after="0" w:line="61" w:lineRule="exact"/>
        <w:rPr>
          <w:rFonts w:ascii="Arial" w:cs="Arial" w:eastAsia="Arial" w:hAnsi="Arial"/>
          <w:sz w:val="17"/>
          <w:szCs w:val="17"/>
          <w:color w:val="auto"/>
        </w:rPr>
      </w:pPr>
    </w:p>
    <w:p>
      <w:pPr>
        <w:ind w:left="1080" w:hanging="303"/>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more satisfied contact center agents, thereby reducing agent churn by up to 50%;</w:t>
      </w:r>
    </w:p>
    <w:p>
      <w:pPr>
        <w:spacing w:after="0" w:line="113" w:lineRule="exact"/>
        <w:rPr>
          <w:rFonts w:ascii="Arial" w:cs="Arial" w:eastAsia="Arial" w:hAnsi="Arial"/>
          <w:sz w:val="17"/>
          <w:szCs w:val="17"/>
          <w:color w:val="auto"/>
        </w:rPr>
      </w:pPr>
    </w:p>
    <w:p>
      <w:pPr>
        <w:ind w:left="1080" w:hanging="303"/>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valued connection with consumers via mobile devices, either through native applications, websites, text messages, or third-party messaging platforms; and</w:t>
      </w:r>
    </w:p>
    <w:p>
      <w:pPr>
        <w:spacing w:after="0" w:line="61" w:lineRule="exact"/>
        <w:rPr>
          <w:rFonts w:ascii="Arial" w:cs="Arial" w:eastAsia="Arial" w:hAnsi="Arial"/>
          <w:sz w:val="17"/>
          <w:szCs w:val="17"/>
          <w:color w:val="auto"/>
        </w:rPr>
      </w:pPr>
    </w:p>
    <w:p>
      <w:pPr>
        <w:ind w:left="1080" w:hanging="303"/>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leveraged spending that drives visitor traffic by increasing visitor conversions.</w:t>
      </w:r>
    </w:p>
    <w:p>
      <w:pPr>
        <w:spacing w:after="0" w:line="32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As a “cloud computing” or SaaS provider, LivePerson provides solutions on a hosted basis. This model offers significant benefits over premise-based software, including lower up-front costs, faster implementation, lower total cost of</w:t>
      </w:r>
    </w:p>
    <w:p>
      <w:pPr>
        <w:spacing w:after="0" w:line="200" w:lineRule="exact"/>
        <w:rPr>
          <w:sz w:val="20"/>
          <w:szCs w:val="20"/>
          <w:color w:val="auto"/>
        </w:rPr>
      </w:pPr>
    </w:p>
    <w:p>
      <w:pPr>
        <w:spacing w:after="0" w:line="32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7"/>
          <w:szCs w:val="17"/>
          <w:color w:val="auto"/>
        </w:rPr>
        <w:t>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Hundreds of the world’s biggest brands, including HSBC, Virgin Media, and Burberry use our conversational solutions to orchestrate humans and AI, at scale, and create a convenient personalized relationship with their customers.</w:t>
      </w:r>
    </w:p>
    <w:p>
      <w:pPr>
        <w:spacing w:after="0" w:line="19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key elements of LivePerson’s business solutions strategy include: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 strategy is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higher messaging volumes by going both wide across messaging endpoints, deep across consumer use cases, and focusing on AI and automation as the means to deliver powerful scale.</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18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2021, we acquired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 We made good progress on these integrations in 2022.</w:t>
      </w:r>
    </w:p>
    <w:p>
      <w:pPr>
        <w:spacing w:after="0" w:line="1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 retention for our enterprise and mid-market customers on the Conversational Cloud was below our target range of 105% to 115% for the first quarter of 2023 and comparable period in 2022. We expect to provide the revenue retention rate on the basis of recurring revenue (rather than total revenue) going forward as we believe this metric will be more useful to analyze revenue growth. LivePerson’s ARPU for our enterprise and mid-market customers increased approximately 3.0% in the first quarter of 2023 to $665,000 from approximately $645,000 in the first quarter of 2022.</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 xml:space="preserve">Attract the industry’s best AI, machine learning and conversational talent. </w:t>
      </w:r>
      <w:r>
        <w:rPr>
          <w:rFonts w:ascii="Arial" w:cs="Arial" w:eastAsia="Arial" w:hAnsi="Arial"/>
          <w:sz w:val="17"/>
          <w:szCs w:val="17"/>
          <w:color w:val="auto"/>
        </w:rPr>
        <w:t>We believe that AI and machine learning are critical to successfully scaling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exploiting our data advantage. LivePerson also expanded its development talent base in Germany, and added key development talent through the acquisitions of BotCentral in Mountain View, California; Tenfold in Austin, Texas; e-bot7 in Munich, Germany; VoiceBase in San Francisco, California; and WildHealth in Lexington, Kentucky.</w:t>
      </w:r>
    </w:p>
    <w:p>
      <w:pPr>
        <w:spacing w:after="0" w:line="17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 xml:space="preserve">Strengthen our position in both existing and new industries. </w:t>
      </w:r>
      <w:r>
        <w:rPr>
          <w:rFonts w:ascii="Arial" w:cs="Arial" w:eastAsia="Arial" w:hAnsi="Arial"/>
          <w:sz w:val="16"/>
          <w:szCs w:val="16"/>
          <w:color w:val="auto"/>
        </w:rPr>
        <w:t>We plan to continue to develop our market position by increasing our customer base,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within our installed base. We plan to continue to focus primarily on key target markets: consumer/retail, telecommunications, financial services, travel/hospitality, technology and automotive within both our enterprise and mid-market sectors, as well as the SMB sector.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0" w:name="page41"/>
    <w:bookmarkEnd w:id="40"/>
    <w:p>
      <w:pPr>
        <w:jc w:val="both"/>
        <w:ind w:firstLine="619"/>
        <w:spacing w:after="0" w:line="283" w:lineRule="auto"/>
        <w:rPr>
          <w:sz w:val="20"/>
          <w:szCs w:val="20"/>
          <w:color w:val="auto"/>
        </w:rPr>
      </w:pPr>
      <w:r>
        <w:rPr>
          <w:rFonts w:ascii="Arial" w:cs="Arial" w:eastAsia="Arial" w:hAnsi="Arial"/>
          <w:sz w:val="16"/>
          <w:szCs w:val="16"/>
          <w:b w:val="1"/>
          <w:bCs w:val="1"/>
          <w:i w:val="1"/>
          <w:iCs w:val="1"/>
          <w:color w:val="auto"/>
        </w:rPr>
        <w:t xml:space="preserve">Leverage our open architecture to integrate with other systems and support partners and developers. </w:t>
      </w:r>
      <w:r>
        <w:rPr>
          <w:rFonts w:ascii="Arial" w:cs="Arial" w:eastAsia="Arial" w:hAnsi="Arial"/>
          <w:sz w:val="16"/>
          <w:szCs w:val="16"/>
          <w:color w:val="auto"/>
        </w:rPr>
        <w:t>In addition to developing our own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w:t>
      </w:r>
    </w:p>
    <w:p>
      <w:pPr>
        <w:spacing w:after="0" w:line="18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have opened up access to our platform and our products with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20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(Business Process Outsourcing) company focused on customer experience, and DMI, a digital transformation company, to redefine the customer experience with digital engagement, messaging, and AI-driven automation. In 2020, a digital services and consulting company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 In 2022, we partnered with Afiniti and Celonis to help brands improve customer engagement and analytics, deepened our partnership with Cisco to strengthen our CRM capabilities, and began a strategic co-selling partnership with CBA to drive sales in the Asia-Pacific region.</w:t>
      </w:r>
    </w:p>
    <w:p>
      <w:pPr>
        <w:spacing w:after="0" w:line="20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b w:val="1"/>
          <w:bCs w:val="1"/>
          <w:i w:val="1"/>
          <w:iCs w:val="1"/>
          <w:color w:val="auto"/>
        </w:rPr>
        <w:t xml:space="preserve">Evaluate strategic alliances and acquisitions when appropriate. </w:t>
      </w:r>
      <w:r>
        <w:rPr>
          <w:rFonts w:ascii="Arial" w:cs="Arial" w:eastAsia="Arial" w:hAnsi="Arial"/>
          <w:sz w:val="17"/>
          <w:szCs w:val="17"/>
          <w:color w:val="auto"/>
        </w:rPr>
        <w:t>In July 2021, we acquired German conversational AI company e-bot7, which propels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which leverages advanced machine learning to combine DNA analysis, biometrics, microbiome testing and phenotypic data to provide people with a blueprint for truly optimized health and a maximized health span. Once fully integrated, we expect these acquisitions to allow LivePerson to deliver our AI and automation capabilities, insights, and integration as a single integrated product offering across channels including voice and messaging.</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Key Metrics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overview of the three months ended March 31, 2023 compared to the three months ended March 31, 2022:</w:t>
      </w:r>
    </w:p>
    <w:p>
      <w:pPr>
        <w:spacing w:after="0" w:line="114" w:lineRule="exact"/>
        <w:rPr>
          <w:sz w:val="20"/>
          <w:szCs w:val="20"/>
          <w:color w:val="auto"/>
        </w:rPr>
      </w:pPr>
    </w:p>
    <w:p>
      <w:pPr>
        <w:ind w:left="1240" w:hanging="412"/>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revenue decreased 17% to $107.7 million from $130.2 million.</w:t>
      </w:r>
    </w:p>
    <w:p>
      <w:pPr>
        <w:spacing w:after="0" w:line="113" w:lineRule="exact"/>
        <w:rPr>
          <w:rFonts w:ascii="Arial" w:cs="Arial" w:eastAsia="Arial" w:hAnsi="Arial"/>
          <w:sz w:val="17"/>
          <w:szCs w:val="17"/>
          <w:color w:val="auto"/>
        </w:rPr>
      </w:pPr>
    </w:p>
    <w:p>
      <w:pPr>
        <w:ind w:left="1240" w:hanging="412"/>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decreased 11% to $107.7 million from $130.2 million.</w:t>
      </w:r>
    </w:p>
    <w:p>
      <w:pPr>
        <w:spacing w:after="0" w:line="113" w:lineRule="exact"/>
        <w:rPr>
          <w:rFonts w:ascii="Arial" w:cs="Arial" w:eastAsia="Arial" w:hAnsi="Arial"/>
          <w:sz w:val="17"/>
          <w:szCs w:val="17"/>
          <w:color w:val="auto"/>
        </w:rPr>
      </w:pPr>
    </w:p>
    <w:p>
      <w:pPr>
        <w:ind w:left="1240" w:hanging="412"/>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Gross profit margin decreased to 60% from 62%.</w:t>
      </w:r>
    </w:p>
    <w:p>
      <w:pPr>
        <w:spacing w:after="0" w:line="113" w:lineRule="exact"/>
        <w:rPr>
          <w:rFonts w:ascii="Arial" w:cs="Arial" w:eastAsia="Arial" w:hAnsi="Arial"/>
          <w:sz w:val="17"/>
          <w:szCs w:val="17"/>
          <w:color w:val="auto"/>
        </w:rPr>
      </w:pPr>
    </w:p>
    <w:p>
      <w:pPr>
        <w:ind w:left="1240" w:hanging="412"/>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 and expenses decreased 19% to $157.9 million from $195.3 million.</w:t>
      </w:r>
    </w:p>
    <w:p>
      <w:pPr>
        <w:spacing w:after="0" w:line="113" w:lineRule="exact"/>
        <w:rPr>
          <w:rFonts w:ascii="Arial" w:cs="Arial" w:eastAsia="Arial" w:hAnsi="Arial"/>
          <w:sz w:val="17"/>
          <w:szCs w:val="17"/>
          <w:color w:val="auto"/>
        </w:rPr>
      </w:pPr>
    </w:p>
    <w:p>
      <w:pPr>
        <w:ind w:left="1240" w:hanging="412"/>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loss decreased to $17.4 million from $65.4 million.</w:t>
      </w:r>
    </w:p>
    <w:p>
      <w:pPr>
        <w:spacing w:after="0" w:line="113" w:lineRule="exact"/>
        <w:rPr>
          <w:rFonts w:ascii="Arial" w:cs="Arial" w:eastAsia="Arial" w:hAnsi="Arial"/>
          <w:sz w:val="17"/>
          <w:szCs w:val="17"/>
          <w:color w:val="auto"/>
        </w:rPr>
      </w:pPr>
    </w:p>
    <w:p>
      <w:pPr>
        <w:ind w:left="1240" w:hanging="412"/>
        <w:spacing w:after="0" w:line="279"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Average annual revenue per enterprise and mid-market customer increased approximately 3% to $665,000 for the trailing twelve months ended March 31, 2023, as compared to $645,000 for the trailing twelve months ended March 31, 2022.</w:t>
      </w:r>
    </w:p>
    <w:p>
      <w:pPr>
        <w:spacing w:after="0" w:line="61" w:lineRule="exact"/>
        <w:rPr>
          <w:rFonts w:ascii="Arial" w:cs="Arial" w:eastAsia="Arial" w:hAnsi="Arial"/>
          <w:sz w:val="17"/>
          <w:szCs w:val="17"/>
          <w:color w:val="auto"/>
        </w:rPr>
      </w:pPr>
    </w:p>
    <w:p>
      <w:pPr>
        <w:ind w:left="1240" w:hanging="412"/>
        <w:spacing w:after="0" w:line="279"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retention for our enterprise and mid-market customers on the Conversational Cloud was below our target range of 105% to 115% for the first quarter of 2023 and comparable period in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Adjusted EBITDA (Loss) and Adjusted Operating (Loss) Income</w:t>
      </w: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1" w:name="page42"/>
    <w:bookmarkEnd w:id="41"/>
    <w:p>
      <w:pPr>
        <w:jc w:val="both"/>
        <w:ind w:firstLine="619"/>
        <w:spacing w:after="0" w:line="266"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adjusted EBITDA (loss) and adjusted operating (loss) income, which are non-GAAP financial measures. The tables below present a reconciliation of adjusted EBITDA (loss) and adjusted operating (loss) income to net loss, the most directly comparable GAAP financial measures.</w:t>
      </w:r>
    </w:p>
    <w:p>
      <w:pPr>
        <w:spacing w:after="0" w:line="1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have included adjusted EBITDA (loss) and adjusted operating (loss)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(loss) and adjusted operating (loss) income can provide a useful measure for period-to-period comparisons of our core business. Additionally, adjusted EBITDA (loss) is a key financial measure used by the compensation committee of our board of directors in connection with the payment of bonuses to our executive officers. Accordingly, we believe that adjusted EBITDA (loss) and adjusted operating (loss) income provide useful information to investors and others in understanding and evaluating our operating results in the same manner as our management and board of directors.</w:t>
      </w:r>
    </w:p>
    <w:p>
      <w:pPr>
        <w:spacing w:after="0" w:line="19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use of adjusted EBITDA (loss) has limitations as an analytical tool, and you should not consider it in isolation or as a substitute for analysis of our results as reported under GAAP. Some of these limitations are:</w:t>
      </w:r>
    </w:p>
    <w:p>
      <w:pPr>
        <w:spacing w:after="0" w:line="61" w:lineRule="exact"/>
        <w:rPr>
          <w:sz w:val="20"/>
          <w:szCs w:val="20"/>
          <w:color w:val="auto"/>
        </w:rPr>
      </w:pPr>
    </w:p>
    <w:p>
      <w:pPr>
        <w:ind w:left="1240" w:hanging="412"/>
        <w:spacing w:after="0" w:line="266" w:lineRule="auto"/>
        <w:tabs>
          <w:tab w:leader="none" w:pos="10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have to be replaced in the future, and adjusted EBITDA (loss) does not reflect cash capital expenditure requirements for such replacements or for new capital expenditure requirements;</w:t>
      </w:r>
    </w:p>
    <w:p>
      <w:pPr>
        <w:spacing w:after="0" w:line="71"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reflect changes in, or cash requirements for, our working capital needs;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consider the impact of acquisition related costs;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consider the impact of stock-based compensation expense;</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consider the impact of restructuring costs;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consider the impact of certain other costs;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(loss) does not reflect tax payments that may represent a reduction in cash available to us; and</w:t>
      </w:r>
    </w:p>
    <w:p>
      <w:pPr>
        <w:spacing w:after="0" w:line="113" w:lineRule="exact"/>
        <w:rPr>
          <w:rFonts w:ascii="Arial" w:cs="Arial" w:eastAsia="Arial" w:hAnsi="Arial"/>
          <w:sz w:val="17"/>
          <w:szCs w:val="17"/>
          <w:color w:val="auto"/>
        </w:rPr>
      </w:pPr>
    </w:p>
    <w:p>
      <w:pPr>
        <w:ind w:left="1240" w:hanging="412"/>
        <w:spacing w:after="0" w:line="279"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EBITDA (loss)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42" w:name="page43"/>
    <w:bookmarkEnd w:id="42"/>
    <w:p>
      <w:pPr>
        <w:ind w:left="620"/>
        <w:spacing w:after="0"/>
        <w:rPr>
          <w:sz w:val="20"/>
          <w:szCs w:val="20"/>
          <w:color w:val="auto"/>
        </w:rPr>
      </w:pPr>
      <w:r>
        <w:rPr>
          <w:rFonts w:ascii="Arial" w:cs="Arial" w:eastAsia="Arial" w:hAnsi="Arial"/>
          <w:sz w:val="16"/>
          <w:szCs w:val="16"/>
          <w:color w:val="auto"/>
        </w:rPr>
        <w:t>Because of these limitations, you should consider adjusted EBITDA (loss) alongside other financial performance measures, including various pre-tax</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GAAP loss and our other GAAP results. The following table presents a reconciliation of adjusted EBITDA (loss) for each of the periods indicated: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5"/>
                <w:szCs w:val="15"/>
                <w:b w:val="1"/>
                <w:bCs w:val="1"/>
                <w:color w:val="auto"/>
              </w:rPr>
              <w:t>Three Months Ended March 31,</w:t>
            </w:r>
          </w:p>
        </w:tc>
      </w:tr>
      <w:tr>
        <w:trPr>
          <w:trHeight w:val="214"/>
        </w:trPr>
        <w:tc>
          <w:tcPr>
            <w:tcW w:w="80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535"/>
              <w:spacing w:after="0"/>
              <w:rPr>
                <w:sz w:val="20"/>
                <w:szCs w:val="20"/>
                <w:color w:val="auto"/>
              </w:rPr>
            </w:pPr>
            <w:r>
              <w:rPr>
                <w:rFonts w:ascii="Arial" w:cs="Arial" w:eastAsia="Arial" w:hAnsi="Arial"/>
                <w:sz w:val="15"/>
                <w:szCs w:val="15"/>
                <w:b w:val="1"/>
                <w:bCs w:val="1"/>
                <w:color w:val="auto"/>
              </w:rPr>
              <w:t>2022</w:t>
            </w:r>
          </w:p>
        </w:tc>
      </w:tr>
      <w:tr>
        <w:trPr>
          <w:trHeight w:val="31"/>
        </w:trPr>
        <w:tc>
          <w:tcPr>
            <w:tcW w:w="8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8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8"/>
                <w:szCs w:val="18"/>
                <w:color w:val="auto"/>
              </w:rPr>
            </w:pPr>
          </w:p>
        </w:tc>
      </w:tr>
      <w:tr>
        <w:trPr>
          <w:trHeight w:val="29"/>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Adjusted EBITDA (Loss)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7"/>
                <w:szCs w:val="17"/>
                <w:color w:val="auto"/>
              </w:rPr>
              <w:t>GAAP net loss</w:t>
            </w:r>
          </w:p>
        </w:tc>
        <w:tc>
          <w:tcPr>
            <w:tcW w:w="920" w:type="dxa"/>
            <w:vAlign w:val="bottom"/>
          </w:tcPr>
          <w:p>
            <w:pPr>
              <w:jc w:val="right"/>
              <w:ind w:right="738"/>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(17,420)</w:t>
            </w:r>
          </w:p>
        </w:tc>
        <w:tc>
          <w:tcPr>
            <w:tcW w:w="6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(65,364)</w:t>
            </w:r>
          </w:p>
        </w:tc>
      </w:tr>
      <w:tr>
        <w:trPr>
          <w:trHeight w:val="27"/>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purchased intangibles and finance leases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6,257</w:t>
            </w:r>
          </w:p>
        </w:tc>
      </w:tr>
      <w:tr>
        <w:trPr>
          <w:trHeight w:val="230"/>
        </w:trPr>
        <w:tc>
          <w:tcPr>
            <w:tcW w:w="802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11,332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31,866</w:t>
            </w:r>
          </w:p>
        </w:tc>
      </w:tr>
      <w:tr>
        <w:trPr>
          <w:trHeight w:val="27"/>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Contingent earn-out adjustments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8020" w:type="dxa"/>
            <w:vAlign w:val="bottom"/>
          </w:tcPr>
          <w:p>
            <w:pPr>
              <w:ind w:left="220"/>
              <w:spacing w:after="0" w:line="257" w:lineRule="exact"/>
              <w:rPr>
                <w:sz w:val="20"/>
                <w:szCs w:val="20"/>
                <w:color w:val="auto"/>
              </w:rPr>
            </w:pPr>
            <w:r>
              <w:rPr>
                <w:rFonts w:ascii="Arial" w:cs="Arial" w:eastAsia="Arial" w:hAnsi="Arial"/>
                <w:sz w:val="17"/>
                <w:szCs w:val="17"/>
                <w:color w:val="auto"/>
              </w:rPr>
              <w:t xml:space="preserve">Restructuring costs </w:t>
            </w:r>
            <w:r>
              <w:rPr>
                <w:rFonts w:ascii="Arial" w:cs="Arial" w:eastAsia="Arial" w:hAnsi="Arial"/>
                <w:sz w:val="26"/>
                <w:szCs w:val="26"/>
                <w:color w:val="auto"/>
                <w:vertAlign w:val="superscript"/>
              </w:rPr>
              <w:t>(1)</w:t>
            </w:r>
          </w:p>
        </w:tc>
        <w:tc>
          <w:tcPr>
            <w:tcW w:w="9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11,515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Gain on divestiture</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(17,591)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0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7,224</w:t>
            </w:r>
          </w:p>
        </w:tc>
      </w:tr>
      <w:tr>
        <w:trPr>
          <w:trHeight w:val="27"/>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8020" w:type="dxa"/>
            <w:vAlign w:val="bottom"/>
            <w:shd w:val="clear" w:color="auto" w:fill="CCEEFF"/>
          </w:tcPr>
          <w:p>
            <w:pPr>
              <w:ind w:left="220"/>
              <w:spacing w:after="0" w:line="257" w:lineRule="exact"/>
              <w:rPr>
                <w:sz w:val="20"/>
                <w:szCs w:val="20"/>
                <w:color w:val="auto"/>
              </w:rPr>
            </w:pPr>
            <w:r>
              <w:rPr>
                <w:rFonts w:ascii="Arial" w:cs="Arial" w:eastAsia="Arial" w:hAnsi="Arial"/>
                <w:sz w:val="17"/>
                <w:szCs w:val="17"/>
                <w:color w:val="auto"/>
              </w:rPr>
              <w:t xml:space="preserve">Other litigation, consulting and other employee costs </w:t>
            </w:r>
            <w:r>
              <w:rPr>
                <w:rFonts w:ascii="Arial" w:cs="Arial" w:eastAsia="Arial" w:hAnsi="Arial"/>
                <w:sz w:val="26"/>
                <w:szCs w:val="26"/>
                <w:color w:val="auto"/>
                <w:vertAlign w:val="superscript"/>
              </w:rPr>
              <w:t>(2)</w:t>
            </w: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r>
      <w:tr>
        <w:trPr>
          <w:trHeight w:val="230"/>
        </w:trPr>
        <w:tc>
          <w:tcPr>
            <w:tcW w:w="8020" w:type="dxa"/>
            <w:vAlign w:val="bottom"/>
          </w:tcPr>
          <w:p>
            <w:pPr>
              <w:ind w:left="220"/>
              <w:spacing w:after="0"/>
              <w:rPr>
                <w:sz w:val="20"/>
                <w:szCs w:val="20"/>
                <w:color w:val="auto"/>
              </w:rPr>
            </w:pPr>
            <w:r>
              <w:rPr>
                <w:rFonts w:ascii="Arial" w:cs="Arial" w:eastAsia="Arial" w:hAnsi="Arial"/>
                <w:sz w:val="17"/>
                <w:szCs w:val="17"/>
                <w:color w:val="auto"/>
              </w:rPr>
              <w:t>Benefit from (provision for) income taxes</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7"/>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Acquisition and divestiture costs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30"/>
        </w:trPr>
        <w:tc>
          <w:tcPr>
            <w:tcW w:w="8020" w:type="dxa"/>
            <w:vAlign w:val="bottom"/>
          </w:tcPr>
          <w:p>
            <w:pPr>
              <w:ind w:left="220"/>
              <w:spacing w:after="0"/>
              <w:rPr>
                <w:sz w:val="20"/>
                <w:szCs w:val="20"/>
                <w:color w:val="auto"/>
              </w:rPr>
            </w:pPr>
            <w:r>
              <w:rPr>
                <w:rFonts w:ascii="Arial" w:cs="Arial" w:eastAsia="Arial" w:hAnsi="Arial"/>
                <w:sz w:val="17"/>
                <w:szCs w:val="17"/>
                <w:color w:val="auto"/>
              </w:rPr>
              <w:t>Interest (income) expense, net</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490</w:t>
            </w:r>
          </w:p>
        </w:tc>
      </w:tr>
      <w:tr>
        <w:trPr>
          <w:trHeight w:val="27"/>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8020" w:type="dxa"/>
            <w:vAlign w:val="bottom"/>
            <w:shd w:val="clear" w:color="auto" w:fill="CCEEFF"/>
          </w:tcPr>
          <w:p>
            <w:pPr>
              <w:ind w:left="220"/>
              <w:spacing w:after="0" w:line="257" w:lineRule="exact"/>
              <w:rPr>
                <w:sz w:val="20"/>
                <w:szCs w:val="20"/>
                <w:color w:val="auto"/>
              </w:rPr>
            </w:pPr>
            <w:r>
              <w:rPr>
                <w:rFonts w:ascii="Arial" w:cs="Arial" w:eastAsia="Arial" w:hAnsi="Arial"/>
                <w:sz w:val="17"/>
                <w:szCs w:val="17"/>
                <w:color w:val="auto"/>
              </w:rPr>
              <w:t xml:space="preserve">Other income, net </w:t>
            </w:r>
            <w:r>
              <w:rPr>
                <w:rFonts w:ascii="Arial" w:cs="Arial" w:eastAsia="Arial" w:hAnsi="Arial"/>
                <w:sz w:val="26"/>
                <w:szCs w:val="26"/>
                <w:color w:val="auto"/>
                <w:vertAlign w:val="superscript"/>
              </w:rPr>
              <w:t>(3)</w:t>
            </w:r>
          </w:p>
        </w:tc>
        <w:tc>
          <w:tcPr>
            <w:tcW w:w="9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(16,371)</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8020" w:type="dxa"/>
            <w:vAlign w:val="bottom"/>
          </w:tcPr>
          <w:p>
            <w:pPr>
              <w:ind w:left="20"/>
              <w:spacing w:after="0"/>
              <w:rPr>
                <w:sz w:val="20"/>
                <w:szCs w:val="20"/>
                <w:color w:val="auto"/>
              </w:rPr>
            </w:pPr>
            <w:r>
              <w:rPr>
                <w:rFonts w:ascii="Arial" w:cs="Arial" w:eastAsia="Arial" w:hAnsi="Arial"/>
                <w:sz w:val="17"/>
                <w:szCs w:val="17"/>
                <w:color w:val="auto"/>
              </w:rPr>
              <w:t>Adjusted EBITDA (loss)</w:t>
            </w:r>
          </w:p>
        </w:tc>
        <w:tc>
          <w:tcPr>
            <w:tcW w:w="920" w:type="dxa"/>
            <w:vAlign w:val="bottom"/>
          </w:tcPr>
          <w:p>
            <w:pPr>
              <w:jc w:val="right"/>
              <w:ind w:right="738"/>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(1,291)</w:t>
            </w:r>
          </w:p>
        </w:tc>
        <w:tc>
          <w:tcPr>
            <w:tcW w:w="6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(17,633)</w:t>
            </w:r>
          </w:p>
        </w:tc>
      </w:tr>
      <w:tr>
        <w:trPr>
          <w:trHeight w:val="20"/>
        </w:trPr>
        <w:tc>
          <w:tcPr>
            <w:tcW w:w="8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 w:lineRule="exact"/>
        <w:rPr>
          <w:sz w:val="20"/>
          <w:szCs w:val="20"/>
          <w:color w:val="auto"/>
        </w:rPr>
      </w:pPr>
    </w:p>
    <w:p>
      <w:pPr>
        <w:ind w:left="460" w:hanging="457"/>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$11.5 million for the three months ended March 31, 2023.</w:t>
      </w:r>
    </w:p>
    <w:p>
      <w:pPr>
        <w:spacing w:after="0" w:line="101" w:lineRule="exact"/>
        <w:rPr>
          <w:rFonts w:ascii="Arial" w:cs="Arial" w:eastAsia="Arial" w:hAnsi="Arial"/>
          <w:sz w:val="14"/>
          <w:szCs w:val="14"/>
          <w:color w:val="auto"/>
        </w:rPr>
      </w:pPr>
    </w:p>
    <w:p>
      <w:pPr>
        <w:ind w:left="460" w:hanging="457"/>
        <w:spacing w:after="0" w:line="318"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litigation costs of $9.5 million, accrued expenses and fees of $1.4 million, and consulting costs of $0.2 million for the three months ended March 31, 2023. Includes sales tax liability of $0.3 million, litigation costs of $0.7 million, employee benefit cost of $0.2 million and consulting costs of $0.6 million for the three months ended March 31, 2022.</w:t>
      </w:r>
    </w:p>
    <w:p>
      <w:pPr>
        <w:spacing w:after="0" w:line="42" w:lineRule="exact"/>
        <w:rPr>
          <w:rFonts w:ascii="Arial" w:cs="Arial" w:eastAsia="Arial" w:hAnsi="Arial"/>
          <w:sz w:val="13"/>
          <w:szCs w:val="13"/>
          <w:color w:val="auto"/>
        </w:rPr>
      </w:pPr>
    </w:p>
    <w:p>
      <w:pPr>
        <w:ind w:left="460" w:hanging="457"/>
        <w:spacing w:after="0" w:line="278"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$10.0 million other income related to a litigation settlement, and $6.1 million of gain related to Convertible senior notes repurchases for the three months ended March 31, 2023. The remaining amount of other expense (income) for the three months ended March 31, 2023 is attributable to currency rate fluctuations.</w:t>
      </w:r>
    </w:p>
    <w:p>
      <w:pPr>
        <w:spacing w:after="0" w:line="25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use of adjusted operating (loss) income has limitations as an analytical tool, and you should not consider it in isolation or as a substitute for analysis of our results as reported under GAAP. Some of these limitations are:</w:t>
      </w:r>
    </w:p>
    <w:p>
      <w:pPr>
        <w:spacing w:after="0" w:line="61" w:lineRule="exact"/>
        <w:rPr>
          <w:sz w:val="20"/>
          <w:szCs w:val="20"/>
          <w:color w:val="auto"/>
        </w:rPr>
      </w:pPr>
    </w:p>
    <w:p>
      <w:pPr>
        <w:ind w:left="1240" w:hanging="412"/>
        <w:spacing w:after="0" w:line="312" w:lineRule="auto"/>
        <w:tabs>
          <w:tab w:leader="none" w:pos="10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(loss) income does not reflect cash capital expenditure requirements for such replacements or for new capital expenditure requirements;</w:t>
      </w:r>
    </w:p>
    <w:p>
      <w:pPr>
        <w:spacing w:after="0" w:line="37" w:lineRule="exact"/>
        <w:rPr>
          <w:rFonts w:ascii="Arial" w:cs="Arial" w:eastAsia="Arial" w:hAnsi="Arial"/>
          <w:sz w:val="16"/>
          <w:szCs w:val="16"/>
          <w:color w:val="auto"/>
        </w:rPr>
      </w:pPr>
    </w:p>
    <w:p>
      <w:pPr>
        <w:ind w:left="1060" w:hanging="232"/>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(loss) income does not consider the impact of acquisition related costs;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(loss) income does not consider the impact of restructuring costs;</w:t>
      </w:r>
    </w:p>
    <w:p>
      <w:pPr>
        <w:spacing w:after="0" w:line="113" w:lineRule="exact"/>
        <w:rPr>
          <w:rFonts w:ascii="Arial" w:cs="Arial" w:eastAsia="Arial" w:hAnsi="Arial"/>
          <w:sz w:val="17"/>
          <w:szCs w:val="17"/>
          <w:color w:val="auto"/>
        </w:rPr>
      </w:pPr>
    </w:p>
    <w:p>
      <w:pPr>
        <w:ind w:left="1060" w:hanging="232"/>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(loss) income does not consider the impact of other costs; and</w:t>
      </w:r>
    </w:p>
    <w:p>
      <w:pPr>
        <w:spacing w:after="0" w:line="113" w:lineRule="exact"/>
        <w:rPr>
          <w:rFonts w:ascii="Arial" w:cs="Arial" w:eastAsia="Arial" w:hAnsi="Arial"/>
          <w:sz w:val="17"/>
          <w:szCs w:val="17"/>
          <w:color w:val="auto"/>
        </w:rPr>
      </w:pPr>
    </w:p>
    <w:p>
      <w:pPr>
        <w:ind w:left="1240" w:hanging="412"/>
        <w:spacing w:after="0" w:line="279" w:lineRule="auto"/>
        <w:tabs>
          <w:tab w:leader="none" w:pos="107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operating (loss) income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3" w:name="page44"/>
    <w:bookmarkEnd w:id="43"/>
    <w:p>
      <w:pPr>
        <w:ind w:firstLine="619"/>
        <w:spacing w:after="0" w:line="349" w:lineRule="auto"/>
        <w:rPr>
          <w:sz w:val="20"/>
          <w:szCs w:val="20"/>
          <w:color w:val="auto"/>
        </w:rPr>
      </w:pPr>
      <w:r>
        <w:rPr>
          <w:rFonts w:ascii="Arial" w:cs="Arial" w:eastAsia="Arial" w:hAnsi="Arial"/>
          <w:sz w:val="15"/>
          <w:szCs w:val="15"/>
          <w:color w:val="auto"/>
        </w:rPr>
        <w:t>Because of these limitations, you should consider adjusted operating (loss) income alongside other financial performance measures, including various pre-tax GAAP loss and our other GAAP results. The following table presents a reconciliation of adjusted operating (loss) income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5"/>
              </w:rPr>
              <w:t>Three Months Ended March 31,</w:t>
            </w:r>
          </w:p>
        </w:tc>
        <w:tc>
          <w:tcPr>
            <w:tcW w:w="0" w:type="dxa"/>
            <w:vAlign w:val="bottom"/>
          </w:tcPr>
          <w:p>
            <w:pPr>
              <w:spacing w:after="0"/>
              <w:rPr>
                <w:sz w:val="1"/>
                <w:szCs w:val="1"/>
                <w:color w:val="auto"/>
              </w:rPr>
            </w:pPr>
          </w:p>
        </w:tc>
      </w:tr>
      <w:tr>
        <w:trPr>
          <w:trHeight w:val="225"/>
        </w:trPr>
        <w:tc>
          <w:tcPr>
            <w:tcW w:w="80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center"/>
              <w:ind w:left="14"/>
              <w:spacing w:after="0"/>
              <w:rPr>
                <w:sz w:val="20"/>
                <w:szCs w:val="20"/>
                <w:color w:val="auto"/>
              </w:rPr>
            </w:pPr>
            <w:r>
              <w:rPr>
                <w:rFonts w:ascii="Arial" w:cs="Arial" w:eastAsia="Arial" w:hAnsi="Arial"/>
                <w:sz w:val="16"/>
                <w:szCs w:val="16"/>
                <w:color w:val="auto"/>
                <w:w w:val="91"/>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Adjusted Operating (Loss) Income</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7"/>
                <w:szCs w:val="17"/>
                <w:color w:val="auto"/>
              </w:rPr>
              <w:t>Loss before benefit from income taxes</w:t>
            </w:r>
          </w:p>
        </w:tc>
        <w:tc>
          <w:tcPr>
            <w:tcW w:w="920" w:type="dxa"/>
            <w:vAlign w:val="bottom"/>
          </w:tcPr>
          <w:p>
            <w:pPr>
              <w:jc w:val="right"/>
              <w:ind w:right="738"/>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(16,206)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(65,557)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purchased intangibles and finance leases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6,257</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11,332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31,866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Restructuring costs </w:t>
            </w:r>
            <w:r>
              <w:rPr>
                <w:rFonts w:ascii="Arial" w:cs="Arial" w:eastAsia="Arial" w:hAnsi="Arial"/>
                <w:sz w:val="22"/>
                <w:szCs w:val="22"/>
                <w:color w:val="auto"/>
                <w:vertAlign w:val="superscript"/>
              </w:rPr>
              <w:t>(1)</w:t>
            </w: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11,515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1"/>
        </w:trPr>
        <w:tc>
          <w:tcPr>
            <w:tcW w:w="8060" w:type="dxa"/>
            <w:vAlign w:val="bottom"/>
          </w:tcPr>
          <w:p>
            <w:pPr>
              <w:ind w:left="220"/>
              <w:spacing w:after="0"/>
              <w:rPr>
                <w:sz w:val="20"/>
                <w:szCs w:val="20"/>
                <w:color w:val="auto"/>
              </w:rPr>
            </w:pPr>
            <w:r>
              <w:rPr>
                <w:rFonts w:ascii="Arial" w:cs="Arial" w:eastAsia="Arial" w:hAnsi="Arial"/>
                <w:sz w:val="17"/>
                <w:szCs w:val="17"/>
                <w:color w:val="auto"/>
              </w:rPr>
              <w:t>Gain on divestiture</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(17,591)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Other litigation, consulting and other employee costs </w:t>
            </w:r>
            <w:r>
              <w:rPr>
                <w:rFonts w:ascii="Arial" w:cs="Arial" w:eastAsia="Arial" w:hAnsi="Arial"/>
                <w:sz w:val="22"/>
                <w:szCs w:val="22"/>
                <w:color w:val="auto"/>
                <w:vertAlign w:val="superscript"/>
              </w:rPr>
              <w:t>(2)</w:t>
            </w:r>
          </w:p>
        </w:tc>
        <w:tc>
          <w:tcPr>
            <w:tcW w:w="9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11,122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7"/>
                <w:szCs w:val="17"/>
                <w:color w:val="auto"/>
              </w:rPr>
              <w:t>Contingent earn-out adjustments</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Acquisition and divestiture costs</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7"/>
                <w:szCs w:val="17"/>
                <w:color w:val="auto"/>
              </w:rPr>
              <w:t>Interest (income) expense, net</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Other income, net </w:t>
            </w:r>
            <w:r>
              <w:rPr>
                <w:rFonts w:ascii="Arial" w:cs="Arial" w:eastAsia="Arial" w:hAnsi="Arial"/>
                <w:sz w:val="22"/>
                <w:szCs w:val="22"/>
                <w:color w:val="auto"/>
                <w:vertAlign w:val="superscript"/>
              </w:rPr>
              <w:t>(3)</w:t>
            </w:r>
          </w:p>
        </w:tc>
        <w:tc>
          <w:tcPr>
            <w:tcW w:w="9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(16,371)</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49"/>
        </w:trPr>
        <w:tc>
          <w:tcPr>
            <w:tcW w:w="8060" w:type="dxa"/>
            <w:vAlign w:val="bottom"/>
          </w:tcPr>
          <w:p>
            <w:pPr>
              <w:ind w:left="220"/>
              <w:spacing w:after="0"/>
              <w:rPr>
                <w:sz w:val="20"/>
                <w:szCs w:val="20"/>
                <w:color w:val="auto"/>
              </w:rPr>
            </w:pPr>
            <w:r>
              <w:rPr>
                <w:rFonts w:ascii="Arial" w:cs="Arial" w:eastAsia="Arial" w:hAnsi="Arial"/>
                <w:sz w:val="17"/>
                <w:szCs w:val="17"/>
                <w:color w:val="auto"/>
              </w:rPr>
              <w:t>Adjusted operating (loss) income</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(8,653)</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(24,857)</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06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$11.5 million for the three months ended March 31, 2023.</w:t>
      </w:r>
    </w:p>
    <w:p>
      <w:pPr>
        <w:spacing w:after="0" w:line="118" w:lineRule="exact"/>
        <w:rPr>
          <w:rFonts w:ascii="Arial" w:cs="Arial" w:eastAsia="Arial" w:hAnsi="Arial"/>
          <w:sz w:val="14"/>
          <w:szCs w:val="14"/>
          <w:color w:val="auto"/>
        </w:rPr>
      </w:pPr>
    </w:p>
    <w:p>
      <w:pPr>
        <w:ind w:left="460" w:hanging="457"/>
        <w:spacing w:after="0" w:line="318"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litigation costs of $9.5 million, accrued expenses and fees of $1.4 million, and consulting costs of $0.2 million for the three months ended March 31, 2023. Includes sales tax liability of $0.3 million, litigation costs of $0.7 million, employee benefit cost of $0.2 million and consulting costs of $0.6 million for the three months ended March 31, 2022.</w:t>
      </w:r>
    </w:p>
    <w:p>
      <w:pPr>
        <w:spacing w:after="0" w:line="42" w:lineRule="exact"/>
        <w:rPr>
          <w:rFonts w:ascii="Arial" w:cs="Arial" w:eastAsia="Arial" w:hAnsi="Arial"/>
          <w:sz w:val="13"/>
          <w:szCs w:val="13"/>
          <w:color w:val="auto"/>
        </w:rPr>
      </w:pPr>
    </w:p>
    <w:p>
      <w:pPr>
        <w:ind w:left="460" w:hanging="457"/>
        <w:spacing w:after="0" w:line="297"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$10.0 million of other income related to a litigation settlement, and $6.1 million of gain related to Convertible senior notes repurchases for the three months ended March 31, 2023. The remaining amount of other expense (income) for the three months ended March 31, 2023 is attributable to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4" w:name="page45"/>
    <w:bookmarkEnd w:id="44"/>
    <w:p>
      <w:pPr>
        <w:jc w:val="center"/>
        <w:ind w:left="400"/>
        <w:spacing w:after="0"/>
        <w:rPr>
          <w:sz w:val="20"/>
          <w:szCs w:val="20"/>
          <w:color w:val="auto"/>
        </w:rPr>
      </w:pPr>
      <w:r>
        <w:rPr>
          <w:rFonts w:ascii="Arial" w:cs="Arial" w:eastAsia="Arial" w:hAnsi="Arial"/>
          <w:sz w:val="17"/>
          <w:szCs w:val="17"/>
          <w:b w:val="1"/>
          <w:bCs w:val="1"/>
          <w:color w:val="auto"/>
        </w:rPr>
        <w:t>Critical Accounting Estimates</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that the assumptions and estimates associated with revenue recognition, depreciation, stock-based compensation expense,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majority of our revenue is generated from hosted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determine revenue recognition through the following steps:</w:t>
      </w:r>
    </w:p>
    <w:p>
      <w:pPr>
        <w:spacing w:after="0" w:line="243" w:lineRule="exact"/>
        <w:rPr>
          <w:sz w:val="20"/>
          <w:szCs w:val="20"/>
          <w:color w:val="auto"/>
        </w:rPr>
      </w:pPr>
    </w:p>
    <w:p>
      <w:pPr>
        <w:ind w:left="1080" w:hanging="30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113" w:lineRule="exact"/>
        <w:rPr>
          <w:rFonts w:ascii="Arial" w:cs="Arial" w:eastAsia="Arial" w:hAnsi="Arial"/>
          <w:sz w:val="17"/>
          <w:szCs w:val="17"/>
          <w:color w:val="auto"/>
        </w:rPr>
      </w:pPr>
    </w:p>
    <w:p>
      <w:pPr>
        <w:ind w:left="1080" w:hanging="303"/>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revenue of $107.7 million and $130.2 million was recognized during the three months ended March 31, 2023 and 2022, respectively.</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We defer all incremental commission costs to obtain the contract (“contract acquisition costs”). The contract acquisition costs consist of prepaid sales commissions and have balances as of March 31, 2023 and December 31, 2022 of $42.8 million and $43.8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Hosted Services Revenue</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Hosted services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 customers, we may provide call</w:t>
      </w:r>
    </w:p>
    <w:p>
      <w:pPr>
        <w:spacing w:after="0" w:line="200" w:lineRule="exact"/>
        <w:rPr>
          <w:sz w:val="20"/>
          <w:szCs w:val="20"/>
          <w:color w:val="auto"/>
        </w:rPr>
      </w:pPr>
    </w:p>
    <w:p>
      <w:pPr>
        <w:spacing w:after="0" w:line="34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6"/>
          <w:szCs w:val="16"/>
          <w:color w:val="auto"/>
        </w:rPr>
        <w:t>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Revenue attributable to our monthly hosted Business services accounted for 81% and 82% of total revenue for the three months ended March 31,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 Revenue</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Revenue attributable to Professional Services accounted for 19% and 11% of total revenue for the three months ended March 31,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w:t>
      </w:r>
    </w:p>
    <w:p>
      <w:pPr>
        <w:spacing w:after="0" w:line="243"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As of March 31, 2023, the aggregate amount of the total transaction price allocated in contracts with original duration of one year or greater to the remaining performance obligations was $367.8 million. Approximately 87%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record deferred revenues when cash payments are received or due in advance of our performance. The increase in the deferred revenue balance as of March 31, 2023 is primarily driven by cash payments received or due in advance of our performance obligations, partially offset by $44.1 million of revenues recognized that were included in the deferred revenue balance as of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6" w:name="page47"/>
    <w:bookmarkEnd w:id="46"/>
    <w:p>
      <w:pPr>
        <w:jc w:val="both"/>
        <w:ind w:firstLine="619"/>
        <w:spacing w:after="0" w:line="283"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For the three months ended March 31, 2023 and 2022, we accrued approximately $1.6 million and $7.1 million for cash awards, respectively, related to bonus to be settled in shares of our stock and recorded a corresponding expense, which is included as a component of stock-based compensation expense in the accompanying condensed consolidated financial statements for the three months ended March 31, 2023 and 2022, respectively.</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the three months ended March 31, 2023 and 2022, there was approximately $13.3 million and $42.4 million, respectively, of total unrecognized compensation cost related to nonvested share-based compensation arrangements. That cost is expected to be recognized over a weighted average period of approximately 1.9 years years. For the three months ended March 31, 2023 and 2022, there was approximately $82.1 million and $149.0 million, respectively, of total unrecognized compensation cost related to nonvested restricted stock units. That cost is expected to be recognized over the remaining weighted average period of approximately 2.1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condensed consolidated financial statements. No single customer accounted for or exceeded 10% of our total revenue for the three months ended March 31, 2023 and 2022. During the three months ended March 31, 2023, we decreased our allowance for doubtful accounts from approximately $9.2 million as of December 31, 2022 to approximately $9.1 million. A large proportion of receivables are due from larger corporate customers that typically have longer payment cycles. Accounts receivable is presented net of an allowance for doubtful accounts and sales reserve of $9.1 million and $4.4 million as of March 31, 2023, respectively, and $9.2 million and $5.4 million as of December 31, 2022, respectively.</w:t>
      </w:r>
    </w:p>
    <w:p>
      <w:pPr>
        <w:spacing w:after="0" w:line="202"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Goodwill represents the excess of the aggregate purchase price over the fair value of net identifiable assets acquired in a business combination. During 2022, we added $15.5 million to goodwill with the acquisition of WildHealth. The Company evaluates goodwill for impairment on an annual basis in the third quarter, and more frequently whenever events or substantive changes in circumstances indicate that it is more likely than not that the carrying value of a reporting unit exceeds its fair value</w:t>
      </w:r>
    </w:p>
    <w:p>
      <w:pPr>
        <w:spacing w:after="0" w:line="200" w:lineRule="exact"/>
        <w:rPr>
          <w:sz w:val="20"/>
          <w:szCs w:val="20"/>
          <w:color w:val="auto"/>
        </w:rPr>
      </w:pPr>
    </w:p>
    <w:p>
      <w:pPr>
        <w:spacing w:after="0" w:line="33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47" w:name="page48"/>
    <w:bookmarkEnd w:id="47"/>
    <w:p>
      <w:pPr>
        <w:jc w:val="both"/>
        <w:spacing w:after="0" w:line="262" w:lineRule="auto"/>
        <w:rPr>
          <w:sz w:val="20"/>
          <w:szCs w:val="20"/>
          <w:color w:val="auto"/>
        </w:rPr>
      </w:pPr>
      <w:r>
        <w:rPr>
          <w:rFonts w:ascii="Arial" w:cs="Arial" w:eastAsia="Arial" w:hAnsi="Arial"/>
          <w:sz w:val="17"/>
          <w:szCs w:val="17"/>
          <w:color w:val="auto"/>
        </w:rPr>
        <w:t>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204"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7"/>
          <w:szCs w:val="17"/>
          <w:color w:val="auto"/>
        </w:rPr>
        <w:t>In performing the quantitative test, impairment loss is recorded to the extent that the carrying value of the reporting unit exceeds its assessed fair value. The Company determines the fair value using the income and market approaches.</w:t>
      </w:r>
    </w:p>
    <w:p>
      <w:pPr>
        <w:spacing w:after="0" w:line="190"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 Under the market approach, the Company uses market multiples derived from comparable companies based on measures salient to investors in those companies.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goodwill impairment charges have been recorded for any period presented.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carrying amounts of our long-lived assets, including property and equipment, lease right of 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$80.5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Contingencies</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w:t>
      </w:r>
    </w:p>
    <w:p>
      <w:pPr>
        <w:spacing w:after="0" w:line="200" w:lineRule="exact"/>
        <w:rPr>
          <w:sz w:val="20"/>
          <w:szCs w:val="20"/>
          <w:color w:val="auto"/>
        </w:rPr>
      </w:pPr>
    </w:p>
    <w:p>
      <w:pPr>
        <w:spacing w:after="0" w:line="31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7"/>
          <w:szCs w:val="17"/>
          <w:color w:val="auto"/>
        </w:rPr>
        <w:t xml:space="preserve">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w:t>
      </w:r>
      <w:r>
        <w:rPr>
          <w:rFonts w:ascii="Arial" w:cs="Arial" w:eastAsia="Arial" w:hAnsi="Arial"/>
          <w:sz w:val="17"/>
          <w:szCs w:val="17"/>
          <w:i w:val="1"/>
          <w:iCs w:val="1"/>
          <w:color w:val="auto"/>
        </w:rPr>
        <w:t>Legal Matters</w:t>
      </w:r>
      <w:r>
        <w:rPr>
          <w:rFonts w:ascii="Arial" w:cs="Arial" w:eastAsia="Arial" w:hAnsi="Arial"/>
          <w:sz w:val="17"/>
          <w:szCs w:val="17"/>
          <w:color w:val="auto"/>
        </w:rPr>
        <w:t xml:space="preserve"> for additional information on our legal proceedings and litigation.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3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6"/>
          <w:szCs w:val="16"/>
          <w:color w:val="auto"/>
        </w:rPr>
        <w:t>Except as referenced below under “Recently Adopted Accounting Pronouncements“, there were no other recently issued accounting pronouncements or changes in accounting pronouncements during the quarter ended March 31, 2023, that are of significance or potential significance to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1 – Description of Business and Basis of Presentation for a full description of recently adopted accounting pronouncements.</w:t>
      </w:r>
    </w:p>
    <w:p>
      <w:pPr>
        <w:spacing w:after="0" w:line="237"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Business segment enables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a single consumer.</w:t>
      </w:r>
    </w:p>
    <w:p>
      <w:pPr>
        <w:spacing w:after="0" w:line="200" w:lineRule="exact"/>
        <w:rPr>
          <w:sz w:val="20"/>
          <w:szCs w:val="20"/>
          <w:color w:val="auto"/>
        </w:rPr>
      </w:pPr>
    </w:p>
    <w:p>
      <w:pPr>
        <w:spacing w:after="0" w:line="22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Comparison of the Three Months Ended March 31, 2023 and March 31, 2022</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920"/>
              <w:spacing w:after="0"/>
              <w:rPr>
                <w:sz w:val="20"/>
                <w:szCs w:val="20"/>
                <w:color w:val="auto"/>
              </w:rPr>
            </w:pPr>
            <w:r>
              <w:rPr>
                <w:rFonts w:ascii="Arial" w:cs="Arial" w:eastAsia="Arial" w:hAnsi="Arial"/>
                <w:sz w:val="15"/>
                <w:szCs w:val="15"/>
                <w:b w:val="1"/>
                <w:bCs w:val="1"/>
                <w:color w:val="auto"/>
                <w:w w:val="93"/>
              </w:rPr>
              <w:t>Three Months Ended March 31,</w:t>
            </w:r>
          </w:p>
        </w:tc>
        <w:tc>
          <w:tcPr>
            <w:tcW w:w="116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w w:val="99"/>
              </w:rPr>
              <w:t>% Change</w:t>
            </w:r>
          </w:p>
        </w:tc>
      </w:tr>
      <w:tr>
        <w:trPr>
          <w:trHeight w:val="206"/>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3"/>
          </w:tcPr>
          <w:p>
            <w:pPr>
              <w:ind w:left="420"/>
              <w:spacing w:after="0"/>
              <w:rPr>
                <w:sz w:val="20"/>
                <w:szCs w:val="20"/>
                <w:color w:val="auto"/>
              </w:rPr>
            </w:pPr>
            <w:r>
              <w:rPr>
                <w:rFonts w:ascii="Arial" w:cs="Arial" w:eastAsia="Arial" w:hAnsi="Arial"/>
                <w:sz w:val="16"/>
                <w:szCs w:val="16"/>
                <w:color w:val="auto"/>
              </w:rPr>
              <w:t>(Dollar in thousands)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6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Business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107,661</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130,197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bl>
    <w:p>
      <w:pPr>
        <w:spacing w:after="0" w:line="31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222222"/>
        </w:rPr>
        <w:t xml:space="preserve">Revenue decreased by 17% to $107.7 million for the three months ended </w:t>
      </w:r>
      <w:r>
        <w:rPr>
          <w:rFonts w:ascii="Arial" w:cs="Arial" w:eastAsia="Arial" w:hAnsi="Arial"/>
          <w:sz w:val="17"/>
          <w:szCs w:val="17"/>
          <w:color w:val="000000"/>
        </w:rPr>
        <w:t>March 31, 2023</w:t>
      </w:r>
      <w:r>
        <w:rPr>
          <w:rFonts w:ascii="Arial" w:cs="Arial" w:eastAsia="Arial" w:hAnsi="Arial"/>
          <w:sz w:val="17"/>
          <w:szCs w:val="17"/>
          <w:color w:val="222222"/>
        </w:rPr>
        <w:t xml:space="preserve"> from $130.2 million for the comparable period in </w:t>
      </w:r>
      <w:r>
        <w:rPr>
          <w:rFonts w:ascii="Arial" w:cs="Arial" w:eastAsia="Arial" w:hAnsi="Arial"/>
          <w:sz w:val="17"/>
          <w:szCs w:val="17"/>
          <w:color w:val="000000"/>
        </w:rPr>
        <w:t>2022</w:t>
      </w:r>
      <w:r>
        <w:rPr>
          <w:rFonts w:ascii="Arial" w:cs="Arial" w:eastAsia="Arial" w:hAnsi="Arial"/>
          <w:sz w:val="17"/>
          <w:szCs w:val="17"/>
          <w:color w:val="222222"/>
        </w:rPr>
        <w:t xml:space="preserve">. The decrease in B2B revenue during the three months ended </w:t>
      </w:r>
      <w:r>
        <w:rPr>
          <w:rFonts w:ascii="Arial" w:cs="Arial" w:eastAsia="Arial" w:hAnsi="Arial"/>
          <w:sz w:val="17"/>
          <w:szCs w:val="17"/>
          <w:color w:val="000000"/>
        </w:rPr>
        <w:t>March 31, 2023</w:t>
      </w:r>
      <w:r>
        <w:rPr>
          <w:rFonts w:ascii="Arial" w:cs="Arial" w:eastAsia="Arial" w:hAnsi="Arial"/>
          <w:sz w:val="17"/>
          <w:szCs w:val="17"/>
          <w:color w:val="222222"/>
        </w:rPr>
        <w:t xml:space="preserve"> is driven mainly by year-over-year decrease in hosted services of $19.0 million. Included in hosted services is a decrease in revenue that is variable based on interactions and usage of approximately $17.1 million. The decrease in business revenue was driven by a decline in Health and Gainshare services. 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The revenue numbers above include $7.2 million and $9.1 million for the three months ended March 31 2023, and 2022, respectively, relating to Kasamba.</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222222"/>
        </w:rPr>
        <w:t xml:space="preserve">Our ARPU for our enterprise and mid-market customers was approximately $665,000 for the trailing twelve months ended </w:t>
      </w:r>
      <w:r>
        <w:rPr>
          <w:rFonts w:ascii="Arial" w:cs="Arial" w:eastAsia="Arial" w:hAnsi="Arial"/>
          <w:sz w:val="17"/>
          <w:szCs w:val="17"/>
          <w:color w:val="000000"/>
        </w:rPr>
        <w:t>March 31, 2023</w:t>
      </w:r>
      <w:r>
        <w:rPr>
          <w:rFonts w:ascii="Arial" w:cs="Arial" w:eastAsia="Arial" w:hAnsi="Arial"/>
          <w:sz w:val="17"/>
          <w:szCs w:val="17"/>
          <w:color w:val="222222"/>
        </w:rPr>
        <w:t>, as compared to approximately $645,000 for the comparable period in 2022. Revenue retention for our enterprise and mid-market customers on the Conversational Cloud was below our target range of 105% to 115% for the first quarter of 2023 and the comparable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9" w:name="page50"/>
    <w:bookmarkEnd w:id="49"/>
    <w:p>
      <w:pPr>
        <w:jc w:val="both"/>
        <w:ind w:right="100" w:firstLine="619"/>
        <w:spacing w:after="0" w:line="266"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5"/>
              </w:rPr>
              <w:t>Three Months Ended March 31,</w:t>
            </w:r>
          </w:p>
        </w:tc>
        <w:tc>
          <w:tcPr>
            <w:tcW w:w="1200" w:type="dxa"/>
            <w:vAlign w:val="bottom"/>
            <w:tcBorders>
              <w:bottom w:val="single" w:sz="8" w:color="auto"/>
            </w:tcBorders>
          </w:tcPr>
          <w:p>
            <w:pPr>
              <w:spacing w:after="0"/>
              <w:rPr>
                <w:sz w:val="16"/>
                <w:szCs w:val="16"/>
                <w:color w:val="auto"/>
              </w:rPr>
            </w:pPr>
          </w:p>
        </w:tc>
      </w:tr>
      <w:tr>
        <w:trPr>
          <w:trHeight w:val="188"/>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2023</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 Change</w:t>
            </w:r>
          </w:p>
        </w:tc>
      </w:tr>
      <w:tr>
        <w:trPr>
          <w:trHeight w:val="208"/>
        </w:trPr>
        <w:tc>
          <w:tcPr>
            <w:tcW w:w="6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right"/>
              <w:ind w:right="757"/>
              <w:spacing w:after="0"/>
              <w:rPr>
                <w:sz w:val="20"/>
                <w:szCs w:val="20"/>
                <w:color w:val="auto"/>
              </w:rPr>
            </w:pPr>
            <w:r>
              <w:rPr>
                <w:rFonts w:ascii="Arial" w:cs="Arial" w:eastAsia="Arial" w:hAnsi="Arial"/>
                <w:sz w:val="16"/>
                <w:szCs w:val="16"/>
                <w:color w:val="auto"/>
              </w:rPr>
              <w:t>(Dollar 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43,096</w:t>
            </w:r>
          </w:p>
        </w:tc>
        <w:tc>
          <w:tcPr>
            <w:tcW w:w="64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49,567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5"/>
        </w:trPr>
        <w:tc>
          <w:tcPr>
            <w:tcW w:w="6580" w:type="dxa"/>
            <w:vAlign w:val="bottom"/>
          </w:tcPr>
          <w:p>
            <w:pPr>
              <w:ind w:left="20"/>
              <w:spacing w:after="0"/>
              <w:rPr>
                <w:sz w:val="20"/>
                <w:szCs w:val="20"/>
                <w:color w:val="auto"/>
              </w:rPr>
            </w:pPr>
            <w:r>
              <w:rPr>
                <w:rFonts w:ascii="Arial" w:cs="Arial" w:eastAsia="Arial" w:hAnsi="Arial"/>
                <w:sz w:val="17"/>
                <w:szCs w:val="17"/>
                <w:color w:val="auto"/>
              </w:rPr>
              <w:t>Percentage of total revenue</w:t>
            </w:r>
          </w:p>
        </w:tc>
        <w:tc>
          <w:tcPr>
            <w:tcW w:w="340" w:type="dxa"/>
            <w:vAlign w:val="bottom"/>
          </w:tcPr>
          <w:p>
            <w:pPr>
              <w:spacing w:after="0"/>
              <w:rPr>
                <w:sz w:val="19"/>
                <w:szCs w:val="19"/>
                <w:color w:val="auto"/>
              </w:rPr>
            </w:pPr>
          </w:p>
        </w:tc>
        <w:tc>
          <w:tcPr>
            <w:tcW w:w="1600" w:type="dxa"/>
            <w:vAlign w:val="bottom"/>
            <w:gridSpan w:val="2"/>
          </w:tcPr>
          <w:p>
            <w:pPr>
              <w:jc w:val="right"/>
              <w:ind w:right="401"/>
              <w:spacing w:after="0"/>
              <w:rPr>
                <w:sz w:val="20"/>
                <w:szCs w:val="20"/>
                <w:color w:val="auto"/>
              </w:rPr>
            </w:pPr>
            <w:r>
              <w:rPr>
                <w:rFonts w:ascii="Arial" w:cs="Arial" w:eastAsia="Arial" w:hAnsi="Arial"/>
                <w:sz w:val="17"/>
                <w:szCs w:val="17"/>
                <w:color w:val="auto"/>
              </w:rPr>
              <w:t>40 %</w:t>
            </w:r>
          </w:p>
        </w:tc>
        <w:tc>
          <w:tcPr>
            <w:tcW w:w="1120" w:type="dxa"/>
            <w:vAlign w:val="bottom"/>
          </w:tcPr>
          <w:p>
            <w:pPr>
              <w:jc w:val="right"/>
              <w:spacing w:after="0"/>
              <w:rPr>
                <w:sz w:val="20"/>
                <w:szCs w:val="20"/>
                <w:color w:val="auto"/>
              </w:rPr>
            </w:pPr>
            <w:r>
              <w:rPr>
                <w:rFonts w:ascii="Arial" w:cs="Arial" w:eastAsia="Arial" w:hAnsi="Arial"/>
                <w:sz w:val="17"/>
                <w:szCs w:val="17"/>
                <w:color w:val="auto"/>
              </w:rPr>
              <w:t>38 %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Headcount (at period end)</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284" w:lineRule="exact"/>
        <w:rPr>
          <w:sz w:val="20"/>
          <w:szCs w:val="20"/>
          <w:color w:val="auto"/>
        </w:rPr>
      </w:pPr>
    </w:p>
    <w:p>
      <w:pPr>
        <w:jc w:val="both"/>
        <w:ind w:right="100" w:firstLine="619"/>
        <w:spacing w:after="0" w:line="258" w:lineRule="auto"/>
        <w:rPr>
          <w:sz w:val="20"/>
          <w:szCs w:val="20"/>
          <w:color w:val="auto"/>
        </w:rPr>
      </w:pPr>
      <w:r>
        <w:rPr>
          <w:rFonts w:ascii="Arial" w:cs="Arial" w:eastAsia="Arial" w:hAnsi="Arial"/>
          <w:sz w:val="17"/>
          <w:szCs w:val="17"/>
          <w:color w:val="auto"/>
        </w:rPr>
        <w:t>Cost of revenue decreased by 13% to $43.1 million for the three months ended March 31, 2023, from $49.6 million for the comparable period in 2022. This decrease in expense is primarily attributable to lower business services and outsourced subcontracted labor of approximately $8.3 million driven in part by reductions in Gainshare services, which power Conversational Commerce programs on behalf of customers. There was also a decrease in contingent compensation of approximately $0.7 million in conjunction with acquisitions as well as a decrease in credit card processing and bank fees of approximately $0.7 million. We recognized partially offsetting increases in expenses for software and hosting expenses of approximately $1.7 million, and in salary and employee related expenses of approximately $1.7 million.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24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gridSpan w:val="4"/>
          </w:tcPr>
          <w:p>
            <w:pPr>
              <w:ind w:left="40"/>
              <w:spacing w:after="0"/>
              <w:rPr>
                <w:sz w:val="20"/>
                <w:szCs w:val="20"/>
                <w:color w:val="auto"/>
              </w:rPr>
            </w:pPr>
            <w:r>
              <w:rPr>
                <w:rFonts w:ascii="Arial" w:cs="Arial" w:eastAsia="Arial" w:hAnsi="Arial"/>
                <w:sz w:val="15"/>
                <w:szCs w:val="15"/>
                <w:b w:val="1"/>
                <w:bCs w:val="1"/>
                <w:color w:val="auto"/>
                <w:w w:val="95"/>
              </w:rPr>
              <w:t>Three Months Ended March 31,</w:t>
            </w:r>
          </w:p>
        </w:tc>
        <w:tc>
          <w:tcPr>
            <w:tcW w:w="1200" w:type="dxa"/>
            <w:vAlign w:val="bottom"/>
          </w:tcPr>
          <w:p>
            <w:pPr>
              <w:spacing w:after="0"/>
              <w:rPr>
                <w:sz w:val="16"/>
                <w:szCs w:val="16"/>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2023</w:t>
            </w: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 Change</w:t>
            </w:r>
          </w:p>
        </w:tc>
      </w:tr>
      <w:tr>
        <w:trPr>
          <w:trHeight w:val="208"/>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gridSpan w:val="3"/>
          </w:tcPr>
          <w:p>
            <w:pPr>
              <w:jc w:val="right"/>
              <w:ind w:right="777"/>
              <w:spacing w:after="0"/>
              <w:rPr>
                <w:sz w:val="20"/>
                <w:szCs w:val="20"/>
                <w:color w:val="auto"/>
              </w:rPr>
            </w:pPr>
            <w:r>
              <w:rPr>
                <w:rFonts w:ascii="Arial" w:cs="Arial" w:eastAsia="Arial" w:hAnsi="Arial"/>
                <w:sz w:val="16"/>
                <w:szCs w:val="16"/>
                <w:color w:val="auto"/>
              </w:rPr>
              <w:t>(Dollar 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34,470</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58,132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8"/>
        </w:trPr>
        <w:tc>
          <w:tcPr>
            <w:tcW w:w="6540" w:type="dxa"/>
            <w:vAlign w:val="bottom"/>
          </w:tcPr>
          <w:p>
            <w:pPr>
              <w:ind w:left="20"/>
              <w:spacing w:after="0"/>
              <w:rPr>
                <w:sz w:val="20"/>
                <w:szCs w:val="20"/>
                <w:color w:val="auto"/>
              </w:rPr>
            </w:pPr>
            <w:r>
              <w:rPr>
                <w:rFonts w:ascii="Arial" w:cs="Arial" w:eastAsia="Arial" w:hAnsi="Arial"/>
                <w:sz w:val="17"/>
                <w:szCs w:val="17"/>
                <w:color w:val="auto"/>
              </w:rPr>
              <w:t>Percentage of total revenue</w:t>
            </w:r>
          </w:p>
        </w:tc>
        <w:tc>
          <w:tcPr>
            <w:tcW w:w="360" w:type="dxa"/>
            <w:vAlign w:val="bottom"/>
          </w:tcPr>
          <w:p>
            <w:pPr>
              <w:spacing w:after="0"/>
              <w:rPr>
                <w:sz w:val="18"/>
                <w:szCs w:val="18"/>
                <w:color w:val="auto"/>
              </w:rPr>
            </w:pPr>
          </w:p>
        </w:tc>
        <w:tc>
          <w:tcPr>
            <w:tcW w:w="1600" w:type="dxa"/>
            <w:vAlign w:val="bottom"/>
            <w:gridSpan w:val="2"/>
          </w:tcPr>
          <w:p>
            <w:pPr>
              <w:jc w:val="right"/>
              <w:ind w:right="401"/>
              <w:spacing w:after="0"/>
              <w:rPr>
                <w:sz w:val="20"/>
                <w:szCs w:val="20"/>
                <w:color w:val="auto"/>
              </w:rPr>
            </w:pPr>
            <w:r>
              <w:rPr>
                <w:rFonts w:ascii="Arial" w:cs="Arial" w:eastAsia="Arial" w:hAnsi="Arial"/>
                <w:sz w:val="17"/>
                <w:szCs w:val="17"/>
                <w:color w:val="auto"/>
              </w:rPr>
              <w:t>32 %</w:t>
            </w:r>
          </w:p>
        </w:tc>
        <w:tc>
          <w:tcPr>
            <w:tcW w:w="1140" w:type="dxa"/>
            <w:vAlign w:val="bottom"/>
          </w:tcPr>
          <w:p>
            <w:pPr>
              <w:jc w:val="right"/>
              <w:spacing w:after="0"/>
              <w:rPr>
                <w:sz w:val="20"/>
                <w:szCs w:val="20"/>
                <w:color w:val="auto"/>
              </w:rPr>
            </w:pPr>
            <w:r>
              <w:rPr>
                <w:rFonts w:ascii="Arial" w:cs="Arial" w:eastAsia="Arial" w:hAnsi="Arial"/>
                <w:sz w:val="17"/>
                <w:szCs w:val="17"/>
                <w:color w:val="auto"/>
              </w:rPr>
              <w:t>45 %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Headcount (at period end)</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6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717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bl>
    <w:p>
      <w:pPr>
        <w:spacing w:after="0" w:line="400" w:lineRule="exact"/>
        <w:rPr>
          <w:sz w:val="20"/>
          <w:szCs w:val="20"/>
          <w:color w:val="auto"/>
        </w:rPr>
      </w:pPr>
    </w:p>
    <w:p>
      <w:pPr>
        <w:jc w:val="both"/>
        <w:ind w:right="100" w:firstLine="619"/>
        <w:spacing w:after="0" w:line="259" w:lineRule="auto"/>
        <w:rPr>
          <w:sz w:val="20"/>
          <w:szCs w:val="20"/>
          <w:color w:val="auto"/>
        </w:rPr>
      </w:pPr>
      <w:r>
        <w:rPr>
          <w:rFonts w:ascii="Arial" w:cs="Arial" w:eastAsia="Arial" w:hAnsi="Arial"/>
          <w:sz w:val="17"/>
          <w:szCs w:val="17"/>
          <w:color w:val="auto"/>
        </w:rPr>
        <w:t>Sales and marketing expenses decreased by 41% to $34.5 million for the three months ended March 31, 2023 from $58.1 million for the comparable period in 2022. This decrease was primarily attributable to a decrease in salary and related employee expenses of approximately $12.6 million, a decrease in marketing expense of approximately $7.6 million, a decrease in business services and outsourced subcontracted labor of approximately $2.5 million, a decrease in software and hosting expenses of approximately $0.5 million, and a decrease in contingent compensation of approximately $0.4 million in conjunction with acquisitions.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4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Our general and administrative expenses consist of compensation and related expenses for executive, accounting, legal, human resources and administrative personnel, professional fees and other general corporate expenses.</w:t>
      </w:r>
    </w:p>
    <w:p>
      <w:pPr>
        <w:spacing w:after="0" w:line="82"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2023</w:t>
            </w: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w w:val="77"/>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 Change</w:t>
            </w:r>
          </w:p>
        </w:tc>
        <w:tc>
          <w:tcPr>
            <w:tcW w:w="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(Dollar 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31,447</w:t>
            </w:r>
          </w:p>
        </w:tc>
        <w:tc>
          <w:tcPr>
            <w:tcW w:w="900" w:type="dxa"/>
            <w:vAlign w:val="bottom"/>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29,735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Percentage of total revenue</w:t>
            </w:r>
          </w:p>
        </w:tc>
        <w:tc>
          <w:tcPr>
            <w:tcW w:w="340" w:type="dxa"/>
            <w:vAlign w:val="bottom"/>
          </w:tcPr>
          <w:p>
            <w:pPr>
              <w:spacing w:after="0"/>
              <w:rPr>
                <w:sz w:val="18"/>
                <w:szCs w:val="18"/>
                <w:color w:val="auto"/>
              </w:rPr>
            </w:pPr>
          </w:p>
        </w:tc>
        <w:tc>
          <w:tcPr>
            <w:tcW w:w="1860" w:type="dxa"/>
            <w:vAlign w:val="bottom"/>
            <w:gridSpan w:val="2"/>
          </w:tcPr>
          <w:p>
            <w:pPr>
              <w:jc w:val="right"/>
              <w:ind w:right="661"/>
              <w:spacing w:after="0"/>
              <w:rPr>
                <w:sz w:val="20"/>
                <w:szCs w:val="20"/>
                <w:color w:val="auto"/>
              </w:rPr>
            </w:pPr>
            <w:r>
              <w:rPr>
                <w:rFonts w:ascii="Arial" w:cs="Arial" w:eastAsia="Arial" w:hAnsi="Arial"/>
                <w:sz w:val="17"/>
                <w:szCs w:val="17"/>
                <w:color w:val="auto"/>
              </w:rPr>
              <w:t>29 %</w:t>
            </w:r>
          </w:p>
        </w:tc>
        <w:tc>
          <w:tcPr>
            <w:tcW w:w="880" w:type="dxa"/>
            <w:vAlign w:val="bottom"/>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Headcount (at period end)</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87" w:right="239" w:bottom="1440" w:gutter="0" w:footer="0" w:header="0"/>
        </w:sectPr>
      </w:pPr>
    </w:p>
    <w:bookmarkStart w:id="50" w:name="page51"/>
    <w:bookmarkEnd w:id="50"/>
    <w:p>
      <w:pPr>
        <w:jc w:val="both"/>
        <w:ind w:right="100" w:firstLine="619"/>
        <w:spacing w:after="0" w:line="246" w:lineRule="auto"/>
        <w:rPr>
          <w:sz w:val="20"/>
          <w:szCs w:val="20"/>
          <w:color w:val="auto"/>
        </w:rPr>
      </w:pPr>
      <w:r>
        <w:rPr>
          <w:rFonts w:ascii="Arial" w:cs="Arial" w:eastAsia="Arial" w:hAnsi="Arial"/>
          <w:sz w:val="17"/>
          <w:szCs w:val="17"/>
          <w:color w:val="auto"/>
        </w:rPr>
        <w:t>General and administrative expenses increased by 6% to $31.4 million for the three months ended March 31, 2023 from $29.7 million for the comparable period in 2022. This increase is primarily attributable to an increase in deal costs of approximately $11.5 million partially offset by a decrease in contingent compensation of approximately $5.3 million in conjunction with acquisitions and a decrease in salary and employee related expenses of approximately $3.2 million from restructuring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800" w:type="dxa"/>
            <w:vAlign w:val="bottom"/>
            <w:gridSpan w:val="17"/>
          </w:tcPr>
          <w:p>
            <w:pPr>
              <w:jc w:val="right"/>
              <w:spacing w:after="0"/>
              <w:rPr>
                <w:sz w:val="20"/>
                <w:szCs w:val="20"/>
                <w:color w:val="auto"/>
              </w:rPr>
            </w:pPr>
            <w:r>
              <w:rPr>
                <w:rFonts w:ascii="Arial" w:cs="Arial" w:eastAsia="Arial" w:hAnsi="Arial"/>
                <w:sz w:val="17"/>
                <w:szCs w:val="17"/>
                <w:color w:val="auto"/>
                <w:w w:val="91"/>
              </w:rPr>
              <w:t>Our product development expenses consist of compensation and related expenses for product development personnel as well as allocated occupancy costs</w:t>
            </w:r>
          </w:p>
        </w:tc>
      </w:tr>
      <w:tr>
        <w:trPr>
          <w:trHeight w:val="217"/>
        </w:trPr>
        <w:tc>
          <w:tcPr>
            <w:tcW w:w="440" w:type="dxa"/>
            <w:vAlign w:val="bottom"/>
          </w:tcPr>
          <w:p>
            <w:pPr>
              <w:spacing w:after="0"/>
              <w:rPr>
                <w:sz w:val="20"/>
                <w:szCs w:val="20"/>
                <w:color w:val="auto"/>
              </w:rPr>
            </w:pPr>
            <w:r>
              <w:rPr>
                <w:rFonts w:ascii="Arial" w:cs="Arial" w:eastAsia="Arial" w:hAnsi="Arial"/>
                <w:sz w:val="17"/>
                <w:szCs w:val="17"/>
                <w:color w:val="auto"/>
              </w:rPr>
              <w:t>and</w:t>
            </w:r>
          </w:p>
        </w:tc>
        <w:tc>
          <w:tcPr>
            <w:tcW w:w="840" w:type="dxa"/>
            <w:vAlign w:val="bottom"/>
          </w:tcPr>
          <w:p>
            <w:pPr>
              <w:ind w:left="180"/>
              <w:spacing w:after="0"/>
              <w:rPr>
                <w:sz w:val="20"/>
                <w:szCs w:val="20"/>
                <w:color w:val="auto"/>
              </w:rPr>
            </w:pPr>
            <w:r>
              <w:rPr>
                <w:rFonts w:ascii="Arial" w:cs="Arial" w:eastAsia="Arial" w:hAnsi="Arial"/>
                <w:sz w:val="17"/>
                <w:szCs w:val="17"/>
                <w:color w:val="auto"/>
              </w:rPr>
              <w:t>related</w:t>
            </w:r>
          </w:p>
        </w:tc>
        <w:tc>
          <w:tcPr>
            <w:tcW w:w="980" w:type="dxa"/>
            <w:vAlign w:val="bottom"/>
          </w:tcPr>
          <w:p>
            <w:pPr>
              <w:ind w:left="180"/>
              <w:spacing w:after="0"/>
              <w:rPr>
                <w:sz w:val="20"/>
                <w:szCs w:val="20"/>
                <w:color w:val="auto"/>
              </w:rPr>
            </w:pPr>
            <w:r>
              <w:rPr>
                <w:rFonts w:ascii="Arial" w:cs="Arial" w:eastAsia="Arial" w:hAnsi="Arial"/>
                <w:sz w:val="17"/>
                <w:szCs w:val="17"/>
                <w:color w:val="auto"/>
              </w:rPr>
              <w:t>overhead</w:t>
            </w:r>
          </w:p>
        </w:tc>
        <w:tc>
          <w:tcPr>
            <w:tcW w:w="620" w:type="dxa"/>
            <w:vAlign w:val="bottom"/>
          </w:tcPr>
          <w:p>
            <w:pPr>
              <w:ind w:left="200"/>
              <w:spacing w:after="0"/>
              <w:rPr>
                <w:sz w:val="20"/>
                <w:szCs w:val="20"/>
                <w:color w:val="auto"/>
              </w:rPr>
            </w:pPr>
            <w:r>
              <w:rPr>
                <w:rFonts w:ascii="Arial" w:cs="Arial" w:eastAsia="Arial" w:hAnsi="Arial"/>
                <w:sz w:val="17"/>
                <w:szCs w:val="17"/>
                <w:color w:val="auto"/>
              </w:rPr>
              <w:t>and</w:t>
            </w:r>
          </w:p>
        </w:tc>
        <w:tc>
          <w:tcPr>
            <w:tcW w:w="1120" w:type="dxa"/>
            <w:vAlign w:val="bottom"/>
          </w:tcPr>
          <w:p>
            <w:pPr>
              <w:ind w:left="180"/>
              <w:spacing w:after="0"/>
              <w:rPr>
                <w:sz w:val="20"/>
                <w:szCs w:val="20"/>
                <w:color w:val="auto"/>
              </w:rPr>
            </w:pPr>
            <w:r>
              <w:rPr>
                <w:rFonts w:ascii="Arial" w:cs="Arial" w:eastAsia="Arial" w:hAnsi="Arial"/>
                <w:sz w:val="17"/>
                <w:szCs w:val="17"/>
                <w:color w:val="auto"/>
              </w:rPr>
              <w:t>outsourced</w:t>
            </w:r>
          </w:p>
        </w:tc>
        <w:tc>
          <w:tcPr>
            <w:tcW w:w="720" w:type="dxa"/>
            <w:vAlign w:val="bottom"/>
          </w:tcPr>
          <w:p>
            <w:pPr>
              <w:ind w:left="180"/>
              <w:spacing w:after="0"/>
              <w:rPr>
                <w:sz w:val="20"/>
                <w:szCs w:val="20"/>
                <w:color w:val="auto"/>
              </w:rPr>
            </w:pPr>
            <w:r>
              <w:rPr>
                <w:rFonts w:ascii="Arial" w:cs="Arial" w:eastAsia="Arial" w:hAnsi="Arial"/>
                <w:sz w:val="17"/>
                <w:szCs w:val="17"/>
                <w:color w:val="auto"/>
              </w:rPr>
              <w:t>labor</w:t>
            </w:r>
          </w:p>
        </w:tc>
        <w:tc>
          <w:tcPr>
            <w:tcW w:w="620" w:type="dxa"/>
            <w:vAlign w:val="bottom"/>
          </w:tcPr>
          <w:p>
            <w:pPr>
              <w:ind w:left="200"/>
              <w:spacing w:after="0"/>
              <w:rPr>
                <w:sz w:val="20"/>
                <w:szCs w:val="20"/>
                <w:color w:val="auto"/>
              </w:rPr>
            </w:pPr>
            <w:r>
              <w:rPr>
                <w:rFonts w:ascii="Arial" w:cs="Arial" w:eastAsia="Arial" w:hAnsi="Arial"/>
                <w:sz w:val="17"/>
                <w:szCs w:val="17"/>
                <w:color w:val="auto"/>
              </w:rPr>
              <w:t>and</w:t>
            </w:r>
          </w:p>
        </w:tc>
        <w:tc>
          <w:tcPr>
            <w:tcW w:w="980" w:type="dxa"/>
            <w:vAlign w:val="bottom"/>
          </w:tcPr>
          <w:p>
            <w:pPr>
              <w:ind w:left="180"/>
              <w:spacing w:after="0"/>
              <w:rPr>
                <w:sz w:val="20"/>
                <w:szCs w:val="20"/>
                <w:color w:val="auto"/>
              </w:rPr>
            </w:pPr>
            <w:r>
              <w:rPr>
                <w:rFonts w:ascii="Arial" w:cs="Arial" w:eastAsia="Arial" w:hAnsi="Arial"/>
                <w:sz w:val="17"/>
                <w:szCs w:val="17"/>
                <w:color w:val="auto"/>
              </w:rPr>
              <w:t>expenses</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for</w:t>
            </w:r>
          </w:p>
        </w:tc>
        <w:tc>
          <w:tcPr>
            <w:tcW w:w="960" w:type="dxa"/>
            <w:vAlign w:val="bottom"/>
          </w:tcPr>
          <w:p>
            <w:pPr>
              <w:jc w:val="right"/>
              <w:ind w:right="238"/>
              <w:spacing w:after="0"/>
              <w:rPr>
                <w:sz w:val="20"/>
                <w:szCs w:val="20"/>
                <w:color w:val="auto"/>
              </w:rPr>
            </w:pPr>
            <w:r>
              <w:rPr>
                <w:rFonts w:ascii="Arial" w:cs="Arial" w:eastAsia="Arial" w:hAnsi="Arial"/>
                <w:sz w:val="17"/>
                <w:szCs w:val="17"/>
                <w:color w:val="auto"/>
              </w:rPr>
              <w:t>testing</w:t>
            </w:r>
          </w:p>
        </w:tc>
        <w:tc>
          <w:tcPr>
            <w:tcW w:w="540" w:type="dxa"/>
            <w:vAlign w:val="bottom"/>
          </w:tcPr>
          <w:p>
            <w:pPr>
              <w:ind w:left="40"/>
              <w:spacing w:after="0"/>
              <w:rPr>
                <w:sz w:val="20"/>
                <w:szCs w:val="20"/>
                <w:color w:val="auto"/>
              </w:rPr>
            </w:pPr>
            <w:r>
              <w:rPr>
                <w:rFonts w:ascii="Arial" w:cs="Arial" w:eastAsia="Arial" w:hAnsi="Arial"/>
                <w:sz w:val="17"/>
                <w:szCs w:val="17"/>
                <w:color w:val="auto"/>
              </w:rPr>
              <w:t>new</w:t>
            </w:r>
          </w:p>
        </w:tc>
        <w:tc>
          <w:tcPr>
            <w:tcW w:w="760" w:type="dxa"/>
            <w:vAlign w:val="bottom"/>
          </w:tcPr>
          <w:p>
            <w:pPr>
              <w:jc w:val="right"/>
              <w:spacing w:after="0"/>
              <w:rPr>
                <w:sz w:val="20"/>
                <w:szCs w:val="20"/>
                <w:color w:val="auto"/>
              </w:rPr>
            </w:pPr>
            <w:r>
              <w:rPr>
                <w:rFonts w:ascii="Arial" w:cs="Arial" w:eastAsia="Arial" w:hAnsi="Arial"/>
                <w:sz w:val="17"/>
                <w:szCs w:val="17"/>
                <w:color w:val="auto"/>
              </w:rPr>
              <w:t>versions</w:t>
            </w:r>
          </w:p>
        </w:tc>
        <w:tc>
          <w:tcPr>
            <w:tcW w:w="800" w:type="dxa"/>
            <w:vAlign w:val="bottom"/>
            <w:gridSpan w:val="3"/>
          </w:tcPr>
          <w:p>
            <w:pPr>
              <w:ind w:left="340"/>
              <w:spacing w:after="0"/>
              <w:rPr>
                <w:sz w:val="20"/>
                <w:szCs w:val="20"/>
                <w:color w:val="auto"/>
              </w:rPr>
            </w:pPr>
            <w:r>
              <w:rPr>
                <w:rFonts w:ascii="Arial" w:cs="Arial" w:eastAsia="Arial" w:hAnsi="Arial"/>
                <w:sz w:val="17"/>
                <w:szCs w:val="17"/>
                <w:color w:val="auto"/>
              </w:rPr>
              <w:t>of</w:t>
            </w:r>
          </w:p>
        </w:tc>
        <w:tc>
          <w:tcPr>
            <w:tcW w:w="460" w:type="dxa"/>
            <w:vAlign w:val="bottom"/>
          </w:tcPr>
          <w:p>
            <w:pPr>
              <w:ind w:left="60"/>
              <w:spacing w:after="0"/>
              <w:rPr>
                <w:sz w:val="20"/>
                <w:szCs w:val="20"/>
                <w:color w:val="auto"/>
              </w:rPr>
            </w:pPr>
            <w:r>
              <w:rPr>
                <w:rFonts w:ascii="Arial" w:cs="Arial" w:eastAsia="Arial" w:hAnsi="Arial"/>
                <w:sz w:val="17"/>
                <w:szCs w:val="17"/>
                <w:color w:val="auto"/>
              </w:rPr>
              <w:t>our</w:t>
            </w:r>
          </w:p>
        </w:tc>
        <w:tc>
          <w:tcPr>
            <w:tcW w:w="820" w:type="dxa"/>
            <w:vAlign w:val="bottom"/>
          </w:tcPr>
          <w:p>
            <w:pPr>
              <w:jc w:val="right"/>
              <w:spacing w:after="0"/>
              <w:rPr>
                <w:sz w:val="20"/>
                <w:szCs w:val="20"/>
                <w:color w:val="auto"/>
              </w:rPr>
            </w:pPr>
            <w:r>
              <w:rPr>
                <w:rFonts w:ascii="Arial" w:cs="Arial" w:eastAsia="Arial" w:hAnsi="Arial"/>
                <w:sz w:val="17"/>
                <w:szCs w:val="17"/>
                <w:color w:val="auto"/>
              </w:rPr>
              <w:t>software.</w:t>
            </w:r>
          </w:p>
        </w:tc>
      </w:tr>
      <w:tr>
        <w:trPr>
          <w:trHeight w:val="217"/>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w w:val="91"/>
              </w:rPr>
              <w:t>Three Months Ended March 31,</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8"/>
        </w:trPr>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2023</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5"/>
                <w:szCs w:val="15"/>
                <w:b w:val="1"/>
                <w:bCs w:val="1"/>
                <w:color w:val="auto"/>
              </w:rPr>
              <w:t>% Change</w:t>
            </w:r>
          </w:p>
        </w:tc>
      </w:tr>
      <w:tr>
        <w:trPr>
          <w:trHeight w:val="198"/>
        </w:trPr>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gridSpan w:val="3"/>
          </w:tcPr>
          <w:p>
            <w:pPr>
              <w:jc w:val="right"/>
              <w:ind w:right="318"/>
              <w:spacing w:after="0"/>
              <w:rPr>
                <w:sz w:val="20"/>
                <w:szCs w:val="20"/>
                <w:color w:val="auto"/>
              </w:rPr>
            </w:pPr>
            <w:r>
              <w:rPr>
                <w:rFonts w:ascii="Arial" w:cs="Arial" w:eastAsia="Arial" w:hAnsi="Arial"/>
                <w:sz w:val="15"/>
                <w:szCs w:val="15"/>
                <w:color w:val="auto"/>
              </w:rPr>
              <w:t>(Dollar in thousands)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5"/>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Product development</w:t>
            </w:r>
          </w:p>
        </w:tc>
        <w:tc>
          <w:tcPr>
            <w:tcW w:w="6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36,519</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56,072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2260" w:type="dxa"/>
            <w:vAlign w:val="bottom"/>
            <w:gridSpan w:val="3"/>
          </w:tcPr>
          <w:p>
            <w:pPr>
              <w:ind w:left="20"/>
              <w:spacing w:after="0"/>
              <w:rPr>
                <w:sz w:val="20"/>
                <w:szCs w:val="20"/>
                <w:color w:val="auto"/>
              </w:rPr>
            </w:pPr>
            <w:r>
              <w:rPr>
                <w:rFonts w:ascii="Arial" w:cs="Arial" w:eastAsia="Arial" w:hAnsi="Arial"/>
                <w:sz w:val="17"/>
                <w:szCs w:val="17"/>
                <w:color w:val="auto"/>
              </w:rPr>
              <w:t>Percentage of total revenue</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98"/>
              <w:spacing w:after="0"/>
              <w:rPr>
                <w:sz w:val="20"/>
                <w:szCs w:val="20"/>
                <w:color w:val="auto"/>
              </w:rPr>
            </w:pPr>
            <w:r>
              <w:rPr>
                <w:rFonts w:ascii="Arial" w:cs="Arial" w:eastAsia="Arial" w:hAnsi="Arial"/>
                <w:sz w:val="17"/>
                <w:szCs w:val="17"/>
                <w:color w:val="auto"/>
              </w:rPr>
              <w:t>34 %</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Headcount (at period end)</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1"/>
              </w:rPr>
              <w:t>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bl>
    <w:p>
      <w:pPr>
        <w:spacing w:after="0" w:line="310" w:lineRule="exact"/>
        <w:rPr>
          <w:sz w:val="20"/>
          <w:szCs w:val="20"/>
          <w:color w:val="auto"/>
        </w:rPr>
      </w:pPr>
    </w:p>
    <w:p>
      <w:pPr>
        <w:jc w:val="both"/>
        <w:ind w:right="100" w:firstLine="619"/>
        <w:spacing w:after="0" w:line="283" w:lineRule="auto"/>
        <w:rPr>
          <w:sz w:val="20"/>
          <w:szCs w:val="20"/>
          <w:color w:val="auto"/>
        </w:rPr>
      </w:pPr>
      <w:r>
        <w:rPr>
          <w:rFonts w:ascii="Arial" w:cs="Arial" w:eastAsia="Arial" w:hAnsi="Arial"/>
          <w:sz w:val="16"/>
          <w:szCs w:val="16"/>
          <w:color w:val="auto"/>
        </w:rPr>
        <w:t>Product development costs decreased by 35% to $36.5 million for the three months ended March 31, 2023 from $56.1 million for the comparable period in 2022. This decrease is primarily related to a decrease in salaries and employee related expenses of approximately $15.5 million, a decrease in contingent compensation of approximately $2.7 million in conjunction with acquisitions, and a decrease in business services and outsourcing subcontracted labor of approximately $2.4 million, partially offset by an increase in software and hosting expenses of approximately $1.2 million.</w:t>
      </w:r>
    </w:p>
    <w:p>
      <w:pPr>
        <w:spacing w:after="0" w:line="176" w:lineRule="exact"/>
        <w:rPr>
          <w:sz w:val="20"/>
          <w:szCs w:val="20"/>
          <w:color w:val="auto"/>
        </w:rPr>
      </w:pPr>
    </w:p>
    <w:p>
      <w:pPr>
        <w:ind w:right="100" w:firstLine="619"/>
        <w:spacing w:after="0" w:line="250" w:lineRule="auto"/>
        <w:rPr>
          <w:sz w:val="20"/>
          <w:szCs w:val="20"/>
          <w:color w:val="auto"/>
        </w:rPr>
      </w:pPr>
      <w:r>
        <w:rPr>
          <w:rFonts w:ascii="Arial" w:cs="Arial" w:eastAsia="Arial" w:hAnsi="Arial"/>
          <w:sz w:val="17"/>
          <w:szCs w:val="17"/>
          <w:color w:val="auto"/>
        </w:rPr>
        <w:t>We continue to invest in new product development efforts to expand the capability of Conversational Cloud. Upon completion, the project costs will be depreciated over five years. For the three months ended March 31, 2023, $8.1 million was capitalized for software development costs, compared to $9.8 million for the comparable period in 2022.</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Costs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Restructuring costs consist of reprioritizing and reallocating resources to focus on areas believed to show high growth potential.</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0"/>
              </w:rPr>
              <w:t>Three Months Ended March 31,</w:t>
            </w:r>
          </w:p>
        </w:tc>
        <w:tc>
          <w:tcPr>
            <w:tcW w:w="680" w:type="dxa"/>
            <w:vAlign w:val="bottom"/>
          </w:tcPr>
          <w:p>
            <w:pPr>
              <w:spacing w:after="0"/>
              <w:rPr>
                <w:sz w:val="16"/>
                <w:szCs w:val="16"/>
                <w:color w:val="auto"/>
              </w:rPr>
            </w:pPr>
          </w:p>
        </w:tc>
      </w:tr>
      <w:tr>
        <w:trPr>
          <w:trHeight w:val="20"/>
        </w:trPr>
        <w:tc>
          <w:tcPr>
            <w:tcW w:w="6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5"/>
        </w:trPr>
        <w:tc>
          <w:tcPr>
            <w:tcW w:w="6560" w:type="dxa"/>
            <w:vAlign w:val="bottom"/>
          </w:tcPr>
          <w:p>
            <w:pPr>
              <w:spacing w:after="0"/>
              <w:rPr>
                <w:sz w:val="16"/>
                <w:szCs w:val="16"/>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2023</w:t>
            </w: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w w:val="83"/>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98"/>
              </w:rPr>
              <w:t>% Chan</w:t>
            </w:r>
          </w:p>
        </w:tc>
      </w:tr>
      <w:tr>
        <w:trPr>
          <w:trHeight w:val="198"/>
        </w:trPr>
        <w:tc>
          <w:tcPr>
            <w:tcW w:w="656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5"/>
                <w:szCs w:val="15"/>
                <w:color w:val="auto"/>
              </w:rPr>
              <w:t>(Dollar 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w:t>
            </w:r>
          </w:p>
        </w:tc>
        <w:tc>
          <w:tcPr>
            <w:tcW w:w="880" w:type="dxa"/>
            <w:vAlign w:val="bottom"/>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8"/>
        </w:trPr>
        <w:tc>
          <w:tcPr>
            <w:tcW w:w="6560" w:type="dxa"/>
            <w:vAlign w:val="bottom"/>
          </w:tcPr>
          <w:p>
            <w:pPr>
              <w:ind w:left="20"/>
              <w:spacing w:after="0"/>
              <w:rPr>
                <w:sz w:val="20"/>
                <w:szCs w:val="20"/>
                <w:color w:val="auto"/>
              </w:rPr>
            </w:pPr>
            <w:r>
              <w:rPr>
                <w:rFonts w:ascii="Arial" w:cs="Arial" w:eastAsia="Arial" w:hAnsi="Arial"/>
                <w:sz w:val="17"/>
                <w:szCs w:val="17"/>
                <w:color w:val="auto"/>
              </w:rPr>
              <w:t>Percentage of total revenue</w:t>
            </w:r>
          </w:p>
        </w:tc>
        <w:tc>
          <w:tcPr>
            <w:tcW w:w="2200" w:type="dxa"/>
            <w:vAlign w:val="bottom"/>
            <w:gridSpan w:val="2"/>
          </w:tcPr>
          <w:p>
            <w:pPr>
              <w:jc w:val="right"/>
              <w:ind w:right="641"/>
              <w:spacing w:after="0"/>
              <w:rPr>
                <w:sz w:val="20"/>
                <w:szCs w:val="20"/>
                <w:color w:val="auto"/>
              </w:rPr>
            </w:pPr>
            <w:r>
              <w:rPr>
                <w:rFonts w:ascii="Arial" w:cs="Arial" w:eastAsia="Arial" w:hAnsi="Arial"/>
                <w:sz w:val="17"/>
                <w:szCs w:val="17"/>
                <w:color w:val="auto"/>
              </w:rPr>
              <w:t>11 %</w:t>
            </w:r>
          </w:p>
        </w:tc>
        <w:tc>
          <w:tcPr>
            <w:tcW w:w="1280" w:type="dxa"/>
            <w:vAlign w:val="bottom"/>
            <w:gridSpan w:val="3"/>
          </w:tcPr>
          <w:p>
            <w:pPr>
              <w:ind w:left="520"/>
              <w:spacing w:after="0"/>
              <w:rPr>
                <w:sz w:val="20"/>
                <w:szCs w:val="20"/>
                <w:color w:val="auto"/>
              </w:rPr>
            </w:pPr>
            <w:r>
              <w:rPr>
                <w:rFonts w:ascii="Arial" w:cs="Arial" w:eastAsia="Arial" w:hAnsi="Arial"/>
                <w:sz w:val="17"/>
                <w:szCs w:val="17"/>
                <w:color w:val="auto"/>
              </w:rPr>
              <w:t>— %</w:t>
            </w:r>
          </w:p>
        </w:tc>
        <w:tc>
          <w:tcPr>
            <w:tcW w:w="680" w:type="dxa"/>
            <w:vAlign w:val="bottom"/>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100" w:firstLine="619"/>
        <w:spacing w:after="0" w:line="295" w:lineRule="auto"/>
        <w:rPr>
          <w:sz w:val="20"/>
          <w:szCs w:val="20"/>
          <w:color w:val="auto"/>
        </w:rPr>
      </w:pPr>
      <w:r>
        <w:rPr>
          <w:rFonts w:ascii="Arial" w:cs="Arial" w:eastAsia="Arial" w:hAnsi="Arial"/>
          <w:sz w:val="16"/>
          <w:szCs w:val="16"/>
          <w:color w:val="auto"/>
        </w:rPr>
        <w:t>Restructuring costs increased by 100% to $11.5 million during the three months ended March 31, 2023 from less than $0.1 million for the comparable period in 2022. This increase is primarily attributed to an increase in restructuring costs for severance and other related compensation costs. Starting in the second quarter of 2022, we began a restructuring initiative to realign our cost structure to better reflect significant product and business model innovation and changes over the past year due to acquisitions and various other factors outside our control. In the first quarter of 2023, due to the changing technology landscape related to the evolution LLMs we have been able to identify significant cost savings because it is no longer necessary to employ people to build bots as this newest generation of LLMs are able to build a bot in minutes. Additionally, we have moved to a product-led growth structure where we flattened the organization to align to more efficient sales and service support ratios. Overall, we have reoriented our global product and engineering organization for greater efficiency and focus, and reallocated some spending to increase our investment in customer success and go-to-market initiatives. We believe these key initiatives will better align resources to provide further operating flexibility and position the business for long-term success.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42"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t>Amortization of Purchased Intangibles</w:t>
      </w:r>
    </w:p>
    <w:p>
      <w:pPr>
        <w:spacing w:after="0" w:line="135" w:lineRule="exact"/>
        <w:rPr>
          <w:sz w:val="20"/>
          <w:szCs w:val="20"/>
          <w:color w:val="auto"/>
        </w:rPr>
      </w:pPr>
    </w:p>
    <w:p>
      <w:pPr>
        <w:ind w:left="8520"/>
        <w:spacing w:after="0"/>
        <w:rPr>
          <w:sz w:val="20"/>
          <w:szCs w:val="20"/>
          <w:color w:val="auto"/>
        </w:rPr>
      </w:pPr>
      <w:r>
        <w:rPr>
          <w:rFonts w:ascii="Arial" w:cs="Arial" w:eastAsia="Arial" w:hAnsi="Arial"/>
          <w:sz w:val="15"/>
          <w:szCs w:val="15"/>
          <w:b w:val="1"/>
          <w:bCs w:val="1"/>
          <w:color w:val="auto"/>
        </w:rPr>
        <w:t>Three Months Ended March 31,</w:t>
      </w:r>
    </w:p>
    <w:p>
      <w:pPr>
        <w:spacing w:after="0" w:line="18"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5"/>
                <w:szCs w:val="15"/>
                <w:b w:val="1"/>
                <w:bCs w:val="1"/>
                <w:color w:val="auto"/>
                <w:w w:val="98"/>
              </w:rPr>
              <w:t>% Chan</w:t>
            </w:r>
          </w:p>
        </w:tc>
      </w:tr>
      <w:tr>
        <w:trPr>
          <w:trHeight w:val="219"/>
        </w:trPr>
        <w:tc>
          <w:tcPr>
            <w:tcW w:w="6560" w:type="dxa"/>
            <w:vAlign w:val="bottom"/>
          </w:tcPr>
          <w:p>
            <w:pPr>
              <w:spacing w:after="0"/>
              <w:rPr>
                <w:sz w:val="19"/>
                <w:szCs w:val="19"/>
                <w:color w:val="auto"/>
              </w:rPr>
            </w:pPr>
          </w:p>
        </w:tc>
        <w:tc>
          <w:tcPr>
            <w:tcW w:w="2500" w:type="dxa"/>
            <w:vAlign w:val="bottom"/>
            <w:gridSpan w:val="3"/>
          </w:tcPr>
          <w:p>
            <w:pPr>
              <w:jc w:val="right"/>
              <w:ind w:right="141"/>
              <w:spacing w:after="0"/>
              <w:rPr>
                <w:sz w:val="20"/>
                <w:szCs w:val="20"/>
                <w:color w:val="auto"/>
              </w:rPr>
            </w:pPr>
            <w:r>
              <w:rPr>
                <w:rFonts w:ascii="Arial" w:cs="Arial" w:eastAsia="Arial" w:hAnsi="Arial"/>
                <w:sz w:val="17"/>
                <w:szCs w:val="17"/>
                <w:color w:val="auto"/>
              </w:rPr>
              <w:t>(Dollar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purchased intangibles</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874</w:t>
            </w:r>
          </w:p>
        </w:tc>
        <w:tc>
          <w:tcPr>
            <w:tcW w:w="96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1,841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8"/>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580" w:type="dxa"/>
            <w:vAlign w:val="bottom"/>
          </w:tcPr>
          <w:p>
            <w:pPr>
              <w:jc w:val="right"/>
              <w:spacing w:after="0"/>
              <w:rPr>
                <w:sz w:val="20"/>
                <w:szCs w:val="20"/>
                <w:color w:val="auto"/>
              </w:rPr>
            </w:pPr>
            <w:r>
              <w:rPr>
                <w:rFonts w:ascii="Arial" w:cs="Arial" w:eastAsia="Arial" w:hAnsi="Arial"/>
                <w:sz w:val="17"/>
                <w:szCs w:val="17"/>
                <w:color w:val="auto"/>
              </w:rPr>
              <w:t>1 %</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8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Amortization expense for purchased intangibles decreased by 53% to $0.9 million for the three months ended March 31, 2023 from $1.8 million for the comparable period in 2022. The decrease is primarily attributable to LP Auto Technology Intangible becoming fully amortized in 2022.</w:t>
      </w:r>
    </w:p>
    <w:p>
      <w:pPr>
        <w:spacing w:after="0" w:line="190"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Additional amortization expense, inclusive of purchased intangibles and finance leases in the amount of $4.6 million and $4.4 million for the three months ended March 31, 2023 and 2022 is included in cost of revenue.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43"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Other expense, net consists of interest income on cash and cash equivalents, investment income and financial (expense) income which is a result of currency rate fluctuations associated with exchange rate movement of the U.S. dollar against the New Israeli Shekel (“NIS”), British Pound, Euro, Australian Dollar, and Japanese Yen.</w:t>
      </w: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00"/>
              <w:spacing w:after="0"/>
              <w:rPr>
                <w:sz w:val="20"/>
                <w:szCs w:val="20"/>
                <w:color w:val="auto"/>
              </w:rPr>
            </w:pPr>
            <w:r>
              <w:rPr>
                <w:rFonts w:ascii="Arial" w:cs="Arial" w:eastAsia="Arial" w:hAnsi="Arial"/>
                <w:sz w:val="15"/>
                <w:szCs w:val="15"/>
                <w:b w:val="1"/>
                <w:bCs w:val="1"/>
                <w:color w:val="auto"/>
                <w:w w:val="92"/>
              </w:rPr>
              <w:t>Three Months Ended March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7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 Chang</w:t>
            </w:r>
          </w:p>
        </w:tc>
        <w:tc>
          <w:tcPr>
            <w:tcW w:w="20" w:type="dxa"/>
            <w:vAlign w:val="bottom"/>
          </w:tcPr>
          <w:p>
            <w:pPr>
              <w:spacing w:after="0"/>
              <w:rPr>
                <w:sz w:val="16"/>
                <w:szCs w:val="16"/>
                <w:color w:val="auto"/>
              </w:rPr>
            </w:pPr>
          </w:p>
        </w:tc>
      </w:tr>
      <w:tr>
        <w:trPr>
          <w:trHeight w:val="198"/>
        </w:trPr>
        <w:tc>
          <w:tcPr>
            <w:tcW w:w="6780" w:type="dxa"/>
            <w:vAlign w:val="bottom"/>
          </w:tcPr>
          <w:p>
            <w:pPr>
              <w:spacing w:after="0"/>
              <w:rPr>
                <w:sz w:val="17"/>
                <w:szCs w:val="17"/>
                <w:color w:val="auto"/>
              </w:rPr>
            </w:pPr>
          </w:p>
        </w:tc>
        <w:tc>
          <w:tcPr>
            <w:tcW w:w="2380" w:type="dxa"/>
            <w:vAlign w:val="bottom"/>
            <w:gridSpan w:val="4"/>
          </w:tcPr>
          <w:p>
            <w:pPr>
              <w:jc w:val="right"/>
              <w:ind w:right="300"/>
              <w:spacing w:after="0"/>
              <w:rPr>
                <w:sz w:val="20"/>
                <w:szCs w:val="20"/>
                <w:color w:val="auto"/>
              </w:rPr>
            </w:pPr>
            <w:r>
              <w:rPr>
                <w:rFonts w:ascii="Arial" w:cs="Arial" w:eastAsia="Arial" w:hAnsi="Arial"/>
                <w:sz w:val="15"/>
                <w:szCs w:val="15"/>
                <w:color w:val="auto"/>
              </w:rPr>
              <w:t>(Dollar in thousands)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(expense), net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14,662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16,463</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r>
    </w:tbl>
    <w:p>
      <w:pPr>
        <w:spacing w:after="0" w:line="233"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For the three months ended March 31, 2023, Other income (expense), net included a gain of $6.1 million of debt repurchase of the Convertible Senior Notes 2024 and a $10 million gain for a legal settlement.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(Benefit from) Income Taxes</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20" w:type="dxa"/>
            <w:vAlign w:val="bottom"/>
            <w:gridSpan w:val="6"/>
          </w:tcPr>
          <w:p>
            <w:pPr>
              <w:ind w:left="360"/>
              <w:spacing w:after="0"/>
              <w:rPr>
                <w:sz w:val="20"/>
                <w:szCs w:val="20"/>
                <w:color w:val="auto"/>
              </w:rPr>
            </w:pPr>
            <w:r>
              <w:rPr>
                <w:rFonts w:ascii="Arial" w:cs="Arial" w:eastAsia="Arial" w:hAnsi="Arial"/>
                <w:sz w:val="15"/>
                <w:szCs w:val="15"/>
                <w:b w:val="1"/>
                <w:bCs w:val="1"/>
                <w:color w:val="auto"/>
              </w:rPr>
              <w:t>Three Months Ended March 31,</w:t>
            </w:r>
          </w:p>
        </w:tc>
      </w:tr>
      <w:tr>
        <w:trPr>
          <w:trHeight w:val="188"/>
        </w:trPr>
        <w:tc>
          <w:tcPr>
            <w:tcW w:w="67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5"/>
                <w:szCs w:val="15"/>
                <w:b w:val="1"/>
                <w:bCs w:val="1"/>
                <w:color w:val="auto"/>
                <w:w w:val="84"/>
              </w:rPr>
              <w:t>% Chang</w:t>
            </w:r>
          </w:p>
        </w:tc>
        <w:tc>
          <w:tcPr>
            <w:tcW w:w="20" w:type="dxa"/>
            <w:vAlign w:val="bottom"/>
          </w:tcPr>
          <w:p>
            <w:pPr>
              <w:spacing w:after="0"/>
              <w:rPr>
                <w:sz w:val="16"/>
                <w:szCs w:val="16"/>
                <w:color w:val="auto"/>
              </w:rPr>
            </w:pPr>
          </w:p>
        </w:tc>
      </w:tr>
      <w:tr>
        <w:trPr>
          <w:trHeight w:val="208"/>
        </w:trPr>
        <w:tc>
          <w:tcPr>
            <w:tcW w:w="6740" w:type="dxa"/>
            <w:vAlign w:val="bottom"/>
          </w:tcPr>
          <w:p>
            <w:pPr>
              <w:spacing w:after="0"/>
              <w:rPr>
                <w:sz w:val="18"/>
                <w:szCs w:val="18"/>
                <w:color w:val="auto"/>
              </w:rPr>
            </w:pPr>
          </w:p>
        </w:tc>
        <w:tc>
          <w:tcPr>
            <w:tcW w:w="2400" w:type="dxa"/>
            <w:vAlign w:val="bottom"/>
            <w:gridSpan w:val="3"/>
          </w:tcPr>
          <w:p>
            <w:pPr>
              <w:jc w:val="right"/>
              <w:ind w:right="201"/>
              <w:spacing w:after="0"/>
              <w:rPr>
                <w:sz w:val="20"/>
                <w:szCs w:val="20"/>
                <w:color w:val="auto"/>
              </w:rPr>
            </w:pPr>
            <w:r>
              <w:rPr>
                <w:rFonts w:ascii="Arial" w:cs="Arial" w:eastAsia="Arial" w:hAnsi="Arial"/>
                <w:sz w:val="16"/>
                <w:szCs w:val="16"/>
                <w:color w:val="auto"/>
              </w:rPr>
              <w:t>(Dollar 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3"/>
              </w:rPr>
              <w:t>1,214</w:t>
            </w:r>
          </w:p>
        </w:tc>
        <w:tc>
          <w:tcPr>
            <w:tcW w:w="100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bl>
    <w:p>
      <w:pPr>
        <w:spacing w:after="0" w:line="181" w:lineRule="exact"/>
        <w:rPr>
          <w:sz w:val="20"/>
          <w:szCs w:val="20"/>
          <w:color w:val="auto"/>
        </w:rPr>
      </w:pPr>
    </w:p>
    <w:p>
      <w:pPr>
        <w:jc w:val="both"/>
        <w:ind w:right="100" w:firstLine="619"/>
        <w:spacing w:after="0" w:line="312" w:lineRule="auto"/>
        <w:rPr>
          <w:sz w:val="20"/>
          <w:szCs w:val="20"/>
          <w:color w:val="auto"/>
        </w:rPr>
      </w:pPr>
      <w:r>
        <w:rPr>
          <w:rFonts w:ascii="Arial" w:cs="Arial" w:eastAsia="Arial" w:hAnsi="Arial"/>
          <w:sz w:val="16"/>
          <w:szCs w:val="16"/>
          <w:color w:val="auto"/>
        </w:rPr>
        <w:t>Provision for income taxes was $1.2 million and a benefit from income taxes of $0.2 million for the three months ended March 31, 2023 and 2022, respectively. Our consolidated effective tax rate was impacted by the statutory income tax rates applicable to each of the jurisdictions in which we operate.</w:t>
      </w:r>
    </w:p>
    <w:p>
      <w:pPr>
        <w:spacing w:after="0" w:line="166"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6"/>
          <w:szCs w:val="16"/>
          <w:color w:val="auto"/>
        </w:rPr>
        <w:t>The tax provision of $1.2 million for the period was made up of a tax benefit for the period on operating earnings, a stock compensation tax deficiency related to the stock compensation arrangements of LivePerson, Inc., LivePerson (UK) Ltd., and LivePerson Ltd. (Israel), and a provision related to an increase in valuation allowance on deferred tax assets resulting from a release of Kasamba’s deferred tax liabilities as a result of the Kasamba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55" w:right="239" w:bottom="1440" w:gutter="0" w:footer="0" w:header="0"/>
        </w:sectPr>
      </w:pPr>
    </w:p>
    <w:bookmarkStart w:id="52" w:name="page53"/>
    <w:bookmarkEnd w:id="52"/>
    <w:p>
      <w:pPr>
        <w:jc w:val="center"/>
        <w:ind w:left="400"/>
        <w:spacing w:after="0"/>
        <w:rPr>
          <w:sz w:val="20"/>
          <w:szCs w:val="20"/>
          <w:color w:val="auto"/>
        </w:rPr>
      </w:pPr>
      <w:r>
        <w:rPr>
          <w:rFonts w:ascii="Arial" w:cs="Arial" w:eastAsia="Arial" w:hAnsi="Arial"/>
          <w:sz w:val="17"/>
          <w:szCs w:val="17"/>
          <w:b w:val="1"/>
          <w:bCs w:val="1"/>
          <w:color w:val="auto"/>
        </w:rPr>
        <w:t>Liquidity and Capital Resources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3"/>
          </w:tcPr>
          <w:p>
            <w:pPr>
              <w:jc w:val="center"/>
              <w:ind w:right="257"/>
              <w:spacing w:after="0"/>
              <w:rPr>
                <w:sz w:val="20"/>
                <w:szCs w:val="20"/>
                <w:color w:val="auto"/>
              </w:rPr>
            </w:pPr>
            <w:r>
              <w:rPr>
                <w:rFonts w:ascii="Arial" w:cs="Arial" w:eastAsia="Arial" w:hAnsi="Arial"/>
                <w:sz w:val="15"/>
                <w:szCs w:val="15"/>
                <w:b w:val="1"/>
                <w:bCs w:val="1"/>
                <w:color w:val="auto"/>
                <w:w w:val="88"/>
              </w:rPr>
              <w:t>Three Months Ended</w:t>
            </w:r>
          </w:p>
        </w:tc>
      </w:tr>
      <w:tr>
        <w:trPr>
          <w:trHeight w:val="193"/>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center"/>
              <w:ind w:left="500"/>
              <w:spacing w:after="0"/>
              <w:rPr>
                <w:sz w:val="20"/>
                <w:szCs w:val="20"/>
                <w:color w:val="auto"/>
              </w:rPr>
            </w:pPr>
            <w:r>
              <w:rPr>
                <w:rFonts w:ascii="Arial" w:cs="Arial" w:eastAsia="Arial" w:hAnsi="Arial"/>
                <w:sz w:val="15"/>
                <w:szCs w:val="15"/>
                <w:b w:val="1"/>
                <w:bCs w:val="1"/>
                <w:color w:val="auto"/>
                <w:w w:val="92"/>
              </w:rPr>
              <w:t>March 31,</w:t>
            </w: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2023</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2022</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left="520"/>
              <w:spacing w:after="0"/>
              <w:rPr>
                <w:sz w:val="20"/>
                <w:szCs w:val="20"/>
                <w:color w:val="auto"/>
              </w:rPr>
            </w:pPr>
            <w:r>
              <w:rPr>
                <w:rFonts w:ascii="Arial" w:cs="Arial" w:eastAsia="Arial" w:hAnsi="Arial"/>
                <w:sz w:val="16"/>
                <w:szCs w:val="16"/>
                <w:color w:val="auto"/>
                <w:w w:val="91"/>
              </w:rPr>
              <w:t>(In thousands)</w:t>
            </w:r>
          </w:p>
        </w:tc>
        <w:tc>
          <w:tcPr>
            <w:tcW w:w="920" w:type="dxa"/>
            <w:vAlign w:val="bottom"/>
          </w:tcPr>
          <w:p>
            <w:pPr>
              <w:spacing w:after="0"/>
              <w:rPr>
                <w:sz w:val="18"/>
                <w:szCs w:val="18"/>
                <w:color w:val="auto"/>
              </w:rPr>
            </w:pPr>
          </w:p>
        </w:tc>
      </w:tr>
      <w:tr>
        <w:trPr>
          <w:trHeight w:val="205"/>
        </w:trPr>
        <w:tc>
          <w:tcPr>
            <w:tcW w:w="2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Consolidated Statements of Cash Flows Data:</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Net cash used in operating activities</w:t>
            </w:r>
          </w:p>
        </w:tc>
        <w:tc>
          <w:tcPr>
            <w:tcW w:w="4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(5,918)</w:t>
            </w:r>
          </w:p>
        </w:tc>
        <w:tc>
          <w:tcPr>
            <w:tcW w:w="540" w:type="dxa"/>
            <w:vAlign w:val="bottom"/>
            <w:tcBorders>
              <w:top w:val="single" w:sz="8" w:color="CCEEFF"/>
            </w:tcBorders>
          </w:tcPr>
          <w:p>
            <w:pPr>
              <w:jc w:val="right"/>
              <w:ind w:right="29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(22,872)</w:t>
            </w:r>
          </w:p>
        </w:tc>
      </w:tr>
      <w:tr>
        <w:trPr>
          <w:trHeight w:val="233"/>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2,839</w:t>
            </w: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(19,899)</w:t>
            </w:r>
          </w:p>
        </w:tc>
      </w:tr>
      <w:tr>
        <w:trPr>
          <w:trHeight w:val="218"/>
        </w:trPr>
        <w:tc>
          <w:tcPr>
            <w:tcW w:w="8320" w:type="dxa"/>
            <w:vAlign w:val="bottom"/>
            <w:gridSpan w:val="3"/>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(149,806)</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1,001</w:t>
            </w:r>
          </w:p>
        </w:tc>
      </w:tr>
    </w:tbl>
    <w:p>
      <w:pPr>
        <w:spacing w:after="0" w:line="3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March 31, 2023, we had approximately $252.2 million in cash, cash equivalents, and restricted cash, a decrease of approximately $140.0 million from December 31, 2022. The decrease is primarily attributable to payment of approximately $149.7 million in cash for the repurchase of approximately $157.5 million in aggregate principal amount of the Notes coupled with the payment of bonuses in cash and various other uses of cash for operating purposes. The decrease was partially offset by $16.9 million in cash proceeds from the divestiture of Kasamba.</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Net cash used in operating activities was $5.9 million for the three months ended March 31, 2023. Our net loss of $17.4 million includes the effect of non-cash expenses related to stock-based compensation of $11.3 million, depreciation of $7.4 million, amortization of purchased intangibles and finance leases of $5.4 million partially offset by a gain on divestiture of $17.6 million. This was further driven by an increase in accounts receivable of $34.7 million, an increase in prepaid expenses and other current assets of $6.3 million, a decrease in other liabilities of $5.9 million, a decrease in accounts payable of $9.9 million, partially offset by an increase in accrued expenses and other current liabilities of $41.3 million and an increase in deferred revenue of $24.8 million. Net cash used in operating activities was $22.9 million for the three months ended March 31, 2022.</w:t>
      </w:r>
    </w:p>
    <w:p>
      <w:pPr>
        <w:spacing w:after="0" w:line="10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net loss of $65.4 million for the three months ended March 31, 2022 includes the effect of non-cash expenses related to stock-based compensation of $31.9 million, depreciation of $7.2 million, an increase in deferred revenue of $3.2 million and an increase in accrued expenses of $8.0 million. This was partially offset by increases in accounts receivable of $0.0 million and prepaid expenses of $16.3 million.</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Net cash provided by investing activities was $2.8 million for the three months ended March 31, 2023 and was primarily driven by the proceeds from the sale of Kasamba, offset by purchases of fixed assets and capitalization of internally developed software. Net cash used in investing activities was $19.9 million for the three months ended March 31, 2022 was driven primarily of the purchase of fixed assets for our co-location facilities and capitalization of internally developed software.</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cash used in financing activities was $150.4 million for the three months ended March 31, 2023, which was driven primarily by the repurchase of our 2024 convertible notes. Net cash provided by financing activities was $1.0 million for the three months ended March 31, 2022 and consisted primarily of proceeds from issuance of common stock in connection with the exercise of stock options by employees.</w:t>
      </w:r>
    </w:p>
    <w:p>
      <w:pPr>
        <w:spacing w:after="0" w:line="20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and marketing departments, and for the amortization of purchased intangible assets, as well as stock-based compensation costs. Historically, we have incurred net losses and negative cash flows for various quarterly and annual periods since our inception, including during numerous quarters and annual periods in the past several years. As of March 31, 2023, we had an accumulated deficit of approximately $773.9 million.</w:t>
      </w:r>
    </w:p>
    <w:p>
      <w:pPr>
        <w:spacing w:after="0" w:line="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w:t>
      </w:r>
    </w:p>
    <w:p>
      <w:pPr>
        <w:spacing w:after="0" w:line="200" w:lineRule="exact"/>
        <w:rPr>
          <w:sz w:val="20"/>
          <w:szCs w:val="20"/>
          <w:color w:val="auto"/>
        </w:rPr>
      </w:pPr>
    </w:p>
    <w:p>
      <w:pPr>
        <w:spacing w:after="0" w:line="34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7"/>
          <w:szCs w:val="17"/>
          <w:color w:val="auto"/>
        </w:rPr>
        <w:t>fund more rapid expansion, to develop new or enhanced services or products or to invest in or acquire complementary businesses, technologies, services or products.</w:t>
      </w:r>
    </w:p>
    <w:p>
      <w:pPr>
        <w:spacing w:after="0" w:line="1" w:lineRule="exact"/>
        <w:rPr>
          <w:sz w:val="20"/>
          <w:szCs w:val="20"/>
          <w:color w:val="auto"/>
        </w:rPr>
      </w:pPr>
    </w:p>
    <w:p>
      <w:pPr>
        <w:jc w:val="both"/>
        <w:ind w:firstLine="412"/>
        <w:spacing w:after="0" w:line="253" w:lineRule="auto"/>
        <w:rPr>
          <w:sz w:val="20"/>
          <w:szCs w:val="20"/>
          <w:color w:val="auto"/>
        </w:rPr>
      </w:pPr>
      <w:r>
        <w:rPr>
          <w:rFonts w:ascii="Arial" w:cs="Arial" w:eastAsia="Arial" w:hAnsi="Arial"/>
          <w:sz w:val="17"/>
          <w:szCs w:val="17"/>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spacing w:after="0" w:line="1"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We do not engage in off-balance sheet financing arrangements. We do not currently have any investments in cryptocurrencies or other blockchain-based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Risks</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NIS. During the three months ended March 31, 2023, the U.S. dollar appreciated by approximately 12% as compared to the NIS. During the three months ended March 31, 2023, expenses generated by our Israeli operations totaled approximately $11.8 million.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(Israel) and of the divested business, Kasamba Inc., is or was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Collection Risks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2023, our allowance for doubtful accounts decreased by $0.1 million to approximately $9.1 million. During the three months ended March 31, 2022, we increased our allowance for doubtful accounts by $0.9 million to approximately $7.2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1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investments consist of cash and cash equivalents. Therefore, changes in market interest rates do not affect in any material respect the value of the investments as recorded by us.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Inflation Risk</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4" w:name="page55"/>
    <w:bookmarkEnd w:id="54"/>
    <w:p>
      <w:pPr>
        <w:jc w:val="both"/>
        <w:ind w:firstLine="619"/>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Item 4. Controls and Procedures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1D1C1D"/>
        </w:rPr>
        <w:t>Our management evaluated the effectiveness of our internal control over financial reporting as of December 31, 2022. As a part of our annual review, management identified control deficiencies that aggregated to a material weakness in the Company’s internal control over financial reporting as of December 31, 2022. This material weakness related to the Company’s previously disclosed review of certain transactions related to its subsidiary WildHealth, which was acquired in February 2022, and primarily includes a combination of ineffective operation of controls and inadequate controls in certain areas along with formal review, approval and evaluation of manual journal entries.</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 xml:space="preserve">Our management, including the Chief Executive Officer and Chief Financial Officer, evaluated the effectiveness of our “disclosure controls and procedures,” as that term is defined in Rule 13a-15(e) promulgated under the Exchange Act, as of March 31, 2023.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w:t>
      </w:r>
      <w:r>
        <w:rPr>
          <w:rFonts w:ascii="Arial" w:cs="Arial" w:eastAsia="Arial" w:hAnsi="Arial"/>
          <w:sz w:val="16"/>
          <w:szCs w:val="16"/>
          <w:color w:val="1D1C1D"/>
        </w:rPr>
        <w:t>Based on</w:t>
      </w:r>
      <w:r>
        <w:rPr>
          <w:rFonts w:ascii="Arial" w:cs="Arial" w:eastAsia="Arial" w:hAnsi="Arial"/>
          <w:sz w:val="16"/>
          <w:szCs w:val="16"/>
          <w:color w:val="auto"/>
        </w:rPr>
        <w:t xml:space="preserve"> </w:t>
      </w:r>
      <w:r>
        <w:rPr>
          <w:rFonts w:ascii="Arial" w:cs="Arial" w:eastAsia="Arial" w:hAnsi="Arial"/>
          <w:sz w:val="16"/>
          <w:szCs w:val="16"/>
          <w:color w:val="1D1C1D"/>
        </w:rPr>
        <w:t>that evaluation, the Chief Executive Officer and Chief Financial Officer concluded that our disclosure controls and procedures were not effective as of March 31, 2023 due to the material weakness in the Company’s internal control over financial reporting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1D1C1D"/>
        </w:rPr>
        <w:t>We have continued to analyze our WildHealth transactions in regard to any additional material weaknesses similar to the items identified above. We are monitoring and making progress on improving our processes and controls around formal review, approval, and evaluation of non-core, complex transactions. We believe our ongoing efforts will be sufficient to remediate the identified material weakness. Under the supervision and with the participation of management, including our Chief Executive Officer and Chief Financial Officer, we will continue to evaluate the effectiveness of our internal control over financial reporting the possibility that a material misstatement of our consolidated financial statements could be prevented or detected on a timely basis.</w:t>
      </w:r>
    </w:p>
    <w:p>
      <w:pPr>
        <w:spacing w:after="0" w:line="19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There have been no changes in the Company’s internal control over financial reporting during the quarter ended March 31, 2023 that have materially affected, or are reasonably likely to materially affect, the Company’s internal control over financial reporting other than remediation efforts related to the material weakness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of the Effectiveness of Internal Control</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1D1C1D"/>
        </w:rPr>
        <w:t>We will not consider the material weakness remediated until the remedial controls operate for a sufficient period of time and we have concluded, through testing, that these controls are effectively designed and operating effectively. We will continue to assess throughout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 Legal Proceedings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Putative Class Action</w:t>
      </w:r>
    </w:p>
    <w:p>
      <w:pPr>
        <w:spacing w:after="0" w:line="243"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On April 24, 2023, a putative stockholder class action entitled Straub v. LivePerson, Inc., No. 1:23-cv-03078, was filed under the federal securities laws against the Company, its Chief Executive Officer, and Chief Financial Officer in the United States District Court for the Eastern District of New York. The complaint alleges that in violation of Section 10(b) of the Securities Exchange Act of 1934, the Company made false and misleading statements in its Form 10-Q filings and forecasts for the first, second, and third quarters of fiscal year 2022 pointing to the Company’s subsequent disclosures regarding the adequacy and effectiveness of its internal controls over financial reporting, and regarding the fourth quarter financial performance of the Company’s WildHealth subsidiary and seeks to recover unspecified damages through the time of the Company’s filing of its annual report on Form 10-K on March 16, 2023. On May 1, 2023, a similar putative stockholder class</w:t>
      </w: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17"/>
          <w:szCs w:val="17"/>
          <w:color w:val="auto"/>
        </w:rPr>
        <w:t>action entitled Weissbrod v. LivePerson, Inc., was filed in the District Court of Tel Aviv, Israel on behalf of Company stockholders who traded Company shares on the Tel Aviv Stock Exchange following the issuance of the 10-Qs for the first, second and third quarters of fiscal year 2022. The Weissbrod complaint asserts claims under the U.S. federal securities law similar to those asserted in the Straub case and seeks unspecified damages. Both lawsuits also claim that the Company’s executives are liable as control persons for the Company’s alleged misstatements. The Company believes these claims are without merit and intends to vigorously defend itself and its executives in both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[24]7 Litigation</w:t>
      </w:r>
    </w:p>
    <w:p>
      <w:pPr>
        <w:spacing w:after="0" w:line="243"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7"/>
          <w:szCs w:val="17"/>
          <w:color w:val="auto"/>
        </w:rPr>
        <w:t>The Company filed an intellectual property suit (the “Company IP Suit”) against [24]7 Customer, Inc. (“[24]7”) on March 6, 2014. On June 22, 2015, and December 7, 2015, [24]7 filed separate countersuits (together, the “Countersuits”) against the Company in the Northern District of California (the “Court”) alleging patent infringement. The trial with respect to the Company IP Suit occurred on May 24, 2021, with respect to the Company’s first set of intellectual property claims, and the jury awarded approximately $30.3 million in favor of the Company. The Company and [24]7 subsequently reached an agreement on the terms of a permanent injunction and that additional costs were owed to the Company in the amount of $0.4 million. On July 28, 2022, the Court granted the Company’s motion for interest, awarding an additional approximately $4.3 million. In August 2022, 24[7] appealed the judgment in favor of the Company with respect to the Company IP Suit. In addition, a trial to adjudicate the Countersuits has been set for late 2023, and a trial with respect to the Company’s second set of intellectual property claims against [24]7 has been set for early 2024.</w:t>
      </w:r>
    </w:p>
    <w:p>
      <w:pPr>
        <w:spacing w:after="0" w:line="208" w:lineRule="exact"/>
        <w:rPr>
          <w:sz w:val="20"/>
          <w:szCs w:val="20"/>
          <w:color w:val="auto"/>
        </w:rPr>
      </w:pPr>
    </w:p>
    <w:p>
      <w:pPr>
        <w:ind w:right="140" w:firstLine="619"/>
        <w:spacing w:after="0" w:line="251" w:lineRule="auto"/>
        <w:rPr>
          <w:sz w:val="20"/>
          <w:szCs w:val="20"/>
          <w:color w:val="auto"/>
        </w:rPr>
      </w:pPr>
      <w:r>
        <w:rPr>
          <w:rFonts w:ascii="Arial" w:cs="Arial" w:eastAsia="Arial" w:hAnsi="Arial"/>
          <w:sz w:val="17"/>
          <w:szCs w:val="17"/>
          <w:color w:val="auto"/>
        </w:rPr>
        <w:t>On February 20, 2023, the Company and [24]7 entered into a binding Memorandum of Understanding (“MOU”) detailing the terms for settlement and resolution of all litigation matters between the parties. The terms of the resolution are confidential and provide for a settlement as well as entry into a commercial agreement between the parties. Dismissal with prejudice of all litigation matters between the parties with is expected following the completion of the final documentation described in the MOU.</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COVID-Related Matters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inquires by Medicare, the Department of Justice and the U.S. Food and Drug Administration (“governmental agencies”).</w:t>
      </w:r>
    </w:p>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November 2022, a professional corporation managed by WildHealth received notice that Medicare reimbursements for its services rendered under a Medicare demonstration program related to COVID-19 testing (the “Program”) were suspended pending further review. Subsequently, WildHealth has received and is responding to inquiries from additional governmental agencies with respect to its participation in the Program.</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previously provided other products and services related to COVID-19 testing and accompanying software. Those COVID-19 related products and services have also been the subject of inquiry and pending review by governmental agencies.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43"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w:t>
      </w: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7" w:name="page58"/>
    <w:bookmarkEnd w:id="57"/>
    <w:p>
      <w:pPr>
        <w:jc w:val="both"/>
        <w:spacing w:after="0" w:line="258" w:lineRule="auto"/>
        <w:rPr>
          <w:sz w:val="20"/>
          <w:szCs w:val="20"/>
          <w:color w:val="auto"/>
        </w:rPr>
      </w:pPr>
      <w:r>
        <w:rPr>
          <w:rFonts w:ascii="Arial" w:cs="Arial" w:eastAsia="Arial" w:hAnsi="Arial"/>
          <w:sz w:val="17"/>
          <w:szCs w:val="17"/>
          <w:color w:val="auto"/>
        </w:rPr>
        <w:t>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20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operations and financial results are subject to various risks and uncertainties, including those described in Part I, Item 1A. “Risk Factors” in our Annual Report on Form 10-K for the year ended December 31, 2022, filed on March 16, 2023,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Unregistered Sales of Equity Securities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unregistered sales of equity securities by the issuer during the three months ended March 31, 2023.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 by the Issuer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repurchases of equity securities by the issuer during the three months ended March 31, 2023.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4. Mine Safety Disclosures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5. Other Information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58" w:name="page59"/>
    <w:bookmarkEnd w:id="58"/>
    <w:tbl>
      <w:tblPr>
        <w:tblLayout w:type="fixed"/>
        <w:tblInd w:w="4"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0" w:type="dxa"/>
            <w:vAlign w:val="bottom"/>
            <w:gridSpan w:val="3"/>
          </w:tcPr>
          <w:p>
            <w:pPr>
              <w:ind w:left="3180"/>
              <w:spacing w:after="0"/>
              <w:rPr>
                <w:sz w:val="20"/>
                <w:szCs w:val="20"/>
                <w:color w:val="auto"/>
              </w:rPr>
            </w:pPr>
            <w:r>
              <w:rPr>
                <w:rFonts w:ascii="Arial" w:cs="Arial" w:eastAsia="Arial" w:hAnsi="Arial"/>
                <w:sz w:val="17"/>
                <w:szCs w:val="17"/>
                <w:color w:val="auto"/>
              </w:rPr>
              <w:t>ITEM 6. EXHIBITS</w:t>
            </w: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left="23"/>
              <w:spacing w:after="0" w:line="168" w:lineRule="exact"/>
              <w:rPr>
                <w:sz w:val="20"/>
                <w:szCs w:val="20"/>
                <w:color w:val="auto"/>
              </w:rPr>
            </w:pPr>
            <w:r>
              <w:rPr>
                <w:rFonts w:ascii="Arial" w:cs="Arial" w:eastAsia="Arial" w:hAnsi="Arial"/>
                <w:sz w:val="15"/>
                <w:szCs w:val="15"/>
                <w:color w:val="auto"/>
                <w:w w:val="95"/>
              </w:rPr>
              <w:t>31.1</w:t>
            </w:r>
          </w:p>
        </w:tc>
        <w:tc>
          <w:tcPr>
            <w:tcW w:w="580" w:type="dxa"/>
            <w:vAlign w:val="bottom"/>
          </w:tcPr>
          <w:p>
            <w:pPr>
              <w:ind w:left="120"/>
              <w:spacing w:after="0" w:line="168" w:lineRule="exact"/>
              <w:rPr>
                <w:sz w:val="20"/>
                <w:szCs w:val="20"/>
                <w:color w:val="auto"/>
              </w:rPr>
            </w:pPr>
            <w:r>
              <w:rPr>
                <w:rFonts w:ascii="Arial" w:cs="Arial" w:eastAsia="Arial" w:hAnsi="Arial"/>
                <w:sz w:val="15"/>
                <w:szCs w:val="15"/>
                <w:color w:val="auto"/>
              </w:rPr>
              <w:t>*</w:t>
            </w:r>
          </w:p>
        </w:tc>
        <w:tc>
          <w:tcPr>
            <w:tcW w:w="9400" w:type="dxa"/>
            <w:vAlign w:val="bottom"/>
            <w:tcBorders>
              <w:bottom w:val="single" w:sz="8" w:color="0000FF"/>
            </w:tcBorders>
            <w:gridSpan w:val="3"/>
          </w:tcPr>
          <w:p>
            <w:pPr>
              <w:spacing w:after="0" w:line="168" w:lineRule="exact"/>
              <w:rPr>
                <w:sz w:val="20"/>
                <w:szCs w:val="20"/>
                <w:color w:val="auto"/>
              </w:rPr>
            </w:pPr>
            <w:r>
              <w:rPr>
                <w:rFonts w:ascii="Arial" w:cs="Arial" w:eastAsia="Arial" w:hAnsi="Arial"/>
                <w:sz w:val="15"/>
                <w:szCs w:val="15"/>
                <w:color w:val="0000FF"/>
                <w:w w:val="93"/>
              </w:rPr>
              <w:t>Certification by Chief Executive Officer pursuant to Exchange Act Rule 13a-14(a), as adopted pursuant to Section 302 of the Sarbanes-Oxley Act of 20</w:t>
            </w:r>
          </w:p>
        </w:tc>
        <w:tc>
          <w:tcPr>
            <w:tcW w:w="0" w:type="dxa"/>
            <w:vAlign w:val="bottom"/>
          </w:tcPr>
          <w:p>
            <w:pPr>
              <w:spacing w:after="0"/>
              <w:rPr>
                <w:sz w:val="1"/>
                <w:szCs w:val="1"/>
                <w:color w:val="auto"/>
              </w:rPr>
            </w:pPr>
          </w:p>
        </w:tc>
      </w:tr>
      <w:tr>
        <w:trPr>
          <w:trHeight w:val="267"/>
        </w:trPr>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left="23"/>
              <w:spacing w:after="0" w:line="168" w:lineRule="exact"/>
              <w:rPr>
                <w:sz w:val="20"/>
                <w:szCs w:val="20"/>
                <w:color w:val="auto"/>
              </w:rPr>
            </w:pPr>
            <w:r>
              <w:rPr>
                <w:rFonts w:ascii="Arial" w:cs="Arial" w:eastAsia="Arial" w:hAnsi="Arial"/>
                <w:sz w:val="15"/>
                <w:szCs w:val="15"/>
                <w:color w:val="auto"/>
                <w:w w:val="95"/>
              </w:rPr>
              <w:t>31.2</w:t>
            </w:r>
          </w:p>
        </w:tc>
        <w:tc>
          <w:tcPr>
            <w:tcW w:w="580" w:type="dxa"/>
            <w:vAlign w:val="bottom"/>
          </w:tcPr>
          <w:p>
            <w:pPr>
              <w:ind w:left="120"/>
              <w:spacing w:after="0" w:line="168" w:lineRule="exact"/>
              <w:rPr>
                <w:sz w:val="20"/>
                <w:szCs w:val="20"/>
                <w:color w:val="auto"/>
              </w:rPr>
            </w:pPr>
            <w:r>
              <w:rPr>
                <w:rFonts w:ascii="Arial" w:cs="Arial" w:eastAsia="Arial" w:hAnsi="Arial"/>
                <w:sz w:val="15"/>
                <w:szCs w:val="15"/>
                <w:color w:val="auto"/>
              </w:rPr>
              <w:t>*</w:t>
            </w:r>
          </w:p>
        </w:tc>
        <w:tc>
          <w:tcPr>
            <w:tcW w:w="9400" w:type="dxa"/>
            <w:vAlign w:val="bottom"/>
            <w:tcBorders>
              <w:bottom w:val="single" w:sz="8" w:color="0000FF"/>
            </w:tcBorders>
            <w:gridSpan w:val="3"/>
          </w:tcPr>
          <w:p>
            <w:pPr>
              <w:spacing w:after="0" w:line="168" w:lineRule="exact"/>
              <w:rPr>
                <w:sz w:val="20"/>
                <w:szCs w:val="20"/>
                <w:color w:val="auto"/>
              </w:rPr>
            </w:pPr>
            <w:r>
              <w:rPr>
                <w:rFonts w:ascii="Arial" w:cs="Arial" w:eastAsia="Arial" w:hAnsi="Arial"/>
                <w:sz w:val="15"/>
                <w:szCs w:val="15"/>
                <w:color w:val="0000FF"/>
                <w:w w:val="93"/>
              </w:rPr>
              <w:t>Certification by Chief Financial Officer pursuant to Exchange Act Rule 13a-14(a), as adopted pursuant to Section 302 of the Sarbanes-Oxley Act of 200</w:t>
            </w:r>
          </w:p>
        </w:tc>
        <w:tc>
          <w:tcPr>
            <w:tcW w:w="0" w:type="dxa"/>
            <w:vAlign w:val="bottom"/>
          </w:tcPr>
          <w:p>
            <w:pPr>
              <w:spacing w:after="0"/>
              <w:rPr>
                <w:sz w:val="1"/>
                <w:szCs w:val="1"/>
                <w:color w:val="auto"/>
              </w:rPr>
            </w:pPr>
          </w:p>
        </w:tc>
      </w:tr>
      <w:tr>
        <w:trPr>
          <w:trHeight w:val="267"/>
        </w:trPr>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left="23"/>
              <w:spacing w:after="0" w:line="168" w:lineRule="exact"/>
              <w:rPr>
                <w:sz w:val="20"/>
                <w:szCs w:val="20"/>
                <w:color w:val="auto"/>
              </w:rPr>
            </w:pPr>
            <w:r>
              <w:rPr>
                <w:rFonts w:ascii="Arial" w:cs="Arial" w:eastAsia="Arial" w:hAnsi="Arial"/>
                <w:sz w:val="15"/>
                <w:szCs w:val="15"/>
                <w:color w:val="auto"/>
                <w:w w:val="95"/>
              </w:rPr>
              <w:t>32.1</w:t>
            </w:r>
          </w:p>
        </w:tc>
        <w:tc>
          <w:tcPr>
            <w:tcW w:w="580" w:type="dxa"/>
            <w:vAlign w:val="bottom"/>
          </w:tcPr>
          <w:p>
            <w:pPr>
              <w:ind w:left="120"/>
              <w:spacing w:after="0" w:line="168" w:lineRule="exact"/>
              <w:rPr>
                <w:sz w:val="20"/>
                <w:szCs w:val="20"/>
                <w:color w:val="auto"/>
              </w:rPr>
            </w:pPr>
            <w:r>
              <w:rPr>
                <w:rFonts w:ascii="Arial" w:cs="Arial" w:eastAsia="Arial" w:hAnsi="Arial"/>
                <w:sz w:val="15"/>
                <w:szCs w:val="15"/>
                <w:color w:val="auto"/>
              </w:rPr>
              <w:t>**</w:t>
            </w:r>
          </w:p>
        </w:tc>
        <w:tc>
          <w:tcPr>
            <w:tcW w:w="9400" w:type="dxa"/>
            <w:vAlign w:val="bottom"/>
            <w:gridSpan w:val="3"/>
          </w:tcPr>
          <w:p>
            <w:pPr>
              <w:spacing w:after="0" w:line="168" w:lineRule="exact"/>
              <w:rPr>
                <w:sz w:val="20"/>
                <w:szCs w:val="20"/>
                <w:color w:val="auto"/>
              </w:rPr>
            </w:pPr>
            <w:r>
              <w:rPr>
                <w:rFonts w:ascii="Arial" w:cs="Arial" w:eastAsia="Arial" w:hAnsi="Arial"/>
                <w:sz w:val="15"/>
                <w:szCs w:val="15"/>
                <w:color w:val="0000FF"/>
                <w:w w:val="96"/>
              </w:rPr>
              <w:t>Certification by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67"/>
        </w:trPr>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120" w:type="dxa"/>
            <w:vAlign w:val="bottom"/>
            <w:tcBorders>
              <w:top w:val="single" w:sz="8" w:color="0000FF"/>
            </w:tcBorders>
            <w:shd w:val="clear" w:color="auto" w:fill="CCEEFF"/>
          </w:tcPr>
          <w:p>
            <w:pPr>
              <w:spacing w:after="0"/>
              <w:rPr>
                <w:sz w:val="23"/>
                <w:szCs w:val="23"/>
                <w:color w:val="auto"/>
              </w:rPr>
            </w:pPr>
          </w:p>
        </w:tc>
        <w:tc>
          <w:tcPr>
            <w:tcW w:w="40" w:type="dxa"/>
            <w:vAlign w:val="bottom"/>
            <w:tcBorders>
              <w:top w:val="single" w:sz="8" w:color="0000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left="23"/>
              <w:spacing w:after="0" w:line="168" w:lineRule="exact"/>
              <w:rPr>
                <w:sz w:val="20"/>
                <w:szCs w:val="20"/>
                <w:color w:val="auto"/>
              </w:rPr>
            </w:pPr>
            <w:r>
              <w:rPr>
                <w:rFonts w:ascii="Arial" w:cs="Arial" w:eastAsia="Arial" w:hAnsi="Arial"/>
                <w:sz w:val="15"/>
                <w:szCs w:val="15"/>
                <w:color w:val="auto"/>
                <w:w w:val="95"/>
              </w:rPr>
              <w:t>32.2</w:t>
            </w:r>
          </w:p>
        </w:tc>
        <w:tc>
          <w:tcPr>
            <w:tcW w:w="580" w:type="dxa"/>
            <w:vAlign w:val="bottom"/>
          </w:tcPr>
          <w:p>
            <w:pPr>
              <w:ind w:left="120"/>
              <w:spacing w:after="0" w:line="168" w:lineRule="exact"/>
              <w:rPr>
                <w:sz w:val="20"/>
                <w:szCs w:val="20"/>
                <w:color w:val="auto"/>
              </w:rPr>
            </w:pPr>
            <w:r>
              <w:rPr>
                <w:rFonts w:ascii="Arial" w:cs="Arial" w:eastAsia="Arial" w:hAnsi="Arial"/>
                <w:sz w:val="15"/>
                <w:szCs w:val="15"/>
                <w:color w:val="auto"/>
              </w:rPr>
              <w:t>**</w:t>
            </w:r>
          </w:p>
        </w:tc>
        <w:tc>
          <w:tcPr>
            <w:tcW w:w="9400" w:type="dxa"/>
            <w:vAlign w:val="bottom"/>
            <w:gridSpan w:val="3"/>
          </w:tcPr>
          <w:p>
            <w:pPr>
              <w:spacing w:after="0" w:line="168" w:lineRule="exact"/>
              <w:rPr>
                <w:sz w:val="20"/>
                <w:szCs w:val="20"/>
                <w:color w:val="auto"/>
              </w:rPr>
            </w:pPr>
            <w:r>
              <w:rPr>
                <w:rFonts w:ascii="Arial" w:cs="Arial" w:eastAsia="Arial" w:hAnsi="Arial"/>
                <w:sz w:val="15"/>
                <w:szCs w:val="15"/>
                <w:color w:val="0000FF"/>
                <w:w w:val="96"/>
              </w:rPr>
              <w:t>Certification by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67"/>
        </w:trPr>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120" w:type="dxa"/>
            <w:vAlign w:val="bottom"/>
            <w:tcBorders>
              <w:top w:val="single" w:sz="8" w:color="0000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940" w:type="dxa"/>
            <w:vAlign w:val="bottom"/>
            <w:vMerge w:val="restart"/>
          </w:tcPr>
          <w:p>
            <w:pPr>
              <w:jc w:val="center"/>
              <w:ind w:left="23"/>
              <w:spacing w:after="0"/>
              <w:rPr>
                <w:sz w:val="20"/>
                <w:szCs w:val="20"/>
                <w:color w:val="auto"/>
              </w:rPr>
            </w:pPr>
            <w:r>
              <w:rPr>
                <w:rFonts w:ascii="Arial" w:cs="Arial" w:eastAsia="Arial" w:hAnsi="Arial"/>
                <w:sz w:val="15"/>
                <w:szCs w:val="15"/>
                <w:color w:val="auto"/>
                <w:w w:val="95"/>
              </w:rPr>
              <w:t>101.INS</w:t>
            </w:r>
          </w:p>
        </w:tc>
        <w:tc>
          <w:tcPr>
            <w:tcW w:w="580" w:type="dxa"/>
            <w:vAlign w:val="bottom"/>
          </w:tcPr>
          <w:p>
            <w:pPr>
              <w:spacing w:after="0"/>
              <w:rPr>
                <w:sz w:val="13"/>
                <w:szCs w:val="13"/>
                <w:color w:val="auto"/>
              </w:rPr>
            </w:pPr>
          </w:p>
        </w:tc>
        <w:tc>
          <w:tcPr>
            <w:tcW w:w="9400" w:type="dxa"/>
            <w:vAlign w:val="bottom"/>
            <w:gridSpan w:val="3"/>
          </w:tcPr>
          <w:p>
            <w:pPr>
              <w:spacing w:after="0" w:line="160" w:lineRule="exact"/>
              <w:rPr>
                <w:sz w:val="20"/>
                <w:szCs w:val="20"/>
                <w:color w:val="auto"/>
              </w:rPr>
            </w:pPr>
            <w:r>
              <w:rPr>
                <w:rFonts w:ascii="Arial" w:cs="Arial" w:eastAsia="Arial" w:hAnsi="Arial"/>
                <w:sz w:val="15"/>
                <w:szCs w:val="15"/>
                <w:color w:val="auto"/>
                <w:w w:val="93"/>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18"/>
        </w:trPr>
        <w:tc>
          <w:tcPr>
            <w:tcW w:w="940" w:type="dxa"/>
            <w:vAlign w:val="bottom"/>
            <w:vMerge w:val="continue"/>
          </w:tcPr>
          <w:p>
            <w:pPr>
              <w:spacing w:after="0"/>
              <w:rPr>
                <w:sz w:val="10"/>
                <w:szCs w:val="10"/>
                <w:color w:val="auto"/>
              </w:rPr>
            </w:pPr>
          </w:p>
        </w:tc>
        <w:tc>
          <w:tcPr>
            <w:tcW w:w="5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vMerge w:val="restart"/>
          </w:tcPr>
          <w:p>
            <w:pPr>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80"/>
        </w:trPr>
        <w:tc>
          <w:tcPr>
            <w:tcW w:w="9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left="23"/>
              <w:spacing w:after="0"/>
              <w:rPr>
                <w:sz w:val="20"/>
                <w:szCs w:val="20"/>
                <w:color w:val="auto"/>
              </w:rPr>
            </w:pPr>
            <w:r>
              <w:rPr>
                <w:rFonts w:ascii="Arial" w:cs="Arial" w:eastAsia="Arial" w:hAnsi="Arial"/>
                <w:sz w:val="15"/>
                <w:szCs w:val="15"/>
                <w:color w:val="auto"/>
                <w:w w:val="91"/>
              </w:rPr>
              <w:t>101.SCH</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tcPr>
          <w:p>
            <w:pPr>
              <w:spacing w:after="0"/>
              <w:rPr>
                <w:sz w:val="20"/>
                <w:szCs w:val="20"/>
                <w:color w:val="auto"/>
              </w:rPr>
            </w:pPr>
            <w:r>
              <w:rPr>
                <w:rFonts w:ascii="Arial" w:cs="Arial" w:eastAsia="Arial" w:hAnsi="Arial"/>
                <w:sz w:val="15"/>
                <w:szCs w:val="15"/>
                <w:color w:val="auto"/>
              </w:rPr>
              <w:t>Inline XBRL Taxonomy Extension Schema Document</w:t>
            </w: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left="43"/>
              <w:spacing w:after="0"/>
              <w:rPr>
                <w:sz w:val="20"/>
                <w:szCs w:val="20"/>
                <w:color w:val="auto"/>
              </w:rPr>
            </w:pPr>
            <w:r>
              <w:rPr>
                <w:rFonts w:ascii="Arial" w:cs="Arial" w:eastAsia="Arial" w:hAnsi="Arial"/>
                <w:sz w:val="15"/>
                <w:szCs w:val="15"/>
                <w:color w:val="auto"/>
                <w:w w:val="99"/>
              </w:rPr>
              <w:t>101.CAL</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left="23"/>
              <w:spacing w:after="0"/>
              <w:rPr>
                <w:sz w:val="20"/>
                <w:szCs w:val="20"/>
                <w:color w:val="auto"/>
              </w:rPr>
            </w:pPr>
            <w:r>
              <w:rPr>
                <w:rFonts w:ascii="Arial" w:cs="Arial" w:eastAsia="Arial" w:hAnsi="Arial"/>
                <w:sz w:val="15"/>
                <w:szCs w:val="15"/>
                <w:color w:val="auto"/>
                <w:w w:val="94"/>
              </w:rPr>
              <w:t>101.DEF</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left="43"/>
              <w:spacing w:after="0"/>
              <w:rPr>
                <w:sz w:val="20"/>
                <w:szCs w:val="20"/>
                <w:color w:val="auto"/>
              </w:rPr>
            </w:pPr>
            <w:r>
              <w:rPr>
                <w:rFonts w:ascii="Arial" w:cs="Arial" w:eastAsia="Arial" w:hAnsi="Arial"/>
                <w:sz w:val="15"/>
                <w:szCs w:val="15"/>
                <w:color w:val="auto"/>
              </w:rPr>
              <w:t>101.LAB</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left="23"/>
              <w:spacing w:after="0"/>
              <w:rPr>
                <w:sz w:val="20"/>
                <w:szCs w:val="20"/>
                <w:color w:val="auto"/>
              </w:rPr>
            </w:pPr>
            <w:r>
              <w:rPr>
                <w:rFonts w:ascii="Arial" w:cs="Arial" w:eastAsia="Arial" w:hAnsi="Arial"/>
                <w:sz w:val="15"/>
                <w:szCs w:val="15"/>
                <w:color w:val="auto"/>
                <w:w w:val="93"/>
              </w:rPr>
              <w:t>101.PRE</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9400" w:type="dxa"/>
            <w:vAlign w:val="bottom"/>
            <w:gridSpan w:val="3"/>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0" w:type="dxa"/>
            <w:vAlign w:val="bottom"/>
          </w:tcPr>
          <w:p>
            <w:pPr>
              <w:spacing w:after="0"/>
              <w:rPr>
                <w:sz w:val="1"/>
                <w:szCs w:val="1"/>
                <w:color w:val="auto"/>
              </w:rPr>
            </w:pPr>
          </w:p>
        </w:tc>
      </w:tr>
      <w:tr>
        <w:trPr>
          <w:trHeight w:val="261"/>
        </w:trPr>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064" w:hanging="654"/>
        <w:spacing w:after="0"/>
        <w:tabs>
          <w:tab w:leader="none" w:pos="1064"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Cover Page Interactive Data File (formatted as Inline XBRL)</w:t>
      </w:r>
    </w:p>
    <w:p>
      <w:pPr>
        <w:spacing w:after="0" w:line="209"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7"/>
          <w:szCs w:val="17"/>
          <w:color w:val="auto"/>
        </w:rPr>
        <w:t>*  Filed herewith</w:t>
      </w:r>
    </w:p>
    <w:p>
      <w:pPr>
        <w:spacing w:after="0" w:line="113" w:lineRule="exact"/>
        <w:rPr>
          <w:rFonts w:ascii="Arial" w:cs="Arial" w:eastAsia="Arial" w:hAnsi="Arial"/>
          <w:sz w:val="15"/>
          <w:szCs w:val="15"/>
          <w:color w:val="auto"/>
        </w:rPr>
      </w:pPr>
    </w:p>
    <w:p>
      <w:pPr>
        <w:ind w:left="344" w:hanging="344"/>
        <w:spacing w:after="0"/>
        <w:tabs>
          <w:tab w:leader="none" w:pos="3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6"/>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4"/>
          </w:cols>
          <w:pgMar w:left="736" w:top="1055" w:right="239" w:bottom="1440" w:gutter="0" w:footer="0" w:header="0"/>
        </w:sectPr>
      </w:pPr>
    </w:p>
    <w:bookmarkStart w:id="59" w:name="page60"/>
    <w:bookmarkEnd w:id="59"/>
    <w:p>
      <w:pPr>
        <w:jc w:val="center"/>
        <w:ind w:left="400"/>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LIVEPERSON, INC.</w:t>
      </w:r>
    </w:p>
    <w:p>
      <w:pPr>
        <w:spacing w:after="0" w:line="40"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(Registrant)</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5"/>
                <w:szCs w:val="15"/>
                <w:color w:val="auto"/>
              </w:rPr>
              <w:t>Date:</w:t>
            </w:r>
          </w:p>
        </w:tc>
        <w:tc>
          <w:tcPr>
            <w:tcW w:w="2760" w:type="dxa"/>
            <w:vAlign w:val="bottom"/>
          </w:tcPr>
          <w:p>
            <w:pPr>
              <w:ind w:left="200"/>
              <w:spacing w:after="0"/>
              <w:rPr>
                <w:sz w:val="20"/>
                <w:szCs w:val="20"/>
                <w:color w:val="auto"/>
              </w:rPr>
            </w:pPr>
            <w:r>
              <w:rPr>
                <w:rFonts w:ascii="Arial" w:cs="Arial" w:eastAsia="Arial" w:hAnsi="Arial"/>
                <w:sz w:val="15"/>
                <w:szCs w:val="15"/>
                <w:color w:val="auto"/>
              </w:rPr>
              <w:t>May 11, 2023</w:t>
            </w:r>
          </w:p>
        </w:tc>
        <w:tc>
          <w:tcPr>
            <w:tcW w:w="2540" w:type="dxa"/>
            <w:vAlign w:val="bottom"/>
          </w:tcPr>
          <w:p>
            <w:pPr>
              <w:ind w:left="1700"/>
              <w:spacing w:after="0"/>
              <w:rPr>
                <w:sz w:val="20"/>
                <w:szCs w:val="20"/>
                <w:color w:val="auto"/>
              </w:rPr>
            </w:pPr>
            <w:r>
              <w:rPr>
                <w:rFonts w:ascii="Arial" w:cs="Arial" w:eastAsia="Arial" w:hAnsi="Arial"/>
                <w:sz w:val="15"/>
                <w:szCs w:val="15"/>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ROBERT P. LOCASCIO</w:t>
            </w:r>
          </w:p>
        </w:tc>
      </w:tr>
      <w:tr>
        <w:trPr>
          <w:trHeight w:val="200"/>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40" w:type="dxa"/>
            <w:vAlign w:val="bottom"/>
          </w:tcPr>
          <w:p>
            <w:pPr>
              <w:ind w:left="1700"/>
              <w:spacing w:after="0"/>
              <w:rPr>
                <w:sz w:val="20"/>
                <w:szCs w:val="20"/>
                <w:color w:val="auto"/>
              </w:rPr>
            </w:pPr>
            <w:r>
              <w:rPr>
                <w:rFonts w:ascii="Arial" w:cs="Arial" w:eastAsia="Arial" w:hAnsi="Arial"/>
                <w:sz w:val="15"/>
                <w:szCs w:val="15"/>
                <w:color w:val="auto"/>
              </w:rPr>
              <w:t>Name:</w:t>
            </w:r>
          </w:p>
        </w:tc>
        <w:tc>
          <w:tcPr>
            <w:tcW w:w="5180" w:type="dxa"/>
            <w:vAlign w:val="bottom"/>
          </w:tcPr>
          <w:p>
            <w:pPr>
              <w:ind w:left="20"/>
              <w:spacing w:after="0"/>
              <w:rPr>
                <w:sz w:val="20"/>
                <w:szCs w:val="20"/>
                <w:color w:val="auto"/>
              </w:rPr>
            </w:pPr>
            <w:r>
              <w:rPr>
                <w:rFonts w:ascii="Arial" w:cs="Arial" w:eastAsia="Arial" w:hAnsi="Arial"/>
                <w:sz w:val="15"/>
                <w:szCs w:val="15"/>
                <w:b w:val="1"/>
                <w:bCs w:val="1"/>
                <w:color w:val="auto"/>
              </w:rPr>
              <w:t>Robert P. LoCascio</w:t>
            </w:r>
          </w:p>
        </w:tc>
      </w:tr>
      <w:tr>
        <w:trPr>
          <w:trHeight w:val="205"/>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40" w:type="dxa"/>
            <w:vAlign w:val="bottom"/>
          </w:tcPr>
          <w:p>
            <w:pPr>
              <w:ind w:left="1700"/>
              <w:spacing w:after="0"/>
              <w:rPr>
                <w:sz w:val="20"/>
                <w:szCs w:val="20"/>
                <w:color w:val="auto"/>
              </w:rPr>
            </w:pPr>
            <w:r>
              <w:rPr>
                <w:rFonts w:ascii="Arial" w:cs="Arial" w:eastAsia="Arial" w:hAnsi="Arial"/>
                <w:sz w:val="15"/>
                <w:szCs w:val="15"/>
                <w:color w:val="auto"/>
              </w:rPr>
              <w:t>Title:</w:t>
            </w:r>
          </w:p>
        </w:tc>
        <w:tc>
          <w:tcPr>
            <w:tcW w:w="5180" w:type="dxa"/>
            <w:vAlign w:val="bottom"/>
          </w:tcPr>
          <w:p>
            <w:pPr>
              <w:ind w:left="20"/>
              <w:spacing w:after="0"/>
              <w:rPr>
                <w:sz w:val="20"/>
                <w:szCs w:val="20"/>
                <w:color w:val="auto"/>
              </w:rPr>
            </w:pPr>
            <w:r>
              <w:rPr>
                <w:rFonts w:ascii="Arial" w:cs="Arial" w:eastAsia="Arial" w:hAnsi="Arial"/>
                <w:sz w:val="15"/>
                <w:szCs w:val="15"/>
                <w:color w:val="auto"/>
              </w:rPr>
              <w:t>Chief Executive Officer (Principal Executive Officer)</w:t>
            </w:r>
          </w:p>
        </w:tc>
      </w:tr>
      <w:tr>
        <w:trPr>
          <w:trHeight w:val="444"/>
        </w:trPr>
        <w:tc>
          <w:tcPr>
            <w:tcW w:w="520" w:type="dxa"/>
            <w:vAlign w:val="bottom"/>
          </w:tcPr>
          <w:p>
            <w:pPr>
              <w:spacing w:after="0"/>
              <w:rPr>
                <w:sz w:val="20"/>
                <w:szCs w:val="20"/>
                <w:color w:val="auto"/>
              </w:rPr>
            </w:pPr>
            <w:r>
              <w:rPr>
                <w:rFonts w:ascii="Arial" w:cs="Arial" w:eastAsia="Arial" w:hAnsi="Arial"/>
                <w:sz w:val="15"/>
                <w:szCs w:val="15"/>
                <w:color w:val="auto"/>
              </w:rPr>
              <w:t>Date:</w:t>
            </w:r>
          </w:p>
        </w:tc>
        <w:tc>
          <w:tcPr>
            <w:tcW w:w="2760" w:type="dxa"/>
            <w:vAlign w:val="bottom"/>
          </w:tcPr>
          <w:p>
            <w:pPr>
              <w:ind w:left="200"/>
              <w:spacing w:after="0"/>
              <w:rPr>
                <w:sz w:val="20"/>
                <w:szCs w:val="20"/>
                <w:color w:val="auto"/>
              </w:rPr>
            </w:pPr>
            <w:r>
              <w:rPr>
                <w:rFonts w:ascii="Arial" w:cs="Arial" w:eastAsia="Arial" w:hAnsi="Arial"/>
                <w:sz w:val="15"/>
                <w:szCs w:val="15"/>
                <w:color w:val="auto"/>
              </w:rPr>
              <w:t>May 11, 2023</w:t>
            </w:r>
          </w:p>
        </w:tc>
        <w:tc>
          <w:tcPr>
            <w:tcW w:w="2540" w:type="dxa"/>
            <w:vAlign w:val="bottom"/>
          </w:tcPr>
          <w:p>
            <w:pPr>
              <w:ind w:left="1700"/>
              <w:spacing w:after="0"/>
              <w:rPr>
                <w:sz w:val="20"/>
                <w:szCs w:val="20"/>
                <w:color w:val="auto"/>
              </w:rPr>
            </w:pPr>
            <w:r>
              <w:rPr>
                <w:rFonts w:ascii="Arial" w:cs="Arial" w:eastAsia="Arial" w:hAnsi="Arial"/>
                <w:sz w:val="15"/>
                <w:szCs w:val="15"/>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JOHN D. COLLINS</w:t>
            </w:r>
          </w:p>
        </w:tc>
      </w:tr>
      <w:tr>
        <w:trPr>
          <w:trHeight w:val="195"/>
        </w:trPr>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540" w:type="dxa"/>
            <w:vAlign w:val="bottom"/>
          </w:tcPr>
          <w:p>
            <w:pPr>
              <w:ind w:left="1700"/>
              <w:spacing w:after="0"/>
              <w:rPr>
                <w:sz w:val="20"/>
                <w:szCs w:val="20"/>
                <w:color w:val="auto"/>
              </w:rPr>
            </w:pPr>
            <w:r>
              <w:rPr>
                <w:rFonts w:ascii="Arial" w:cs="Arial" w:eastAsia="Arial" w:hAnsi="Arial"/>
                <w:sz w:val="15"/>
                <w:szCs w:val="15"/>
                <w:color w:val="auto"/>
              </w:rPr>
              <w:t>Name:</w:t>
            </w:r>
          </w:p>
        </w:tc>
        <w:tc>
          <w:tcPr>
            <w:tcW w:w="5180" w:type="dxa"/>
            <w:vAlign w:val="bottom"/>
          </w:tcPr>
          <w:p>
            <w:pPr>
              <w:ind w:left="20"/>
              <w:spacing w:after="0"/>
              <w:rPr>
                <w:sz w:val="20"/>
                <w:szCs w:val="20"/>
                <w:color w:val="auto"/>
              </w:rPr>
            </w:pPr>
            <w:r>
              <w:rPr>
                <w:rFonts w:ascii="Arial" w:cs="Arial" w:eastAsia="Arial" w:hAnsi="Arial"/>
                <w:sz w:val="15"/>
                <w:szCs w:val="15"/>
                <w:b w:val="1"/>
                <w:bCs w:val="1"/>
                <w:color w:val="auto"/>
              </w:rPr>
              <w:t>John D. Collins</w:t>
            </w:r>
          </w:p>
        </w:tc>
      </w:tr>
      <w:tr>
        <w:trPr>
          <w:trHeight w:val="216"/>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5"/>
                <w:szCs w:val="15"/>
                <w:color w:val="auto"/>
              </w:rPr>
              <w:t>Chief Financial Officer (Principal Financial Officer and Principal Accounting</w:t>
            </w:r>
          </w:p>
        </w:tc>
      </w:tr>
      <w:tr>
        <w:trPr>
          <w:trHeight w:val="209"/>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40" w:type="dxa"/>
            <w:vAlign w:val="bottom"/>
          </w:tcPr>
          <w:p>
            <w:pPr>
              <w:ind w:left="1700"/>
              <w:spacing w:after="0"/>
              <w:rPr>
                <w:sz w:val="20"/>
                <w:szCs w:val="20"/>
                <w:color w:val="auto"/>
              </w:rPr>
            </w:pPr>
            <w:r>
              <w:rPr>
                <w:rFonts w:ascii="Arial" w:cs="Arial" w:eastAsia="Arial" w:hAnsi="Arial"/>
                <w:sz w:val="15"/>
                <w:szCs w:val="15"/>
                <w:color w:val="auto"/>
              </w:rPr>
              <w:t>Title:</w:t>
            </w:r>
          </w:p>
        </w:tc>
        <w:tc>
          <w:tcPr>
            <w:tcW w:w="5180" w:type="dxa"/>
            <w:vAlign w:val="bottom"/>
          </w:tcPr>
          <w:p>
            <w:pPr>
              <w:ind w:left="20"/>
              <w:spacing w:after="0"/>
              <w:rPr>
                <w:sz w:val="20"/>
                <w:szCs w:val="20"/>
                <w:color w:val="auto"/>
              </w:rPr>
            </w:pPr>
            <w:r>
              <w:rPr>
                <w:rFonts w:ascii="Arial" w:cs="Arial" w:eastAsia="Arial" w:hAnsi="Arial"/>
                <w:sz w:val="15"/>
                <w:szCs w:val="15"/>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04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certify that:</w:t>
      </w:r>
    </w:p>
    <w:p>
      <w:pPr>
        <w:spacing w:after="0" w:line="101"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Annual Report on Form 10-Q of LivePerson, Inc.;</w:t>
      </w:r>
    </w:p>
    <w:p>
      <w:pPr>
        <w:spacing w:after="0" w:line="101" w:lineRule="exact"/>
        <w:rPr>
          <w:rFonts w:ascii="Arial" w:cs="Arial" w:eastAsia="Arial" w:hAnsi="Arial"/>
          <w:sz w:val="17"/>
          <w:szCs w:val="17"/>
          <w:color w:val="auto"/>
        </w:rPr>
      </w:pPr>
    </w:p>
    <w:p>
      <w:pPr>
        <w:ind w:left="320" w:right="160" w:hanging="317"/>
        <w:spacing w:after="0" w:line="340"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7"/>
          <w:szCs w:val="17"/>
          <w:color w:val="auto"/>
        </w:rPr>
      </w:pPr>
    </w:p>
    <w:p>
      <w:pPr>
        <w:ind w:left="320" w:right="60" w:hanging="317"/>
        <w:spacing w:after="0" w:line="26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320" w:right="140" w:hanging="317"/>
        <w:spacing w:after="0" w:line="26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7"/>
          <w:szCs w:val="17"/>
          <w:color w:val="auto"/>
        </w:rPr>
      </w:pPr>
    </w:p>
    <w:p>
      <w:pPr>
        <w:ind w:left="320" w:right="300" w:hanging="317"/>
        <w:spacing w:after="0" w:line="26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320" w:right="280" w:hanging="317"/>
        <w:spacing w:after="0" w:line="279"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7"/>
          <w:szCs w:val="17"/>
          <w:color w:val="auto"/>
        </w:rPr>
      </w:pPr>
    </w:p>
    <w:p>
      <w:pPr>
        <w:ind w:left="320" w:right="240" w:hanging="317"/>
        <w:spacing w:after="0" w:line="26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left="320" w:right="640" w:hanging="317"/>
        <w:spacing w:after="0" w:line="312"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sz w:val="20"/>
          <w:szCs w:val="20"/>
          <w:color w:val="auto"/>
        </w:rPr>
      </w:pPr>
    </w:p>
    <w:p>
      <w:pPr>
        <w:ind w:left="320" w:right="480" w:hanging="317"/>
        <w:spacing w:after="0" w:line="279"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7"/>
          <w:szCs w:val="17"/>
          <w:color w:val="auto"/>
        </w:rPr>
      </w:pPr>
    </w:p>
    <w:p>
      <w:pPr>
        <w:ind w:left="320" w:right="60" w:hanging="317"/>
        <w:spacing w:after="0" w:line="279"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7"/>
                <w:szCs w:val="17"/>
                <w:color w:val="auto"/>
              </w:rPr>
              <w:t>Date:</w:t>
            </w:r>
          </w:p>
        </w:tc>
        <w:tc>
          <w:tcPr>
            <w:tcW w:w="2980" w:type="dxa"/>
            <w:vAlign w:val="bottom"/>
          </w:tcPr>
          <w:p>
            <w:pPr>
              <w:ind w:left="280"/>
              <w:spacing w:after="0"/>
              <w:rPr>
                <w:sz w:val="20"/>
                <w:szCs w:val="20"/>
                <w:color w:val="auto"/>
              </w:rPr>
            </w:pPr>
            <w:r>
              <w:rPr>
                <w:rFonts w:ascii="Arial" w:cs="Arial" w:eastAsia="Arial" w:hAnsi="Arial"/>
                <w:sz w:val="17"/>
                <w:szCs w:val="17"/>
                <w:color w:val="auto"/>
              </w:rPr>
              <w:t>May 11, 2023</w:t>
            </w:r>
          </w:p>
        </w:tc>
        <w:tc>
          <w:tcPr>
            <w:tcW w:w="2480" w:type="dxa"/>
            <w:vAlign w:val="bottom"/>
          </w:tcPr>
          <w:p>
            <w:pPr>
              <w:ind w:left="17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P. LOCASCIO</w:t>
            </w:r>
          </w:p>
        </w:tc>
      </w:tr>
      <w:tr>
        <w:trPr>
          <w:trHeight w:val="214"/>
        </w:trPr>
        <w:tc>
          <w:tcPr>
            <w:tcW w:w="6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80" w:type="dxa"/>
            <w:vAlign w:val="bottom"/>
          </w:tcPr>
          <w:p>
            <w:pPr>
              <w:ind w:left="1760"/>
              <w:spacing w:after="0"/>
              <w:rPr>
                <w:sz w:val="20"/>
                <w:szCs w:val="20"/>
                <w:color w:val="auto"/>
              </w:rPr>
            </w:pPr>
            <w:r>
              <w:rPr>
                <w:rFonts w:ascii="Arial" w:cs="Arial" w:eastAsia="Arial" w:hAnsi="Arial"/>
                <w:sz w:val="17"/>
                <w:szCs w:val="17"/>
                <w:color w:val="auto"/>
              </w:rPr>
              <w:t>Name:</w:t>
            </w:r>
          </w:p>
        </w:tc>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Robert P. LoCascio</w:t>
            </w:r>
          </w:p>
        </w:tc>
      </w:tr>
      <w:tr>
        <w:trPr>
          <w:trHeight w:val="217"/>
        </w:trPr>
        <w:tc>
          <w:tcPr>
            <w:tcW w:w="6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80" w:type="dxa"/>
            <w:vAlign w:val="bottom"/>
          </w:tcPr>
          <w:p>
            <w:pPr>
              <w:ind w:left="1760"/>
              <w:spacing w:after="0"/>
              <w:rPr>
                <w:sz w:val="20"/>
                <w:szCs w:val="20"/>
                <w:color w:val="auto"/>
              </w:rPr>
            </w:pPr>
            <w:r>
              <w:rPr>
                <w:rFonts w:ascii="Arial" w:cs="Arial" w:eastAsia="Arial" w:hAnsi="Arial"/>
                <w:sz w:val="17"/>
                <w:szCs w:val="17"/>
                <w:color w:val="auto"/>
              </w:rPr>
              <w:t>Title:</w:t>
            </w:r>
          </w:p>
        </w:tc>
        <w:tc>
          <w:tcPr>
            <w:tcW w:w="4980" w:type="dxa"/>
            <w:vAlign w:val="bottom"/>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bl>
    <w:p>
      <w:pPr>
        <w:sectPr>
          <w:pgSz w:w="11900" w:h="16838" w:orient="portrait"/>
          <w:cols w:equalWidth="0" w:num="1">
            <w:col w:w="11240"/>
          </w:cols>
          <w:pgMar w:left="320" w:top="12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 John Collins, certify that:</w:t>
      </w:r>
    </w:p>
    <w:p>
      <w:pPr>
        <w:spacing w:after="0" w:line="101"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Annual Report on Form 10-Q of LivePerson, Inc.;</w:t>
      </w:r>
    </w:p>
    <w:p>
      <w:pPr>
        <w:spacing w:after="0" w:line="101" w:lineRule="exact"/>
        <w:rPr>
          <w:rFonts w:ascii="Arial" w:cs="Arial" w:eastAsia="Arial" w:hAnsi="Arial"/>
          <w:sz w:val="17"/>
          <w:szCs w:val="17"/>
          <w:color w:val="auto"/>
        </w:rPr>
      </w:pPr>
    </w:p>
    <w:p>
      <w:pPr>
        <w:ind w:left="320" w:right="160" w:hanging="317"/>
        <w:spacing w:after="0" w:line="340" w:lineRule="auto"/>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7"/>
          <w:szCs w:val="17"/>
          <w:color w:val="auto"/>
        </w:rPr>
      </w:pPr>
    </w:p>
    <w:p>
      <w:pPr>
        <w:ind w:left="320" w:right="60" w:hanging="317"/>
        <w:spacing w:after="0" w:line="266"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320" w:right="140" w:hanging="317"/>
        <w:spacing w:after="0" w:line="266"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7"/>
          <w:szCs w:val="17"/>
          <w:color w:val="auto"/>
        </w:rPr>
      </w:pPr>
    </w:p>
    <w:p>
      <w:pPr>
        <w:ind w:left="320" w:right="300" w:hanging="317"/>
        <w:spacing w:after="0" w:line="266"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320" w:right="280" w:hanging="317"/>
        <w:spacing w:after="0" w:line="279"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7"/>
          <w:szCs w:val="17"/>
          <w:color w:val="auto"/>
        </w:rPr>
      </w:pPr>
    </w:p>
    <w:p>
      <w:pPr>
        <w:ind w:left="320" w:right="240" w:hanging="317"/>
        <w:spacing w:after="0" w:line="266"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left="320" w:right="640" w:hanging="317"/>
        <w:spacing w:after="0" w:line="312"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sz w:val="20"/>
          <w:szCs w:val="20"/>
          <w:color w:val="auto"/>
        </w:rPr>
      </w:pPr>
    </w:p>
    <w:p>
      <w:pPr>
        <w:ind w:left="320" w:right="480" w:hanging="317"/>
        <w:spacing w:after="0" w:line="27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7"/>
          <w:szCs w:val="17"/>
          <w:color w:val="auto"/>
        </w:rPr>
      </w:pPr>
    </w:p>
    <w:p>
      <w:pPr>
        <w:ind w:left="320" w:right="60" w:hanging="317"/>
        <w:spacing w:after="0" w:line="27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74" w:lineRule="exact"/>
        <w:rPr>
          <w:sz w:val="20"/>
          <w:szCs w:val="20"/>
          <w:color w:val="auto"/>
        </w:rPr>
      </w:pPr>
    </w:p>
    <w:p>
      <w:pPr>
        <w:ind w:left="100"/>
        <w:spacing w:after="0"/>
        <w:tabs>
          <w:tab w:leader="none" w:pos="1100" w:val="left"/>
          <w:tab w:leader="none" w:pos="5240" w:val="left"/>
          <w:tab w:leader="none" w:pos="59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11,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291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17"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b w:val="1"/>
          <w:bCs w:val="1"/>
          <w:color w:val="auto"/>
        </w:rPr>
        <w:t>John Collins</w:t>
      </w:r>
    </w:p>
    <w:p>
      <w:pPr>
        <w:spacing w:after="0" w:line="37"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Financial Officer (Principal Financial Officer)</w:t>
      </w:r>
    </w:p>
    <w:p>
      <w:pPr>
        <w:sectPr>
          <w:pgSz w:w="11900" w:h="16838" w:orient="portrait"/>
          <w:cols w:equalWidth="0" w:num="1">
            <w:col w:w="11240"/>
          </w:cols>
          <w:pgMar w:left="320" w:top="12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u w:val="single" w:color="auto"/>
          <w:color w:val="auto"/>
        </w:rPr>
        <w:t>Exhibit 32.1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0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 Section 906 of the Sarbanes-Oxley Act of 2002, that:</w:t>
      </w:r>
    </w:p>
    <w:p>
      <w:pPr>
        <w:spacing w:after="0" w:line="48" w:lineRule="exact"/>
        <w:rPr>
          <w:sz w:val="20"/>
          <w:szCs w:val="20"/>
          <w:color w:val="auto"/>
        </w:rPr>
      </w:pPr>
    </w:p>
    <w:p>
      <w:pPr>
        <w:ind w:left="620" w:right="480" w:hanging="307"/>
        <w:spacing w:after="0" w:line="279"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Annual Report of the Company on Form 10-Q for the period ended March 31, 2023, as filed with the Securities and Exchange Commission (the “Report”), fully complies with the requirements of Section 13(a) or 15(d) of the Securities Exchange Act of 1934; and</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2960" w:type="dxa"/>
            <w:vAlign w:val="bottom"/>
          </w:tcPr>
          <w:p>
            <w:pPr>
              <w:ind w:left="220"/>
              <w:spacing w:after="0"/>
              <w:rPr>
                <w:sz w:val="20"/>
                <w:szCs w:val="20"/>
                <w:color w:val="auto"/>
              </w:rPr>
            </w:pPr>
            <w:r>
              <w:rPr>
                <w:rFonts w:ascii="Arial" w:cs="Arial" w:eastAsia="Arial" w:hAnsi="Arial"/>
                <w:sz w:val="17"/>
                <w:szCs w:val="17"/>
                <w:color w:val="auto"/>
              </w:rPr>
              <w:t>May 11, 2023</w:t>
            </w:r>
          </w:p>
        </w:tc>
        <w:tc>
          <w:tcPr>
            <w:tcW w:w="2500" w:type="dxa"/>
            <w:vAlign w:val="bottom"/>
          </w:tcPr>
          <w:p>
            <w:pPr>
              <w:ind w:left="1780"/>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P. LOCASCIO</w:t>
            </w:r>
          </w:p>
        </w:tc>
      </w:tr>
      <w:tr>
        <w:trPr>
          <w:trHeight w:val="218"/>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tcPr>
          <w:p>
            <w:pPr>
              <w:ind w:left="1780"/>
              <w:spacing w:after="0"/>
              <w:rPr>
                <w:sz w:val="20"/>
                <w:szCs w:val="20"/>
                <w:color w:val="auto"/>
              </w:rPr>
            </w:pPr>
            <w:r>
              <w:rPr>
                <w:rFonts w:ascii="Arial" w:cs="Arial" w:eastAsia="Arial" w:hAnsi="Arial"/>
                <w:sz w:val="17"/>
                <w:szCs w:val="17"/>
                <w:color w:val="auto"/>
              </w:rPr>
              <w:t>Name:</w:t>
            </w:r>
          </w:p>
        </w:tc>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Robert P. LoCascio</w:t>
            </w:r>
          </w:p>
        </w:tc>
      </w:tr>
      <w:tr>
        <w:trPr>
          <w:trHeight w:val="227"/>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500" w:type="dxa"/>
            <w:vAlign w:val="bottom"/>
          </w:tcPr>
          <w:p>
            <w:pPr>
              <w:ind w:left="1780"/>
              <w:spacing w:after="0"/>
              <w:rPr>
                <w:sz w:val="20"/>
                <w:szCs w:val="20"/>
                <w:color w:val="auto"/>
              </w:rPr>
            </w:pPr>
            <w:r>
              <w:rPr>
                <w:rFonts w:ascii="Arial" w:cs="Arial" w:eastAsia="Arial" w:hAnsi="Arial"/>
                <w:sz w:val="17"/>
                <w:szCs w:val="17"/>
                <w:color w:val="auto"/>
              </w:rPr>
              <w:t>Title:</w:t>
            </w:r>
          </w:p>
        </w:tc>
        <w:tc>
          <w:tcPr>
            <w:tcW w:w="4900" w:type="dxa"/>
            <w:vAlign w:val="bottom"/>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bl>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u w:val="single" w:color="auto"/>
          <w:color w:val="auto"/>
        </w:rPr>
        <w:t>Exhibit 32.2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0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 John Collins, Chief Financial Officer of LivePerson, Inc. (the “Company”), certify, pursuant to 18 U.S.C. Section 1350, as adopted pursuant to Section 906 of the Sarbanes-Oxley Act of 2002, that:</w:t>
      </w:r>
    </w:p>
    <w:p>
      <w:pPr>
        <w:spacing w:after="0" w:line="48" w:lineRule="exact"/>
        <w:rPr>
          <w:sz w:val="20"/>
          <w:szCs w:val="20"/>
          <w:color w:val="auto"/>
        </w:rPr>
      </w:pPr>
    </w:p>
    <w:p>
      <w:pPr>
        <w:ind w:left="620" w:right="480" w:hanging="307"/>
        <w:spacing w:after="0" w:line="279"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Annual Report of the Company on Form 10-Q for the period ended March 31, 2023, as filed with the Securities and Exchange Commission (the “Report”), fully complies with the requirements of Section 13(a) or 15(d) of the Securities Exchange Act of 1934; and</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ind w:left="140"/>
        <w:spacing w:after="0"/>
        <w:tabs>
          <w:tab w:leader="none" w:pos="1180" w:val="left"/>
          <w:tab w:leader="none" w:pos="5640" w:val="left"/>
          <w:tab w:leader="none" w:pos="6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11,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14605</wp:posOffset>
            </wp:positionV>
            <wp:extent cx="30041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11"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b w:val="1"/>
          <w:bCs w:val="1"/>
          <w:color w:val="auto"/>
        </w:rPr>
        <w:t>John Collins</w:t>
      </w:r>
    </w:p>
    <w:p>
      <w:pPr>
        <w:spacing w:after="0" w:line="43"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Financial Officer (Principal Financial Officer)</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2"/>
      <w:numFmt w:val="decimal"/>
      <w:start w:val="104"/>
    </w:lvl>
  </w:abstractNum>
  <w:abstractNum w:abstractNumId="22">
    <w:nsid w:val="2CA88611"/>
    <w:multiLevelType w:val="hybridMultilevel"/>
    <w:lvl w:ilvl="0">
      <w:lvlJc w:val="left"/>
      <w:lvlText w:val="**"/>
      <w:numFmt w:val="bullet"/>
      <w:start w:val="1"/>
    </w:lvl>
    <w:lvl w:ilvl="1">
      <w:lvlJc w:val="left"/>
      <w:lvlText w:val="%2"/>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2023-05-11T05:32:39Z</dcterms:created>
  <dcterms:modified xsi:type="dcterms:W3CDTF">2023-05-11T05:32:39Z</dcterms:modified>
</cp:coreProperties>
</file>