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9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FORM 10-Q</w:t>
      </w:r>
    </w:p>
    <w:p>
      <w:pPr>
        <w:spacing w:after="0" w:line="22" w:lineRule="exact"/>
        <w:rPr>
          <w:sz w:val="24"/>
          <w:szCs w:val="24"/>
          <w:color w:val="auto"/>
        </w:rPr>
      </w:pPr>
    </w:p>
    <w:p>
      <w:pPr>
        <w:jc w:val="center"/>
        <w:ind w:left="4640" w:right="2100" w:hanging="2499"/>
        <w:spacing w:after="0" w:line="266" w:lineRule="auto"/>
        <w:tabs>
          <w:tab w:leader="none" w:pos="2357"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6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September 30, 2016</w:t>
      </w:r>
    </w:p>
    <w:p>
      <w:pPr>
        <w:spacing w:after="0" w:line="11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117" w:lineRule="exact"/>
        <w:rPr>
          <w:sz w:val="24"/>
          <w:szCs w:val="24"/>
          <w:color w:val="auto"/>
        </w:rPr>
      </w:pPr>
    </w:p>
    <w:p>
      <w:pPr>
        <w:jc w:val="center"/>
        <w:ind w:left="4640" w:right="2080" w:hanging="2505"/>
        <w:spacing w:after="0" w:line="282" w:lineRule="auto"/>
        <w:tabs>
          <w:tab w:leader="none" w:pos="235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54" w:lineRule="exact"/>
        <w:rPr>
          <w:sz w:val="24"/>
          <w:szCs w:val="24"/>
          <w:color w:val="auto"/>
        </w:rPr>
      </w:pPr>
    </w:p>
    <w:p>
      <w:pPr>
        <w:ind w:left="2600"/>
        <w:spacing w:after="0"/>
        <w:rPr>
          <w:sz w:val="20"/>
          <w:szCs w:val="20"/>
          <w:color w:val="auto"/>
        </w:rPr>
      </w:pPr>
      <w:r>
        <w:rPr>
          <w:rFonts w:ascii="Arial" w:cs="Arial" w:eastAsia="Arial" w:hAnsi="Arial"/>
          <w:sz w:val="18"/>
          <w:szCs w:val="18"/>
          <w:b w:val="1"/>
          <w:bCs w:val="1"/>
          <w:color w:val="auto"/>
        </w:rPr>
        <w:t>For the transition period from ____________________ to ____________________</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000-30141</w:t>
      </w:r>
    </w:p>
    <w:p>
      <w:pPr>
        <w:spacing w:after="0" w:line="261"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LIVEPERSON,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6915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74"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(Exact Name of Registrant as Specified in Its Charter)</w:t>
      </w:r>
    </w:p>
    <w:p>
      <w:pPr>
        <w:spacing w:after="0" w:line="30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6120" w:type="dxa"/>
            <w:vAlign w:val="bottom"/>
            <w:gridSpan w:val="2"/>
          </w:tcPr>
          <w:p>
            <w:pPr>
              <w:jc w:val="center"/>
              <w:ind w:right="680"/>
              <w:spacing w:after="0"/>
              <w:rPr>
                <w:sz w:val="20"/>
                <w:szCs w:val="20"/>
                <w:color w:val="auto"/>
              </w:rPr>
            </w:pPr>
            <w:r>
              <w:rPr>
                <w:rFonts w:ascii="Arial" w:cs="Arial" w:eastAsia="Arial" w:hAnsi="Arial"/>
                <w:sz w:val="18"/>
                <w:szCs w:val="18"/>
                <w:b w:val="1"/>
                <w:bCs w:val="1"/>
                <w:color w:val="auto"/>
                <w:w w:val="91"/>
              </w:rPr>
              <w:t>Delaware</w:t>
            </w:r>
          </w:p>
        </w:tc>
        <w:tc>
          <w:tcPr>
            <w:tcW w:w="5180" w:type="dxa"/>
            <w:vAlign w:val="bottom"/>
          </w:tcPr>
          <w:p>
            <w:pPr>
              <w:jc w:val="right"/>
              <w:ind w:right="2070"/>
              <w:spacing w:after="0"/>
              <w:rPr>
                <w:sz w:val="20"/>
                <w:szCs w:val="20"/>
                <w:color w:val="auto"/>
              </w:rPr>
            </w:pPr>
            <w:r>
              <w:rPr>
                <w:rFonts w:ascii="Arial" w:cs="Arial" w:eastAsia="Arial" w:hAnsi="Arial"/>
                <w:sz w:val="18"/>
                <w:szCs w:val="18"/>
                <w:b w:val="1"/>
                <w:bCs w:val="1"/>
                <w:color w:val="auto"/>
              </w:rPr>
              <w:t>13-3861628</w:t>
            </w:r>
          </w:p>
        </w:tc>
      </w:tr>
      <w:tr>
        <w:trPr>
          <w:trHeight w:val="34"/>
        </w:trPr>
        <w:tc>
          <w:tcPr>
            <w:tcW w:w="5440" w:type="dxa"/>
            <w:vAlign w:val="bottom"/>
            <w:tcBorders>
              <w:bottom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5180" w:type="dxa"/>
            <w:vAlign w:val="bottom"/>
            <w:tcBorders>
              <w:bottom w:val="single" w:sz="8" w:color="auto"/>
            </w:tcBorders>
          </w:tcPr>
          <w:p>
            <w:pPr>
              <w:spacing w:after="0"/>
              <w:rPr>
                <w:sz w:val="2"/>
                <w:szCs w:val="2"/>
                <w:color w:val="auto"/>
              </w:rPr>
            </w:pPr>
          </w:p>
        </w:tc>
      </w:tr>
      <w:tr>
        <w:trPr>
          <w:trHeight w:val="229"/>
        </w:trPr>
        <w:tc>
          <w:tcPr>
            <w:tcW w:w="6120" w:type="dxa"/>
            <w:vAlign w:val="bottom"/>
            <w:gridSpan w:val="2"/>
          </w:tcPr>
          <w:p>
            <w:pPr>
              <w:jc w:val="center"/>
              <w:ind w:right="680"/>
              <w:spacing w:after="0"/>
              <w:rPr>
                <w:sz w:val="20"/>
                <w:szCs w:val="20"/>
                <w:color w:val="auto"/>
              </w:rPr>
            </w:pPr>
            <w:r>
              <w:rPr>
                <w:rFonts w:ascii="Arial" w:cs="Arial" w:eastAsia="Arial" w:hAnsi="Arial"/>
                <w:sz w:val="18"/>
                <w:szCs w:val="18"/>
                <w:color w:val="auto"/>
                <w:w w:val="92"/>
              </w:rPr>
              <w:t>(State or Other Jurisdiction of</w:t>
            </w:r>
          </w:p>
        </w:tc>
        <w:tc>
          <w:tcPr>
            <w:tcW w:w="5180" w:type="dxa"/>
            <w:vAlign w:val="bottom"/>
          </w:tcPr>
          <w:p>
            <w:pPr>
              <w:spacing w:after="0"/>
              <w:rPr>
                <w:sz w:val="19"/>
                <w:szCs w:val="19"/>
                <w:color w:val="auto"/>
              </w:rPr>
            </w:pPr>
          </w:p>
        </w:tc>
      </w:tr>
      <w:tr>
        <w:trPr>
          <w:trHeight w:val="230"/>
        </w:trPr>
        <w:tc>
          <w:tcPr>
            <w:tcW w:w="6120" w:type="dxa"/>
            <w:vAlign w:val="bottom"/>
            <w:gridSpan w:val="2"/>
          </w:tcPr>
          <w:p>
            <w:pPr>
              <w:jc w:val="center"/>
              <w:ind w:right="660"/>
              <w:spacing w:after="0"/>
              <w:rPr>
                <w:sz w:val="20"/>
                <w:szCs w:val="20"/>
                <w:color w:val="auto"/>
              </w:rPr>
            </w:pPr>
            <w:r>
              <w:rPr>
                <w:rFonts w:ascii="Arial" w:cs="Arial" w:eastAsia="Arial" w:hAnsi="Arial"/>
                <w:sz w:val="18"/>
                <w:szCs w:val="18"/>
                <w:color w:val="auto"/>
                <w:w w:val="92"/>
              </w:rPr>
              <w:t>Incorporation or Organization)</w:t>
            </w:r>
          </w:p>
        </w:tc>
        <w:tc>
          <w:tcPr>
            <w:tcW w:w="5180" w:type="dxa"/>
            <w:vAlign w:val="bottom"/>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549"/>
        </w:trPr>
        <w:tc>
          <w:tcPr>
            <w:tcW w:w="6120" w:type="dxa"/>
            <w:vAlign w:val="bottom"/>
            <w:gridSpan w:val="2"/>
          </w:tcPr>
          <w:p>
            <w:pPr>
              <w:jc w:val="center"/>
              <w:ind w:right="660"/>
              <w:spacing w:after="0"/>
              <w:rPr>
                <w:sz w:val="20"/>
                <w:szCs w:val="20"/>
                <w:color w:val="auto"/>
              </w:rPr>
            </w:pPr>
            <w:r>
              <w:rPr>
                <w:rFonts w:ascii="Arial" w:cs="Arial" w:eastAsia="Arial" w:hAnsi="Arial"/>
                <w:sz w:val="18"/>
                <w:szCs w:val="18"/>
                <w:b w:val="1"/>
                <w:bCs w:val="1"/>
                <w:color w:val="auto"/>
                <w:w w:val="90"/>
              </w:rPr>
              <w:t>475 Tenth Avenue, 5th Floor</w:t>
            </w:r>
          </w:p>
        </w:tc>
        <w:tc>
          <w:tcPr>
            <w:tcW w:w="5180" w:type="dxa"/>
            <w:vAlign w:val="bottom"/>
          </w:tcPr>
          <w:p>
            <w:pPr>
              <w:spacing w:after="0"/>
              <w:rPr>
                <w:sz w:val="24"/>
                <w:szCs w:val="24"/>
                <w:color w:val="auto"/>
              </w:rPr>
            </w:pPr>
          </w:p>
        </w:tc>
      </w:tr>
      <w:tr>
        <w:trPr>
          <w:trHeight w:val="234"/>
        </w:trPr>
        <w:tc>
          <w:tcPr>
            <w:tcW w:w="6120" w:type="dxa"/>
            <w:vAlign w:val="bottom"/>
            <w:gridSpan w:val="2"/>
          </w:tcPr>
          <w:p>
            <w:pPr>
              <w:jc w:val="center"/>
              <w:ind w:right="660"/>
              <w:spacing w:after="0"/>
              <w:rPr>
                <w:sz w:val="20"/>
                <w:szCs w:val="20"/>
                <w:color w:val="auto"/>
              </w:rPr>
            </w:pPr>
            <w:r>
              <w:rPr>
                <w:rFonts w:ascii="Arial" w:cs="Arial" w:eastAsia="Arial" w:hAnsi="Arial"/>
                <w:sz w:val="18"/>
                <w:szCs w:val="18"/>
                <w:b w:val="1"/>
                <w:bCs w:val="1"/>
                <w:color w:val="auto"/>
                <w:w w:val="93"/>
              </w:rPr>
              <w:t>New York, New York</w:t>
            </w:r>
          </w:p>
        </w:tc>
        <w:tc>
          <w:tcPr>
            <w:tcW w:w="5180" w:type="dxa"/>
            <w:vAlign w:val="bottom"/>
          </w:tcPr>
          <w:p>
            <w:pPr>
              <w:jc w:val="right"/>
              <w:ind w:right="2270"/>
              <w:spacing w:after="0"/>
              <w:rPr>
                <w:sz w:val="20"/>
                <w:szCs w:val="20"/>
                <w:color w:val="auto"/>
              </w:rPr>
            </w:pPr>
            <w:r>
              <w:rPr>
                <w:rFonts w:ascii="Arial" w:cs="Arial" w:eastAsia="Arial" w:hAnsi="Arial"/>
                <w:sz w:val="18"/>
                <w:szCs w:val="18"/>
                <w:b w:val="1"/>
                <w:bCs w:val="1"/>
                <w:color w:val="auto"/>
              </w:rPr>
              <w:t>10018</w:t>
            </w:r>
          </w:p>
        </w:tc>
      </w:tr>
      <w:tr>
        <w:trPr>
          <w:trHeight w:val="34"/>
        </w:trPr>
        <w:tc>
          <w:tcPr>
            <w:tcW w:w="5440" w:type="dxa"/>
            <w:vAlign w:val="bottom"/>
            <w:tcBorders>
              <w:bottom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5180" w:type="dxa"/>
            <w:vAlign w:val="bottom"/>
            <w:tcBorders>
              <w:bottom w:val="single" w:sz="8" w:color="auto"/>
            </w:tcBorders>
          </w:tcPr>
          <w:p>
            <w:pPr>
              <w:spacing w:after="0"/>
              <w:rPr>
                <w:sz w:val="2"/>
                <w:szCs w:val="2"/>
                <w:color w:val="auto"/>
              </w:rPr>
            </w:pPr>
          </w:p>
        </w:tc>
      </w:tr>
      <w:tr>
        <w:trPr>
          <w:trHeight w:val="243"/>
        </w:trPr>
        <w:tc>
          <w:tcPr>
            <w:tcW w:w="6120" w:type="dxa"/>
            <w:vAlign w:val="bottom"/>
            <w:gridSpan w:val="2"/>
          </w:tcPr>
          <w:p>
            <w:pPr>
              <w:jc w:val="center"/>
              <w:ind w:right="660"/>
              <w:spacing w:after="0"/>
              <w:rPr>
                <w:sz w:val="20"/>
                <w:szCs w:val="20"/>
                <w:color w:val="auto"/>
              </w:rPr>
            </w:pPr>
            <w:r>
              <w:rPr>
                <w:rFonts w:ascii="Arial" w:cs="Arial" w:eastAsia="Arial" w:hAnsi="Arial"/>
                <w:sz w:val="18"/>
                <w:szCs w:val="18"/>
                <w:color w:val="auto"/>
                <w:w w:val="92"/>
              </w:rPr>
              <w:t>(Address of Principal Executive Offices)</w:t>
            </w:r>
          </w:p>
        </w:tc>
        <w:tc>
          <w:tcPr>
            <w:tcW w:w="5180" w:type="dxa"/>
            <w:vAlign w:val="bottom"/>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279"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(212) 609-4200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6915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74"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(Registrant’s Telephone Number, Including Area Code)</w:t>
      </w:r>
    </w:p>
    <w:p>
      <w:pPr>
        <w:spacing w:after="0" w:line="144" w:lineRule="exact"/>
        <w:rPr>
          <w:sz w:val="24"/>
          <w:szCs w:val="24"/>
          <w:color w:val="auto"/>
        </w:rPr>
      </w:pPr>
    </w:p>
    <w:p>
      <w:pPr>
        <w:ind w:right="3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360"/>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 (Check one).</w:t>
      </w:r>
    </w:p>
    <w:p>
      <w:pPr>
        <w:sectPr>
          <w:pgSz w:w="11900" w:h="16838" w:orient="portrait"/>
          <w:cols w:equalWidth="0" w:num="1">
            <w:col w:w="11380"/>
          </w:cols>
          <w:pgMar w:left="240" w:top="688" w:right="279" w:bottom="1440" w:gutter="0" w:footer="0" w:header="0"/>
        </w:sectPr>
      </w:pPr>
    </w:p>
    <w:p>
      <w:pPr>
        <w:spacing w:after="0" w:line="145" w:lineRule="exact"/>
        <w:rPr>
          <w:sz w:val="24"/>
          <w:szCs w:val="24"/>
          <w:color w:val="auto"/>
        </w:rPr>
      </w:pPr>
    </w:p>
    <w:p>
      <w:pPr>
        <w:ind w:left="4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99" w:lineRule="exact"/>
        <w:rPr>
          <w:sz w:val="24"/>
          <w:szCs w:val="24"/>
          <w:color w:val="auto"/>
        </w:rPr>
      </w:pPr>
    </w:p>
    <w:p>
      <w:pPr>
        <w:sectPr>
          <w:pgSz w:w="11900" w:h="16838" w:orient="portrait"/>
          <w:cols w:equalWidth="0" w:num="2">
            <w:col w:w="4960" w:space="720"/>
            <w:col w:w="5700"/>
          </w:cols>
          <w:pgMar w:left="240" w:top="688" w:right="279" w:bottom="1440" w:gutter="0" w:footer="0" w:header="0"/>
          <w:type w:val="continuous"/>
        </w:sectPr>
      </w:pPr>
    </w:p>
    <w:p>
      <w:pPr>
        <w:ind w:left="4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106" w:lineRule="exact"/>
        <w:rPr>
          <w:sz w:val="24"/>
          <w:szCs w:val="24"/>
          <w:color w:val="auto"/>
        </w:rPr>
      </w:pPr>
    </w:p>
    <w:p>
      <w:pPr>
        <w:sectPr>
          <w:pgSz w:w="11900" w:h="16838" w:orient="portrait"/>
          <w:cols w:equalWidth="0" w:num="2">
            <w:col w:w="4960" w:space="720"/>
            <w:col w:w="5700"/>
          </w:cols>
          <w:pgMar w:left="240" w:top="688" w:right="27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(Do not check if a smaller reporting company)</w:t>
      </w:r>
    </w:p>
    <w:p>
      <w:pPr>
        <w:sectPr>
          <w:pgSz w:w="11900" w:h="16838" w:orient="portrait"/>
          <w:cols w:equalWidth="0" w:num="1">
            <w:col w:w="11380"/>
          </w:cols>
          <w:pgMar w:left="240" w:top="688" w:right="279" w:bottom="1440" w:gutter="0" w:footer="0" w:header="0"/>
          <w:type w:val="continuous"/>
        </w:sectPr>
      </w:pPr>
    </w:p>
    <w:p>
      <w:pPr>
        <w:spacing w:after="0" w:line="134" w:lineRule="exact"/>
        <w:rPr>
          <w:sz w:val="24"/>
          <w:szCs w:val="24"/>
          <w:color w:val="auto"/>
        </w:rPr>
      </w:pPr>
    </w:p>
    <w:p>
      <w:pPr>
        <w:ind w:right="2200"/>
        <w:spacing w:after="0" w:line="294"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On November 7, 2016, 57,970,850 shares of the registrant’s common stock were outstanding.</w:t>
      </w:r>
    </w:p>
    <w:p>
      <w:pPr>
        <w:spacing w:after="0" w:line="23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80"/>
          </w:cols>
          <w:pgMar w:left="240" w:top="688" w:right="27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LIVEPERSON,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40" w:type="dxa"/>
            <w:vAlign w:val="bottom"/>
          </w:tcPr>
          <w:p>
            <w:pPr>
              <w:spacing w:after="0"/>
              <w:rPr>
                <w:sz w:val="20"/>
                <w:szCs w:val="20"/>
                <w:color w:val="auto"/>
              </w:rPr>
            </w:pPr>
          </w:p>
        </w:tc>
        <w:tc>
          <w:tcPr>
            <w:tcW w:w="9360" w:type="dxa"/>
            <w:vAlign w:val="bottom"/>
          </w:tcPr>
          <w:p>
            <w:pPr>
              <w:spacing w:after="0"/>
              <w:rPr>
                <w:sz w:val="20"/>
                <w:szCs w:val="20"/>
                <w:color w:val="auto"/>
              </w:rPr>
            </w:pPr>
          </w:p>
        </w:tc>
        <w:tc>
          <w:tcPr>
            <w:tcW w:w="1020" w:type="dxa"/>
            <w:vAlign w:val="bottom"/>
            <w:gridSpan w:val="4"/>
          </w:tcPr>
          <w:p>
            <w:pPr>
              <w:ind w:left="280"/>
              <w:spacing w:after="0"/>
              <w:rPr>
                <w:sz w:val="20"/>
                <w:szCs w:val="20"/>
                <w:color w:val="auto"/>
              </w:rPr>
            </w:pPr>
            <w:r>
              <w:rPr>
                <w:rFonts w:ascii="Arial" w:cs="Arial" w:eastAsia="Arial" w:hAnsi="Arial"/>
                <w:sz w:val="18"/>
                <w:szCs w:val="18"/>
                <w:color w:val="auto"/>
              </w:rPr>
              <w:t>PAGE</w:t>
            </w:r>
          </w:p>
        </w:tc>
      </w:tr>
      <w:tr>
        <w:trPr>
          <w:trHeight w:val="27"/>
        </w:trPr>
        <w:tc>
          <w:tcPr>
            <w:tcW w:w="1040" w:type="dxa"/>
            <w:vAlign w:val="bottom"/>
            <w:tcBorders>
              <w:bottom w:val="single" w:sz="8" w:color="CCFFCC"/>
            </w:tcBorders>
          </w:tcPr>
          <w:p>
            <w:pPr>
              <w:spacing w:after="0"/>
              <w:rPr>
                <w:sz w:val="2"/>
                <w:szCs w:val="2"/>
                <w:color w:val="auto"/>
              </w:rPr>
            </w:pPr>
          </w:p>
        </w:tc>
        <w:tc>
          <w:tcPr>
            <w:tcW w:w="9360" w:type="dxa"/>
            <w:vAlign w:val="bottom"/>
            <w:tcBorders>
              <w:bottom w:val="single" w:sz="8" w:color="CCFFCC"/>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44"/>
        </w:trPr>
        <w:tc>
          <w:tcPr>
            <w:tcW w:w="1040" w:type="dxa"/>
            <w:vAlign w:val="bottom"/>
            <w:shd w:val="clear" w:color="auto" w:fill="CCFFCC"/>
          </w:tcPr>
          <w:p>
            <w:pPr>
              <w:ind w:left="40"/>
              <w:spacing w:after="0" w:line="196" w:lineRule="exact"/>
              <w:rPr>
                <w:sz w:val="20"/>
                <w:szCs w:val="20"/>
                <w:color w:val="auto"/>
              </w:rPr>
            </w:pPr>
            <w:r>
              <w:rPr>
                <w:rFonts w:ascii="Arial" w:cs="Arial" w:eastAsia="Arial" w:hAnsi="Arial"/>
                <w:sz w:val="18"/>
                <w:szCs w:val="18"/>
                <w:color w:val="auto"/>
              </w:rPr>
              <w:t>Part I.</w:t>
            </w:r>
          </w:p>
        </w:tc>
        <w:tc>
          <w:tcPr>
            <w:tcW w:w="9360" w:type="dxa"/>
            <w:vAlign w:val="bottom"/>
            <w:shd w:val="clear" w:color="auto" w:fill="CCFFCC"/>
          </w:tcPr>
          <w:p>
            <w:pPr>
              <w:ind w:left="260"/>
              <w:spacing w:after="0" w:line="196" w:lineRule="exact"/>
              <w:rPr>
                <w:sz w:val="20"/>
                <w:szCs w:val="20"/>
                <w:color w:val="auto"/>
              </w:rPr>
            </w:pPr>
            <w:r>
              <w:rPr>
                <w:rFonts w:ascii="Arial" w:cs="Arial" w:eastAsia="Arial" w:hAnsi="Arial"/>
                <w:sz w:val="18"/>
                <w:szCs w:val="18"/>
                <w:color w:val="auto"/>
              </w:rPr>
              <w:t>Financial Information</w:t>
            </w:r>
          </w:p>
        </w:tc>
        <w:tc>
          <w:tcPr>
            <w:tcW w:w="1020" w:type="dxa"/>
            <w:vAlign w:val="bottom"/>
            <w:gridSpan w:val="4"/>
            <w:shd w:val="clear" w:color="auto" w:fill="CCFFCC"/>
          </w:tcPr>
          <w:p>
            <w:pPr>
              <w:jc w:val="right"/>
              <w:ind w:right="20"/>
              <w:spacing w:after="0" w:line="196" w:lineRule="exact"/>
              <w:rPr>
                <w:rFonts w:ascii="Arial" w:cs="Arial" w:eastAsia="Arial" w:hAnsi="Arial"/>
                <w:sz w:val="18"/>
                <w:szCs w:val="18"/>
                <w:color w:val="0000FF"/>
              </w:rPr>
            </w:pPr>
            <w:hyperlink w:anchor="page4">
              <w:r>
                <w:rPr>
                  <w:rFonts w:ascii="Arial" w:cs="Arial" w:eastAsia="Arial" w:hAnsi="Arial"/>
                  <w:sz w:val="18"/>
                  <w:szCs w:val="18"/>
                  <w:color w:val="0000FF"/>
                </w:rPr>
                <w:t>4</w:t>
              </w:r>
            </w:hyperlink>
          </w:p>
        </w:tc>
      </w:tr>
      <w:tr>
        <w:trPr>
          <w:trHeight w:val="270"/>
        </w:trPr>
        <w:tc>
          <w:tcPr>
            <w:tcW w:w="1040" w:type="dxa"/>
            <w:vAlign w:val="bottom"/>
            <w:tcBorders>
              <w:top w:val="single" w:sz="8" w:color="CCFFCC"/>
            </w:tcBorders>
          </w:tcPr>
          <w:p>
            <w:pPr>
              <w:spacing w:after="0"/>
              <w:rPr>
                <w:sz w:val="23"/>
                <w:szCs w:val="23"/>
                <w:color w:val="auto"/>
              </w:rPr>
            </w:pPr>
          </w:p>
        </w:tc>
        <w:tc>
          <w:tcPr>
            <w:tcW w:w="9360" w:type="dxa"/>
            <w:vAlign w:val="bottom"/>
            <w:tcBorders>
              <w:top w:val="single" w:sz="8" w:color="CCFFCC"/>
            </w:tcBorders>
          </w:tcPr>
          <w:p>
            <w:pPr>
              <w:spacing w:after="0"/>
              <w:rPr>
                <w:sz w:val="23"/>
                <w:szCs w:val="23"/>
                <w:color w:val="auto"/>
              </w:rPr>
            </w:pPr>
          </w:p>
        </w:tc>
        <w:tc>
          <w:tcPr>
            <w:tcW w:w="820" w:type="dxa"/>
            <w:vAlign w:val="bottom"/>
            <w:tcBorders>
              <w:top w:val="single" w:sz="8" w:color="CCFFCC"/>
            </w:tcBorders>
          </w:tcPr>
          <w:p>
            <w:pPr>
              <w:spacing w:after="0"/>
              <w:rPr>
                <w:sz w:val="23"/>
                <w:szCs w:val="23"/>
                <w:color w:val="auto"/>
              </w:rPr>
            </w:pPr>
          </w:p>
        </w:tc>
        <w:tc>
          <w:tcPr>
            <w:tcW w:w="80" w:type="dxa"/>
            <w:vAlign w:val="bottom"/>
            <w:tcBorders>
              <w:top w:val="single" w:sz="8" w:color="CCFFCC"/>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ind w:left="40"/>
              <w:spacing w:after="0" w:line="202" w:lineRule="exact"/>
              <w:rPr>
                <w:sz w:val="20"/>
                <w:szCs w:val="20"/>
                <w:color w:val="auto"/>
              </w:rPr>
            </w:pPr>
            <w:r>
              <w:rPr>
                <w:rFonts w:ascii="Arial" w:cs="Arial" w:eastAsia="Arial" w:hAnsi="Arial"/>
                <w:sz w:val="18"/>
                <w:szCs w:val="18"/>
                <w:color w:val="auto"/>
              </w:rPr>
              <w:t>Item 1.</w:t>
            </w:r>
          </w:p>
        </w:tc>
        <w:tc>
          <w:tcPr>
            <w:tcW w:w="9360" w:type="dxa"/>
            <w:vAlign w:val="bottom"/>
            <w:shd w:val="clear" w:color="auto" w:fill="CCFFCC"/>
          </w:tcPr>
          <w:p>
            <w:pPr>
              <w:ind w:left="260"/>
              <w:spacing w:after="0" w:line="202" w:lineRule="exact"/>
              <w:rPr>
                <w:sz w:val="20"/>
                <w:szCs w:val="20"/>
                <w:color w:val="auto"/>
              </w:rPr>
            </w:pPr>
            <w:r>
              <w:rPr>
                <w:rFonts w:ascii="Arial" w:cs="Arial" w:eastAsia="Arial" w:hAnsi="Arial"/>
                <w:sz w:val="18"/>
                <w:szCs w:val="18"/>
                <w:color w:val="auto"/>
              </w:rPr>
              <w:t>Financial Statements (Unaudited):</w:t>
            </w:r>
          </w:p>
        </w:tc>
        <w:tc>
          <w:tcPr>
            <w:tcW w:w="1020" w:type="dxa"/>
            <w:vAlign w:val="bottom"/>
            <w:gridSpan w:val="4"/>
            <w:shd w:val="clear" w:color="auto" w:fill="CCFFCC"/>
          </w:tcPr>
          <w:p>
            <w:pPr>
              <w:jc w:val="right"/>
              <w:ind w:right="20"/>
              <w:spacing w:after="0" w:line="202" w:lineRule="exact"/>
              <w:rPr>
                <w:rFonts w:ascii="Arial" w:cs="Arial" w:eastAsia="Arial" w:hAnsi="Arial"/>
                <w:sz w:val="18"/>
                <w:szCs w:val="18"/>
                <w:color w:val="0000FF"/>
              </w:rPr>
            </w:pPr>
            <w:hyperlink w:anchor="page4">
              <w:r>
                <w:rPr>
                  <w:rFonts w:ascii="Arial" w:cs="Arial" w:eastAsia="Arial" w:hAnsi="Arial"/>
                  <w:sz w:val="18"/>
                  <w:szCs w:val="18"/>
                  <w:color w:val="0000FF"/>
                </w:rPr>
                <w:t>4</w:t>
              </w:r>
            </w:hyperlink>
          </w:p>
        </w:tc>
      </w:tr>
      <w:tr>
        <w:trPr>
          <w:trHeight w:val="270"/>
        </w:trPr>
        <w:tc>
          <w:tcPr>
            <w:tcW w:w="1040" w:type="dxa"/>
            <w:vAlign w:val="bottom"/>
            <w:tcBorders>
              <w:top w:val="single" w:sz="8" w:color="CCFFCC"/>
            </w:tcBorders>
          </w:tcPr>
          <w:p>
            <w:pPr>
              <w:spacing w:after="0"/>
              <w:rPr>
                <w:sz w:val="23"/>
                <w:szCs w:val="23"/>
                <w:color w:val="auto"/>
              </w:rPr>
            </w:pPr>
          </w:p>
        </w:tc>
        <w:tc>
          <w:tcPr>
            <w:tcW w:w="9360" w:type="dxa"/>
            <w:vAlign w:val="bottom"/>
            <w:tcBorders>
              <w:top w:val="single" w:sz="8" w:color="CCFFCC"/>
            </w:tcBorders>
          </w:tcPr>
          <w:p>
            <w:pPr>
              <w:spacing w:after="0"/>
              <w:rPr>
                <w:sz w:val="23"/>
                <w:szCs w:val="23"/>
                <w:color w:val="auto"/>
              </w:rPr>
            </w:pPr>
          </w:p>
        </w:tc>
        <w:tc>
          <w:tcPr>
            <w:tcW w:w="820" w:type="dxa"/>
            <w:vAlign w:val="bottom"/>
            <w:tcBorders>
              <w:top w:val="single" w:sz="8" w:color="CCFFCC"/>
            </w:tcBorders>
          </w:tcPr>
          <w:p>
            <w:pPr>
              <w:spacing w:after="0"/>
              <w:rPr>
                <w:sz w:val="23"/>
                <w:szCs w:val="23"/>
                <w:color w:val="auto"/>
              </w:rPr>
            </w:pPr>
          </w:p>
        </w:tc>
        <w:tc>
          <w:tcPr>
            <w:tcW w:w="80" w:type="dxa"/>
            <w:vAlign w:val="bottom"/>
            <w:tcBorders>
              <w:top w:val="single" w:sz="8" w:color="CCFFCC"/>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spacing w:after="0"/>
              <w:rPr>
                <w:sz w:val="21"/>
                <w:szCs w:val="21"/>
                <w:color w:val="auto"/>
              </w:rPr>
            </w:pPr>
          </w:p>
        </w:tc>
        <w:tc>
          <w:tcPr>
            <w:tcW w:w="9360" w:type="dxa"/>
            <w:vAlign w:val="bottom"/>
            <w:shd w:val="clear" w:color="auto" w:fill="CCFFCC"/>
          </w:tcPr>
          <w:p>
            <w:pPr>
              <w:ind w:left="600"/>
              <w:spacing w:after="0" w:line="202" w:lineRule="exact"/>
              <w:rPr>
                <w:sz w:val="20"/>
                <w:szCs w:val="20"/>
                <w:color w:val="auto"/>
              </w:rPr>
            </w:pPr>
            <w:r>
              <w:rPr>
                <w:rFonts w:ascii="Arial" w:cs="Arial" w:eastAsia="Arial" w:hAnsi="Arial"/>
                <w:sz w:val="18"/>
                <w:szCs w:val="18"/>
                <w:color w:val="auto"/>
              </w:rPr>
              <w:t>Condensed Consolidated Balance Sheets as of September 30, 2016 and December 31, 2015</w:t>
            </w:r>
          </w:p>
        </w:tc>
        <w:tc>
          <w:tcPr>
            <w:tcW w:w="1020" w:type="dxa"/>
            <w:vAlign w:val="bottom"/>
            <w:gridSpan w:val="4"/>
            <w:shd w:val="clear" w:color="auto" w:fill="CCFFCC"/>
          </w:tcPr>
          <w:p>
            <w:pPr>
              <w:jc w:val="right"/>
              <w:ind w:right="20"/>
              <w:spacing w:after="0" w:line="202" w:lineRule="exact"/>
              <w:rPr>
                <w:rFonts w:ascii="Arial" w:cs="Arial" w:eastAsia="Arial" w:hAnsi="Arial"/>
                <w:sz w:val="18"/>
                <w:szCs w:val="18"/>
                <w:color w:val="0000FF"/>
              </w:rPr>
            </w:pPr>
            <w:hyperlink w:anchor="page4">
              <w:r>
                <w:rPr>
                  <w:rFonts w:ascii="Arial" w:cs="Arial" w:eastAsia="Arial" w:hAnsi="Arial"/>
                  <w:sz w:val="18"/>
                  <w:szCs w:val="18"/>
                  <w:color w:val="0000FF"/>
                </w:rPr>
                <w:t>4</w:t>
              </w:r>
            </w:hyperlink>
          </w:p>
        </w:tc>
      </w:tr>
      <w:tr>
        <w:trPr>
          <w:trHeight w:val="270"/>
        </w:trPr>
        <w:tc>
          <w:tcPr>
            <w:tcW w:w="1040" w:type="dxa"/>
            <w:vAlign w:val="bottom"/>
            <w:tcBorders>
              <w:top w:val="single" w:sz="8" w:color="CCFFCC"/>
            </w:tcBorders>
          </w:tcPr>
          <w:p>
            <w:pPr>
              <w:spacing w:after="0"/>
              <w:rPr>
                <w:sz w:val="23"/>
                <w:szCs w:val="23"/>
                <w:color w:val="auto"/>
              </w:rPr>
            </w:pPr>
          </w:p>
        </w:tc>
        <w:tc>
          <w:tcPr>
            <w:tcW w:w="9360" w:type="dxa"/>
            <w:vAlign w:val="bottom"/>
            <w:tcBorders>
              <w:top w:val="single" w:sz="8" w:color="CCFFCC"/>
            </w:tcBorders>
          </w:tcPr>
          <w:p>
            <w:pPr>
              <w:spacing w:after="0"/>
              <w:rPr>
                <w:sz w:val="23"/>
                <w:szCs w:val="23"/>
                <w:color w:val="auto"/>
              </w:rPr>
            </w:pPr>
          </w:p>
        </w:tc>
        <w:tc>
          <w:tcPr>
            <w:tcW w:w="820" w:type="dxa"/>
            <w:vAlign w:val="bottom"/>
            <w:tcBorders>
              <w:top w:val="single" w:sz="8" w:color="CCFFCC"/>
            </w:tcBorders>
          </w:tcPr>
          <w:p>
            <w:pPr>
              <w:spacing w:after="0"/>
              <w:rPr>
                <w:sz w:val="23"/>
                <w:szCs w:val="23"/>
                <w:color w:val="auto"/>
              </w:rPr>
            </w:pPr>
          </w:p>
        </w:tc>
        <w:tc>
          <w:tcPr>
            <w:tcW w:w="80" w:type="dxa"/>
            <w:vAlign w:val="bottom"/>
            <w:tcBorders>
              <w:top w:val="single" w:sz="8" w:color="CCFFCC"/>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spacing w:after="0"/>
              <w:rPr>
                <w:sz w:val="21"/>
                <w:szCs w:val="21"/>
                <w:color w:val="auto"/>
              </w:rPr>
            </w:pPr>
          </w:p>
        </w:tc>
        <w:tc>
          <w:tcPr>
            <w:tcW w:w="9360" w:type="dxa"/>
            <w:vAlign w:val="bottom"/>
            <w:shd w:val="clear" w:color="auto" w:fill="CCFFCC"/>
          </w:tcPr>
          <w:p>
            <w:pPr>
              <w:ind w:left="600"/>
              <w:spacing w:after="0" w:line="202" w:lineRule="exact"/>
              <w:rPr>
                <w:sz w:val="20"/>
                <w:szCs w:val="20"/>
                <w:color w:val="auto"/>
              </w:rPr>
            </w:pPr>
            <w:r>
              <w:rPr>
                <w:rFonts w:ascii="Arial" w:cs="Arial" w:eastAsia="Arial" w:hAnsi="Arial"/>
                <w:sz w:val="18"/>
                <w:szCs w:val="18"/>
                <w:color w:val="auto"/>
                <w:w w:val="90"/>
              </w:rPr>
              <w:t>Condensed Consolidated Statements of Operations for the Three and Nine Months Ended September 30, 2016 and 2015</w:t>
            </w:r>
          </w:p>
        </w:tc>
        <w:tc>
          <w:tcPr>
            <w:tcW w:w="1020" w:type="dxa"/>
            <w:vAlign w:val="bottom"/>
            <w:gridSpan w:val="4"/>
            <w:shd w:val="clear" w:color="auto" w:fill="CCFFCC"/>
          </w:tcPr>
          <w:p>
            <w:pPr>
              <w:jc w:val="right"/>
              <w:ind w:right="20"/>
              <w:spacing w:after="0" w:line="202" w:lineRule="exact"/>
              <w:rPr>
                <w:rFonts w:ascii="Arial" w:cs="Arial" w:eastAsia="Arial" w:hAnsi="Arial"/>
                <w:sz w:val="18"/>
                <w:szCs w:val="18"/>
                <w:color w:val="0000FF"/>
              </w:rPr>
            </w:pPr>
            <w:hyperlink w:anchor="page5">
              <w:r>
                <w:rPr>
                  <w:rFonts w:ascii="Arial" w:cs="Arial" w:eastAsia="Arial" w:hAnsi="Arial"/>
                  <w:sz w:val="18"/>
                  <w:szCs w:val="18"/>
                  <w:color w:val="0000FF"/>
                </w:rPr>
                <w:t>5</w:t>
              </w:r>
            </w:hyperlink>
          </w:p>
        </w:tc>
      </w:tr>
      <w:tr>
        <w:trPr>
          <w:trHeight w:val="270"/>
        </w:trPr>
        <w:tc>
          <w:tcPr>
            <w:tcW w:w="1040" w:type="dxa"/>
            <w:vAlign w:val="bottom"/>
            <w:tcBorders>
              <w:top w:val="single" w:sz="8" w:color="CCFFCC"/>
            </w:tcBorders>
          </w:tcPr>
          <w:p>
            <w:pPr>
              <w:spacing w:after="0"/>
              <w:rPr>
                <w:sz w:val="23"/>
                <w:szCs w:val="23"/>
                <w:color w:val="auto"/>
              </w:rPr>
            </w:pPr>
          </w:p>
        </w:tc>
        <w:tc>
          <w:tcPr>
            <w:tcW w:w="9360" w:type="dxa"/>
            <w:vAlign w:val="bottom"/>
            <w:tcBorders>
              <w:top w:val="single" w:sz="8" w:color="CCFFCC"/>
            </w:tcBorders>
          </w:tcPr>
          <w:p>
            <w:pPr>
              <w:spacing w:after="0"/>
              <w:rPr>
                <w:sz w:val="23"/>
                <w:szCs w:val="23"/>
                <w:color w:val="auto"/>
              </w:rPr>
            </w:pPr>
          </w:p>
        </w:tc>
        <w:tc>
          <w:tcPr>
            <w:tcW w:w="820" w:type="dxa"/>
            <w:vAlign w:val="bottom"/>
            <w:tcBorders>
              <w:top w:val="single" w:sz="8" w:color="CCFFCC"/>
            </w:tcBorders>
          </w:tcPr>
          <w:p>
            <w:pPr>
              <w:spacing w:after="0"/>
              <w:rPr>
                <w:sz w:val="23"/>
                <w:szCs w:val="23"/>
                <w:color w:val="auto"/>
              </w:rPr>
            </w:pPr>
          </w:p>
        </w:tc>
        <w:tc>
          <w:tcPr>
            <w:tcW w:w="80" w:type="dxa"/>
            <w:vAlign w:val="bottom"/>
            <w:tcBorders>
              <w:top w:val="single" w:sz="8" w:color="CCFFCC"/>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FFCC"/>
            </w:tcBorders>
          </w:tcPr>
          <w:p>
            <w:pPr>
              <w:spacing w:after="0"/>
              <w:rPr>
                <w:sz w:val="23"/>
                <w:szCs w:val="23"/>
                <w:color w:val="auto"/>
              </w:rPr>
            </w:pPr>
          </w:p>
        </w:tc>
      </w:tr>
      <w:tr>
        <w:trPr>
          <w:trHeight w:val="229"/>
        </w:trPr>
        <w:tc>
          <w:tcPr>
            <w:tcW w:w="1040" w:type="dxa"/>
            <w:vAlign w:val="bottom"/>
            <w:shd w:val="clear" w:color="auto" w:fill="CCFFCC"/>
          </w:tcPr>
          <w:p>
            <w:pPr>
              <w:spacing w:after="0"/>
              <w:rPr>
                <w:sz w:val="19"/>
                <w:szCs w:val="19"/>
                <w:color w:val="auto"/>
              </w:rPr>
            </w:pPr>
          </w:p>
        </w:tc>
        <w:tc>
          <w:tcPr>
            <w:tcW w:w="9360" w:type="dxa"/>
            <w:vAlign w:val="bottom"/>
            <w:shd w:val="clear" w:color="auto" w:fill="CCFFCC"/>
          </w:tcPr>
          <w:p>
            <w:pPr>
              <w:ind w:left="600"/>
              <w:spacing w:after="0"/>
              <w:rPr>
                <w:sz w:val="20"/>
                <w:szCs w:val="20"/>
                <w:color w:val="auto"/>
              </w:rPr>
            </w:pPr>
            <w:r>
              <w:rPr>
                <w:rFonts w:ascii="Arial" w:cs="Arial" w:eastAsia="Arial" w:hAnsi="Arial"/>
                <w:sz w:val="18"/>
                <w:szCs w:val="18"/>
                <w:color w:val="auto"/>
                <w:w w:val="90"/>
              </w:rPr>
              <w:t>Condensed Consolidated Statements of Comprehensive Loss for the Three and Nine Months Ended September 30, 2016</w:t>
            </w:r>
          </w:p>
        </w:tc>
        <w:tc>
          <w:tcPr>
            <w:tcW w:w="82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20" w:type="dxa"/>
            <w:vAlign w:val="bottom"/>
            <w:shd w:val="clear" w:color="auto" w:fill="CCFFCC"/>
          </w:tcPr>
          <w:p>
            <w:pPr>
              <w:spacing w:after="0"/>
              <w:rPr>
                <w:sz w:val="19"/>
                <w:szCs w:val="19"/>
                <w:color w:val="auto"/>
              </w:rPr>
            </w:pPr>
          </w:p>
        </w:tc>
      </w:tr>
      <w:tr>
        <w:trPr>
          <w:trHeight w:val="237"/>
        </w:trPr>
        <w:tc>
          <w:tcPr>
            <w:tcW w:w="1040" w:type="dxa"/>
            <w:vAlign w:val="bottom"/>
            <w:shd w:val="clear" w:color="auto" w:fill="CCFFCC"/>
          </w:tcPr>
          <w:p>
            <w:pPr>
              <w:spacing w:after="0"/>
              <w:rPr>
                <w:sz w:val="20"/>
                <w:szCs w:val="20"/>
                <w:color w:val="auto"/>
              </w:rPr>
            </w:pPr>
          </w:p>
        </w:tc>
        <w:tc>
          <w:tcPr>
            <w:tcW w:w="9360" w:type="dxa"/>
            <w:vAlign w:val="bottom"/>
            <w:shd w:val="clear" w:color="auto" w:fill="CCFFCC"/>
          </w:tcPr>
          <w:p>
            <w:pPr>
              <w:ind w:left="600"/>
              <w:spacing w:after="0" w:line="190" w:lineRule="exact"/>
              <w:rPr>
                <w:sz w:val="20"/>
                <w:szCs w:val="20"/>
                <w:color w:val="auto"/>
              </w:rPr>
            </w:pPr>
            <w:r>
              <w:rPr>
                <w:rFonts w:ascii="Arial" w:cs="Arial" w:eastAsia="Arial" w:hAnsi="Arial"/>
                <w:sz w:val="18"/>
                <w:szCs w:val="18"/>
                <w:color w:val="auto"/>
              </w:rPr>
              <w:t>and 2015</w:t>
            </w:r>
          </w:p>
        </w:tc>
        <w:tc>
          <w:tcPr>
            <w:tcW w:w="1020" w:type="dxa"/>
            <w:vAlign w:val="bottom"/>
            <w:gridSpan w:val="4"/>
            <w:shd w:val="clear" w:color="auto" w:fill="CCFFCC"/>
          </w:tcPr>
          <w:p>
            <w:pPr>
              <w:jc w:val="right"/>
              <w:ind w:right="20"/>
              <w:spacing w:after="0" w:line="190" w:lineRule="exact"/>
              <w:rPr>
                <w:rFonts w:ascii="Arial" w:cs="Arial" w:eastAsia="Arial" w:hAnsi="Arial"/>
                <w:sz w:val="18"/>
                <w:szCs w:val="18"/>
                <w:color w:val="0000FF"/>
              </w:rPr>
            </w:pPr>
            <w:hyperlink w:anchor="page6">
              <w:r>
                <w:rPr>
                  <w:rFonts w:ascii="Arial" w:cs="Arial" w:eastAsia="Arial" w:hAnsi="Arial"/>
                  <w:sz w:val="18"/>
                  <w:szCs w:val="18"/>
                  <w:color w:val="0000FF"/>
                </w:rPr>
                <w:t>6</w:t>
              </w:r>
            </w:hyperlink>
          </w:p>
        </w:tc>
      </w:tr>
      <w:tr>
        <w:trPr>
          <w:trHeight w:val="270"/>
        </w:trPr>
        <w:tc>
          <w:tcPr>
            <w:tcW w:w="1040" w:type="dxa"/>
            <w:vAlign w:val="bottom"/>
            <w:tcBorders>
              <w:top w:val="single" w:sz="8" w:color="CCFFCC"/>
            </w:tcBorders>
          </w:tcPr>
          <w:p>
            <w:pPr>
              <w:spacing w:after="0"/>
              <w:rPr>
                <w:sz w:val="23"/>
                <w:szCs w:val="23"/>
                <w:color w:val="auto"/>
              </w:rPr>
            </w:pPr>
          </w:p>
        </w:tc>
        <w:tc>
          <w:tcPr>
            <w:tcW w:w="9360" w:type="dxa"/>
            <w:vAlign w:val="bottom"/>
            <w:tcBorders>
              <w:top w:val="single" w:sz="8" w:color="CCFFCC"/>
            </w:tcBorders>
          </w:tcPr>
          <w:p>
            <w:pPr>
              <w:spacing w:after="0"/>
              <w:rPr>
                <w:sz w:val="23"/>
                <w:szCs w:val="23"/>
                <w:color w:val="auto"/>
              </w:rPr>
            </w:pPr>
          </w:p>
        </w:tc>
        <w:tc>
          <w:tcPr>
            <w:tcW w:w="820" w:type="dxa"/>
            <w:vAlign w:val="bottom"/>
            <w:tcBorders>
              <w:top w:val="single" w:sz="8" w:color="CCFFCC"/>
            </w:tcBorders>
          </w:tcPr>
          <w:p>
            <w:pPr>
              <w:spacing w:after="0"/>
              <w:rPr>
                <w:sz w:val="23"/>
                <w:szCs w:val="23"/>
                <w:color w:val="auto"/>
              </w:rPr>
            </w:pPr>
          </w:p>
        </w:tc>
        <w:tc>
          <w:tcPr>
            <w:tcW w:w="80" w:type="dxa"/>
            <w:vAlign w:val="bottom"/>
            <w:tcBorders>
              <w:top w:val="single" w:sz="8" w:color="CCFFCC"/>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spacing w:after="0"/>
              <w:rPr>
                <w:sz w:val="21"/>
                <w:szCs w:val="21"/>
                <w:color w:val="auto"/>
              </w:rPr>
            </w:pPr>
          </w:p>
        </w:tc>
        <w:tc>
          <w:tcPr>
            <w:tcW w:w="9360" w:type="dxa"/>
            <w:vAlign w:val="bottom"/>
            <w:shd w:val="clear" w:color="auto" w:fill="CCFFCC"/>
          </w:tcPr>
          <w:p>
            <w:pPr>
              <w:ind w:left="600"/>
              <w:spacing w:after="0" w:line="202" w:lineRule="exact"/>
              <w:rPr>
                <w:sz w:val="20"/>
                <w:szCs w:val="20"/>
                <w:color w:val="auto"/>
              </w:rPr>
            </w:pPr>
            <w:r>
              <w:rPr>
                <w:rFonts w:ascii="Arial" w:cs="Arial" w:eastAsia="Arial" w:hAnsi="Arial"/>
                <w:sz w:val="18"/>
                <w:szCs w:val="18"/>
                <w:color w:val="auto"/>
                <w:w w:val="98"/>
              </w:rPr>
              <w:t>Condensed Consolidated Statements of Cash Flows for the Nine Months Ended September 30, 2016 and 2015</w:t>
            </w:r>
          </w:p>
        </w:tc>
        <w:tc>
          <w:tcPr>
            <w:tcW w:w="1020" w:type="dxa"/>
            <w:vAlign w:val="bottom"/>
            <w:gridSpan w:val="4"/>
            <w:shd w:val="clear" w:color="auto" w:fill="CCFFCC"/>
          </w:tcPr>
          <w:p>
            <w:pPr>
              <w:jc w:val="right"/>
              <w:ind w:right="20"/>
              <w:spacing w:after="0" w:line="202" w:lineRule="exact"/>
              <w:rPr>
                <w:rFonts w:ascii="Arial" w:cs="Arial" w:eastAsia="Arial" w:hAnsi="Arial"/>
                <w:sz w:val="18"/>
                <w:szCs w:val="18"/>
                <w:color w:val="0000FF"/>
              </w:rPr>
            </w:pPr>
            <w:hyperlink w:anchor="page7">
              <w:r>
                <w:rPr>
                  <w:rFonts w:ascii="Arial" w:cs="Arial" w:eastAsia="Arial" w:hAnsi="Arial"/>
                  <w:sz w:val="18"/>
                  <w:szCs w:val="18"/>
                  <w:color w:val="0000FF"/>
                </w:rPr>
                <w:t>7</w:t>
              </w:r>
            </w:hyperlink>
          </w:p>
        </w:tc>
      </w:tr>
      <w:tr>
        <w:trPr>
          <w:trHeight w:val="270"/>
        </w:trPr>
        <w:tc>
          <w:tcPr>
            <w:tcW w:w="1040" w:type="dxa"/>
            <w:vAlign w:val="bottom"/>
            <w:tcBorders>
              <w:top w:val="single" w:sz="8" w:color="CCFFCC"/>
            </w:tcBorders>
          </w:tcPr>
          <w:p>
            <w:pPr>
              <w:spacing w:after="0"/>
              <w:rPr>
                <w:sz w:val="23"/>
                <w:szCs w:val="23"/>
                <w:color w:val="auto"/>
              </w:rPr>
            </w:pPr>
          </w:p>
        </w:tc>
        <w:tc>
          <w:tcPr>
            <w:tcW w:w="9360" w:type="dxa"/>
            <w:vAlign w:val="bottom"/>
            <w:tcBorders>
              <w:top w:val="single" w:sz="8" w:color="CCFFCC"/>
            </w:tcBorders>
          </w:tcPr>
          <w:p>
            <w:pPr>
              <w:spacing w:after="0"/>
              <w:rPr>
                <w:sz w:val="23"/>
                <w:szCs w:val="23"/>
                <w:color w:val="auto"/>
              </w:rPr>
            </w:pPr>
          </w:p>
        </w:tc>
        <w:tc>
          <w:tcPr>
            <w:tcW w:w="820" w:type="dxa"/>
            <w:vAlign w:val="bottom"/>
            <w:tcBorders>
              <w:top w:val="single" w:sz="8" w:color="CCFFCC"/>
            </w:tcBorders>
          </w:tcPr>
          <w:p>
            <w:pPr>
              <w:spacing w:after="0"/>
              <w:rPr>
                <w:sz w:val="23"/>
                <w:szCs w:val="23"/>
                <w:color w:val="auto"/>
              </w:rPr>
            </w:pPr>
          </w:p>
        </w:tc>
        <w:tc>
          <w:tcPr>
            <w:tcW w:w="80" w:type="dxa"/>
            <w:vAlign w:val="bottom"/>
            <w:tcBorders>
              <w:top w:val="single" w:sz="8" w:color="CCFFCC"/>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spacing w:after="0"/>
              <w:rPr>
                <w:sz w:val="21"/>
                <w:szCs w:val="21"/>
                <w:color w:val="auto"/>
              </w:rPr>
            </w:pPr>
          </w:p>
        </w:tc>
        <w:tc>
          <w:tcPr>
            <w:tcW w:w="9360" w:type="dxa"/>
            <w:vAlign w:val="bottom"/>
            <w:shd w:val="clear" w:color="auto" w:fill="CCFFCC"/>
          </w:tcPr>
          <w:p>
            <w:pPr>
              <w:ind w:left="600"/>
              <w:spacing w:after="0" w:line="202" w:lineRule="exact"/>
              <w:rPr>
                <w:sz w:val="20"/>
                <w:szCs w:val="20"/>
                <w:color w:val="auto"/>
              </w:rPr>
            </w:pPr>
            <w:r>
              <w:rPr>
                <w:rFonts w:ascii="Arial" w:cs="Arial" w:eastAsia="Arial" w:hAnsi="Arial"/>
                <w:sz w:val="18"/>
                <w:szCs w:val="18"/>
                <w:color w:val="auto"/>
              </w:rPr>
              <w:t>Notes to Condensed Consolidated Financial Statements</w:t>
            </w:r>
          </w:p>
        </w:tc>
        <w:tc>
          <w:tcPr>
            <w:tcW w:w="1020" w:type="dxa"/>
            <w:vAlign w:val="bottom"/>
            <w:gridSpan w:val="4"/>
            <w:shd w:val="clear" w:color="auto" w:fill="CCFFCC"/>
          </w:tcPr>
          <w:p>
            <w:pPr>
              <w:jc w:val="right"/>
              <w:ind w:right="20"/>
              <w:spacing w:after="0" w:line="202" w:lineRule="exact"/>
              <w:rPr>
                <w:rFonts w:ascii="Arial" w:cs="Arial" w:eastAsia="Arial" w:hAnsi="Arial"/>
                <w:sz w:val="18"/>
                <w:szCs w:val="18"/>
                <w:color w:val="0000FF"/>
              </w:rPr>
            </w:pPr>
            <w:hyperlink w:anchor="page8">
              <w:r>
                <w:rPr>
                  <w:rFonts w:ascii="Arial" w:cs="Arial" w:eastAsia="Arial" w:hAnsi="Arial"/>
                  <w:sz w:val="18"/>
                  <w:szCs w:val="18"/>
                  <w:color w:val="0000FF"/>
                </w:rPr>
                <w:t>8</w:t>
              </w:r>
            </w:hyperlink>
          </w:p>
        </w:tc>
      </w:tr>
      <w:tr>
        <w:trPr>
          <w:trHeight w:val="270"/>
        </w:trPr>
        <w:tc>
          <w:tcPr>
            <w:tcW w:w="1040" w:type="dxa"/>
            <w:vAlign w:val="bottom"/>
            <w:tcBorders>
              <w:top w:val="single" w:sz="8" w:color="CCFFCC"/>
            </w:tcBorders>
          </w:tcPr>
          <w:p>
            <w:pPr>
              <w:spacing w:after="0"/>
              <w:rPr>
                <w:sz w:val="23"/>
                <w:szCs w:val="23"/>
                <w:color w:val="auto"/>
              </w:rPr>
            </w:pPr>
          </w:p>
        </w:tc>
        <w:tc>
          <w:tcPr>
            <w:tcW w:w="9360" w:type="dxa"/>
            <w:vAlign w:val="bottom"/>
            <w:tcBorders>
              <w:top w:val="single" w:sz="8" w:color="CCFFCC"/>
            </w:tcBorders>
          </w:tcPr>
          <w:p>
            <w:pPr>
              <w:spacing w:after="0"/>
              <w:rPr>
                <w:sz w:val="23"/>
                <w:szCs w:val="23"/>
                <w:color w:val="auto"/>
              </w:rPr>
            </w:pPr>
          </w:p>
        </w:tc>
        <w:tc>
          <w:tcPr>
            <w:tcW w:w="820" w:type="dxa"/>
            <w:vAlign w:val="bottom"/>
            <w:tcBorders>
              <w:top w:val="single" w:sz="8" w:color="CCFFCC"/>
            </w:tcBorders>
          </w:tcPr>
          <w:p>
            <w:pPr>
              <w:spacing w:after="0"/>
              <w:rPr>
                <w:sz w:val="23"/>
                <w:szCs w:val="23"/>
                <w:color w:val="auto"/>
              </w:rPr>
            </w:pPr>
          </w:p>
        </w:tc>
        <w:tc>
          <w:tcPr>
            <w:tcW w:w="80" w:type="dxa"/>
            <w:vAlign w:val="bottom"/>
            <w:tcBorders>
              <w:top w:val="single" w:sz="8" w:color="CCFFCC"/>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ind w:left="40"/>
              <w:spacing w:after="0" w:line="202" w:lineRule="exact"/>
              <w:rPr>
                <w:sz w:val="20"/>
                <w:szCs w:val="20"/>
                <w:color w:val="auto"/>
              </w:rPr>
            </w:pPr>
            <w:r>
              <w:rPr>
                <w:rFonts w:ascii="Arial" w:cs="Arial" w:eastAsia="Arial" w:hAnsi="Arial"/>
                <w:sz w:val="18"/>
                <w:szCs w:val="18"/>
                <w:color w:val="auto"/>
              </w:rPr>
              <w:t>Item 2.</w:t>
            </w:r>
          </w:p>
        </w:tc>
        <w:tc>
          <w:tcPr>
            <w:tcW w:w="9360" w:type="dxa"/>
            <w:vAlign w:val="bottom"/>
            <w:shd w:val="clear" w:color="auto" w:fill="CCFFCC"/>
          </w:tcPr>
          <w:p>
            <w:pPr>
              <w:ind w:left="260"/>
              <w:spacing w:after="0" w:line="202" w:lineRule="exact"/>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020" w:type="dxa"/>
            <w:vAlign w:val="bottom"/>
            <w:gridSpan w:val="4"/>
            <w:shd w:val="clear" w:color="auto" w:fill="CCFFCC"/>
          </w:tcPr>
          <w:p>
            <w:pPr>
              <w:jc w:val="right"/>
              <w:ind w:right="20"/>
              <w:spacing w:after="0" w:line="202" w:lineRule="exact"/>
              <w:rPr>
                <w:rFonts w:ascii="Arial" w:cs="Arial" w:eastAsia="Arial" w:hAnsi="Arial"/>
                <w:sz w:val="18"/>
                <w:szCs w:val="18"/>
                <w:color w:val="0000FF"/>
              </w:rPr>
            </w:pPr>
            <w:hyperlink w:anchor="page24">
              <w:r>
                <w:rPr>
                  <w:rFonts w:ascii="Arial" w:cs="Arial" w:eastAsia="Arial" w:hAnsi="Arial"/>
                  <w:sz w:val="18"/>
                  <w:szCs w:val="18"/>
                  <w:color w:val="0000FF"/>
                </w:rPr>
                <w:t>24</w:t>
              </w:r>
            </w:hyperlink>
          </w:p>
        </w:tc>
      </w:tr>
      <w:tr>
        <w:trPr>
          <w:trHeight w:val="270"/>
        </w:trPr>
        <w:tc>
          <w:tcPr>
            <w:tcW w:w="1040" w:type="dxa"/>
            <w:vAlign w:val="bottom"/>
            <w:tcBorders>
              <w:top w:val="single" w:sz="8" w:color="CCFFCC"/>
            </w:tcBorders>
          </w:tcPr>
          <w:p>
            <w:pPr>
              <w:spacing w:after="0"/>
              <w:rPr>
                <w:sz w:val="23"/>
                <w:szCs w:val="23"/>
                <w:color w:val="auto"/>
              </w:rPr>
            </w:pPr>
          </w:p>
        </w:tc>
        <w:tc>
          <w:tcPr>
            <w:tcW w:w="9360" w:type="dxa"/>
            <w:vAlign w:val="bottom"/>
            <w:tcBorders>
              <w:top w:val="single" w:sz="8" w:color="CCFFCC"/>
            </w:tcBorders>
          </w:tcPr>
          <w:p>
            <w:pPr>
              <w:spacing w:after="0"/>
              <w:rPr>
                <w:sz w:val="23"/>
                <w:szCs w:val="23"/>
                <w:color w:val="auto"/>
              </w:rPr>
            </w:pPr>
          </w:p>
        </w:tc>
        <w:tc>
          <w:tcPr>
            <w:tcW w:w="820" w:type="dxa"/>
            <w:vAlign w:val="bottom"/>
            <w:tcBorders>
              <w:top w:val="single" w:sz="8" w:color="CCFFCC"/>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ind w:left="40"/>
              <w:spacing w:after="0" w:line="202" w:lineRule="exact"/>
              <w:rPr>
                <w:sz w:val="20"/>
                <w:szCs w:val="20"/>
                <w:color w:val="auto"/>
              </w:rPr>
            </w:pPr>
            <w:r>
              <w:rPr>
                <w:rFonts w:ascii="Arial" w:cs="Arial" w:eastAsia="Arial" w:hAnsi="Arial"/>
                <w:sz w:val="18"/>
                <w:szCs w:val="18"/>
                <w:color w:val="auto"/>
              </w:rPr>
              <w:t>Item 3.</w:t>
            </w:r>
          </w:p>
        </w:tc>
        <w:tc>
          <w:tcPr>
            <w:tcW w:w="9360" w:type="dxa"/>
            <w:vAlign w:val="bottom"/>
            <w:shd w:val="clear" w:color="auto" w:fill="CCFFCC"/>
          </w:tcPr>
          <w:p>
            <w:pPr>
              <w:ind w:left="260"/>
              <w:spacing w:after="0" w:line="202" w:lineRule="exact"/>
              <w:rPr>
                <w:sz w:val="20"/>
                <w:szCs w:val="20"/>
                <w:color w:val="auto"/>
              </w:rPr>
            </w:pPr>
            <w:r>
              <w:rPr>
                <w:rFonts w:ascii="Arial" w:cs="Arial" w:eastAsia="Arial" w:hAnsi="Arial"/>
                <w:sz w:val="18"/>
                <w:szCs w:val="18"/>
                <w:color w:val="auto"/>
              </w:rPr>
              <w:t>Quantitative and Qualitative Disclosures about Market Risk</w:t>
            </w:r>
          </w:p>
        </w:tc>
        <w:tc>
          <w:tcPr>
            <w:tcW w:w="1020" w:type="dxa"/>
            <w:vAlign w:val="bottom"/>
            <w:gridSpan w:val="4"/>
            <w:shd w:val="clear" w:color="auto" w:fill="CCFFCC"/>
          </w:tcPr>
          <w:p>
            <w:pPr>
              <w:jc w:val="right"/>
              <w:ind w:right="20"/>
              <w:spacing w:after="0" w:line="202" w:lineRule="exact"/>
              <w:rPr>
                <w:rFonts w:ascii="Arial" w:cs="Arial" w:eastAsia="Arial" w:hAnsi="Arial"/>
                <w:sz w:val="18"/>
                <w:szCs w:val="18"/>
                <w:color w:val="0000FF"/>
              </w:rPr>
            </w:pPr>
            <w:hyperlink w:anchor="page38">
              <w:r>
                <w:rPr>
                  <w:rFonts w:ascii="Arial" w:cs="Arial" w:eastAsia="Arial" w:hAnsi="Arial"/>
                  <w:sz w:val="18"/>
                  <w:szCs w:val="18"/>
                  <w:color w:val="0000FF"/>
                </w:rPr>
                <w:t>38</w:t>
              </w:r>
            </w:hyperlink>
          </w:p>
        </w:tc>
      </w:tr>
      <w:tr>
        <w:trPr>
          <w:trHeight w:val="270"/>
        </w:trPr>
        <w:tc>
          <w:tcPr>
            <w:tcW w:w="1040" w:type="dxa"/>
            <w:vAlign w:val="bottom"/>
            <w:tcBorders>
              <w:top w:val="single" w:sz="8" w:color="CCFFCC"/>
            </w:tcBorders>
          </w:tcPr>
          <w:p>
            <w:pPr>
              <w:spacing w:after="0"/>
              <w:rPr>
                <w:sz w:val="23"/>
                <w:szCs w:val="23"/>
                <w:color w:val="auto"/>
              </w:rPr>
            </w:pPr>
          </w:p>
        </w:tc>
        <w:tc>
          <w:tcPr>
            <w:tcW w:w="9360" w:type="dxa"/>
            <w:vAlign w:val="bottom"/>
            <w:tcBorders>
              <w:top w:val="single" w:sz="8" w:color="CCFFCC"/>
            </w:tcBorders>
          </w:tcPr>
          <w:p>
            <w:pPr>
              <w:spacing w:after="0"/>
              <w:rPr>
                <w:sz w:val="23"/>
                <w:szCs w:val="23"/>
                <w:color w:val="auto"/>
              </w:rPr>
            </w:pPr>
          </w:p>
        </w:tc>
        <w:tc>
          <w:tcPr>
            <w:tcW w:w="820" w:type="dxa"/>
            <w:vAlign w:val="bottom"/>
            <w:tcBorders>
              <w:top w:val="single" w:sz="8" w:color="CCFFCC"/>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ind w:left="40"/>
              <w:spacing w:after="0" w:line="202" w:lineRule="exact"/>
              <w:rPr>
                <w:sz w:val="20"/>
                <w:szCs w:val="20"/>
                <w:color w:val="auto"/>
              </w:rPr>
            </w:pPr>
            <w:r>
              <w:rPr>
                <w:rFonts w:ascii="Arial" w:cs="Arial" w:eastAsia="Arial" w:hAnsi="Arial"/>
                <w:sz w:val="18"/>
                <w:szCs w:val="18"/>
                <w:color w:val="auto"/>
              </w:rPr>
              <w:t>Item 4.</w:t>
            </w:r>
          </w:p>
        </w:tc>
        <w:tc>
          <w:tcPr>
            <w:tcW w:w="9360" w:type="dxa"/>
            <w:vAlign w:val="bottom"/>
            <w:shd w:val="clear" w:color="auto" w:fill="CCFFCC"/>
          </w:tcPr>
          <w:p>
            <w:pPr>
              <w:ind w:left="260"/>
              <w:spacing w:after="0" w:line="202" w:lineRule="exact"/>
              <w:rPr>
                <w:sz w:val="20"/>
                <w:szCs w:val="20"/>
                <w:color w:val="auto"/>
              </w:rPr>
            </w:pPr>
            <w:r>
              <w:rPr>
                <w:rFonts w:ascii="Arial" w:cs="Arial" w:eastAsia="Arial" w:hAnsi="Arial"/>
                <w:sz w:val="18"/>
                <w:szCs w:val="18"/>
                <w:color w:val="auto"/>
              </w:rPr>
              <w:t>Controls and Procedures</w:t>
            </w:r>
          </w:p>
        </w:tc>
        <w:tc>
          <w:tcPr>
            <w:tcW w:w="1020" w:type="dxa"/>
            <w:vAlign w:val="bottom"/>
            <w:gridSpan w:val="4"/>
            <w:shd w:val="clear" w:color="auto" w:fill="CCFFCC"/>
          </w:tcPr>
          <w:p>
            <w:pPr>
              <w:jc w:val="right"/>
              <w:ind w:right="20"/>
              <w:spacing w:after="0" w:line="202" w:lineRule="exact"/>
              <w:rPr>
                <w:rFonts w:ascii="Arial" w:cs="Arial" w:eastAsia="Arial" w:hAnsi="Arial"/>
                <w:sz w:val="18"/>
                <w:szCs w:val="18"/>
                <w:color w:val="0000FF"/>
              </w:rPr>
            </w:pPr>
            <w:hyperlink w:anchor="page38">
              <w:r>
                <w:rPr>
                  <w:rFonts w:ascii="Arial" w:cs="Arial" w:eastAsia="Arial" w:hAnsi="Arial"/>
                  <w:sz w:val="18"/>
                  <w:szCs w:val="18"/>
                  <w:color w:val="0000FF"/>
                </w:rPr>
                <w:t>38</w:t>
              </w:r>
            </w:hyperlink>
          </w:p>
        </w:tc>
      </w:tr>
      <w:tr>
        <w:trPr>
          <w:trHeight w:val="270"/>
        </w:trPr>
        <w:tc>
          <w:tcPr>
            <w:tcW w:w="1040" w:type="dxa"/>
            <w:vAlign w:val="bottom"/>
            <w:tcBorders>
              <w:top w:val="single" w:sz="8" w:color="CCFFCC"/>
            </w:tcBorders>
          </w:tcPr>
          <w:p>
            <w:pPr>
              <w:spacing w:after="0"/>
              <w:rPr>
                <w:sz w:val="23"/>
                <w:szCs w:val="23"/>
                <w:color w:val="auto"/>
              </w:rPr>
            </w:pPr>
          </w:p>
        </w:tc>
        <w:tc>
          <w:tcPr>
            <w:tcW w:w="9360" w:type="dxa"/>
            <w:vAlign w:val="bottom"/>
            <w:tcBorders>
              <w:top w:val="single" w:sz="8" w:color="CCFFCC"/>
            </w:tcBorders>
          </w:tcPr>
          <w:p>
            <w:pPr>
              <w:spacing w:after="0"/>
              <w:rPr>
                <w:sz w:val="23"/>
                <w:szCs w:val="23"/>
                <w:color w:val="auto"/>
              </w:rPr>
            </w:pPr>
          </w:p>
        </w:tc>
        <w:tc>
          <w:tcPr>
            <w:tcW w:w="820" w:type="dxa"/>
            <w:vAlign w:val="bottom"/>
            <w:tcBorders>
              <w:top w:val="single" w:sz="8" w:color="CCFFCC"/>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ind w:left="40"/>
              <w:spacing w:after="0" w:line="202" w:lineRule="exact"/>
              <w:rPr>
                <w:sz w:val="20"/>
                <w:szCs w:val="20"/>
                <w:color w:val="auto"/>
              </w:rPr>
            </w:pPr>
            <w:r>
              <w:rPr>
                <w:rFonts w:ascii="Arial" w:cs="Arial" w:eastAsia="Arial" w:hAnsi="Arial"/>
                <w:sz w:val="18"/>
                <w:szCs w:val="18"/>
                <w:color w:val="auto"/>
              </w:rPr>
              <w:t>Part II.</w:t>
            </w:r>
          </w:p>
        </w:tc>
        <w:tc>
          <w:tcPr>
            <w:tcW w:w="9360" w:type="dxa"/>
            <w:vAlign w:val="bottom"/>
            <w:shd w:val="clear" w:color="auto" w:fill="CCFFCC"/>
          </w:tcPr>
          <w:p>
            <w:pPr>
              <w:ind w:left="260"/>
              <w:spacing w:after="0" w:line="202" w:lineRule="exact"/>
              <w:rPr>
                <w:sz w:val="20"/>
                <w:szCs w:val="20"/>
                <w:color w:val="auto"/>
              </w:rPr>
            </w:pPr>
            <w:r>
              <w:rPr>
                <w:rFonts w:ascii="Arial" w:cs="Arial" w:eastAsia="Arial" w:hAnsi="Arial"/>
                <w:sz w:val="18"/>
                <w:szCs w:val="18"/>
                <w:color w:val="auto"/>
              </w:rPr>
              <w:t>Other Information</w:t>
            </w:r>
          </w:p>
        </w:tc>
        <w:tc>
          <w:tcPr>
            <w:tcW w:w="1020" w:type="dxa"/>
            <w:vAlign w:val="bottom"/>
            <w:gridSpan w:val="4"/>
            <w:shd w:val="clear" w:color="auto" w:fill="CCFFCC"/>
          </w:tcPr>
          <w:p>
            <w:pPr>
              <w:jc w:val="right"/>
              <w:ind w:right="20"/>
              <w:spacing w:after="0" w:line="202" w:lineRule="exact"/>
              <w:rPr>
                <w:rFonts w:ascii="Arial" w:cs="Arial" w:eastAsia="Arial" w:hAnsi="Arial"/>
                <w:sz w:val="18"/>
                <w:szCs w:val="18"/>
                <w:color w:val="0000FF"/>
              </w:rPr>
            </w:pPr>
            <w:hyperlink w:anchor="page39">
              <w:r>
                <w:rPr>
                  <w:rFonts w:ascii="Arial" w:cs="Arial" w:eastAsia="Arial" w:hAnsi="Arial"/>
                  <w:sz w:val="18"/>
                  <w:szCs w:val="18"/>
                  <w:color w:val="0000FF"/>
                </w:rPr>
                <w:t>39</w:t>
              </w:r>
            </w:hyperlink>
          </w:p>
        </w:tc>
      </w:tr>
      <w:tr>
        <w:trPr>
          <w:trHeight w:val="270"/>
        </w:trPr>
        <w:tc>
          <w:tcPr>
            <w:tcW w:w="1040" w:type="dxa"/>
            <w:vAlign w:val="bottom"/>
            <w:tcBorders>
              <w:top w:val="single" w:sz="8" w:color="CCFFCC"/>
            </w:tcBorders>
          </w:tcPr>
          <w:p>
            <w:pPr>
              <w:spacing w:after="0"/>
              <w:rPr>
                <w:sz w:val="23"/>
                <w:szCs w:val="23"/>
                <w:color w:val="auto"/>
              </w:rPr>
            </w:pPr>
          </w:p>
        </w:tc>
        <w:tc>
          <w:tcPr>
            <w:tcW w:w="9360" w:type="dxa"/>
            <w:vAlign w:val="bottom"/>
            <w:tcBorders>
              <w:top w:val="single" w:sz="8" w:color="CCFFCC"/>
            </w:tcBorders>
          </w:tcPr>
          <w:p>
            <w:pPr>
              <w:spacing w:after="0"/>
              <w:rPr>
                <w:sz w:val="23"/>
                <w:szCs w:val="23"/>
                <w:color w:val="auto"/>
              </w:rPr>
            </w:pPr>
          </w:p>
        </w:tc>
        <w:tc>
          <w:tcPr>
            <w:tcW w:w="820" w:type="dxa"/>
            <w:vAlign w:val="bottom"/>
            <w:tcBorders>
              <w:top w:val="single" w:sz="8" w:color="CCFFCC"/>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ind w:left="40"/>
              <w:spacing w:after="0" w:line="202" w:lineRule="exact"/>
              <w:rPr>
                <w:sz w:val="20"/>
                <w:szCs w:val="20"/>
                <w:color w:val="auto"/>
              </w:rPr>
            </w:pPr>
            <w:r>
              <w:rPr>
                <w:rFonts w:ascii="Arial" w:cs="Arial" w:eastAsia="Arial" w:hAnsi="Arial"/>
                <w:sz w:val="18"/>
                <w:szCs w:val="18"/>
                <w:color w:val="auto"/>
              </w:rPr>
              <w:t>Item 1.</w:t>
            </w:r>
          </w:p>
        </w:tc>
        <w:tc>
          <w:tcPr>
            <w:tcW w:w="9360" w:type="dxa"/>
            <w:vAlign w:val="bottom"/>
            <w:shd w:val="clear" w:color="auto" w:fill="CCFFCC"/>
          </w:tcPr>
          <w:p>
            <w:pPr>
              <w:ind w:left="260"/>
              <w:spacing w:after="0" w:line="202" w:lineRule="exact"/>
              <w:rPr>
                <w:sz w:val="20"/>
                <w:szCs w:val="20"/>
                <w:color w:val="auto"/>
              </w:rPr>
            </w:pPr>
            <w:r>
              <w:rPr>
                <w:rFonts w:ascii="Arial" w:cs="Arial" w:eastAsia="Arial" w:hAnsi="Arial"/>
                <w:sz w:val="18"/>
                <w:szCs w:val="18"/>
                <w:color w:val="auto"/>
              </w:rPr>
              <w:t>Legal Proceedings</w:t>
            </w:r>
          </w:p>
        </w:tc>
        <w:tc>
          <w:tcPr>
            <w:tcW w:w="1020" w:type="dxa"/>
            <w:vAlign w:val="bottom"/>
            <w:gridSpan w:val="4"/>
            <w:shd w:val="clear" w:color="auto" w:fill="CCFFCC"/>
          </w:tcPr>
          <w:p>
            <w:pPr>
              <w:jc w:val="right"/>
              <w:ind w:right="20"/>
              <w:spacing w:after="0" w:line="202" w:lineRule="exact"/>
              <w:rPr>
                <w:rFonts w:ascii="Arial" w:cs="Arial" w:eastAsia="Arial" w:hAnsi="Arial"/>
                <w:sz w:val="18"/>
                <w:szCs w:val="18"/>
                <w:color w:val="0000FF"/>
              </w:rPr>
            </w:pPr>
            <w:hyperlink w:anchor="page39">
              <w:r>
                <w:rPr>
                  <w:rFonts w:ascii="Arial" w:cs="Arial" w:eastAsia="Arial" w:hAnsi="Arial"/>
                  <w:sz w:val="18"/>
                  <w:szCs w:val="18"/>
                  <w:color w:val="0000FF"/>
                </w:rPr>
                <w:t>39</w:t>
              </w:r>
            </w:hyperlink>
          </w:p>
        </w:tc>
      </w:tr>
      <w:tr>
        <w:trPr>
          <w:trHeight w:val="270"/>
        </w:trPr>
        <w:tc>
          <w:tcPr>
            <w:tcW w:w="1040" w:type="dxa"/>
            <w:vAlign w:val="bottom"/>
            <w:tcBorders>
              <w:top w:val="single" w:sz="8" w:color="CCFFCC"/>
            </w:tcBorders>
          </w:tcPr>
          <w:p>
            <w:pPr>
              <w:spacing w:after="0"/>
              <w:rPr>
                <w:sz w:val="23"/>
                <w:szCs w:val="23"/>
                <w:color w:val="auto"/>
              </w:rPr>
            </w:pPr>
          </w:p>
        </w:tc>
        <w:tc>
          <w:tcPr>
            <w:tcW w:w="9360" w:type="dxa"/>
            <w:vAlign w:val="bottom"/>
            <w:tcBorders>
              <w:top w:val="single" w:sz="8" w:color="CCFFCC"/>
            </w:tcBorders>
          </w:tcPr>
          <w:p>
            <w:pPr>
              <w:spacing w:after="0"/>
              <w:rPr>
                <w:sz w:val="23"/>
                <w:szCs w:val="23"/>
                <w:color w:val="auto"/>
              </w:rPr>
            </w:pPr>
          </w:p>
        </w:tc>
        <w:tc>
          <w:tcPr>
            <w:tcW w:w="820" w:type="dxa"/>
            <w:vAlign w:val="bottom"/>
            <w:tcBorders>
              <w:top w:val="single" w:sz="8" w:color="CCFFCC"/>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ind w:left="40"/>
              <w:spacing w:after="0" w:line="202" w:lineRule="exact"/>
              <w:rPr>
                <w:sz w:val="20"/>
                <w:szCs w:val="20"/>
                <w:color w:val="auto"/>
              </w:rPr>
            </w:pPr>
            <w:r>
              <w:rPr>
                <w:rFonts w:ascii="Arial" w:cs="Arial" w:eastAsia="Arial" w:hAnsi="Arial"/>
                <w:sz w:val="18"/>
                <w:szCs w:val="18"/>
                <w:color w:val="auto"/>
              </w:rPr>
              <w:t>Item 1A.</w:t>
            </w:r>
          </w:p>
        </w:tc>
        <w:tc>
          <w:tcPr>
            <w:tcW w:w="9360" w:type="dxa"/>
            <w:vAlign w:val="bottom"/>
            <w:shd w:val="clear" w:color="auto" w:fill="CCFFCC"/>
          </w:tcPr>
          <w:p>
            <w:pPr>
              <w:ind w:left="260"/>
              <w:spacing w:after="0" w:line="202" w:lineRule="exact"/>
              <w:rPr>
                <w:sz w:val="20"/>
                <w:szCs w:val="20"/>
                <w:color w:val="auto"/>
              </w:rPr>
            </w:pPr>
            <w:r>
              <w:rPr>
                <w:rFonts w:ascii="Arial" w:cs="Arial" w:eastAsia="Arial" w:hAnsi="Arial"/>
                <w:sz w:val="18"/>
                <w:szCs w:val="18"/>
                <w:color w:val="auto"/>
              </w:rPr>
              <w:t>Risk Factors</w:t>
            </w:r>
          </w:p>
        </w:tc>
        <w:tc>
          <w:tcPr>
            <w:tcW w:w="1020" w:type="dxa"/>
            <w:vAlign w:val="bottom"/>
            <w:gridSpan w:val="4"/>
            <w:shd w:val="clear" w:color="auto" w:fill="CCFFCC"/>
          </w:tcPr>
          <w:p>
            <w:pPr>
              <w:jc w:val="right"/>
              <w:ind w:right="20"/>
              <w:spacing w:after="0" w:line="202" w:lineRule="exact"/>
              <w:rPr>
                <w:rFonts w:ascii="Arial" w:cs="Arial" w:eastAsia="Arial" w:hAnsi="Arial"/>
                <w:sz w:val="18"/>
                <w:szCs w:val="18"/>
                <w:color w:val="0000FF"/>
              </w:rPr>
            </w:pPr>
            <w:hyperlink w:anchor="page40">
              <w:r>
                <w:rPr>
                  <w:rFonts w:ascii="Arial" w:cs="Arial" w:eastAsia="Arial" w:hAnsi="Arial"/>
                  <w:sz w:val="18"/>
                  <w:szCs w:val="18"/>
                  <w:color w:val="0000FF"/>
                </w:rPr>
                <w:t>40</w:t>
              </w:r>
            </w:hyperlink>
          </w:p>
        </w:tc>
      </w:tr>
      <w:tr>
        <w:trPr>
          <w:trHeight w:val="270"/>
        </w:trPr>
        <w:tc>
          <w:tcPr>
            <w:tcW w:w="1040" w:type="dxa"/>
            <w:vAlign w:val="bottom"/>
            <w:tcBorders>
              <w:top w:val="single" w:sz="8" w:color="CCFFCC"/>
            </w:tcBorders>
          </w:tcPr>
          <w:p>
            <w:pPr>
              <w:spacing w:after="0"/>
              <w:rPr>
                <w:sz w:val="23"/>
                <w:szCs w:val="23"/>
                <w:color w:val="auto"/>
              </w:rPr>
            </w:pPr>
          </w:p>
        </w:tc>
        <w:tc>
          <w:tcPr>
            <w:tcW w:w="9360" w:type="dxa"/>
            <w:vAlign w:val="bottom"/>
            <w:tcBorders>
              <w:top w:val="single" w:sz="8" w:color="CCFFCC"/>
            </w:tcBorders>
          </w:tcPr>
          <w:p>
            <w:pPr>
              <w:spacing w:after="0"/>
              <w:rPr>
                <w:sz w:val="23"/>
                <w:szCs w:val="23"/>
                <w:color w:val="auto"/>
              </w:rPr>
            </w:pPr>
          </w:p>
        </w:tc>
        <w:tc>
          <w:tcPr>
            <w:tcW w:w="820" w:type="dxa"/>
            <w:vAlign w:val="bottom"/>
            <w:tcBorders>
              <w:top w:val="single" w:sz="8" w:color="CCFFCC"/>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ind w:left="40"/>
              <w:spacing w:after="0" w:line="202" w:lineRule="exact"/>
              <w:rPr>
                <w:sz w:val="20"/>
                <w:szCs w:val="20"/>
                <w:color w:val="auto"/>
              </w:rPr>
            </w:pPr>
            <w:r>
              <w:rPr>
                <w:rFonts w:ascii="Arial" w:cs="Arial" w:eastAsia="Arial" w:hAnsi="Arial"/>
                <w:sz w:val="18"/>
                <w:szCs w:val="18"/>
                <w:color w:val="auto"/>
              </w:rPr>
              <w:t>Item 2.</w:t>
            </w:r>
          </w:p>
        </w:tc>
        <w:tc>
          <w:tcPr>
            <w:tcW w:w="9360" w:type="dxa"/>
            <w:vAlign w:val="bottom"/>
            <w:shd w:val="clear" w:color="auto" w:fill="CCFFCC"/>
          </w:tcPr>
          <w:p>
            <w:pPr>
              <w:ind w:left="260"/>
              <w:spacing w:after="0" w:line="202" w:lineRule="exact"/>
              <w:rPr>
                <w:sz w:val="20"/>
                <w:szCs w:val="20"/>
                <w:color w:val="auto"/>
              </w:rPr>
            </w:pPr>
            <w:r>
              <w:rPr>
                <w:rFonts w:ascii="Arial" w:cs="Arial" w:eastAsia="Arial" w:hAnsi="Arial"/>
                <w:sz w:val="18"/>
                <w:szCs w:val="18"/>
                <w:color w:val="auto"/>
              </w:rPr>
              <w:t>Unregistered Sales of Equity Securities and Use of Proceeds</w:t>
            </w:r>
          </w:p>
        </w:tc>
        <w:tc>
          <w:tcPr>
            <w:tcW w:w="1020" w:type="dxa"/>
            <w:vAlign w:val="bottom"/>
            <w:gridSpan w:val="4"/>
            <w:shd w:val="clear" w:color="auto" w:fill="CCFFCC"/>
          </w:tcPr>
          <w:p>
            <w:pPr>
              <w:jc w:val="right"/>
              <w:ind w:right="20"/>
              <w:spacing w:after="0" w:line="202" w:lineRule="exact"/>
              <w:rPr>
                <w:rFonts w:ascii="Arial" w:cs="Arial" w:eastAsia="Arial" w:hAnsi="Arial"/>
                <w:sz w:val="18"/>
                <w:szCs w:val="18"/>
                <w:color w:val="0000FF"/>
              </w:rPr>
            </w:pPr>
            <w:hyperlink w:anchor="page40">
              <w:r>
                <w:rPr>
                  <w:rFonts w:ascii="Arial" w:cs="Arial" w:eastAsia="Arial" w:hAnsi="Arial"/>
                  <w:sz w:val="18"/>
                  <w:szCs w:val="18"/>
                  <w:color w:val="0000FF"/>
                </w:rPr>
                <w:t>40</w:t>
              </w:r>
            </w:hyperlink>
          </w:p>
        </w:tc>
      </w:tr>
      <w:tr>
        <w:trPr>
          <w:trHeight w:val="270"/>
        </w:trPr>
        <w:tc>
          <w:tcPr>
            <w:tcW w:w="1040" w:type="dxa"/>
            <w:vAlign w:val="bottom"/>
            <w:tcBorders>
              <w:top w:val="single" w:sz="8" w:color="CCFFCC"/>
            </w:tcBorders>
          </w:tcPr>
          <w:p>
            <w:pPr>
              <w:spacing w:after="0"/>
              <w:rPr>
                <w:sz w:val="23"/>
                <w:szCs w:val="23"/>
                <w:color w:val="auto"/>
              </w:rPr>
            </w:pPr>
          </w:p>
        </w:tc>
        <w:tc>
          <w:tcPr>
            <w:tcW w:w="9360" w:type="dxa"/>
            <w:vAlign w:val="bottom"/>
            <w:tcBorders>
              <w:top w:val="single" w:sz="8" w:color="CCFFCC"/>
            </w:tcBorders>
          </w:tcPr>
          <w:p>
            <w:pPr>
              <w:spacing w:after="0"/>
              <w:rPr>
                <w:sz w:val="23"/>
                <w:szCs w:val="23"/>
                <w:color w:val="auto"/>
              </w:rPr>
            </w:pPr>
          </w:p>
        </w:tc>
        <w:tc>
          <w:tcPr>
            <w:tcW w:w="820" w:type="dxa"/>
            <w:vAlign w:val="bottom"/>
            <w:tcBorders>
              <w:top w:val="single" w:sz="8" w:color="CCFFCC"/>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ind w:left="40"/>
              <w:spacing w:after="0" w:line="202" w:lineRule="exact"/>
              <w:rPr>
                <w:sz w:val="20"/>
                <w:szCs w:val="20"/>
                <w:color w:val="auto"/>
              </w:rPr>
            </w:pPr>
            <w:r>
              <w:rPr>
                <w:rFonts w:ascii="Arial" w:cs="Arial" w:eastAsia="Arial" w:hAnsi="Arial"/>
                <w:sz w:val="18"/>
                <w:szCs w:val="18"/>
                <w:color w:val="auto"/>
              </w:rPr>
              <w:t>Item 3.</w:t>
            </w:r>
          </w:p>
        </w:tc>
        <w:tc>
          <w:tcPr>
            <w:tcW w:w="9360" w:type="dxa"/>
            <w:vAlign w:val="bottom"/>
            <w:shd w:val="clear" w:color="auto" w:fill="CCFFCC"/>
          </w:tcPr>
          <w:p>
            <w:pPr>
              <w:ind w:left="260"/>
              <w:spacing w:after="0" w:line="202" w:lineRule="exact"/>
              <w:rPr>
                <w:sz w:val="20"/>
                <w:szCs w:val="20"/>
                <w:color w:val="auto"/>
              </w:rPr>
            </w:pPr>
            <w:r>
              <w:rPr>
                <w:rFonts w:ascii="Arial" w:cs="Arial" w:eastAsia="Arial" w:hAnsi="Arial"/>
                <w:sz w:val="18"/>
                <w:szCs w:val="18"/>
                <w:color w:val="auto"/>
              </w:rPr>
              <w:t>Defaults Upon Senior Securities</w:t>
            </w:r>
          </w:p>
        </w:tc>
        <w:tc>
          <w:tcPr>
            <w:tcW w:w="1020" w:type="dxa"/>
            <w:vAlign w:val="bottom"/>
            <w:gridSpan w:val="4"/>
            <w:shd w:val="clear" w:color="auto" w:fill="CCFFCC"/>
          </w:tcPr>
          <w:p>
            <w:pPr>
              <w:jc w:val="right"/>
              <w:ind w:right="20"/>
              <w:spacing w:after="0" w:line="202" w:lineRule="exact"/>
              <w:rPr>
                <w:rFonts w:ascii="Arial" w:cs="Arial" w:eastAsia="Arial" w:hAnsi="Arial"/>
                <w:sz w:val="18"/>
                <w:szCs w:val="18"/>
                <w:color w:val="0000FF"/>
              </w:rPr>
            </w:pPr>
            <w:hyperlink w:anchor="page41">
              <w:r>
                <w:rPr>
                  <w:rFonts w:ascii="Arial" w:cs="Arial" w:eastAsia="Arial" w:hAnsi="Arial"/>
                  <w:sz w:val="18"/>
                  <w:szCs w:val="18"/>
                  <w:color w:val="0000FF"/>
                </w:rPr>
                <w:t>41</w:t>
              </w:r>
            </w:hyperlink>
          </w:p>
        </w:tc>
      </w:tr>
      <w:tr>
        <w:trPr>
          <w:trHeight w:val="270"/>
        </w:trPr>
        <w:tc>
          <w:tcPr>
            <w:tcW w:w="1040" w:type="dxa"/>
            <w:vAlign w:val="bottom"/>
            <w:tcBorders>
              <w:top w:val="single" w:sz="8" w:color="CCFFCC"/>
            </w:tcBorders>
          </w:tcPr>
          <w:p>
            <w:pPr>
              <w:spacing w:after="0"/>
              <w:rPr>
                <w:sz w:val="23"/>
                <w:szCs w:val="23"/>
                <w:color w:val="auto"/>
              </w:rPr>
            </w:pPr>
          </w:p>
        </w:tc>
        <w:tc>
          <w:tcPr>
            <w:tcW w:w="9360" w:type="dxa"/>
            <w:vAlign w:val="bottom"/>
            <w:tcBorders>
              <w:top w:val="single" w:sz="8" w:color="CCFFCC"/>
            </w:tcBorders>
          </w:tcPr>
          <w:p>
            <w:pPr>
              <w:spacing w:after="0"/>
              <w:rPr>
                <w:sz w:val="23"/>
                <w:szCs w:val="23"/>
                <w:color w:val="auto"/>
              </w:rPr>
            </w:pPr>
          </w:p>
        </w:tc>
        <w:tc>
          <w:tcPr>
            <w:tcW w:w="820" w:type="dxa"/>
            <w:vAlign w:val="bottom"/>
            <w:tcBorders>
              <w:top w:val="single" w:sz="8" w:color="CCFFCC"/>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ind w:left="40"/>
              <w:spacing w:after="0" w:line="202" w:lineRule="exact"/>
              <w:rPr>
                <w:sz w:val="20"/>
                <w:szCs w:val="20"/>
                <w:color w:val="auto"/>
              </w:rPr>
            </w:pPr>
            <w:r>
              <w:rPr>
                <w:rFonts w:ascii="Arial" w:cs="Arial" w:eastAsia="Arial" w:hAnsi="Arial"/>
                <w:sz w:val="18"/>
                <w:szCs w:val="18"/>
                <w:color w:val="auto"/>
              </w:rPr>
              <w:t>Item 4.</w:t>
            </w:r>
          </w:p>
        </w:tc>
        <w:tc>
          <w:tcPr>
            <w:tcW w:w="9360" w:type="dxa"/>
            <w:vAlign w:val="bottom"/>
            <w:shd w:val="clear" w:color="auto" w:fill="CCFFCC"/>
          </w:tcPr>
          <w:p>
            <w:pPr>
              <w:ind w:left="260"/>
              <w:spacing w:after="0" w:line="202" w:lineRule="exact"/>
              <w:rPr>
                <w:sz w:val="20"/>
                <w:szCs w:val="20"/>
                <w:color w:val="auto"/>
              </w:rPr>
            </w:pPr>
            <w:r>
              <w:rPr>
                <w:rFonts w:ascii="Arial" w:cs="Arial" w:eastAsia="Arial" w:hAnsi="Arial"/>
                <w:sz w:val="18"/>
                <w:szCs w:val="18"/>
                <w:color w:val="auto"/>
              </w:rPr>
              <w:t>Mine Safety Disclosures</w:t>
            </w:r>
          </w:p>
        </w:tc>
        <w:tc>
          <w:tcPr>
            <w:tcW w:w="1020" w:type="dxa"/>
            <w:vAlign w:val="bottom"/>
            <w:gridSpan w:val="4"/>
            <w:shd w:val="clear" w:color="auto" w:fill="CCFFCC"/>
          </w:tcPr>
          <w:p>
            <w:pPr>
              <w:jc w:val="right"/>
              <w:ind w:right="20"/>
              <w:spacing w:after="0" w:line="202" w:lineRule="exact"/>
              <w:rPr>
                <w:rFonts w:ascii="Arial" w:cs="Arial" w:eastAsia="Arial" w:hAnsi="Arial"/>
                <w:sz w:val="18"/>
                <w:szCs w:val="18"/>
                <w:color w:val="0000FF"/>
              </w:rPr>
            </w:pPr>
            <w:hyperlink w:anchor="page41">
              <w:r>
                <w:rPr>
                  <w:rFonts w:ascii="Arial" w:cs="Arial" w:eastAsia="Arial" w:hAnsi="Arial"/>
                  <w:sz w:val="18"/>
                  <w:szCs w:val="18"/>
                  <w:color w:val="0000FF"/>
                </w:rPr>
                <w:t>41</w:t>
              </w:r>
            </w:hyperlink>
          </w:p>
        </w:tc>
      </w:tr>
      <w:tr>
        <w:trPr>
          <w:trHeight w:val="270"/>
        </w:trPr>
        <w:tc>
          <w:tcPr>
            <w:tcW w:w="1040" w:type="dxa"/>
            <w:vAlign w:val="bottom"/>
            <w:tcBorders>
              <w:top w:val="single" w:sz="8" w:color="CCFFCC"/>
            </w:tcBorders>
          </w:tcPr>
          <w:p>
            <w:pPr>
              <w:spacing w:after="0"/>
              <w:rPr>
                <w:sz w:val="23"/>
                <w:szCs w:val="23"/>
                <w:color w:val="auto"/>
              </w:rPr>
            </w:pPr>
          </w:p>
        </w:tc>
        <w:tc>
          <w:tcPr>
            <w:tcW w:w="9360" w:type="dxa"/>
            <w:vAlign w:val="bottom"/>
            <w:tcBorders>
              <w:top w:val="single" w:sz="8" w:color="CCFFCC"/>
            </w:tcBorders>
          </w:tcPr>
          <w:p>
            <w:pPr>
              <w:spacing w:after="0"/>
              <w:rPr>
                <w:sz w:val="23"/>
                <w:szCs w:val="23"/>
                <w:color w:val="auto"/>
              </w:rPr>
            </w:pPr>
          </w:p>
        </w:tc>
        <w:tc>
          <w:tcPr>
            <w:tcW w:w="820" w:type="dxa"/>
            <w:vAlign w:val="bottom"/>
            <w:tcBorders>
              <w:top w:val="single" w:sz="8" w:color="CCFFCC"/>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ind w:left="40"/>
              <w:spacing w:after="0" w:line="202" w:lineRule="exact"/>
              <w:rPr>
                <w:sz w:val="20"/>
                <w:szCs w:val="20"/>
                <w:color w:val="auto"/>
              </w:rPr>
            </w:pPr>
            <w:r>
              <w:rPr>
                <w:rFonts w:ascii="Arial" w:cs="Arial" w:eastAsia="Arial" w:hAnsi="Arial"/>
                <w:sz w:val="18"/>
                <w:szCs w:val="18"/>
                <w:color w:val="auto"/>
              </w:rPr>
              <w:t>Item 5.</w:t>
            </w:r>
          </w:p>
        </w:tc>
        <w:tc>
          <w:tcPr>
            <w:tcW w:w="9360" w:type="dxa"/>
            <w:vAlign w:val="bottom"/>
            <w:shd w:val="clear" w:color="auto" w:fill="CCFFCC"/>
          </w:tcPr>
          <w:p>
            <w:pPr>
              <w:ind w:left="260"/>
              <w:spacing w:after="0" w:line="202" w:lineRule="exact"/>
              <w:rPr>
                <w:sz w:val="20"/>
                <w:szCs w:val="20"/>
                <w:color w:val="auto"/>
              </w:rPr>
            </w:pPr>
            <w:r>
              <w:rPr>
                <w:rFonts w:ascii="Arial" w:cs="Arial" w:eastAsia="Arial" w:hAnsi="Arial"/>
                <w:sz w:val="18"/>
                <w:szCs w:val="18"/>
                <w:color w:val="auto"/>
              </w:rPr>
              <w:t>Other Information</w:t>
            </w:r>
          </w:p>
        </w:tc>
        <w:tc>
          <w:tcPr>
            <w:tcW w:w="1020" w:type="dxa"/>
            <w:vAlign w:val="bottom"/>
            <w:gridSpan w:val="4"/>
            <w:shd w:val="clear" w:color="auto" w:fill="CCFFCC"/>
          </w:tcPr>
          <w:p>
            <w:pPr>
              <w:jc w:val="right"/>
              <w:ind w:right="20"/>
              <w:spacing w:after="0" w:line="202" w:lineRule="exact"/>
              <w:rPr>
                <w:rFonts w:ascii="Arial" w:cs="Arial" w:eastAsia="Arial" w:hAnsi="Arial"/>
                <w:sz w:val="18"/>
                <w:szCs w:val="18"/>
                <w:color w:val="0000FF"/>
              </w:rPr>
            </w:pPr>
            <w:hyperlink w:anchor="page41">
              <w:r>
                <w:rPr>
                  <w:rFonts w:ascii="Arial" w:cs="Arial" w:eastAsia="Arial" w:hAnsi="Arial"/>
                  <w:sz w:val="18"/>
                  <w:szCs w:val="18"/>
                  <w:color w:val="0000FF"/>
                </w:rPr>
                <w:t>41</w:t>
              </w:r>
            </w:hyperlink>
          </w:p>
        </w:tc>
      </w:tr>
      <w:tr>
        <w:trPr>
          <w:trHeight w:val="270"/>
        </w:trPr>
        <w:tc>
          <w:tcPr>
            <w:tcW w:w="1040" w:type="dxa"/>
            <w:vAlign w:val="bottom"/>
            <w:tcBorders>
              <w:top w:val="single" w:sz="8" w:color="CCFFCC"/>
            </w:tcBorders>
          </w:tcPr>
          <w:p>
            <w:pPr>
              <w:spacing w:after="0"/>
              <w:rPr>
                <w:sz w:val="23"/>
                <w:szCs w:val="23"/>
                <w:color w:val="auto"/>
              </w:rPr>
            </w:pPr>
          </w:p>
        </w:tc>
        <w:tc>
          <w:tcPr>
            <w:tcW w:w="9360" w:type="dxa"/>
            <w:vAlign w:val="bottom"/>
            <w:tcBorders>
              <w:top w:val="single" w:sz="8" w:color="CCFFCC"/>
            </w:tcBorders>
          </w:tcPr>
          <w:p>
            <w:pPr>
              <w:spacing w:after="0"/>
              <w:rPr>
                <w:sz w:val="23"/>
                <w:szCs w:val="23"/>
                <w:color w:val="auto"/>
              </w:rPr>
            </w:pPr>
          </w:p>
        </w:tc>
        <w:tc>
          <w:tcPr>
            <w:tcW w:w="820" w:type="dxa"/>
            <w:vAlign w:val="bottom"/>
            <w:tcBorders>
              <w:top w:val="single" w:sz="8" w:color="CCFFCC"/>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ind w:left="40"/>
              <w:spacing w:after="0" w:line="202" w:lineRule="exact"/>
              <w:rPr>
                <w:sz w:val="20"/>
                <w:szCs w:val="20"/>
                <w:color w:val="auto"/>
              </w:rPr>
            </w:pPr>
            <w:r>
              <w:rPr>
                <w:rFonts w:ascii="Arial" w:cs="Arial" w:eastAsia="Arial" w:hAnsi="Arial"/>
                <w:sz w:val="18"/>
                <w:szCs w:val="18"/>
                <w:color w:val="auto"/>
              </w:rPr>
              <w:t>Item 6.</w:t>
            </w:r>
          </w:p>
        </w:tc>
        <w:tc>
          <w:tcPr>
            <w:tcW w:w="9360" w:type="dxa"/>
            <w:vAlign w:val="bottom"/>
            <w:shd w:val="clear" w:color="auto" w:fill="CCFFCC"/>
          </w:tcPr>
          <w:p>
            <w:pPr>
              <w:ind w:left="260"/>
              <w:spacing w:after="0" w:line="202" w:lineRule="exact"/>
              <w:rPr>
                <w:sz w:val="20"/>
                <w:szCs w:val="20"/>
                <w:color w:val="auto"/>
              </w:rPr>
            </w:pPr>
            <w:r>
              <w:rPr>
                <w:rFonts w:ascii="Arial" w:cs="Arial" w:eastAsia="Arial" w:hAnsi="Arial"/>
                <w:sz w:val="18"/>
                <w:szCs w:val="18"/>
                <w:color w:val="auto"/>
              </w:rPr>
              <w:t>Exhibits</w:t>
            </w:r>
          </w:p>
        </w:tc>
        <w:tc>
          <w:tcPr>
            <w:tcW w:w="1020" w:type="dxa"/>
            <w:vAlign w:val="bottom"/>
            <w:gridSpan w:val="4"/>
            <w:shd w:val="clear" w:color="auto" w:fill="CCFFCC"/>
          </w:tcPr>
          <w:p>
            <w:pPr>
              <w:jc w:val="right"/>
              <w:ind w:right="20"/>
              <w:spacing w:after="0" w:line="202" w:lineRule="exact"/>
              <w:rPr>
                <w:rFonts w:ascii="Arial" w:cs="Arial" w:eastAsia="Arial" w:hAnsi="Arial"/>
                <w:sz w:val="18"/>
                <w:szCs w:val="18"/>
                <w:color w:val="0000FF"/>
              </w:rPr>
            </w:pPr>
            <w:hyperlink w:anchor="page42">
              <w:r>
                <w:rPr>
                  <w:rFonts w:ascii="Arial" w:cs="Arial" w:eastAsia="Arial" w:hAnsi="Arial"/>
                  <w:sz w:val="18"/>
                  <w:szCs w:val="18"/>
                  <w:color w:val="0000FF"/>
                </w:rPr>
                <w:t>42</w:t>
              </w:r>
            </w:hyperlink>
          </w:p>
        </w:tc>
      </w:tr>
      <w:tr>
        <w:trPr>
          <w:trHeight w:val="324"/>
        </w:trPr>
        <w:tc>
          <w:tcPr>
            <w:tcW w:w="1040" w:type="dxa"/>
            <w:vAlign w:val="bottom"/>
            <w:tcBorders>
              <w:top w:val="single" w:sz="8" w:color="CCFFCC"/>
            </w:tcBorders>
          </w:tcPr>
          <w:p>
            <w:pPr>
              <w:spacing w:after="0"/>
              <w:rPr>
                <w:sz w:val="24"/>
                <w:szCs w:val="24"/>
                <w:color w:val="auto"/>
              </w:rPr>
            </w:pPr>
          </w:p>
        </w:tc>
        <w:tc>
          <w:tcPr>
            <w:tcW w:w="9360" w:type="dxa"/>
            <w:vAlign w:val="bottom"/>
            <w:tcBorders>
              <w:top w:val="single" w:sz="8" w:color="CCFFCC"/>
            </w:tcBorders>
          </w:tcPr>
          <w:p>
            <w:pPr>
              <w:spacing w:after="0"/>
              <w:rPr>
                <w:sz w:val="24"/>
                <w:szCs w:val="24"/>
                <w:color w:val="auto"/>
              </w:rPr>
            </w:pPr>
          </w:p>
        </w:tc>
        <w:tc>
          <w:tcPr>
            <w:tcW w:w="820" w:type="dxa"/>
            <w:vAlign w:val="bottom"/>
            <w:tcBorders>
              <w:top w:val="single" w:sz="8" w:color="CCFFCC"/>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CCFFCC"/>
            </w:tcBorders>
          </w:tcPr>
          <w:p>
            <w:pPr>
              <w:spacing w:after="0"/>
              <w:rPr>
                <w:sz w:val="24"/>
                <w:szCs w:val="24"/>
                <w:color w:val="auto"/>
              </w:rPr>
            </w:pPr>
          </w:p>
        </w:tc>
      </w:tr>
      <w:tr>
        <w:trPr>
          <w:trHeight w:val="250"/>
        </w:trPr>
        <w:tc>
          <w:tcPr>
            <w:tcW w:w="1040" w:type="dxa"/>
            <w:vAlign w:val="bottom"/>
            <w:shd w:val="clear" w:color="auto" w:fill="CCFFCC"/>
          </w:tcPr>
          <w:p>
            <w:pPr>
              <w:ind w:left="40"/>
              <w:spacing w:after="0" w:line="202" w:lineRule="exact"/>
              <w:rPr>
                <w:sz w:val="20"/>
                <w:szCs w:val="20"/>
                <w:color w:val="auto"/>
              </w:rPr>
            </w:pPr>
            <w:r>
              <w:rPr>
                <w:rFonts w:ascii="Arial" w:cs="Arial" w:eastAsia="Arial" w:hAnsi="Arial"/>
                <w:sz w:val="18"/>
                <w:szCs w:val="18"/>
                <w:color w:val="auto"/>
              </w:rPr>
              <w:t>Signatures</w:t>
            </w:r>
          </w:p>
        </w:tc>
        <w:tc>
          <w:tcPr>
            <w:tcW w:w="9360" w:type="dxa"/>
            <w:vAlign w:val="bottom"/>
            <w:shd w:val="clear" w:color="auto" w:fill="CCFFCC"/>
          </w:tcPr>
          <w:p>
            <w:pPr>
              <w:spacing w:after="0"/>
              <w:rPr>
                <w:sz w:val="21"/>
                <w:szCs w:val="21"/>
                <w:color w:val="auto"/>
              </w:rPr>
            </w:pPr>
          </w:p>
        </w:tc>
        <w:tc>
          <w:tcPr>
            <w:tcW w:w="1020" w:type="dxa"/>
            <w:vAlign w:val="bottom"/>
            <w:gridSpan w:val="4"/>
            <w:shd w:val="clear" w:color="auto" w:fill="CCFFCC"/>
          </w:tcPr>
          <w:p>
            <w:pPr>
              <w:jc w:val="right"/>
              <w:ind w:right="20"/>
              <w:spacing w:after="0" w:line="202" w:lineRule="exact"/>
              <w:rPr>
                <w:rFonts w:ascii="Arial" w:cs="Arial" w:eastAsia="Arial" w:hAnsi="Arial"/>
                <w:sz w:val="18"/>
                <w:szCs w:val="18"/>
                <w:color w:val="0000EE"/>
              </w:rPr>
            </w:pPr>
            <w:hyperlink w:anchor="page43">
              <w:r>
                <w:rPr>
                  <w:rFonts w:ascii="Arial" w:cs="Arial" w:eastAsia="Arial" w:hAnsi="Arial"/>
                  <w:sz w:val="18"/>
                  <w:szCs w:val="18"/>
                  <w:color w:val="0000EE"/>
                </w:rPr>
                <w:t>43</w:t>
              </w:r>
            </w:hyperlink>
          </w:p>
        </w:tc>
      </w:tr>
      <w:tr>
        <w:trPr>
          <w:trHeight w:val="459"/>
        </w:trPr>
        <w:tc>
          <w:tcPr>
            <w:tcW w:w="1040" w:type="dxa"/>
            <w:vAlign w:val="bottom"/>
            <w:tcBorders>
              <w:top w:val="single" w:sz="8" w:color="CCFFCC"/>
            </w:tcBorders>
          </w:tcPr>
          <w:p>
            <w:pPr>
              <w:spacing w:after="0"/>
              <w:rPr>
                <w:sz w:val="24"/>
                <w:szCs w:val="24"/>
                <w:color w:val="auto"/>
              </w:rPr>
            </w:pPr>
          </w:p>
        </w:tc>
        <w:tc>
          <w:tcPr>
            <w:tcW w:w="9360" w:type="dxa"/>
            <w:vAlign w:val="bottom"/>
            <w:tcBorders>
              <w:top w:val="single" w:sz="8" w:color="CCFFCC"/>
            </w:tcBorders>
          </w:tcPr>
          <w:p>
            <w:pPr>
              <w:ind w:left="4620"/>
              <w:spacing w:after="0"/>
              <w:rPr>
                <w:sz w:val="20"/>
                <w:szCs w:val="20"/>
                <w:color w:val="auto"/>
              </w:rPr>
            </w:pPr>
            <w:r>
              <w:rPr>
                <w:rFonts w:ascii="Arial" w:cs="Arial" w:eastAsia="Arial" w:hAnsi="Arial"/>
                <w:sz w:val="18"/>
                <w:szCs w:val="18"/>
                <w:color w:val="auto"/>
              </w:rPr>
              <w:t>2</w:t>
            </w:r>
          </w:p>
        </w:tc>
        <w:tc>
          <w:tcPr>
            <w:tcW w:w="820" w:type="dxa"/>
            <w:vAlign w:val="bottom"/>
            <w:tcBorders>
              <w:top w:val="single" w:sz="8" w:color="CCFFCC"/>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CCFFCC"/>
            </w:tcBorders>
          </w:tcPr>
          <w:p>
            <w:pPr>
              <w:spacing w:after="0"/>
              <w:rPr>
                <w:sz w:val="24"/>
                <w:szCs w:val="24"/>
                <w:color w:val="auto"/>
              </w:rPr>
            </w:pPr>
          </w:p>
        </w:tc>
      </w:tr>
    </w:tbl>
    <w:p>
      <w:pPr>
        <w:sectPr>
          <w:pgSz w:w="11900" w:h="16838" w:orient="portrait"/>
          <w:cols w:equalWidth="0" w:num="1">
            <w:col w:w="11420"/>
          </w:cols>
          <w:pgMar w:left="240" w:top="769"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STATEMENTS IN THIS REPORT ABOUT LIVEPERSON, INC. THAT ARE NOT HISTORICAL FACTS ARE FORWARD-LOOKING STATEMENTS BASED ON OUR CURRENT EXPECTATIONS, ASSUMPTIONS, ESTIMATES AND PROJECTIONS ABOUT LIVEPERSON AND OUR INDUSTRY. THESE FORWARD-LOOKING STATEMENTS ARE SUBJECT TO RISKS AND UNCERTAINTIES THAT COULD CAUSE ACTUAL FUTURE EVENTS OR RESULTS TO DIFFER MATERIALLY FROM SUCH STATEMENTS. ANY SUCH FORWARD-LOOKING STATEMENTS ARE MADE PURSUANT TO THE SAFE HARBOR PROVISIONS OF THE PRIVATE SECURITIES LITIGATION REFORM ACT OF 1995. IT IS ROUTINE FOR OUR INTERNAL PROJECTIONS AND EXPECTATIONS TO CHANGE AS THE YEAR OR EACH QUARTER IN THE YEAR PROGRESSES, AND THEREFORE IT SHOULD BE CLEARLY UNDERSTOOD THAT THE INTERNAL PROJECTIONS AND BELIEFS UPON WHICH WE BASE OUR EXPECTATIONS MAY CHANGE PRIOR TO THE END OF EACH QUARTER OR THE YEAR. ALTHOUGH THESE EXPECTATIONS MAY CHANGE, WE ARE UNDER NO OBLIGATION TO INFORM YOU IF THEY DO. OUR COMPANY POLICY IS GENERALLY TO PROVIDE OUR EXPECTATIONS ONLY ONCE PER QUARTER, AND NOT TO UPDATE THAT INFORMATION UNTIL THE NEXT QUARTER. ACTUAL EVENTS OR RESULTS MAY DIFFER MATERIALLY FROM THOSE CONTAINED IN THE PROJECTIONS OR FORWARD-LOOKING STATEMENTS. FACTORS THAT COULD CAUSE OR CONTRIBUTE TO SUCH DIFFERENCES INCLUDE THOSE DISCUSSED IN PART II, ITEM 1A, “RISK FACTORS.”</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06"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260" w:type="dxa"/>
            <w:vAlign w:val="bottom"/>
          </w:tcPr>
          <w:p>
            <w:pPr>
              <w:jc w:val="center"/>
              <w:ind w:right="140"/>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8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w w:val="96"/>
              </w:rPr>
              <w:t>2015</w:t>
            </w:r>
          </w:p>
        </w:tc>
      </w:tr>
      <w:tr>
        <w:trPr>
          <w:trHeight w:val="264"/>
        </w:trPr>
        <w:tc>
          <w:tcPr>
            <w:tcW w:w="8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center"/>
              <w:ind w:right="120"/>
              <w:spacing w:after="0"/>
              <w:rPr>
                <w:sz w:val="20"/>
                <w:szCs w:val="20"/>
                <w:color w:val="auto"/>
              </w:rPr>
            </w:pPr>
            <w:r>
              <w:rPr>
                <w:rFonts w:ascii="Arial" w:cs="Arial" w:eastAsia="Arial" w:hAnsi="Arial"/>
                <w:sz w:val="14"/>
                <w:szCs w:val="14"/>
                <w:b w:val="1"/>
                <w:bCs w:val="1"/>
                <w:color w:val="auto"/>
                <w:w w:val="95"/>
              </w:rPr>
              <w:t>(Note 1)</w:t>
            </w:r>
          </w:p>
        </w:tc>
      </w:tr>
      <w:tr>
        <w:trPr>
          <w:trHeight w:val="256"/>
        </w:trPr>
        <w:tc>
          <w:tcPr>
            <w:tcW w:w="83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b w:val="1"/>
                <w:bCs w:val="1"/>
                <w:color w:val="auto"/>
              </w:rPr>
              <w:t>ASSETS</w:t>
            </w:r>
          </w:p>
        </w:tc>
        <w:tc>
          <w:tcPr>
            <w:tcW w:w="200" w:type="dxa"/>
            <w:vAlign w:val="bottom"/>
            <w:tcBorders>
              <w:bottom w:val="single" w:sz="8" w:color="CCFFCC"/>
            </w:tcBorders>
            <w:shd w:val="clear" w:color="auto" w:fill="CCFFCC"/>
          </w:tcPr>
          <w:p>
            <w:pPr>
              <w:spacing w:after="0"/>
              <w:rPr>
                <w:sz w:val="22"/>
                <w:szCs w:val="22"/>
                <w:color w:val="auto"/>
              </w:rPr>
            </w:pPr>
          </w:p>
        </w:tc>
        <w:tc>
          <w:tcPr>
            <w:tcW w:w="1300" w:type="dxa"/>
            <w:vAlign w:val="bottom"/>
            <w:tcBorders>
              <w:bottom w:val="single" w:sz="8" w:color="CCFFCC"/>
            </w:tcBorders>
            <w:shd w:val="clear" w:color="auto" w:fill="CCFFCC"/>
          </w:tcPr>
          <w:p>
            <w:pPr>
              <w:spacing w:after="0"/>
              <w:rPr>
                <w:sz w:val="22"/>
                <w:szCs w:val="22"/>
                <w:color w:val="auto"/>
              </w:rPr>
            </w:pPr>
          </w:p>
        </w:tc>
        <w:tc>
          <w:tcPr>
            <w:tcW w:w="120" w:type="dxa"/>
            <w:vAlign w:val="bottom"/>
            <w:tcBorders>
              <w:bottom w:val="single" w:sz="8" w:color="CCFFCC"/>
            </w:tcBorders>
            <w:shd w:val="clear" w:color="auto" w:fill="CCFFCC"/>
          </w:tcPr>
          <w:p>
            <w:pPr>
              <w:spacing w:after="0"/>
              <w:rPr>
                <w:sz w:val="22"/>
                <w:szCs w:val="22"/>
                <w:color w:val="auto"/>
              </w:rPr>
            </w:pPr>
          </w:p>
        </w:tc>
        <w:tc>
          <w:tcPr>
            <w:tcW w:w="200" w:type="dxa"/>
            <w:vAlign w:val="bottom"/>
            <w:tcBorders>
              <w:bottom w:val="single" w:sz="8" w:color="CCFFCC"/>
            </w:tcBorders>
            <w:shd w:val="clear" w:color="auto" w:fill="CCFFCC"/>
          </w:tcPr>
          <w:p>
            <w:pPr>
              <w:spacing w:after="0"/>
              <w:rPr>
                <w:sz w:val="22"/>
                <w:szCs w:val="22"/>
                <w:color w:val="auto"/>
              </w:rPr>
            </w:pPr>
          </w:p>
        </w:tc>
        <w:tc>
          <w:tcPr>
            <w:tcW w:w="1260" w:type="dxa"/>
            <w:vAlign w:val="bottom"/>
            <w:tcBorders>
              <w:bottom w:val="single" w:sz="8" w:color="CCFFCC"/>
            </w:tcBorders>
            <w:shd w:val="clear" w:color="auto" w:fill="CCFFCC"/>
          </w:tcPr>
          <w:p>
            <w:pPr>
              <w:spacing w:after="0"/>
              <w:rPr>
                <w:sz w:val="22"/>
                <w:szCs w:val="22"/>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Cash and cash equivalents</w:t>
            </w:r>
          </w:p>
        </w:tc>
        <w:tc>
          <w:tcPr>
            <w:tcW w:w="20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51,405</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48,803</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Cash held as collateral</w:t>
            </w:r>
          </w:p>
        </w:tc>
        <w:tc>
          <w:tcPr>
            <w:tcW w:w="200" w:type="dxa"/>
            <w:vAlign w:val="bottom"/>
          </w:tcPr>
          <w:p>
            <w:pPr>
              <w:spacing w:after="0"/>
              <w:rPr>
                <w:sz w:val="20"/>
                <w:szCs w:val="20"/>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3,966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5,409</w:t>
            </w:r>
          </w:p>
        </w:tc>
      </w:tr>
      <w:tr>
        <w:trPr>
          <w:trHeight w:val="33"/>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0"/>
        </w:trPr>
        <w:tc>
          <w:tcPr>
            <w:tcW w:w="8340" w:type="dxa"/>
            <w:vAlign w:val="bottom"/>
            <w:shd w:val="clear" w:color="auto" w:fill="CCFFCC"/>
          </w:tcPr>
          <w:p>
            <w:pPr>
              <w:ind w:left="180"/>
              <w:spacing w:after="0"/>
              <w:rPr>
                <w:sz w:val="20"/>
                <w:szCs w:val="20"/>
                <w:color w:val="auto"/>
              </w:rPr>
            </w:pPr>
            <w:r>
              <w:rPr>
                <w:rFonts w:ascii="Arial" w:cs="Arial" w:eastAsia="Arial" w:hAnsi="Arial"/>
                <w:sz w:val="16"/>
                <w:szCs w:val="16"/>
                <w:color w:val="auto"/>
                <w:w w:val="93"/>
              </w:rPr>
              <w:t>Accounts receivable, net of allowance for doubtful accounts of $1,742 and $1,184 as of September 30, 2016 and December</w:t>
            </w:r>
          </w:p>
        </w:tc>
        <w:tc>
          <w:tcPr>
            <w:tcW w:w="200" w:type="dxa"/>
            <w:vAlign w:val="bottom"/>
            <w:shd w:val="clear" w:color="auto" w:fill="CCFFCC"/>
          </w:tcPr>
          <w:p>
            <w:pPr>
              <w:spacing w:after="0"/>
              <w:rPr>
                <w:sz w:val="19"/>
                <w:szCs w:val="19"/>
                <w:color w:val="auto"/>
              </w:rPr>
            </w:pPr>
          </w:p>
        </w:tc>
        <w:tc>
          <w:tcPr>
            <w:tcW w:w="130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c>
          <w:tcPr>
            <w:tcW w:w="1260" w:type="dxa"/>
            <w:vAlign w:val="bottom"/>
            <w:shd w:val="clear" w:color="auto" w:fill="CCFFCC"/>
          </w:tcPr>
          <w:p>
            <w:pPr>
              <w:spacing w:after="0"/>
              <w:rPr>
                <w:sz w:val="19"/>
                <w:szCs w:val="19"/>
                <w:color w:val="auto"/>
              </w:rPr>
            </w:pPr>
          </w:p>
        </w:tc>
      </w:tr>
      <w:tr>
        <w:trPr>
          <w:trHeight w:val="219"/>
        </w:trPr>
        <w:tc>
          <w:tcPr>
            <w:tcW w:w="834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31, 2015, respectively</w:t>
            </w:r>
          </w:p>
        </w:tc>
        <w:tc>
          <w:tcPr>
            <w:tcW w:w="200" w:type="dxa"/>
            <w:vAlign w:val="bottom"/>
            <w:tcBorders>
              <w:bottom w:val="single" w:sz="8" w:color="CCFFCC"/>
            </w:tcBorders>
            <w:shd w:val="clear" w:color="auto" w:fill="CCFFCC"/>
          </w:tcPr>
          <w:p>
            <w:pPr>
              <w:spacing w:after="0"/>
              <w:rPr>
                <w:sz w:val="19"/>
                <w:szCs w:val="19"/>
                <w:color w:val="auto"/>
              </w:rPr>
            </w:pPr>
          </w:p>
        </w:tc>
        <w:tc>
          <w:tcPr>
            <w:tcW w:w="130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29,488</w:t>
            </w:r>
          </w:p>
        </w:tc>
        <w:tc>
          <w:tcPr>
            <w:tcW w:w="120" w:type="dxa"/>
            <w:vAlign w:val="bottom"/>
            <w:tcBorders>
              <w:bottom w:val="single" w:sz="8" w:color="CCFFCC"/>
            </w:tcBorders>
            <w:shd w:val="clear" w:color="auto" w:fill="CCFFCC"/>
          </w:tcPr>
          <w:p>
            <w:pPr>
              <w:spacing w:after="0"/>
              <w:rPr>
                <w:sz w:val="19"/>
                <w:szCs w:val="19"/>
                <w:color w:val="auto"/>
              </w:rPr>
            </w:pPr>
          </w:p>
        </w:tc>
        <w:tc>
          <w:tcPr>
            <w:tcW w:w="200" w:type="dxa"/>
            <w:vAlign w:val="bottom"/>
            <w:tcBorders>
              <w:bottom w:val="single" w:sz="8" w:color="CCFFCC"/>
            </w:tcBorders>
            <w:shd w:val="clear" w:color="auto" w:fill="CCFFCC"/>
          </w:tcPr>
          <w:p>
            <w:pPr>
              <w:spacing w:after="0"/>
              <w:rPr>
                <w:sz w:val="19"/>
                <w:szCs w:val="19"/>
                <w:color w:val="auto"/>
              </w:rPr>
            </w:pPr>
          </w:p>
        </w:tc>
        <w:tc>
          <w:tcPr>
            <w:tcW w:w="126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30,388</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Prepaid expenses and other current assets</w:t>
            </w:r>
          </w:p>
        </w:tc>
        <w:tc>
          <w:tcPr>
            <w:tcW w:w="200" w:type="dxa"/>
            <w:vAlign w:val="bottom"/>
          </w:tcPr>
          <w:p>
            <w:pPr>
              <w:spacing w:after="0"/>
              <w:rPr>
                <w:sz w:val="20"/>
                <w:szCs w:val="20"/>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10,847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9,327</w:t>
            </w:r>
          </w:p>
        </w:tc>
      </w:tr>
      <w:tr>
        <w:trPr>
          <w:trHeight w:val="33"/>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Deferred tax assets, net</w:t>
            </w:r>
          </w:p>
        </w:tc>
        <w:tc>
          <w:tcPr>
            <w:tcW w:w="200" w:type="dxa"/>
            <w:vAlign w:val="bottom"/>
            <w:tcBorders>
              <w:bottom w:val="single" w:sz="8" w:color="CCFFCC"/>
            </w:tcBorders>
            <w:shd w:val="clear" w:color="auto" w:fill="CCFFCC"/>
          </w:tcPr>
          <w:p>
            <w:pPr>
              <w:spacing w:after="0"/>
              <w:rPr>
                <w:sz w:val="23"/>
                <w:szCs w:val="23"/>
                <w:color w:val="auto"/>
              </w:rPr>
            </w:pPr>
          </w:p>
        </w:tc>
        <w:tc>
          <w:tcPr>
            <w:tcW w:w="142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FFCC"/>
            </w:tcBorders>
            <w:shd w:val="clear" w:color="auto" w:fill="CCFFCC"/>
          </w:tcPr>
          <w:p>
            <w:pPr>
              <w:spacing w:after="0"/>
              <w:rPr>
                <w:sz w:val="23"/>
                <w:szCs w:val="23"/>
                <w:color w:val="auto"/>
              </w:rPr>
            </w:pPr>
          </w:p>
        </w:tc>
        <w:tc>
          <w:tcPr>
            <w:tcW w:w="126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455</w:t>
            </w:r>
          </w:p>
        </w:tc>
      </w:tr>
      <w:tr>
        <w:trPr>
          <w:trHeight w:val="217"/>
        </w:trPr>
        <w:tc>
          <w:tcPr>
            <w:tcW w:w="8340" w:type="dxa"/>
            <w:vAlign w:val="bottom"/>
          </w:tcPr>
          <w:p>
            <w:pPr>
              <w:ind w:left="280"/>
              <w:spacing w:after="0"/>
              <w:rPr>
                <w:sz w:val="20"/>
                <w:szCs w:val="20"/>
                <w:color w:val="auto"/>
              </w:rPr>
            </w:pPr>
            <w:r>
              <w:rPr>
                <w:rFonts w:ascii="Arial" w:cs="Arial" w:eastAsia="Arial" w:hAnsi="Arial"/>
                <w:sz w:val="16"/>
                <w:szCs w:val="16"/>
                <w:color w:val="auto"/>
              </w:rPr>
              <w:t>Total current assets</w:t>
            </w: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95,706</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94,382</w:t>
            </w:r>
          </w:p>
        </w:tc>
      </w:tr>
      <w:tr>
        <w:trPr>
          <w:trHeight w:val="33"/>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Property and equipment, net</w:t>
            </w:r>
          </w:p>
        </w:tc>
        <w:tc>
          <w:tcPr>
            <w:tcW w:w="200" w:type="dxa"/>
            <w:vAlign w:val="bottom"/>
            <w:tcBorders>
              <w:bottom w:val="single" w:sz="8" w:color="CCFFCC"/>
            </w:tcBorders>
            <w:shd w:val="clear" w:color="auto" w:fill="CCFFCC"/>
          </w:tcPr>
          <w:p>
            <w:pPr>
              <w:spacing w:after="0"/>
              <w:rPr>
                <w:sz w:val="21"/>
                <w:szCs w:val="21"/>
                <w:color w:val="auto"/>
              </w:rPr>
            </w:pPr>
          </w:p>
        </w:tc>
        <w:tc>
          <w:tcPr>
            <w:tcW w:w="130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24,111</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24,129</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Intangibles, net</w:t>
            </w:r>
          </w:p>
        </w:tc>
        <w:tc>
          <w:tcPr>
            <w:tcW w:w="200" w:type="dxa"/>
            <w:vAlign w:val="bottom"/>
          </w:tcPr>
          <w:p>
            <w:pPr>
              <w:spacing w:after="0"/>
              <w:rPr>
                <w:sz w:val="20"/>
                <w:szCs w:val="20"/>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20,012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24,619</w:t>
            </w:r>
          </w:p>
        </w:tc>
      </w:tr>
      <w:tr>
        <w:trPr>
          <w:trHeight w:val="33"/>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Goodwill</w:t>
            </w:r>
          </w:p>
        </w:tc>
        <w:tc>
          <w:tcPr>
            <w:tcW w:w="200" w:type="dxa"/>
            <w:vAlign w:val="bottom"/>
            <w:tcBorders>
              <w:bottom w:val="single" w:sz="8" w:color="CCFFCC"/>
            </w:tcBorders>
            <w:shd w:val="clear" w:color="auto" w:fill="CCFFCC"/>
          </w:tcPr>
          <w:p>
            <w:pPr>
              <w:spacing w:after="0"/>
              <w:rPr>
                <w:sz w:val="21"/>
                <w:szCs w:val="21"/>
                <w:color w:val="auto"/>
              </w:rPr>
            </w:pPr>
          </w:p>
        </w:tc>
        <w:tc>
          <w:tcPr>
            <w:tcW w:w="130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80,381</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80,322</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Deferred tax assets, net</w:t>
            </w:r>
          </w:p>
        </w:tc>
        <w:tc>
          <w:tcPr>
            <w:tcW w:w="200" w:type="dxa"/>
            <w:vAlign w:val="bottom"/>
          </w:tcPr>
          <w:p>
            <w:pPr>
              <w:spacing w:after="0"/>
              <w:rPr>
                <w:sz w:val="20"/>
                <w:szCs w:val="20"/>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1,076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785</w:t>
            </w:r>
          </w:p>
        </w:tc>
      </w:tr>
      <w:tr>
        <w:trPr>
          <w:trHeight w:val="33"/>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Other assets</w:t>
            </w:r>
          </w:p>
        </w:tc>
        <w:tc>
          <w:tcPr>
            <w:tcW w:w="200" w:type="dxa"/>
            <w:vAlign w:val="bottom"/>
            <w:tcBorders>
              <w:bottom w:val="single" w:sz="8" w:color="CCFFCC"/>
            </w:tcBorders>
            <w:shd w:val="clear" w:color="auto" w:fill="CCFFCC"/>
          </w:tcPr>
          <w:p>
            <w:pPr>
              <w:spacing w:after="0"/>
              <w:rPr>
                <w:sz w:val="23"/>
                <w:szCs w:val="23"/>
                <w:color w:val="auto"/>
              </w:rPr>
            </w:pPr>
          </w:p>
        </w:tc>
        <w:tc>
          <w:tcPr>
            <w:tcW w:w="130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2,425</w:t>
            </w:r>
          </w:p>
        </w:tc>
        <w:tc>
          <w:tcPr>
            <w:tcW w:w="120" w:type="dxa"/>
            <w:vAlign w:val="bottom"/>
            <w:tcBorders>
              <w:bottom w:val="single" w:sz="8" w:color="CCFFCC"/>
            </w:tcBorders>
            <w:shd w:val="clear" w:color="auto" w:fill="CCFFCC"/>
          </w:tcPr>
          <w:p>
            <w:pPr>
              <w:spacing w:after="0"/>
              <w:rPr>
                <w:sz w:val="23"/>
                <w:szCs w:val="23"/>
                <w:color w:val="auto"/>
              </w:rPr>
            </w:pPr>
          </w:p>
        </w:tc>
        <w:tc>
          <w:tcPr>
            <w:tcW w:w="200" w:type="dxa"/>
            <w:vAlign w:val="bottom"/>
            <w:tcBorders>
              <w:bottom w:val="single" w:sz="8" w:color="CCFFCC"/>
            </w:tcBorders>
            <w:shd w:val="clear" w:color="auto" w:fill="CCFFCC"/>
          </w:tcPr>
          <w:p>
            <w:pPr>
              <w:spacing w:after="0"/>
              <w:rPr>
                <w:sz w:val="23"/>
                <w:szCs w:val="23"/>
                <w:color w:val="auto"/>
              </w:rPr>
            </w:pPr>
          </w:p>
        </w:tc>
        <w:tc>
          <w:tcPr>
            <w:tcW w:w="126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1,957</w:t>
            </w:r>
          </w:p>
        </w:tc>
      </w:tr>
      <w:tr>
        <w:trPr>
          <w:trHeight w:val="284"/>
        </w:trPr>
        <w:tc>
          <w:tcPr>
            <w:tcW w:w="8340" w:type="dxa"/>
            <w:vAlign w:val="bottom"/>
            <w:tcBorders>
              <w:bottom w:val="single" w:sz="8" w:color="CCFFCC"/>
            </w:tcBorders>
          </w:tcPr>
          <w:p>
            <w:pPr>
              <w:ind w:left="280"/>
              <w:spacing w:after="0"/>
              <w:rPr>
                <w:sz w:val="20"/>
                <w:szCs w:val="20"/>
                <w:color w:val="auto"/>
              </w:rPr>
            </w:pPr>
            <w:r>
              <w:rPr>
                <w:rFonts w:ascii="Arial" w:cs="Arial" w:eastAsia="Arial" w:hAnsi="Arial"/>
                <w:sz w:val="16"/>
                <w:szCs w:val="16"/>
                <w:color w:val="auto"/>
              </w:rPr>
              <w:t>Total assets</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223,711</w:t>
            </w:r>
          </w:p>
        </w:tc>
        <w:tc>
          <w:tcPr>
            <w:tcW w:w="120" w:type="dxa"/>
            <w:vAlign w:val="bottom"/>
            <w:tcBorders>
              <w:bottom w:val="single" w:sz="8" w:color="CCFFCC"/>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226,194</w:t>
            </w:r>
          </w:p>
        </w:tc>
      </w:tr>
      <w:tr>
        <w:trPr>
          <w:trHeight w:val="311"/>
        </w:trPr>
        <w:tc>
          <w:tcPr>
            <w:tcW w:w="8340" w:type="dxa"/>
            <w:vAlign w:val="bottom"/>
            <w:shd w:val="clear" w:color="auto" w:fill="CCFFCC"/>
          </w:tcPr>
          <w:p>
            <w:pPr>
              <w:spacing w:after="0"/>
              <w:rPr>
                <w:sz w:val="24"/>
                <w:szCs w:val="24"/>
                <w:color w:val="auto"/>
              </w:rPr>
            </w:pPr>
          </w:p>
        </w:tc>
        <w:tc>
          <w:tcPr>
            <w:tcW w:w="200" w:type="dxa"/>
            <w:vAlign w:val="bottom"/>
            <w:shd w:val="clear" w:color="auto" w:fill="CCFFCC"/>
          </w:tcPr>
          <w:p>
            <w:pPr>
              <w:spacing w:after="0"/>
              <w:rPr>
                <w:sz w:val="24"/>
                <w:szCs w:val="24"/>
                <w:color w:val="auto"/>
              </w:rPr>
            </w:pPr>
          </w:p>
        </w:tc>
        <w:tc>
          <w:tcPr>
            <w:tcW w:w="130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200" w:type="dxa"/>
            <w:vAlign w:val="bottom"/>
            <w:shd w:val="clear" w:color="auto" w:fill="CCFFCC"/>
          </w:tcPr>
          <w:p>
            <w:pPr>
              <w:spacing w:after="0"/>
              <w:rPr>
                <w:sz w:val="24"/>
                <w:szCs w:val="24"/>
                <w:color w:val="auto"/>
              </w:rPr>
            </w:pPr>
          </w:p>
        </w:tc>
        <w:tc>
          <w:tcPr>
            <w:tcW w:w="1260" w:type="dxa"/>
            <w:vAlign w:val="bottom"/>
            <w:shd w:val="clear" w:color="auto" w:fill="CCFFCC"/>
          </w:tcPr>
          <w:p>
            <w:pPr>
              <w:spacing w:after="0"/>
              <w:rPr>
                <w:sz w:val="24"/>
                <w:szCs w:val="24"/>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b w:val="1"/>
                <w:bCs w:val="1"/>
                <w:color w:val="auto"/>
              </w:rPr>
              <w:t>LIABILITIES AND STOCKHOLDERS’ EQUITY</w:t>
            </w: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CURRENT LIABILITIES:</w:t>
            </w:r>
          </w:p>
        </w:tc>
        <w:tc>
          <w:tcPr>
            <w:tcW w:w="200" w:type="dxa"/>
            <w:vAlign w:val="bottom"/>
            <w:tcBorders>
              <w:bottom w:val="single" w:sz="8" w:color="CCFFCC"/>
            </w:tcBorders>
            <w:shd w:val="clear" w:color="auto" w:fill="CCFFCC"/>
          </w:tcPr>
          <w:p>
            <w:pPr>
              <w:spacing w:after="0"/>
              <w:rPr>
                <w:sz w:val="21"/>
                <w:szCs w:val="21"/>
                <w:color w:val="auto"/>
              </w:rPr>
            </w:pPr>
          </w:p>
        </w:tc>
        <w:tc>
          <w:tcPr>
            <w:tcW w:w="130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spacing w:after="0"/>
              <w:rPr>
                <w:sz w:val="21"/>
                <w:szCs w:val="2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Accounts payable</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5,768</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7,102</w:t>
            </w:r>
          </w:p>
        </w:tc>
      </w:tr>
      <w:tr>
        <w:trPr>
          <w:trHeight w:val="33"/>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Accrued expenses and other current liabilities</w:t>
            </w:r>
          </w:p>
        </w:tc>
        <w:tc>
          <w:tcPr>
            <w:tcW w:w="200" w:type="dxa"/>
            <w:vAlign w:val="bottom"/>
            <w:tcBorders>
              <w:bottom w:val="single" w:sz="8" w:color="CCFFCC"/>
            </w:tcBorders>
            <w:shd w:val="clear" w:color="auto" w:fill="CCFFCC"/>
          </w:tcPr>
          <w:p>
            <w:pPr>
              <w:spacing w:after="0"/>
              <w:rPr>
                <w:sz w:val="21"/>
                <w:szCs w:val="21"/>
                <w:color w:val="auto"/>
              </w:rPr>
            </w:pPr>
          </w:p>
        </w:tc>
        <w:tc>
          <w:tcPr>
            <w:tcW w:w="130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32,601</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34,296</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Deferred revenue</w:t>
            </w:r>
          </w:p>
        </w:tc>
        <w:tc>
          <w:tcPr>
            <w:tcW w:w="200" w:type="dxa"/>
            <w:vAlign w:val="bottom"/>
          </w:tcPr>
          <w:p>
            <w:pPr>
              <w:spacing w:after="0"/>
              <w:rPr>
                <w:sz w:val="20"/>
                <w:szCs w:val="20"/>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26,454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13,862</w:t>
            </w:r>
          </w:p>
        </w:tc>
      </w:tr>
      <w:tr>
        <w:trPr>
          <w:trHeight w:val="33"/>
        </w:trPr>
        <w:tc>
          <w:tcPr>
            <w:tcW w:w="834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Total current liabilities</w:t>
            </w:r>
          </w:p>
        </w:tc>
        <w:tc>
          <w:tcPr>
            <w:tcW w:w="200" w:type="dxa"/>
            <w:vAlign w:val="bottom"/>
            <w:tcBorders>
              <w:bottom w:val="single" w:sz="8" w:color="CCFFCC"/>
            </w:tcBorders>
            <w:shd w:val="clear" w:color="auto" w:fill="CCFFCC"/>
          </w:tcPr>
          <w:p>
            <w:pPr>
              <w:spacing w:after="0"/>
              <w:rPr>
                <w:sz w:val="20"/>
                <w:szCs w:val="20"/>
                <w:color w:val="auto"/>
              </w:rPr>
            </w:pPr>
          </w:p>
        </w:tc>
        <w:tc>
          <w:tcPr>
            <w:tcW w:w="130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64,823</w:t>
            </w:r>
          </w:p>
        </w:tc>
        <w:tc>
          <w:tcPr>
            <w:tcW w:w="120" w:type="dxa"/>
            <w:vAlign w:val="bottom"/>
            <w:tcBorders>
              <w:bottom w:val="single" w:sz="8" w:color="CCFFCC"/>
            </w:tcBorders>
            <w:shd w:val="clear" w:color="auto" w:fill="CCFFCC"/>
          </w:tcPr>
          <w:p>
            <w:pPr>
              <w:spacing w:after="0"/>
              <w:rPr>
                <w:sz w:val="20"/>
                <w:szCs w:val="20"/>
                <w:color w:val="auto"/>
              </w:rPr>
            </w:pPr>
          </w:p>
        </w:tc>
        <w:tc>
          <w:tcPr>
            <w:tcW w:w="200" w:type="dxa"/>
            <w:vAlign w:val="bottom"/>
            <w:tcBorders>
              <w:bottom w:val="single" w:sz="8" w:color="CCFFCC"/>
            </w:tcBorders>
            <w:shd w:val="clear" w:color="auto" w:fill="CCFFCC"/>
          </w:tcPr>
          <w:p>
            <w:pPr>
              <w:spacing w:after="0"/>
              <w:rPr>
                <w:sz w:val="20"/>
                <w:szCs w:val="20"/>
                <w:color w:val="auto"/>
              </w:rPr>
            </w:pPr>
          </w:p>
        </w:tc>
        <w:tc>
          <w:tcPr>
            <w:tcW w:w="126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55,260</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Other liabilities</w:t>
            </w:r>
          </w:p>
        </w:tc>
        <w:tc>
          <w:tcPr>
            <w:tcW w:w="200" w:type="dxa"/>
            <w:vAlign w:val="bottom"/>
          </w:tcPr>
          <w:p>
            <w:pPr>
              <w:spacing w:after="0"/>
              <w:rPr>
                <w:sz w:val="20"/>
                <w:szCs w:val="20"/>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3,254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3,270</w:t>
            </w:r>
          </w:p>
        </w:tc>
      </w:tr>
      <w:tr>
        <w:trPr>
          <w:trHeight w:val="33"/>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Deferred tax liability</w:t>
            </w:r>
          </w:p>
        </w:tc>
        <w:tc>
          <w:tcPr>
            <w:tcW w:w="200" w:type="dxa"/>
            <w:vAlign w:val="bottom"/>
            <w:tcBorders>
              <w:bottom w:val="single" w:sz="8" w:color="CCFFCC"/>
            </w:tcBorders>
            <w:shd w:val="clear" w:color="auto" w:fill="CCFFCC"/>
          </w:tcPr>
          <w:p>
            <w:pPr>
              <w:spacing w:after="0"/>
              <w:rPr>
                <w:sz w:val="23"/>
                <w:szCs w:val="23"/>
                <w:color w:val="auto"/>
              </w:rPr>
            </w:pPr>
          </w:p>
        </w:tc>
        <w:tc>
          <w:tcPr>
            <w:tcW w:w="130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4,236</w:t>
            </w:r>
          </w:p>
        </w:tc>
        <w:tc>
          <w:tcPr>
            <w:tcW w:w="120" w:type="dxa"/>
            <w:vAlign w:val="bottom"/>
            <w:tcBorders>
              <w:bottom w:val="single" w:sz="8" w:color="CCFFCC"/>
            </w:tcBorders>
            <w:shd w:val="clear" w:color="auto" w:fill="CCFFCC"/>
          </w:tcPr>
          <w:p>
            <w:pPr>
              <w:spacing w:after="0"/>
              <w:rPr>
                <w:sz w:val="23"/>
                <w:szCs w:val="23"/>
                <w:color w:val="auto"/>
              </w:rPr>
            </w:pPr>
          </w:p>
        </w:tc>
        <w:tc>
          <w:tcPr>
            <w:tcW w:w="200" w:type="dxa"/>
            <w:vAlign w:val="bottom"/>
            <w:tcBorders>
              <w:bottom w:val="single" w:sz="8" w:color="CCFFCC"/>
            </w:tcBorders>
            <w:shd w:val="clear" w:color="auto" w:fill="CCFFCC"/>
          </w:tcPr>
          <w:p>
            <w:pPr>
              <w:spacing w:after="0"/>
              <w:rPr>
                <w:sz w:val="23"/>
                <w:szCs w:val="23"/>
                <w:color w:val="auto"/>
              </w:rPr>
            </w:pPr>
          </w:p>
        </w:tc>
        <w:tc>
          <w:tcPr>
            <w:tcW w:w="126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2,359</w:t>
            </w:r>
          </w:p>
        </w:tc>
      </w:tr>
      <w:tr>
        <w:trPr>
          <w:trHeight w:val="217"/>
        </w:trPr>
        <w:tc>
          <w:tcPr>
            <w:tcW w:w="8340" w:type="dxa"/>
            <w:vAlign w:val="bottom"/>
          </w:tcPr>
          <w:p>
            <w:pPr>
              <w:ind w:left="280"/>
              <w:spacing w:after="0"/>
              <w:rPr>
                <w:sz w:val="20"/>
                <w:szCs w:val="20"/>
                <w:color w:val="auto"/>
              </w:rPr>
            </w:pPr>
            <w:r>
              <w:rPr>
                <w:rFonts w:ascii="Arial" w:cs="Arial" w:eastAsia="Arial" w:hAnsi="Arial"/>
                <w:sz w:val="16"/>
                <w:szCs w:val="16"/>
                <w:color w:val="auto"/>
              </w:rPr>
              <w:t>Total liabilities</w:t>
            </w: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72,313</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60,889</w:t>
            </w:r>
          </w:p>
        </w:tc>
      </w:tr>
      <w:tr>
        <w:trPr>
          <w:trHeight w:val="33"/>
        </w:trPr>
        <w:tc>
          <w:tcPr>
            <w:tcW w:w="834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318"/>
        </w:trPr>
        <w:tc>
          <w:tcPr>
            <w:tcW w:w="8340" w:type="dxa"/>
            <w:vAlign w:val="bottom"/>
            <w:shd w:val="clear" w:color="auto" w:fill="CCFFCC"/>
          </w:tcPr>
          <w:p>
            <w:pPr>
              <w:spacing w:after="0"/>
              <w:rPr>
                <w:sz w:val="24"/>
                <w:szCs w:val="24"/>
                <w:color w:val="auto"/>
              </w:rPr>
            </w:pPr>
          </w:p>
        </w:tc>
        <w:tc>
          <w:tcPr>
            <w:tcW w:w="200" w:type="dxa"/>
            <w:vAlign w:val="bottom"/>
            <w:shd w:val="clear" w:color="auto" w:fill="CCFFCC"/>
          </w:tcPr>
          <w:p>
            <w:pPr>
              <w:spacing w:after="0"/>
              <w:rPr>
                <w:sz w:val="24"/>
                <w:szCs w:val="24"/>
                <w:color w:val="auto"/>
              </w:rPr>
            </w:pPr>
          </w:p>
        </w:tc>
        <w:tc>
          <w:tcPr>
            <w:tcW w:w="130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200" w:type="dxa"/>
            <w:vAlign w:val="bottom"/>
            <w:shd w:val="clear" w:color="auto" w:fill="CCFFCC"/>
          </w:tcPr>
          <w:p>
            <w:pPr>
              <w:spacing w:after="0"/>
              <w:rPr>
                <w:sz w:val="24"/>
                <w:szCs w:val="24"/>
                <w:color w:val="auto"/>
              </w:rPr>
            </w:pPr>
          </w:p>
        </w:tc>
        <w:tc>
          <w:tcPr>
            <w:tcW w:w="1260" w:type="dxa"/>
            <w:vAlign w:val="bottom"/>
            <w:shd w:val="clear" w:color="auto" w:fill="CCFFCC"/>
          </w:tcPr>
          <w:p>
            <w:pPr>
              <w:spacing w:after="0"/>
              <w:rPr>
                <w:sz w:val="24"/>
                <w:szCs w:val="24"/>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Commitments and contingencies</w:t>
            </w: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STOCKHOLDERS’ EQUITY:</w:t>
            </w:r>
          </w:p>
        </w:tc>
        <w:tc>
          <w:tcPr>
            <w:tcW w:w="200" w:type="dxa"/>
            <w:vAlign w:val="bottom"/>
            <w:tcBorders>
              <w:bottom w:val="single" w:sz="8" w:color="CCFFCC"/>
            </w:tcBorders>
            <w:shd w:val="clear" w:color="auto" w:fill="CCFFCC"/>
          </w:tcPr>
          <w:p>
            <w:pPr>
              <w:spacing w:after="0"/>
              <w:rPr>
                <w:sz w:val="21"/>
                <w:szCs w:val="21"/>
                <w:color w:val="auto"/>
              </w:rPr>
            </w:pPr>
          </w:p>
        </w:tc>
        <w:tc>
          <w:tcPr>
            <w:tcW w:w="130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spacing w:after="0"/>
              <w:rPr>
                <w:sz w:val="21"/>
                <w:szCs w:val="2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Common stock</w:t>
            </w:r>
          </w:p>
        </w:tc>
        <w:tc>
          <w:tcPr>
            <w:tcW w:w="200" w:type="dxa"/>
            <w:vAlign w:val="bottom"/>
          </w:tcPr>
          <w:p>
            <w:pPr>
              <w:spacing w:after="0"/>
              <w:rPr>
                <w:sz w:val="20"/>
                <w:szCs w:val="20"/>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58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57</w:t>
            </w:r>
          </w:p>
        </w:tc>
      </w:tr>
      <w:tr>
        <w:trPr>
          <w:trHeight w:val="33"/>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Additional paid-in capital</w:t>
            </w:r>
          </w:p>
        </w:tc>
        <w:tc>
          <w:tcPr>
            <w:tcW w:w="200" w:type="dxa"/>
            <w:vAlign w:val="bottom"/>
            <w:tcBorders>
              <w:bottom w:val="single" w:sz="8" w:color="CCFFCC"/>
            </w:tcBorders>
            <w:shd w:val="clear" w:color="auto" w:fill="CCFFCC"/>
          </w:tcPr>
          <w:p>
            <w:pPr>
              <w:spacing w:after="0"/>
              <w:rPr>
                <w:sz w:val="21"/>
                <w:szCs w:val="21"/>
                <w:color w:val="auto"/>
              </w:rPr>
            </w:pPr>
          </w:p>
        </w:tc>
        <w:tc>
          <w:tcPr>
            <w:tcW w:w="130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289,907</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286,856</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Treasury stock</w:t>
            </w: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33"/>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Accumulated deficit</w:t>
            </w:r>
          </w:p>
        </w:tc>
        <w:tc>
          <w:tcPr>
            <w:tcW w:w="200" w:type="dxa"/>
            <w:vAlign w:val="bottom"/>
            <w:tcBorders>
              <w:bottom w:val="single" w:sz="8" w:color="CCFFCC"/>
            </w:tcBorders>
            <w:shd w:val="clear" w:color="auto" w:fill="CCFFCC"/>
          </w:tcPr>
          <w:p>
            <w:pPr>
              <w:spacing w:after="0"/>
              <w:rPr>
                <w:sz w:val="21"/>
                <w:szCs w:val="21"/>
                <w:color w:val="auto"/>
              </w:rPr>
            </w:pPr>
          </w:p>
        </w:tc>
        <w:tc>
          <w:tcPr>
            <w:tcW w:w="13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(135,379)</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(119,071)</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Accumulated other comprehensive loss</w:t>
            </w: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(3,186)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(2,536)</w:t>
            </w:r>
          </w:p>
        </w:tc>
      </w:tr>
      <w:tr>
        <w:trPr>
          <w:trHeight w:val="33"/>
        </w:trPr>
        <w:tc>
          <w:tcPr>
            <w:tcW w:w="834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834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Total stockholders’ equity</w:t>
            </w:r>
          </w:p>
        </w:tc>
        <w:tc>
          <w:tcPr>
            <w:tcW w:w="200" w:type="dxa"/>
            <w:vAlign w:val="bottom"/>
            <w:tcBorders>
              <w:bottom w:val="single" w:sz="8" w:color="CCFFCC"/>
            </w:tcBorders>
            <w:shd w:val="clear" w:color="auto" w:fill="CCFFCC"/>
          </w:tcPr>
          <w:p>
            <w:pPr>
              <w:spacing w:after="0"/>
              <w:rPr>
                <w:sz w:val="21"/>
                <w:szCs w:val="21"/>
                <w:color w:val="auto"/>
              </w:rPr>
            </w:pPr>
          </w:p>
        </w:tc>
        <w:tc>
          <w:tcPr>
            <w:tcW w:w="130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151,398</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165,305</w:t>
            </w:r>
          </w:p>
        </w:tc>
      </w:tr>
      <w:tr>
        <w:trPr>
          <w:trHeight w:val="244"/>
        </w:trPr>
        <w:tc>
          <w:tcPr>
            <w:tcW w:w="8340" w:type="dxa"/>
            <w:vAlign w:val="bottom"/>
          </w:tcPr>
          <w:p>
            <w:pPr>
              <w:ind w:left="280"/>
              <w:spacing w:after="0"/>
              <w:rPr>
                <w:sz w:val="20"/>
                <w:szCs w:val="20"/>
                <w:color w:val="auto"/>
              </w:rPr>
            </w:pPr>
            <w:r>
              <w:rPr>
                <w:rFonts w:ascii="Arial" w:cs="Arial" w:eastAsia="Arial" w:hAnsi="Arial"/>
                <w:sz w:val="16"/>
                <w:szCs w:val="16"/>
                <w:color w:val="auto"/>
              </w:rPr>
              <w:t>Total liabilities and stockholders’ equity</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223,711</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226,194</w:t>
            </w:r>
          </w:p>
        </w:tc>
      </w:tr>
      <w:tr>
        <w:trPr>
          <w:trHeight w:val="20"/>
        </w:trPr>
        <w:tc>
          <w:tcPr>
            <w:tcW w:w="8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 (unaudited).</w:t>
      </w:r>
    </w:p>
    <w:p>
      <w:pPr>
        <w:sectPr>
          <w:pgSz w:w="11900" w:h="16838" w:orient="portrait"/>
          <w:cols w:equalWidth="0" w:num="1">
            <w:col w:w="11420"/>
          </w:cols>
          <w:pgMar w:left="240" w:top="580"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580" w:right="23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60" w:type="dxa"/>
            <w:vAlign w:val="bottom"/>
            <w:gridSpan w:val="4"/>
          </w:tcPr>
          <w:p>
            <w:pPr>
              <w:jc w:val="right"/>
              <w:ind w:right="402"/>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00" w:type="dxa"/>
            <w:vAlign w:val="bottom"/>
            <w:gridSpan w:val="4"/>
          </w:tcPr>
          <w:p>
            <w:pPr>
              <w:jc w:val="right"/>
              <w:ind w:right="402"/>
              <w:spacing w:after="0"/>
              <w:rPr>
                <w:sz w:val="20"/>
                <w:szCs w:val="20"/>
                <w:color w:val="auto"/>
              </w:rPr>
            </w:pPr>
            <w:r>
              <w:rPr>
                <w:rFonts w:ascii="Arial" w:cs="Arial" w:eastAsia="Arial" w:hAnsi="Arial"/>
                <w:sz w:val="14"/>
                <w:szCs w:val="14"/>
                <w:b w:val="1"/>
                <w:bCs w:val="1"/>
                <w:color w:val="auto"/>
              </w:rPr>
              <w:t>Nine Months Ended</w:t>
            </w:r>
          </w:p>
        </w:tc>
        <w:tc>
          <w:tcPr>
            <w:tcW w:w="340" w:type="dxa"/>
            <w:vAlign w:val="bottom"/>
          </w:tcPr>
          <w:p>
            <w:pPr>
              <w:spacing w:after="0"/>
              <w:rPr>
                <w:sz w:val="16"/>
                <w:szCs w:val="16"/>
                <w:color w:val="auto"/>
              </w:rPr>
            </w:pPr>
          </w:p>
        </w:tc>
      </w:tr>
      <w:tr>
        <w:trPr>
          <w:trHeight w:val="276"/>
        </w:trPr>
        <w:tc>
          <w:tcPr>
            <w:tcW w:w="62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4"/>
          </w:tcPr>
          <w:p>
            <w:pPr>
              <w:jc w:val="right"/>
              <w:ind w:right="622"/>
              <w:spacing w:after="0"/>
              <w:rPr>
                <w:sz w:val="20"/>
                <w:szCs w:val="20"/>
                <w:color w:val="auto"/>
              </w:rPr>
            </w:pPr>
            <w:r>
              <w:rPr>
                <w:rFonts w:ascii="Arial" w:cs="Arial" w:eastAsia="Arial" w:hAnsi="Arial"/>
                <w:sz w:val="14"/>
                <w:szCs w:val="14"/>
                <w:b w:val="1"/>
                <w:bCs w:val="1"/>
                <w:color w:val="auto"/>
              </w:rPr>
              <w:t>September 30,</w:t>
            </w:r>
          </w:p>
        </w:tc>
        <w:tc>
          <w:tcPr>
            <w:tcW w:w="3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4"/>
          </w:tcPr>
          <w:p>
            <w:pPr>
              <w:jc w:val="right"/>
              <w:ind w:right="582"/>
              <w:spacing w:after="0"/>
              <w:rPr>
                <w:sz w:val="20"/>
                <w:szCs w:val="20"/>
                <w:color w:val="auto"/>
              </w:rPr>
            </w:pPr>
            <w:r>
              <w:rPr>
                <w:rFonts w:ascii="Arial" w:cs="Arial" w:eastAsia="Arial" w:hAnsi="Arial"/>
                <w:sz w:val="14"/>
                <w:szCs w:val="14"/>
                <w:b w:val="1"/>
                <w:bCs w:val="1"/>
                <w:color w:val="auto"/>
              </w:rPr>
              <w:t>September 30,</w:t>
            </w:r>
          </w:p>
        </w:tc>
        <w:tc>
          <w:tcPr>
            <w:tcW w:w="340" w:type="dxa"/>
            <w:vAlign w:val="bottom"/>
          </w:tcPr>
          <w:p>
            <w:pPr>
              <w:spacing w:after="0"/>
              <w:rPr>
                <w:sz w:val="24"/>
                <w:szCs w:val="24"/>
                <w:color w:val="auto"/>
              </w:rPr>
            </w:pPr>
          </w:p>
        </w:tc>
      </w:tr>
      <w:tr>
        <w:trPr>
          <w:trHeight w:val="264"/>
        </w:trPr>
        <w:tc>
          <w:tcPr>
            <w:tcW w:w="6200" w:type="dxa"/>
            <w:vAlign w:val="bottom"/>
            <w:tcBorders>
              <w:bottom w:val="single" w:sz="8" w:color="CCFFCC"/>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0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FFCC"/>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2015</w:t>
            </w:r>
          </w:p>
        </w:tc>
        <w:tc>
          <w:tcPr>
            <w:tcW w:w="340" w:type="dxa"/>
            <w:vAlign w:val="bottom"/>
            <w:tcBorders>
              <w:bottom w:val="single" w:sz="8" w:color="CCFFCC"/>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8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FFCC"/>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2015</w:t>
            </w:r>
          </w:p>
        </w:tc>
        <w:tc>
          <w:tcPr>
            <w:tcW w:w="340" w:type="dxa"/>
            <w:vAlign w:val="bottom"/>
            <w:tcBorders>
              <w:bottom w:val="single" w:sz="8" w:color="CCFFCC"/>
            </w:tcBorders>
          </w:tcPr>
          <w:p>
            <w:pPr>
              <w:spacing w:after="0"/>
              <w:rPr>
                <w:sz w:val="22"/>
                <w:szCs w:val="22"/>
                <w:color w:val="auto"/>
              </w:rPr>
            </w:pPr>
          </w:p>
        </w:tc>
      </w:tr>
      <w:tr>
        <w:trPr>
          <w:trHeight w:val="256"/>
        </w:trPr>
        <w:tc>
          <w:tcPr>
            <w:tcW w:w="620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Revenue</w:t>
            </w:r>
          </w:p>
        </w:tc>
        <w:tc>
          <w:tcPr>
            <w:tcW w:w="14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FFCC"/>
            </w:tcBorders>
            <w:shd w:val="clear" w:color="auto" w:fill="CCFFCC"/>
          </w:tcPr>
          <w:p>
            <w:pPr>
              <w:jc w:val="right"/>
              <w:ind w:right="43"/>
              <w:spacing w:after="0"/>
              <w:rPr>
                <w:sz w:val="20"/>
                <w:szCs w:val="20"/>
                <w:color w:val="auto"/>
              </w:rPr>
            </w:pPr>
            <w:r>
              <w:rPr>
                <w:rFonts w:ascii="Arial" w:cs="Arial" w:eastAsia="Arial" w:hAnsi="Arial"/>
                <w:sz w:val="16"/>
                <w:szCs w:val="16"/>
                <w:color w:val="auto"/>
              </w:rPr>
              <w:t>54,518</w:t>
            </w:r>
          </w:p>
        </w:tc>
        <w:tc>
          <w:tcPr>
            <w:tcW w:w="120" w:type="dxa"/>
            <w:vAlign w:val="bottom"/>
            <w:tcBorders>
              <w:bottom w:val="single" w:sz="8" w:color="CCFFCC"/>
            </w:tcBorders>
            <w:shd w:val="clear" w:color="auto" w:fill="CCFFCC"/>
          </w:tcPr>
          <w:p>
            <w:pPr>
              <w:spacing w:after="0"/>
              <w:rPr>
                <w:sz w:val="22"/>
                <w:szCs w:val="22"/>
                <w:color w:val="auto"/>
              </w:rPr>
            </w:pPr>
          </w:p>
        </w:tc>
        <w:tc>
          <w:tcPr>
            <w:tcW w:w="22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FFCC"/>
            </w:tcBorders>
            <w:shd w:val="clear" w:color="auto" w:fill="CCFFCC"/>
          </w:tcPr>
          <w:p>
            <w:pPr>
              <w:jc w:val="right"/>
              <w:ind w:right="22"/>
              <w:spacing w:after="0"/>
              <w:rPr>
                <w:sz w:val="20"/>
                <w:szCs w:val="20"/>
                <w:color w:val="auto"/>
              </w:rPr>
            </w:pPr>
            <w:r>
              <w:rPr>
                <w:rFonts w:ascii="Arial" w:cs="Arial" w:eastAsia="Arial" w:hAnsi="Arial"/>
                <w:sz w:val="16"/>
                <w:szCs w:val="16"/>
                <w:color w:val="auto"/>
              </w:rPr>
              <w:t>60,757</w:t>
            </w:r>
          </w:p>
        </w:tc>
        <w:tc>
          <w:tcPr>
            <w:tcW w:w="340" w:type="dxa"/>
            <w:vAlign w:val="bottom"/>
            <w:tcBorders>
              <w:bottom w:val="single" w:sz="8" w:color="CCFFCC"/>
            </w:tcBorders>
            <w:shd w:val="clear" w:color="auto" w:fill="CCFFCC"/>
          </w:tcPr>
          <w:p>
            <w:pPr>
              <w:spacing w:after="0"/>
              <w:rPr>
                <w:sz w:val="22"/>
                <w:szCs w:val="22"/>
                <w:color w:val="auto"/>
              </w:rPr>
            </w:pPr>
          </w:p>
        </w:tc>
        <w:tc>
          <w:tcPr>
            <w:tcW w:w="14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FFCC"/>
            </w:tcBorders>
            <w:shd w:val="clear" w:color="auto" w:fill="CCFFCC"/>
          </w:tcPr>
          <w:p>
            <w:pPr>
              <w:jc w:val="right"/>
              <w:ind w:right="43"/>
              <w:spacing w:after="0"/>
              <w:rPr>
                <w:sz w:val="20"/>
                <w:szCs w:val="20"/>
                <w:color w:val="auto"/>
              </w:rPr>
            </w:pPr>
            <w:r>
              <w:rPr>
                <w:rFonts w:ascii="Arial" w:cs="Arial" w:eastAsia="Arial" w:hAnsi="Arial"/>
                <w:sz w:val="16"/>
                <w:szCs w:val="16"/>
                <w:color w:val="auto"/>
              </w:rPr>
              <w:t>166,662</w:t>
            </w:r>
          </w:p>
        </w:tc>
        <w:tc>
          <w:tcPr>
            <w:tcW w:w="100" w:type="dxa"/>
            <w:vAlign w:val="bottom"/>
            <w:tcBorders>
              <w:bottom w:val="single" w:sz="8" w:color="CCFFCC"/>
            </w:tcBorders>
            <w:shd w:val="clear" w:color="auto" w:fill="CCFFCC"/>
          </w:tcPr>
          <w:p>
            <w:pPr>
              <w:spacing w:after="0"/>
              <w:rPr>
                <w:sz w:val="22"/>
                <w:szCs w:val="22"/>
                <w:color w:val="auto"/>
              </w:rPr>
            </w:pPr>
          </w:p>
        </w:tc>
        <w:tc>
          <w:tcPr>
            <w:tcW w:w="20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FFCC"/>
            </w:tcBorders>
            <w:shd w:val="clear" w:color="auto" w:fill="CCFFCC"/>
          </w:tcPr>
          <w:p>
            <w:pPr>
              <w:jc w:val="right"/>
              <w:ind w:right="22"/>
              <w:spacing w:after="0"/>
              <w:rPr>
                <w:sz w:val="20"/>
                <w:szCs w:val="20"/>
                <w:color w:val="auto"/>
              </w:rPr>
            </w:pPr>
            <w:r>
              <w:rPr>
                <w:rFonts w:ascii="Arial" w:cs="Arial" w:eastAsia="Arial" w:hAnsi="Arial"/>
                <w:sz w:val="16"/>
                <w:szCs w:val="16"/>
                <w:color w:val="auto"/>
              </w:rPr>
              <w:t>179,861</w:t>
            </w:r>
          </w:p>
        </w:tc>
        <w:tc>
          <w:tcPr>
            <w:tcW w:w="340" w:type="dxa"/>
            <w:vAlign w:val="bottom"/>
            <w:tcBorders>
              <w:bottom w:val="single" w:sz="8" w:color="CCFFCC"/>
            </w:tcBorders>
            <w:shd w:val="clear" w:color="auto" w:fill="CCFFCC"/>
          </w:tcPr>
          <w:p>
            <w:pPr>
              <w:spacing w:after="0"/>
              <w:rPr>
                <w:sz w:val="22"/>
                <w:szCs w:val="22"/>
                <w:color w:val="auto"/>
              </w:rPr>
            </w:pPr>
          </w:p>
        </w:tc>
      </w:tr>
      <w:tr>
        <w:trPr>
          <w:trHeight w:val="264"/>
        </w:trPr>
        <w:tc>
          <w:tcPr>
            <w:tcW w:w="6200" w:type="dxa"/>
            <w:vAlign w:val="bottom"/>
          </w:tcPr>
          <w:p>
            <w:pPr>
              <w:ind w:left="40"/>
              <w:spacing w:after="0"/>
              <w:rPr>
                <w:sz w:val="20"/>
                <w:szCs w:val="20"/>
                <w:color w:val="auto"/>
              </w:rPr>
            </w:pPr>
            <w:r>
              <w:rPr>
                <w:rFonts w:ascii="Arial" w:cs="Arial" w:eastAsia="Arial" w:hAnsi="Arial"/>
                <w:sz w:val="16"/>
                <w:szCs w:val="16"/>
                <w:color w:val="auto"/>
              </w:rPr>
              <w:t xml:space="preserve">Costs and expenses </w:t>
            </w:r>
            <w:r>
              <w:rPr>
                <w:rFonts w:ascii="Arial" w:cs="Arial" w:eastAsia="Arial" w:hAnsi="Arial"/>
                <w:sz w:val="21"/>
                <w:szCs w:val="21"/>
                <w:color w:val="auto"/>
                <w:vertAlign w:val="superscript"/>
              </w:rPr>
              <w:t>(1) (2)</w:t>
            </w:r>
          </w:p>
        </w:tc>
        <w:tc>
          <w:tcPr>
            <w:tcW w:w="14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34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340" w:type="dxa"/>
            <w:vAlign w:val="bottom"/>
          </w:tcPr>
          <w:p>
            <w:pPr>
              <w:spacing w:after="0"/>
              <w:rPr>
                <w:sz w:val="22"/>
                <w:szCs w:val="22"/>
                <w:color w:val="auto"/>
              </w:rPr>
            </w:pPr>
          </w:p>
        </w:tc>
      </w:tr>
      <w:tr>
        <w:trPr>
          <w:trHeight w:val="270"/>
        </w:trPr>
        <w:tc>
          <w:tcPr>
            <w:tcW w:w="6200" w:type="dxa"/>
            <w:vAlign w:val="bottom"/>
            <w:shd w:val="clear" w:color="auto" w:fill="CCFFCC"/>
          </w:tcPr>
          <w:p>
            <w:pPr>
              <w:ind w:left="180"/>
              <w:spacing w:after="0"/>
              <w:rPr>
                <w:sz w:val="20"/>
                <w:szCs w:val="20"/>
                <w:color w:val="auto"/>
              </w:rPr>
            </w:pPr>
            <w:r>
              <w:rPr>
                <w:rFonts w:ascii="Arial" w:cs="Arial" w:eastAsia="Arial" w:hAnsi="Arial"/>
                <w:sz w:val="16"/>
                <w:szCs w:val="16"/>
                <w:color w:val="auto"/>
              </w:rPr>
              <w:t xml:space="preserve">Cost of revenue </w:t>
            </w:r>
            <w:r>
              <w:rPr>
                <w:rFonts w:ascii="Arial" w:cs="Arial" w:eastAsia="Arial" w:hAnsi="Arial"/>
                <w:sz w:val="21"/>
                <w:szCs w:val="21"/>
                <w:color w:val="auto"/>
                <w:vertAlign w:val="superscript"/>
              </w:rPr>
              <w:t>(3)</w:t>
            </w:r>
          </w:p>
        </w:tc>
        <w:tc>
          <w:tcPr>
            <w:tcW w:w="140" w:type="dxa"/>
            <w:vAlign w:val="bottom"/>
            <w:shd w:val="clear" w:color="auto" w:fill="CCFFCC"/>
          </w:tcPr>
          <w:p>
            <w:pPr>
              <w:spacing w:after="0"/>
              <w:rPr>
                <w:sz w:val="23"/>
                <w:szCs w:val="23"/>
                <w:color w:val="auto"/>
              </w:rPr>
            </w:pPr>
          </w:p>
        </w:tc>
        <w:tc>
          <w:tcPr>
            <w:tcW w:w="900" w:type="dxa"/>
            <w:vAlign w:val="bottom"/>
            <w:shd w:val="clear" w:color="auto" w:fill="CCFFCC"/>
          </w:tcPr>
          <w:p>
            <w:pPr>
              <w:jc w:val="right"/>
              <w:ind w:right="43"/>
              <w:spacing w:after="0"/>
              <w:rPr>
                <w:sz w:val="20"/>
                <w:szCs w:val="20"/>
                <w:color w:val="auto"/>
              </w:rPr>
            </w:pPr>
            <w:r>
              <w:rPr>
                <w:rFonts w:ascii="Arial" w:cs="Arial" w:eastAsia="Arial" w:hAnsi="Arial"/>
                <w:sz w:val="16"/>
                <w:szCs w:val="16"/>
                <w:color w:val="auto"/>
              </w:rPr>
              <w:t>14,837</w:t>
            </w:r>
          </w:p>
        </w:tc>
        <w:tc>
          <w:tcPr>
            <w:tcW w:w="120" w:type="dxa"/>
            <w:vAlign w:val="bottom"/>
            <w:shd w:val="clear" w:color="auto" w:fill="CCFFCC"/>
          </w:tcPr>
          <w:p>
            <w:pPr>
              <w:spacing w:after="0"/>
              <w:rPr>
                <w:sz w:val="23"/>
                <w:szCs w:val="23"/>
                <w:color w:val="auto"/>
              </w:rPr>
            </w:pPr>
          </w:p>
        </w:tc>
        <w:tc>
          <w:tcPr>
            <w:tcW w:w="220" w:type="dxa"/>
            <w:vAlign w:val="bottom"/>
            <w:shd w:val="clear" w:color="auto" w:fill="CCFFCC"/>
          </w:tcPr>
          <w:p>
            <w:pPr>
              <w:spacing w:after="0"/>
              <w:rPr>
                <w:sz w:val="23"/>
                <w:szCs w:val="23"/>
                <w:color w:val="auto"/>
              </w:rPr>
            </w:pPr>
          </w:p>
        </w:tc>
        <w:tc>
          <w:tcPr>
            <w:tcW w:w="920" w:type="dxa"/>
            <w:vAlign w:val="bottom"/>
            <w:shd w:val="clear" w:color="auto" w:fill="CCFFCC"/>
          </w:tcPr>
          <w:p>
            <w:pPr>
              <w:jc w:val="right"/>
              <w:ind w:right="22"/>
              <w:spacing w:after="0"/>
              <w:rPr>
                <w:sz w:val="20"/>
                <w:szCs w:val="20"/>
                <w:color w:val="auto"/>
              </w:rPr>
            </w:pPr>
            <w:r>
              <w:rPr>
                <w:rFonts w:ascii="Arial" w:cs="Arial" w:eastAsia="Arial" w:hAnsi="Arial"/>
                <w:sz w:val="16"/>
                <w:szCs w:val="16"/>
                <w:color w:val="auto"/>
              </w:rPr>
              <w:t>18,225</w:t>
            </w:r>
          </w:p>
        </w:tc>
        <w:tc>
          <w:tcPr>
            <w:tcW w:w="340" w:type="dxa"/>
            <w:vAlign w:val="bottom"/>
            <w:shd w:val="clear" w:color="auto" w:fill="CCFFCC"/>
          </w:tcPr>
          <w:p>
            <w:pPr>
              <w:jc w:val="right"/>
              <w:ind w:right="126"/>
              <w:spacing w:after="0"/>
              <w:rPr>
                <w:sz w:val="20"/>
                <w:szCs w:val="20"/>
                <w:color w:val="auto"/>
              </w:rPr>
            </w:pPr>
            <w:r>
              <w:rPr>
                <w:rFonts w:ascii="Arial" w:cs="Arial" w:eastAsia="Arial" w:hAnsi="Arial"/>
                <w:sz w:val="11"/>
                <w:szCs w:val="11"/>
                <w:color w:val="auto"/>
              </w:rPr>
              <w:t>(4)</w:t>
            </w:r>
          </w:p>
        </w:tc>
        <w:tc>
          <w:tcPr>
            <w:tcW w:w="140" w:type="dxa"/>
            <w:vAlign w:val="bottom"/>
            <w:shd w:val="clear" w:color="auto" w:fill="CCFFCC"/>
          </w:tcPr>
          <w:p>
            <w:pPr>
              <w:spacing w:after="0"/>
              <w:rPr>
                <w:sz w:val="23"/>
                <w:szCs w:val="23"/>
                <w:color w:val="auto"/>
              </w:rPr>
            </w:pPr>
          </w:p>
        </w:tc>
        <w:tc>
          <w:tcPr>
            <w:tcW w:w="880" w:type="dxa"/>
            <w:vAlign w:val="bottom"/>
            <w:shd w:val="clear" w:color="auto" w:fill="CCFFCC"/>
          </w:tcPr>
          <w:p>
            <w:pPr>
              <w:jc w:val="right"/>
              <w:ind w:right="43"/>
              <w:spacing w:after="0"/>
              <w:rPr>
                <w:sz w:val="20"/>
                <w:szCs w:val="20"/>
                <w:color w:val="auto"/>
              </w:rPr>
            </w:pPr>
            <w:r>
              <w:rPr>
                <w:rFonts w:ascii="Arial" w:cs="Arial" w:eastAsia="Arial" w:hAnsi="Arial"/>
                <w:sz w:val="16"/>
                <w:szCs w:val="16"/>
                <w:color w:val="auto"/>
              </w:rPr>
              <w:t>48,210</w:t>
            </w:r>
          </w:p>
        </w:tc>
        <w:tc>
          <w:tcPr>
            <w:tcW w:w="100" w:type="dxa"/>
            <w:vAlign w:val="bottom"/>
            <w:shd w:val="clear" w:color="auto" w:fill="CCFFCC"/>
          </w:tcPr>
          <w:p>
            <w:pPr>
              <w:spacing w:after="0"/>
              <w:rPr>
                <w:sz w:val="23"/>
                <w:szCs w:val="23"/>
                <w:color w:val="auto"/>
              </w:rPr>
            </w:pPr>
          </w:p>
        </w:tc>
        <w:tc>
          <w:tcPr>
            <w:tcW w:w="200" w:type="dxa"/>
            <w:vAlign w:val="bottom"/>
            <w:shd w:val="clear" w:color="auto" w:fill="CCFFCC"/>
          </w:tcPr>
          <w:p>
            <w:pPr>
              <w:spacing w:after="0"/>
              <w:rPr>
                <w:sz w:val="23"/>
                <w:szCs w:val="23"/>
                <w:color w:val="auto"/>
              </w:rPr>
            </w:pPr>
          </w:p>
        </w:tc>
        <w:tc>
          <w:tcPr>
            <w:tcW w:w="920" w:type="dxa"/>
            <w:vAlign w:val="bottom"/>
            <w:shd w:val="clear" w:color="auto" w:fill="CCFFCC"/>
          </w:tcPr>
          <w:p>
            <w:pPr>
              <w:jc w:val="right"/>
              <w:ind w:right="22"/>
              <w:spacing w:after="0"/>
              <w:rPr>
                <w:sz w:val="20"/>
                <w:szCs w:val="20"/>
                <w:color w:val="auto"/>
              </w:rPr>
            </w:pPr>
            <w:r>
              <w:rPr>
                <w:rFonts w:ascii="Arial" w:cs="Arial" w:eastAsia="Arial" w:hAnsi="Arial"/>
                <w:sz w:val="16"/>
                <w:szCs w:val="16"/>
                <w:color w:val="auto"/>
              </w:rPr>
              <w:t>52,531</w:t>
            </w:r>
          </w:p>
        </w:tc>
        <w:tc>
          <w:tcPr>
            <w:tcW w:w="340" w:type="dxa"/>
            <w:vAlign w:val="bottom"/>
            <w:shd w:val="clear" w:color="auto" w:fill="CCFFCC"/>
          </w:tcPr>
          <w:p>
            <w:pPr>
              <w:jc w:val="right"/>
              <w:ind w:right="126"/>
              <w:spacing w:after="0"/>
              <w:rPr>
                <w:sz w:val="20"/>
                <w:szCs w:val="20"/>
                <w:color w:val="auto"/>
              </w:rPr>
            </w:pPr>
            <w:r>
              <w:rPr>
                <w:rFonts w:ascii="Arial" w:cs="Arial" w:eastAsia="Arial" w:hAnsi="Arial"/>
                <w:sz w:val="11"/>
                <w:szCs w:val="11"/>
                <w:color w:val="auto"/>
              </w:rPr>
              <w:t>(4)</w:t>
            </w:r>
          </w:p>
        </w:tc>
      </w:tr>
      <w:tr>
        <w:trPr>
          <w:trHeight w:val="237"/>
        </w:trPr>
        <w:tc>
          <w:tcPr>
            <w:tcW w:w="6200" w:type="dxa"/>
            <w:vAlign w:val="bottom"/>
          </w:tcPr>
          <w:p>
            <w:pPr>
              <w:ind w:left="180"/>
              <w:spacing w:after="0"/>
              <w:rPr>
                <w:sz w:val="20"/>
                <w:szCs w:val="20"/>
                <w:color w:val="auto"/>
              </w:rPr>
            </w:pPr>
            <w:r>
              <w:rPr>
                <w:rFonts w:ascii="Arial" w:cs="Arial" w:eastAsia="Arial" w:hAnsi="Arial"/>
                <w:sz w:val="16"/>
                <w:szCs w:val="16"/>
                <w:color w:val="auto"/>
              </w:rPr>
              <w:t>Sales and marketing</w:t>
            </w:r>
          </w:p>
        </w:tc>
        <w:tc>
          <w:tcPr>
            <w:tcW w:w="140" w:type="dxa"/>
            <w:vAlign w:val="bottom"/>
          </w:tcPr>
          <w:p>
            <w:pPr>
              <w:spacing w:after="0"/>
              <w:rPr>
                <w:sz w:val="20"/>
                <w:szCs w:val="20"/>
                <w:color w:val="auto"/>
              </w:rPr>
            </w:pPr>
          </w:p>
        </w:tc>
        <w:tc>
          <w:tcPr>
            <w:tcW w:w="900" w:type="dxa"/>
            <w:vAlign w:val="bottom"/>
          </w:tcPr>
          <w:p>
            <w:pPr>
              <w:jc w:val="right"/>
              <w:ind w:right="43"/>
              <w:spacing w:after="0"/>
              <w:rPr>
                <w:sz w:val="20"/>
                <w:szCs w:val="20"/>
                <w:color w:val="auto"/>
              </w:rPr>
            </w:pPr>
            <w:r>
              <w:rPr>
                <w:rFonts w:ascii="Arial" w:cs="Arial" w:eastAsia="Arial" w:hAnsi="Arial"/>
                <w:sz w:val="16"/>
                <w:szCs w:val="16"/>
                <w:color w:val="auto"/>
              </w:rPr>
              <w:t>22,067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22"/>
              <w:spacing w:after="0"/>
              <w:rPr>
                <w:sz w:val="20"/>
                <w:szCs w:val="20"/>
                <w:color w:val="auto"/>
              </w:rPr>
            </w:pPr>
            <w:r>
              <w:rPr>
                <w:rFonts w:ascii="Arial" w:cs="Arial" w:eastAsia="Arial" w:hAnsi="Arial"/>
                <w:sz w:val="16"/>
                <w:szCs w:val="16"/>
                <w:color w:val="auto"/>
              </w:rPr>
              <w:t>23,286</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43"/>
              <w:spacing w:after="0"/>
              <w:rPr>
                <w:sz w:val="20"/>
                <w:szCs w:val="20"/>
                <w:color w:val="auto"/>
              </w:rPr>
            </w:pPr>
            <w:r>
              <w:rPr>
                <w:rFonts w:ascii="Arial" w:cs="Arial" w:eastAsia="Arial" w:hAnsi="Arial"/>
                <w:sz w:val="16"/>
                <w:szCs w:val="16"/>
                <w:color w:val="auto"/>
              </w:rPr>
              <w:t>67,831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22"/>
              <w:spacing w:after="0"/>
              <w:rPr>
                <w:sz w:val="20"/>
                <w:szCs w:val="20"/>
                <w:color w:val="auto"/>
              </w:rPr>
            </w:pPr>
            <w:r>
              <w:rPr>
                <w:rFonts w:ascii="Arial" w:cs="Arial" w:eastAsia="Arial" w:hAnsi="Arial"/>
                <w:sz w:val="16"/>
                <w:szCs w:val="16"/>
                <w:color w:val="auto"/>
              </w:rPr>
              <w:t>71,962</w:t>
            </w:r>
          </w:p>
        </w:tc>
        <w:tc>
          <w:tcPr>
            <w:tcW w:w="340" w:type="dxa"/>
            <w:vAlign w:val="bottom"/>
          </w:tcPr>
          <w:p>
            <w:pPr>
              <w:spacing w:after="0"/>
              <w:rPr>
                <w:sz w:val="20"/>
                <w:szCs w:val="20"/>
                <w:color w:val="auto"/>
              </w:rPr>
            </w:pPr>
          </w:p>
        </w:tc>
      </w:tr>
      <w:tr>
        <w:trPr>
          <w:trHeight w:val="33"/>
        </w:trPr>
        <w:tc>
          <w:tcPr>
            <w:tcW w:w="6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50"/>
        </w:trPr>
        <w:tc>
          <w:tcPr>
            <w:tcW w:w="620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General and administrative</w:t>
            </w:r>
          </w:p>
        </w:tc>
        <w:tc>
          <w:tcPr>
            <w:tcW w:w="140" w:type="dxa"/>
            <w:vAlign w:val="bottom"/>
            <w:tcBorders>
              <w:bottom w:val="single" w:sz="8" w:color="CCFFCC"/>
            </w:tcBorders>
            <w:shd w:val="clear" w:color="auto" w:fill="CCFFCC"/>
          </w:tcPr>
          <w:p>
            <w:pPr>
              <w:spacing w:after="0"/>
              <w:rPr>
                <w:sz w:val="21"/>
                <w:szCs w:val="21"/>
                <w:color w:val="auto"/>
              </w:rPr>
            </w:pPr>
          </w:p>
        </w:tc>
        <w:tc>
          <w:tcPr>
            <w:tcW w:w="900" w:type="dxa"/>
            <w:vAlign w:val="bottom"/>
            <w:tcBorders>
              <w:bottom w:val="single" w:sz="8" w:color="CCFFCC"/>
            </w:tcBorders>
            <w:shd w:val="clear" w:color="auto" w:fill="CCFFCC"/>
          </w:tcPr>
          <w:p>
            <w:pPr>
              <w:jc w:val="right"/>
              <w:ind w:right="43"/>
              <w:spacing w:after="0"/>
              <w:rPr>
                <w:sz w:val="20"/>
                <w:szCs w:val="20"/>
                <w:color w:val="auto"/>
              </w:rPr>
            </w:pPr>
            <w:r>
              <w:rPr>
                <w:rFonts w:ascii="Arial" w:cs="Arial" w:eastAsia="Arial" w:hAnsi="Arial"/>
                <w:sz w:val="16"/>
                <w:szCs w:val="16"/>
                <w:color w:val="auto"/>
              </w:rPr>
              <w:t>10,069</w:t>
            </w:r>
          </w:p>
        </w:tc>
        <w:tc>
          <w:tcPr>
            <w:tcW w:w="12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920" w:type="dxa"/>
            <w:vAlign w:val="bottom"/>
            <w:tcBorders>
              <w:bottom w:val="single" w:sz="8" w:color="CCFFCC"/>
            </w:tcBorders>
            <w:shd w:val="clear" w:color="auto" w:fill="CCFFCC"/>
          </w:tcPr>
          <w:p>
            <w:pPr>
              <w:jc w:val="right"/>
              <w:ind w:right="22"/>
              <w:spacing w:after="0"/>
              <w:rPr>
                <w:sz w:val="20"/>
                <w:szCs w:val="20"/>
                <w:color w:val="auto"/>
              </w:rPr>
            </w:pPr>
            <w:r>
              <w:rPr>
                <w:rFonts w:ascii="Arial" w:cs="Arial" w:eastAsia="Arial" w:hAnsi="Arial"/>
                <w:sz w:val="16"/>
                <w:szCs w:val="16"/>
                <w:color w:val="auto"/>
              </w:rPr>
              <w:t>6,587</w:t>
            </w:r>
          </w:p>
        </w:tc>
        <w:tc>
          <w:tcPr>
            <w:tcW w:w="340" w:type="dxa"/>
            <w:vAlign w:val="bottom"/>
            <w:tcBorders>
              <w:bottom w:val="single" w:sz="8" w:color="CCFFCC"/>
            </w:tcBorders>
            <w:shd w:val="clear" w:color="auto" w:fill="CCFFCC"/>
          </w:tcPr>
          <w:p>
            <w:pPr>
              <w:jc w:val="right"/>
              <w:ind w:right="126"/>
              <w:spacing w:after="0"/>
              <w:rPr>
                <w:sz w:val="20"/>
                <w:szCs w:val="20"/>
                <w:color w:val="auto"/>
              </w:rPr>
            </w:pPr>
            <w:r>
              <w:rPr>
                <w:rFonts w:ascii="Arial" w:cs="Arial" w:eastAsia="Arial" w:hAnsi="Arial"/>
                <w:sz w:val="11"/>
                <w:szCs w:val="11"/>
                <w:color w:val="auto"/>
              </w:rPr>
              <w:t>(4)</w:t>
            </w:r>
          </w:p>
        </w:tc>
        <w:tc>
          <w:tcPr>
            <w:tcW w:w="140" w:type="dxa"/>
            <w:vAlign w:val="bottom"/>
            <w:tcBorders>
              <w:bottom w:val="single" w:sz="8" w:color="CCFFCC"/>
            </w:tcBorders>
            <w:shd w:val="clear" w:color="auto" w:fill="CCFFCC"/>
          </w:tcPr>
          <w:p>
            <w:pPr>
              <w:spacing w:after="0"/>
              <w:rPr>
                <w:sz w:val="21"/>
                <w:szCs w:val="21"/>
                <w:color w:val="auto"/>
              </w:rPr>
            </w:pPr>
          </w:p>
        </w:tc>
        <w:tc>
          <w:tcPr>
            <w:tcW w:w="880" w:type="dxa"/>
            <w:vAlign w:val="bottom"/>
            <w:tcBorders>
              <w:bottom w:val="single" w:sz="8" w:color="CCFFCC"/>
            </w:tcBorders>
            <w:shd w:val="clear" w:color="auto" w:fill="CCFFCC"/>
          </w:tcPr>
          <w:p>
            <w:pPr>
              <w:jc w:val="right"/>
              <w:ind w:right="43"/>
              <w:spacing w:after="0"/>
              <w:rPr>
                <w:sz w:val="20"/>
                <w:szCs w:val="20"/>
                <w:color w:val="auto"/>
              </w:rPr>
            </w:pPr>
            <w:r>
              <w:rPr>
                <w:rFonts w:ascii="Arial" w:cs="Arial" w:eastAsia="Arial" w:hAnsi="Arial"/>
                <w:sz w:val="16"/>
                <w:szCs w:val="16"/>
                <w:color w:val="auto"/>
              </w:rPr>
              <w:t>29,758</w:t>
            </w:r>
          </w:p>
        </w:tc>
        <w:tc>
          <w:tcPr>
            <w:tcW w:w="10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920" w:type="dxa"/>
            <w:vAlign w:val="bottom"/>
            <w:tcBorders>
              <w:bottom w:val="single" w:sz="8" w:color="CCFFCC"/>
            </w:tcBorders>
            <w:shd w:val="clear" w:color="auto" w:fill="CCFFCC"/>
          </w:tcPr>
          <w:p>
            <w:pPr>
              <w:jc w:val="right"/>
              <w:ind w:right="22"/>
              <w:spacing w:after="0"/>
              <w:rPr>
                <w:sz w:val="20"/>
                <w:szCs w:val="20"/>
                <w:color w:val="auto"/>
              </w:rPr>
            </w:pPr>
            <w:r>
              <w:rPr>
                <w:rFonts w:ascii="Arial" w:cs="Arial" w:eastAsia="Arial" w:hAnsi="Arial"/>
                <w:sz w:val="16"/>
                <w:szCs w:val="16"/>
                <w:color w:val="auto"/>
              </w:rPr>
              <w:t>27,058</w:t>
            </w:r>
          </w:p>
        </w:tc>
        <w:tc>
          <w:tcPr>
            <w:tcW w:w="340" w:type="dxa"/>
            <w:vAlign w:val="bottom"/>
            <w:tcBorders>
              <w:bottom w:val="single" w:sz="8" w:color="CCFFCC"/>
            </w:tcBorders>
            <w:shd w:val="clear" w:color="auto" w:fill="CCFFCC"/>
          </w:tcPr>
          <w:p>
            <w:pPr>
              <w:jc w:val="right"/>
              <w:ind w:right="126"/>
              <w:spacing w:after="0"/>
              <w:rPr>
                <w:sz w:val="20"/>
                <w:szCs w:val="20"/>
                <w:color w:val="auto"/>
              </w:rPr>
            </w:pPr>
            <w:r>
              <w:rPr>
                <w:rFonts w:ascii="Arial" w:cs="Arial" w:eastAsia="Arial" w:hAnsi="Arial"/>
                <w:sz w:val="11"/>
                <w:szCs w:val="11"/>
                <w:color w:val="auto"/>
              </w:rPr>
              <w:t>(4)</w:t>
            </w:r>
          </w:p>
        </w:tc>
      </w:tr>
      <w:tr>
        <w:trPr>
          <w:trHeight w:val="237"/>
        </w:trPr>
        <w:tc>
          <w:tcPr>
            <w:tcW w:w="6200" w:type="dxa"/>
            <w:vAlign w:val="bottom"/>
          </w:tcPr>
          <w:p>
            <w:pPr>
              <w:ind w:left="180"/>
              <w:spacing w:after="0"/>
              <w:rPr>
                <w:sz w:val="20"/>
                <w:szCs w:val="20"/>
                <w:color w:val="auto"/>
              </w:rPr>
            </w:pPr>
            <w:r>
              <w:rPr>
                <w:rFonts w:ascii="Arial" w:cs="Arial" w:eastAsia="Arial" w:hAnsi="Arial"/>
                <w:sz w:val="16"/>
                <w:szCs w:val="16"/>
                <w:color w:val="auto"/>
              </w:rPr>
              <w:t>Product development</w:t>
            </w:r>
          </w:p>
        </w:tc>
        <w:tc>
          <w:tcPr>
            <w:tcW w:w="140" w:type="dxa"/>
            <w:vAlign w:val="bottom"/>
          </w:tcPr>
          <w:p>
            <w:pPr>
              <w:spacing w:after="0"/>
              <w:rPr>
                <w:sz w:val="20"/>
                <w:szCs w:val="20"/>
                <w:color w:val="auto"/>
              </w:rPr>
            </w:pPr>
          </w:p>
        </w:tc>
        <w:tc>
          <w:tcPr>
            <w:tcW w:w="900" w:type="dxa"/>
            <w:vAlign w:val="bottom"/>
          </w:tcPr>
          <w:p>
            <w:pPr>
              <w:jc w:val="right"/>
              <w:ind w:right="43"/>
              <w:spacing w:after="0"/>
              <w:rPr>
                <w:sz w:val="20"/>
                <w:szCs w:val="20"/>
                <w:color w:val="auto"/>
              </w:rPr>
            </w:pPr>
            <w:r>
              <w:rPr>
                <w:rFonts w:ascii="Arial" w:cs="Arial" w:eastAsia="Arial" w:hAnsi="Arial"/>
                <w:sz w:val="16"/>
                <w:szCs w:val="16"/>
                <w:color w:val="auto"/>
              </w:rPr>
              <w:t>9,495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22"/>
              <w:spacing w:after="0"/>
              <w:rPr>
                <w:sz w:val="20"/>
                <w:szCs w:val="20"/>
                <w:color w:val="auto"/>
              </w:rPr>
            </w:pPr>
            <w:r>
              <w:rPr>
                <w:rFonts w:ascii="Arial" w:cs="Arial" w:eastAsia="Arial" w:hAnsi="Arial"/>
                <w:sz w:val="16"/>
                <w:szCs w:val="16"/>
                <w:color w:val="auto"/>
              </w:rPr>
              <w:t>9,567</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43"/>
              <w:spacing w:after="0"/>
              <w:rPr>
                <w:sz w:val="20"/>
                <w:szCs w:val="20"/>
                <w:color w:val="auto"/>
              </w:rPr>
            </w:pPr>
            <w:r>
              <w:rPr>
                <w:rFonts w:ascii="Arial" w:cs="Arial" w:eastAsia="Arial" w:hAnsi="Arial"/>
                <w:sz w:val="16"/>
                <w:szCs w:val="16"/>
                <w:color w:val="auto"/>
              </w:rPr>
              <w:t>29,428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22"/>
              <w:spacing w:after="0"/>
              <w:rPr>
                <w:sz w:val="20"/>
                <w:szCs w:val="20"/>
                <w:color w:val="auto"/>
              </w:rPr>
            </w:pPr>
            <w:r>
              <w:rPr>
                <w:rFonts w:ascii="Arial" w:cs="Arial" w:eastAsia="Arial" w:hAnsi="Arial"/>
                <w:sz w:val="16"/>
                <w:szCs w:val="16"/>
                <w:color w:val="auto"/>
              </w:rPr>
              <w:t>29,476</w:t>
            </w:r>
          </w:p>
        </w:tc>
        <w:tc>
          <w:tcPr>
            <w:tcW w:w="340" w:type="dxa"/>
            <w:vAlign w:val="bottom"/>
          </w:tcPr>
          <w:p>
            <w:pPr>
              <w:spacing w:after="0"/>
              <w:rPr>
                <w:sz w:val="20"/>
                <w:szCs w:val="20"/>
                <w:color w:val="auto"/>
              </w:rPr>
            </w:pPr>
          </w:p>
        </w:tc>
      </w:tr>
      <w:tr>
        <w:trPr>
          <w:trHeight w:val="33"/>
        </w:trPr>
        <w:tc>
          <w:tcPr>
            <w:tcW w:w="6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50"/>
        </w:trPr>
        <w:tc>
          <w:tcPr>
            <w:tcW w:w="620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Restructuring costs</w:t>
            </w:r>
          </w:p>
        </w:tc>
        <w:tc>
          <w:tcPr>
            <w:tcW w:w="140" w:type="dxa"/>
            <w:vAlign w:val="bottom"/>
            <w:tcBorders>
              <w:bottom w:val="single" w:sz="8" w:color="CCFFCC"/>
            </w:tcBorders>
            <w:shd w:val="clear" w:color="auto" w:fill="CCFFCC"/>
          </w:tcPr>
          <w:p>
            <w:pPr>
              <w:spacing w:after="0"/>
              <w:rPr>
                <w:sz w:val="21"/>
                <w:szCs w:val="21"/>
                <w:color w:val="auto"/>
              </w:rPr>
            </w:pPr>
          </w:p>
        </w:tc>
        <w:tc>
          <w:tcPr>
            <w:tcW w:w="9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(384)</w:t>
            </w:r>
          </w:p>
        </w:tc>
        <w:tc>
          <w:tcPr>
            <w:tcW w:w="12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920" w:type="dxa"/>
            <w:vAlign w:val="bottom"/>
            <w:tcBorders>
              <w:bottom w:val="single" w:sz="8" w:color="CCFFCC"/>
            </w:tcBorders>
            <w:shd w:val="clear" w:color="auto" w:fill="CCFFCC"/>
          </w:tcPr>
          <w:p>
            <w:pPr>
              <w:jc w:val="right"/>
              <w:ind w:right="22"/>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8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(384)</w:t>
            </w:r>
          </w:p>
        </w:tc>
        <w:tc>
          <w:tcPr>
            <w:tcW w:w="10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920" w:type="dxa"/>
            <w:vAlign w:val="bottom"/>
            <w:tcBorders>
              <w:bottom w:val="single" w:sz="8" w:color="CCFFCC"/>
            </w:tcBorders>
            <w:shd w:val="clear" w:color="auto" w:fill="CCFFCC"/>
          </w:tcPr>
          <w:p>
            <w:pPr>
              <w:jc w:val="right"/>
              <w:ind w:right="22"/>
              <w:spacing w:after="0"/>
              <w:rPr>
                <w:sz w:val="20"/>
                <w:szCs w:val="20"/>
                <w:color w:val="auto"/>
              </w:rPr>
            </w:pPr>
            <w:r>
              <w:rPr>
                <w:rFonts w:ascii="Arial" w:cs="Arial" w:eastAsia="Arial" w:hAnsi="Arial"/>
                <w:sz w:val="16"/>
                <w:szCs w:val="16"/>
                <w:color w:val="auto"/>
              </w:rPr>
              <w:t>2,988</w:t>
            </w:r>
          </w:p>
        </w:tc>
        <w:tc>
          <w:tcPr>
            <w:tcW w:w="340" w:type="dxa"/>
            <w:vAlign w:val="bottom"/>
            <w:tcBorders>
              <w:bottom w:val="single" w:sz="8" w:color="CCFFCC"/>
            </w:tcBorders>
            <w:shd w:val="clear" w:color="auto" w:fill="CCFFCC"/>
          </w:tcPr>
          <w:p>
            <w:pPr>
              <w:spacing w:after="0"/>
              <w:rPr>
                <w:sz w:val="21"/>
                <w:szCs w:val="21"/>
                <w:color w:val="auto"/>
              </w:rPr>
            </w:pPr>
          </w:p>
        </w:tc>
      </w:tr>
      <w:tr>
        <w:trPr>
          <w:trHeight w:val="237"/>
        </w:trPr>
        <w:tc>
          <w:tcPr>
            <w:tcW w:w="6200" w:type="dxa"/>
            <w:vAlign w:val="bottom"/>
          </w:tcPr>
          <w:p>
            <w:pPr>
              <w:ind w:left="180"/>
              <w:spacing w:after="0"/>
              <w:rPr>
                <w:sz w:val="20"/>
                <w:szCs w:val="20"/>
                <w:color w:val="auto"/>
              </w:rPr>
            </w:pPr>
            <w:r>
              <w:rPr>
                <w:rFonts w:ascii="Arial" w:cs="Arial" w:eastAsia="Arial" w:hAnsi="Arial"/>
                <w:sz w:val="16"/>
                <w:szCs w:val="16"/>
                <w:color w:val="auto"/>
              </w:rPr>
              <w:t>Amortization of purchased intangibles</w:t>
            </w:r>
          </w:p>
        </w:tc>
        <w:tc>
          <w:tcPr>
            <w:tcW w:w="140" w:type="dxa"/>
            <w:vAlign w:val="bottom"/>
          </w:tcPr>
          <w:p>
            <w:pPr>
              <w:spacing w:after="0"/>
              <w:rPr>
                <w:sz w:val="20"/>
                <w:szCs w:val="20"/>
                <w:color w:val="auto"/>
              </w:rPr>
            </w:pPr>
          </w:p>
        </w:tc>
        <w:tc>
          <w:tcPr>
            <w:tcW w:w="900" w:type="dxa"/>
            <w:vAlign w:val="bottom"/>
          </w:tcPr>
          <w:p>
            <w:pPr>
              <w:jc w:val="right"/>
              <w:ind w:right="43"/>
              <w:spacing w:after="0"/>
              <w:rPr>
                <w:sz w:val="20"/>
                <w:szCs w:val="20"/>
                <w:color w:val="auto"/>
              </w:rPr>
            </w:pPr>
            <w:r>
              <w:rPr>
                <w:rFonts w:ascii="Arial" w:cs="Arial" w:eastAsia="Arial" w:hAnsi="Arial"/>
                <w:sz w:val="16"/>
                <w:szCs w:val="16"/>
                <w:color w:val="auto"/>
              </w:rPr>
              <w:t>1,013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22"/>
              <w:spacing w:after="0"/>
              <w:rPr>
                <w:sz w:val="20"/>
                <w:szCs w:val="20"/>
                <w:color w:val="auto"/>
              </w:rPr>
            </w:pPr>
            <w:r>
              <w:rPr>
                <w:rFonts w:ascii="Arial" w:cs="Arial" w:eastAsia="Arial" w:hAnsi="Arial"/>
                <w:sz w:val="16"/>
                <w:szCs w:val="16"/>
                <w:color w:val="auto"/>
              </w:rPr>
              <w:t>1,193</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43"/>
              <w:spacing w:after="0"/>
              <w:rPr>
                <w:sz w:val="20"/>
                <w:szCs w:val="20"/>
                <w:color w:val="auto"/>
              </w:rPr>
            </w:pPr>
            <w:r>
              <w:rPr>
                <w:rFonts w:ascii="Arial" w:cs="Arial" w:eastAsia="Arial" w:hAnsi="Arial"/>
                <w:sz w:val="16"/>
                <w:szCs w:val="16"/>
                <w:color w:val="auto"/>
              </w:rPr>
              <w:t>2,954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22"/>
              <w:spacing w:after="0"/>
              <w:rPr>
                <w:sz w:val="20"/>
                <w:szCs w:val="20"/>
                <w:color w:val="auto"/>
              </w:rPr>
            </w:pPr>
            <w:r>
              <w:rPr>
                <w:rFonts w:ascii="Arial" w:cs="Arial" w:eastAsia="Arial" w:hAnsi="Arial"/>
                <w:sz w:val="16"/>
                <w:szCs w:val="16"/>
                <w:color w:val="auto"/>
              </w:rPr>
              <w:t>3,683</w:t>
            </w:r>
          </w:p>
        </w:tc>
        <w:tc>
          <w:tcPr>
            <w:tcW w:w="340" w:type="dxa"/>
            <w:vAlign w:val="bottom"/>
          </w:tcPr>
          <w:p>
            <w:pPr>
              <w:spacing w:after="0"/>
              <w:rPr>
                <w:sz w:val="20"/>
                <w:szCs w:val="20"/>
                <w:color w:val="auto"/>
              </w:rPr>
            </w:pPr>
          </w:p>
        </w:tc>
      </w:tr>
      <w:tr>
        <w:trPr>
          <w:trHeight w:val="33"/>
        </w:trPr>
        <w:tc>
          <w:tcPr>
            <w:tcW w:w="620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0" w:type="dxa"/>
            <w:vAlign w:val="bottom"/>
            <w:tcBorders>
              <w:bottom w:val="single" w:sz="8" w:color="CCFFCC"/>
            </w:tcBorders>
          </w:tcPr>
          <w:p>
            <w:pPr>
              <w:spacing w:after="0"/>
              <w:rPr>
                <w:sz w:val="2"/>
                <w:szCs w:val="2"/>
                <w:color w:val="auto"/>
              </w:rPr>
            </w:pPr>
          </w:p>
        </w:tc>
      </w:tr>
      <w:tr>
        <w:trPr>
          <w:trHeight w:val="250"/>
        </w:trPr>
        <w:tc>
          <w:tcPr>
            <w:tcW w:w="620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Total costs and expenses</w:t>
            </w:r>
          </w:p>
        </w:tc>
        <w:tc>
          <w:tcPr>
            <w:tcW w:w="140" w:type="dxa"/>
            <w:vAlign w:val="bottom"/>
            <w:tcBorders>
              <w:bottom w:val="single" w:sz="8" w:color="CCFFCC"/>
            </w:tcBorders>
            <w:shd w:val="clear" w:color="auto" w:fill="CCFFCC"/>
          </w:tcPr>
          <w:p>
            <w:pPr>
              <w:spacing w:after="0"/>
              <w:rPr>
                <w:sz w:val="21"/>
                <w:szCs w:val="21"/>
                <w:color w:val="auto"/>
              </w:rPr>
            </w:pPr>
          </w:p>
        </w:tc>
        <w:tc>
          <w:tcPr>
            <w:tcW w:w="900" w:type="dxa"/>
            <w:vAlign w:val="bottom"/>
            <w:tcBorders>
              <w:bottom w:val="single" w:sz="8" w:color="CCFFCC"/>
            </w:tcBorders>
            <w:shd w:val="clear" w:color="auto" w:fill="CCFFCC"/>
          </w:tcPr>
          <w:p>
            <w:pPr>
              <w:jc w:val="right"/>
              <w:ind w:right="43"/>
              <w:spacing w:after="0"/>
              <w:rPr>
                <w:sz w:val="20"/>
                <w:szCs w:val="20"/>
                <w:color w:val="auto"/>
              </w:rPr>
            </w:pPr>
            <w:r>
              <w:rPr>
                <w:rFonts w:ascii="Arial" w:cs="Arial" w:eastAsia="Arial" w:hAnsi="Arial"/>
                <w:sz w:val="16"/>
                <w:szCs w:val="16"/>
                <w:color w:val="auto"/>
              </w:rPr>
              <w:t>57,097</w:t>
            </w:r>
          </w:p>
        </w:tc>
        <w:tc>
          <w:tcPr>
            <w:tcW w:w="12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920" w:type="dxa"/>
            <w:vAlign w:val="bottom"/>
            <w:tcBorders>
              <w:bottom w:val="single" w:sz="8" w:color="CCFFCC"/>
            </w:tcBorders>
            <w:shd w:val="clear" w:color="auto" w:fill="CCFFCC"/>
          </w:tcPr>
          <w:p>
            <w:pPr>
              <w:jc w:val="right"/>
              <w:ind w:right="22"/>
              <w:spacing w:after="0"/>
              <w:rPr>
                <w:sz w:val="20"/>
                <w:szCs w:val="20"/>
                <w:color w:val="auto"/>
              </w:rPr>
            </w:pPr>
            <w:r>
              <w:rPr>
                <w:rFonts w:ascii="Arial" w:cs="Arial" w:eastAsia="Arial" w:hAnsi="Arial"/>
                <w:sz w:val="16"/>
                <w:szCs w:val="16"/>
                <w:color w:val="auto"/>
              </w:rPr>
              <w:t>58,858</w:t>
            </w:r>
          </w:p>
        </w:tc>
        <w:tc>
          <w:tcPr>
            <w:tcW w:w="34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880" w:type="dxa"/>
            <w:vAlign w:val="bottom"/>
            <w:tcBorders>
              <w:bottom w:val="single" w:sz="8" w:color="CCFFCC"/>
            </w:tcBorders>
            <w:shd w:val="clear" w:color="auto" w:fill="CCFFCC"/>
          </w:tcPr>
          <w:p>
            <w:pPr>
              <w:jc w:val="right"/>
              <w:ind w:right="43"/>
              <w:spacing w:after="0"/>
              <w:rPr>
                <w:sz w:val="20"/>
                <w:szCs w:val="20"/>
                <w:color w:val="auto"/>
              </w:rPr>
            </w:pPr>
            <w:r>
              <w:rPr>
                <w:rFonts w:ascii="Arial" w:cs="Arial" w:eastAsia="Arial" w:hAnsi="Arial"/>
                <w:sz w:val="16"/>
                <w:szCs w:val="16"/>
                <w:color w:val="auto"/>
              </w:rPr>
              <w:t>177,797</w:t>
            </w:r>
          </w:p>
        </w:tc>
        <w:tc>
          <w:tcPr>
            <w:tcW w:w="10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920" w:type="dxa"/>
            <w:vAlign w:val="bottom"/>
            <w:tcBorders>
              <w:bottom w:val="single" w:sz="8" w:color="CCFFCC"/>
            </w:tcBorders>
            <w:shd w:val="clear" w:color="auto" w:fill="CCFFCC"/>
          </w:tcPr>
          <w:p>
            <w:pPr>
              <w:jc w:val="right"/>
              <w:ind w:right="22"/>
              <w:spacing w:after="0"/>
              <w:rPr>
                <w:sz w:val="20"/>
                <w:szCs w:val="20"/>
                <w:color w:val="auto"/>
              </w:rPr>
            </w:pPr>
            <w:r>
              <w:rPr>
                <w:rFonts w:ascii="Arial" w:cs="Arial" w:eastAsia="Arial" w:hAnsi="Arial"/>
                <w:sz w:val="16"/>
                <w:szCs w:val="16"/>
                <w:color w:val="auto"/>
              </w:rPr>
              <w:t>187,698</w:t>
            </w:r>
          </w:p>
        </w:tc>
        <w:tc>
          <w:tcPr>
            <w:tcW w:w="340" w:type="dxa"/>
            <w:vAlign w:val="bottom"/>
            <w:tcBorders>
              <w:bottom w:val="single" w:sz="8" w:color="CCFFCC"/>
            </w:tcBorders>
            <w:shd w:val="clear" w:color="auto" w:fill="CCFFCC"/>
          </w:tcPr>
          <w:p>
            <w:pPr>
              <w:spacing w:after="0"/>
              <w:rPr>
                <w:sz w:val="21"/>
                <w:szCs w:val="21"/>
                <w:color w:val="auto"/>
              </w:rPr>
            </w:pPr>
          </w:p>
        </w:tc>
      </w:tr>
      <w:tr>
        <w:trPr>
          <w:trHeight w:val="217"/>
        </w:trPr>
        <w:tc>
          <w:tcPr>
            <w:tcW w:w="6200" w:type="dxa"/>
            <w:vAlign w:val="bottom"/>
          </w:tcPr>
          <w:p>
            <w:pPr>
              <w:ind w:left="40"/>
              <w:spacing w:after="0"/>
              <w:rPr>
                <w:sz w:val="20"/>
                <w:szCs w:val="20"/>
                <w:color w:val="auto"/>
              </w:rPr>
            </w:pPr>
            <w:r>
              <w:rPr>
                <w:rFonts w:ascii="Arial" w:cs="Arial" w:eastAsia="Arial" w:hAnsi="Arial"/>
                <w:sz w:val="16"/>
                <w:szCs w:val="16"/>
                <w:color w:val="auto"/>
              </w:rPr>
              <w:t>(Loss) income from operations</w:t>
            </w: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(2,579)</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1,899</w:t>
            </w:r>
          </w:p>
        </w:tc>
        <w:tc>
          <w:tcPr>
            <w:tcW w:w="3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(11,135)</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(7,837)</w:t>
            </w:r>
          </w:p>
        </w:tc>
        <w:tc>
          <w:tcPr>
            <w:tcW w:w="340" w:type="dxa"/>
            <w:vAlign w:val="bottom"/>
          </w:tcPr>
          <w:p>
            <w:pPr>
              <w:spacing w:after="0"/>
              <w:rPr>
                <w:sz w:val="18"/>
                <w:szCs w:val="18"/>
                <w:color w:val="auto"/>
              </w:rPr>
            </w:pPr>
          </w:p>
        </w:tc>
      </w:tr>
      <w:tr>
        <w:trPr>
          <w:trHeight w:val="33"/>
        </w:trPr>
        <w:tc>
          <w:tcPr>
            <w:tcW w:w="6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70"/>
        </w:trPr>
        <w:tc>
          <w:tcPr>
            <w:tcW w:w="620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Other expense</w:t>
            </w:r>
          </w:p>
        </w:tc>
        <w:tc>
          <w:tcPr>
            <w:tcW w:w="140" w:type="dxa"/>
            <w:vAlign w:val="bottom"/>
            <w:tcBorders>
              <w:bottom w:val="single" w:sz="8" w:color="CCFFCC"/>
            </w:tcBorders>
            <w:shd w:val="clear" w:color="auto" w:fill="CCFFCC"/>
          </w:tcPr>
          <w:p>
            <w:pPr>
              <w:spacing w:after="0"/>
              <w:rPr>
                <w:sz w:val="23"/>
                <w:szCs w:val="23"/>
                <w:color w:val="auto"/>
              </w:rPr>
            </w:pPr>
          </w:p>
        </w:tc>
        <w:tc>
          <w:tcPr>
            <w:tcW w:w="9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(123)</w:t>
            </w:r>
          </w:p>
        </w:tc>
        <w:tc>
          <w:tcPr>
            <w:tcW w:w="120" w:type="dxa"/>
            <w:vAlign w:val="bottom"/>
            <w:tcBorders>
              <w:bottom w:val="single" w:sz="8" w:color="CCFFCC"/>
            </w:tcBorders>
            <w:shd w:val="clear" w:color="auto" w:fill="CCFFCC"/>
          </w:tcPr>
          <w:p>
            <w:pPr>
              <w:spacing w:after="0"/>
              <w:rPr>
                <w:sz w:val="23"/>
                <w:szCs w:val="23"/>
                <w:color w:val="auto"/>
              </w:rPr>
            </w:pPr>
          </w:p>
        </w:tc>
        <w:tc>
          <w:tcPr>
            <w:tcW w:w="220" w:type="dxa"/>
            <w:vAlign w:val="bottom"/>
            <w:tcBorders>
              <w:bottom w:val="single" w:sz="8" w:color="CCFFCC"/>
            </w:tcBorders>
            <w:shd w:val="clear" w:color="auto" w:fill="CCFFCC"/>
          </w:tcPr>
          <w:p>
            <w:pPr>
              <w:spacing w:after="0"/>
              <w:rPr>
                <w:sz w:val="23"/>
                <w:szCs w:val="23"/>
                <w:color w:val="auto"/>
              </w:rPr>
            </w:pPr>
          </w:p>
        </w:tc>
        <w:tc>
          <w:tcPr>
            <w:tcW w:w="9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(369)</w:t>
            </w:r>
          </w:p>
        </w:tc>
        <w:tc>
          <w:tcPr>
            <w:tcW w:w="340" w:type="dxa"/>
            <w:vAlign w:val="bottom"/>
            <w:tcBorders>
              <w:bottom w:val="single" w:sz="8" w:color="CCFFCC"/>
            </w:tcBorders>
            <w:shd w:val="clear" w:color="auto" w:fill="CCFFCC"/>
          </w:tcPr>
          <w:p>
            <w:pPr>
              <w:spacing w:after="0"/>
              <w:rPr>
                <w:sz w:val="23"/>
                <w:szCs w:val="23"/>
                <w:color w:val="auto"/>
              </w:rPr>
            </w:pPr>
          </w:p>
        </w:tc>
        <w:tc>
          <w:tcPr>
            <w:tcW w:w="140" w:type="dxa"/>
            <w:vAlign w:val="bottom"/>
            <w:tcBorders>
              <w:bottom w:val="single" w:sz="8" w:color="CCFFCC"/>
            </w:tcBorders>
            <w:shd w:val="clear" w:color="auto" w:fill="CCFFCC"/>
          </w:tcPr>
          <w:p>
            <w:pPr>
              <w:spacing w:after="0"/>
              <w:rPr>
                <w:sz w:val="23"/>
                <w:szCs w:val="23"/>
                <w:color w:val="auto"/>
              </w:rPr>
            </w:pPr>
          </w:p>
        </w:tc>
        <w:tc>
          <w:tcPr>
            <w:tcW w:w="8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(135)</w:t>
            </w:r>
          </w:p>
        </w:tc>
        <w:tc>
          <w:tcPr>
            <w:tcW w:w="100" w:type="dxa"/>
            <w:vAlign w:val="bottom"/>
            <w:tcBorders>
              <w:bottom w:val="single" w:sz="8" w:color="CCFFCC"/>
            </w:tcBorders>
            <w:shd w:val="clear" w:color="auto" w:fill="CCFFCC"/>
          </w:tcPr>
          <w:p>
            <w:pPr>
              <w:spacing w:after="0"/>
              <w:rPr>
                <w:sz w:val="23"/>
                <w:szCs w:val="23"/>
                <w:color w:val="auto"/>
              </w:rPr>
            </w:pPr>
          </w:p>
        </w:tc>
        <w:tc>
          <w:tcPr>
            <w:tcW w:w="200" w:type="dxa"/>
            <w:vAlign w:val="bottom"/>
            <w:tcBorders>
              <w:bottom w:val="single" w:sz="8" w:color="CCFFCC"/>
            </w:tcBorders>
            <w:shd w:val="clear" w:color="auto" w:fill="CCFFCC"/>
          </w:tcPr>
          <w:p>
            <w:pPr>
              <w:spacing w:after="0"/>
              <w:rPr>
                <w:sz w:val="23"/>
                <w:szCs w:val="23"/>
                <w:color w:val="auto"/>
              </w:rPr>
            </w:pPr>
          </w:p>
        </w:tc>
        <w:tc>
          <w:tcPr>
            <w:tcW w:w="9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(371)</w:t>
            </w:r>
          </w:p>
        </w:tc>
        <w:tc>
          <w:tcPr>
            <w:tcW w:w="340" w:type="dxa"/>
            <w:vAlign w:val="bottom"/>
            <w:tcBorders>
              <w:bottom w:val="single" w:sz="8" w:color="CCFFCC"/>
            </w:tcBorders>
            <w:shd w:val="clear" w:color="auto" w:fill="CCFFCC"/>
          </w:tcPr>
          <w:p>
            <w:pPr>
              <w:spacing w:after="0"/>
              <w:rPr>
                <w:sz w:val="23"/>
                <w:szCs w:val="23"/>
                <w:color w:val="auto"/>
              </w:rPr>
            </w:pPr>
          </w:p>
        </w:tc>
      </w:tr>
      <w:tr>
        <w:trPr>
          <w:trHeight w:val="217"/>
        </w:trPr>
        <w:tc>
          <w:tcPr>
            <w:tcW w:w="6200" w:type="dxa"/>
            <w:vAlign w:val="bottom"/>
          </w:tcPr>
          <w:p>
            <w:pPr>
              <w:ind w:left="40"/>
              <w:spacing w:after="0"/>
              <w:rPr>
                <w:sz w:val="20"/>
                <w:szCs w:val="20"/>
                <w:color w:val="auto"/>
              </w:rPr>
            </w:pPr>
            <w:r>
              <w:rPr>
                <w:rFonts w:ascii="Arial" w:cs="Arial" w:eastAsia="Arial" w:hAnsi="Arial"/>
                <w:sz w:val="16"/>
                <w:szCs w:val="16"/>
                <w:color w:val="auto"/>
              </w:rPr>
              <w:t>(Loss) income before provision for (benefit from) income taxes</w:t>
            </w: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(2,702)</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1,530</w:t>
            </w:r>
          </w:p>
        </w:tc>
        <w:tc>
          <w:tcPr>
            <w:tcW w:w="3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(11,270)</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(8,208)</w:t>
            </w:r>
          </w:p>
        </w:tc>
        <w:tc>
          <w:tcPr>
            <w:tcW w:w="340" w:type="dxa"/>
            <w:vAlign w:val="bottom"/>
          </w:tcPr>
          <w:p>
            <w:pPr>
              <w:spacing w:after="0"/>
              <w:rPr>
                <w:sz w:val="18"/>
                <w:szCs w:val="18"/>
                <w:color w:val="auto"/>
              </w:rPr>
            </w:pPr>
          </w:p>
        </w:tc>
      </w:tr>
      <w:tr>
        <w:trPr>
          <w:trHeight w:val="33"/>
        </w:trPr>
        <w:tc>
          <w:tcPr>
            <w:tcW w:w="6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70"/>
        </w:trPr>
        <w:tc>
          <w:tcPr>
            <w:tcW w:w="620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Provision for (benefit from) income taxes</w:t>
            </w:r>
          </w:p>
        </w:tc>
        <w:tc>
          <w:tcPr>
            <w:tcW w:w="140" w:type="dxa"/>
            <w:vAlign w:val="bottom"/>
            <w:tcBorders>
              <w:bottom w:val="single" w:sz="8" w:color="CCFFCC"/>
            </w:tcBorders>
            <w:shd w:val="clear" w:color="auto" w:fill="CCFFCC"/>
          </w:tcPr>
          <w:p>
            <w:pPr>
              <w:spacing w:after="0"/>
              <w:rPr>
                <w:sz w:val="23"/>
                <w:szCs w:val="23"/>
                <w:color w:val="auto"/>
              </w:rPr>
            </w:pPr>
          </w:p>
        </w:tc>
        <w:tc>
          <w:tcPr>
            <w:tcW w:w="900" w:type="dxa"/>
            <w:vAlign w:val="bottom"/>
            <w:tcBorders>
              <w:bottom w:val="single" w:sz="8" w:color="CCFFCC"/>
            </w:tcBorders>
            <w:shd w:val="clear" w:color="auto" w:fill="CCFFCC"/>
          </w:tcPr>
          <w:p>
            <w:pPr>
              <w:jc w:val="right"/>
              <w:ind w:right="43"/>
              <w:spacing w:after="0"/>
              <w:rPr>
                <w:sz w:val="20"/>
                <w:szCs w:val="20"/>
                <w:color w:val="auto"/>
              </w:rPr>
            </w:pPr>
            <w:r>
              <w:rPr>
                <w:rFonts w:ascii="Arial" w:cs="Arial" w:eastAsia="Arial" w:hAnsi="Arial"/>
                <w:sz w:val="16"/>
                <w:szCs w:val="16"/>
                <w:color w:val="auto"/>
              </w:rPr>
              <w:t>3,177</w:t>
            </w:r>
          </w:p>
        </w:tc>
        <w:tc>
          <w:tcPr>
            <w:tcW w:w="120" w:type="dxa"/>
            <w:vAlign w:val="bottom"/>
            <w:tcBorders>
              <w:bottom w:val="single" w:sz="8" w:color="CCFFCC"/>
            </w:tcBorders>
            <w:shd w:val="clear" w:color="auto" w:fill="CCFFCC"/>
          </w:tcPr>
          <w:p>
            <w:pPr>
              <w:spacing w:after="0"/>
              <w:rPr>
                <w:sz w:val="23"/>
                <w:szCs w:val="23"/>
                <w:color w:val="auto"/>
              </w:rPr>
            </w:pPr>
          </w:p>
        </w:tc>
        <w:tc>
          <w:tcPr>
            <w:tcW w:w="220" w:type="dxa"/>
            <w:vAlign w:val="bottom"/>
            <w:tcBorders>
              <w:bottom w:val="single" w:sz="8" w:color="CCFFCC"/>
            </w:tcBorders>
            <w:shd w:val="clear" w:color="auto" w:fill="CCFFCC"/>
          </w:tcPr>
          <w:p>
            <w:pPr>
              <w:spacing w:after="0"/>
              <w:rPr>
                <w:sz w:val="23"/>
                <w:szCs w:val="23"/>
                <w:color w:val="auto"/>
              </w:rPr>
            </w:pPr>
          </w:p>
        </w:tc>
        <w:tc>
          <w:tcPr>
            <w:tcW w:w="9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(395)</w:t>
            </w:r>
          </w:p>
        </w:tc>
        <w:tc>
          <w:tcPr>
            <w:tcW w:w="340" w:type="dxa"/>
            <w:vAlign w:val="bottom"/>
            <w:tcBorders>
              <w:bottom w:val="single" w:sz="8" w:color="CCFFCC"/>
            </w:tcBorders>
            <w:shd w:val="clear" w:color="auto" w:fill="CCFFCC"/>
          </w:tcPr>
          <w:p>
            <w:pPr>
              <w:spacing w:after="0"/>
              <w:rPr>
                <w:sz w:val="23"/>
                <w:szCs w:val="23"/>
                <w:color w:val="auto"/>
              </w:rPr>
            </w:pPr>
          </w:p>
        </w:tc>
        <w:tc>
          <w:tcPr>
            <w:tcW w:w="140" w:type="dxa"/>
            <w:vAlign w:val="bottom"/>
            <w:tcBorders>
              <w:bottom w:val="single" w:sz="8" w:color="CCFFCC"/>
            </w:tcBorders>
            <w:shd w:val="clear" w:color="auto" w:fill="CCFFCC"/>
          </w:tcPr>
          <w:p>
            <w:pPr>
              <w:spacing w:after="0"/>
              <w:rPr>
                <w:sz w:val="23"/>
                <w:szCs w:val="23"/>
                <w:color w:val="auto"/>
              </w:rPr>
            </w:pPr>
          </w:p>
        </w:tc>
        <w:tc>
          <w:tcPr>
            <w:tcW w:w="880" w:type="dxa"/>
            <w:vAlign w:val="bottom"/>
            <w:tcBorders>
              <w:bottom w:val="single" w:sz="8" w:color="CCFFCC"/>
            </w:tcBorders>
            <w:shd w:val="clear" w:color="auto" w:fill="CCFFCC"/>
          </w:tcPr>
          <w:p>
            <w:pPr>
              <w:jc w:val="right"/>
              <w:ind w:right="43"/>
              <w:spacing w:after="0"/>
              <w:rPr>
                <w:sz w:val="20"/>
                <w:szCs w:val="20"/>
                <w:color w:val="auto"/>
              </w:rPr>
            </w:pPr>
            <w:r>
              <w:rPr>
                <w:rFonts w:ascii="Arial" w:cs="Arial" w:eastAsia="Arial" w:hAnsi="Arial"/>
                <w:sz w:val="16"/>
                <w:szCs w:val="16"/>
                <w:color w:val="auto"/>
              </w:rPr>
              <w:t>5,038</w:t>
            </w:r>
          </w:p>
        </w:tc>
        <w:tc>
          <w:tcPr>
            <w:tcW w:w="100" w:type="dxa"/>
            <w:vAlign w:val="bottom"/>
            <w:tcBorders>
              <w:bottom w:val="single" w:sz="8" w:color="CCFFCC"/>
            </w:tcBorders>
            <w:shd w:val="clear" w:color="auto" w:fill="CCFFCC"/>
          </w:tcPr>
          <w:p>
            <w:pPr>
              <w:spacing w:after="0"/>
              <w:rPr>
                <w:sz w:val="23"/>
                <w:szCs w:val="23"/>
                <w:color w:val="auto"/>
              </w:rPr>
            </w:pPr>
          </w:p>
        </w:tc>
        <w:tc>
          <w:tcPr>
            <w:tcW w:w="200" w:type="dxa"/>
            <w:vAlign w:val="bottom"/>
            <w:tcBorders>
              <w:bottom w:val="single" w:sz="8" w:color="CCFFCC"/>
            </w:tcBorders>
            <w:shd w:val="clear" w:color="auto" w:fill="CCFFCC"/>
          </w:tcPr>
          <w:p>
            <w:pPr>
              <w:spacing w:after="0"/>
              <w:rPr>
                <w:sz w:val="23"/>
                <w:szCs w:val="23"/>
                <w:color w:val="auto"/>
              </w:rPr>
            </w:pPr>
          </w:p>
        </w:tc>
        <w:tc>
          <w:tcPr>
            <w:tcW w:w="9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(2,721)</w:t>
            </w:r>
          </w:p>
        </w:tc>
        <w:tc>
          <w:tcPr>
            <w:tcW w:w="340" w:type="dxa"/>
            <w:vAlign w:val="bottom"/>
            <w:tcBorders>
              <w:bottom w:val="single" w:sz="8" w:color="CCFFCC"/>
            </w:tcBorders>
            <w:shd w:val="clear" w:color="auto" w:fill="CCFFCC"/>
          </w:tcPr>
          <w:p>
            <w:pPr>
              <w:spacing w:after="0"/>
              <w:rPr>
                <w:sz w:val="23"/>
                <w:szCs w:val="23"/>
                <w:color w:val="auto"/>
              </w:rPr>
            </w:pPr>
          </w:p>
        </w:tc>
      </w:tr>
      <w:tr>
        <w:trPr>
          <w:trHeight w:val="284"/>
        </w:trPr>
        <w:tc>
          <w:tcPr>
            <w:tcW w:w="6200" w:type="dxa"/>
            <w:vAlign w:val="bottom"/>
            <w:tcBorders>
              <w:bottom w:val="single" w:sz="8" w:color="CCFFCC"/>
            </w:tcBorders>
          </w:tcPr>
          <w:p>
            <w:pPr>
              <w:ind w:left="40"/>
              <w:spacing w:after="0"/>
              <w:rPr>
                <w:sz w:val="20"/>
                <w:szCs w:val="20"/>
                <w:color w:val="auto"/>
              </w:rPr>
            </w:pPr>
            <w:r>
              <w:rPr>
                <w:rFonts w:ascii="Arial" w:cs="Arial" w:eastAsia="Arial" w:hAnsi="Arial"/>
                <w:sz w:val="16"/>
                <w:szCs w:val="16"/>
                <w:color w:val="auto"/>
              </w:rPr>
              <w:t>Net (loss) income</w:t>
            </w: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(5,879)</w:t>
            </w:r>
          </w:p>
        </w:tc>
        <w:tc>
          <w:tcPr>
            <w:tcW w:w="120" w:type="dxa"/>
            <w:vAlign w:val="bottom"/>
            <w:tcBorders>
              <w:bottom w:val="single" w:sz="8" w:color="CCFFCC"/>
            </w:tcBorders>
          </w:tcPr>
          <w:p>
            <w:pPr>
              <w:spacing w:after="0"/>
              <w:rPr>
                <w:sz w:val="24"/>
                <w:szCs w:val="24"/>
                <w:color w:val="auto"/>
              </w:rPr>
            </w:pPr>
          </w:p>
        </w:tc>
        <w:tc>
          <w:tcPr>
            <w:tcW w:w="2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1,925</w:t>
            </w:r>
          </w:p>
        </w:tc>
        <w:tc>
          <w:tcPr>
            <w:tcW w:w="340" w:type="dxa"/>
            <w:vAlign w:val="bottom"/>
            <w:tcBorders>
              <w:bottom w:val="single" w:sz="8" w:color="CCFFCC"/>
            </w:tcBorders>
          </w:tcPr>
          <w:p>
            <w:pPr>
              <w:spacing w:after="0"/>
              <w:rPr>
                <w:sz w:val="24"/>
                <w:szCs w:val="24"/>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(16,308)</w:t>
            </w:r>
          </w:p>
        </w:tc>
        <w:tc>
          <w:tcPr>
            <w:tcW w:w="100" w:type="dxa"/>
            <w:vAlign w:val="bottom"/>
            <w:tcBorders>
              <w:bottom w:val="single" w:sz="8" w:color="CCFFCC"/>
            </w:tcBorders>
          </w:tcPr>
          <w:p>
            <w:pPr>
              <w:spacing w:after="0"/>
              <w:rPr>
                <w:sz w:val="24"/>
                <w:szCs w:val="24"/>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(5,487)</w:t>
            </w:r>
          </w:p>
        </w:tc>
        <w:tc>
          <w:tcPr>
            <w:tcW w:w="340" w:type="dxa"/>
            <w:vAlign w:val="bottom"/>
            <w:tcBorders>
              <w:bottom w:val="single" w:sz="8" w:color="CCFFCC"/>
            </w:tcBorders>
          </w:tcPr>
          <w:p>
            <w:pPr>
              <w:spacing w:after="0"/>
              <w:rPr>
                <w:sz w:val="24"/>
                <w:szCs w:val="24"/>
                <w:color w:val="auto"/>
              </w:rPr>
            </w:pPr>
          </w:p>
        </w:tc>
      </w:tr>
      <w:tr>
        <w:trPr>
          <w:trHeight w:val="284"/>
        </w:trPr>
        <w:tc>
          <w:tcPr>
            <w:tcW w:w="620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90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220" w:type="dxa"/>
            <w:vAlign w:val="bottom"/>
            <w:shd w:val="clear" w:color="auto" w:fill="CCFFCC"/>
          </w:tcPr>
          <w:p>
            <w:pPr>
              <w:spacing w:after="0"/>
              <w:rPr>
                <w:sz w:val="24"/>
                <w:szCs w:val="24"/>
                <w:color w:val="auto"/>
              </w:rPr>
            </w:pPr>
          </w:p>
        </w:tc>
        <w:tc>
          <w:tcPr>
            <w:tcW w:w="920" w:type="dxa"/>
            <w:vAlign w:val="bottom"/>
            <w:shd w:val="clear" w:color="auto" w:fill="CCFFCC"/>
          </w:tcPr>
          <w:p>
            <w:pPr>
              <w:spacing w:after="0"/>
              <w:rPr>
                <w:sz w:val="24"/>
                <w:szCs w:val="24"/>
                <w:color w:val="auto"/>
              </w:rPr>
            </w:pPr>
          </w:p>
        </w:tc>
        <w:tc>
          <w:tcPr>
            <w:tcW w:w="34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88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200" w:type="dxa"/>
            <w:vAlign w:val="bottom"/>
            <w:shd w:val="clear" w:color="auto" w:fill="CCFFCC"/>
          </w:tcPr>
          <w:p>
            <w:pPr>
              <w:spacing w:after="0"/>
              <w:rPr>
                <w:sz w:val="24"/>
                <w:szCs w:val="24"/>
                <w:color w:val="auto"/>
              </w:rPr>
            </w:pPr>
          </w:p>
        </w:tc>
        <w:tc>
          <w:tcPr>
            <w:tcW w:w="920" w:type="dxa"/>
            <w:vAlign w:val="bottom"/>
            <w:shd w:val="clear" w:color="auto" w:fill="CCFFCC"/>
          </w:tcPr>
          <w:p>
            <w:pPr>
              <w:spacing w:after="0"/>
              <w:rPr>
                <w:sz w:val="24"/>
                <w:szCs w:val="24"/>
                <w:color w:val="auto"/>
              </w:rPr>
            </w:pPr>
          </w:p>
        </w:tc>
        <w:tc>
          <w:tcPr>
            <w:tcW w:w="340" w:type="dxa"/>
            <w:vAlign w:val="bottom"/>
            <w:shd w:val="clear" w:color="auto" w:fill="CCFFCC"/>
          </w:tcPr>
          <w:p>
            <w:pPr>
              <w:spacing w:after="0"/>
              <w:rPr>
                <w:sz w:val="24"/>
                <w:szCs w:val="24"/>
                <w:color w:val="auto"/>
              </w:rPr>
            </w:pPr>
          </w:p>
        </w:tc>
      </w:tr>
      <w:tr>
        <w:trPr>
          <w:trHeight w:val="237"/>
        </w:trPr>
        <w:tc>
          <w:tcPr>
            <w:tcW w:w="6200" w:type="dxa"/>
            <w:vAlign w:val="bottom"/>
          </w:tcPr>
          <w:p>
            <w:pPr>
              <w:ind w:left="40"/>
              <w:spacing w:after="0"/>
              <w:rPr>
                <w:sz w:val="20"/>
                <w:szCs w:val="20"/>
                <w:color w:val="auto"/>
              </w:rPr>
            </w:pPr>
            <w:r>
              <w:rPr>
                <w:rFonts w:ascii="Arial" w:cs="Arial" w:eastAsia="Arial" w:hAnsi="Arial"/>
                <w:sz w:val="16"/>
                <w:szCs w:val="16"/>
                <w:color w:val="auto"/>
              </w:rPr>
              <w:t>Net (loss) income per share of common stock:</w:t>
            </w: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33"/>
        </w:trPr>
        <w:tc>
          <w:tcPr>
            <w:tcW w:w="6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50"/>
        </w:trPr>
        <w:tc>
          <w:tcPr>
            <w:tcW w:w="620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Basic</w:t>
            </w:r>
          </w:p>
        </w:tc>
        <w:tc>
          <w:tcPr>
            <w:tcW w:w="140" w:type="dxa"/>
            <w:vAlign w:val="bottom"/>
            <w:tcBorders>
              <w:bottom w:val="single" w:sz="8" w:color="auto"/>
            </w:tcBorders>
            <w:shd w:val="clear" w:color="auto" w:fill="CCFFCC"/>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(0.10)</w:t>
            </w:r>
          </w:p>
        </w:tc>
        <w:tc>
          <w:tcPr>
            <w:tcW w:w="12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auto"/>
            </w:tcBorders>
            <w:shd w:val="clear" w:color="auto" w:fill="CCFFCC"/>
          </w:tcPr>
          <w:p>
            <w:pPr>
              <w:ind w:left="4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FFCC"/>
          </w:tcPr>
          <w:p>
            <w:pPr>
              <w:jc w:val="right"/>
              <w:ind w:right="22"/>
              <w:spacing w:after="0"/>
              <w:rPr>
                <w:sz w:val="20"/>
                <w:szCs w:val="20"/>
                <w:color w:val="auto"/>
              </w:rPr>
            </w:pPr>
            <w:r>
              <w:rPr>
                <w:rFonts w:ascii="Arial" w:cs="Arial" w:eastAsia="Arial" w:hAnsi="Arial"/>
                <w:sz w:val="16"/>
                <w:szCs w:val="16"/>
                <w:color w:val="auto"/>
              </w:rPr>
              <w:t>0.03</w:t>
            </w:r>
          </w:p>
        </w:tc>
        <w:tc>
          <w:tcPr>
            <w:tcW w:w="34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auto"/>
            </w:tcBorders>
            <w:shd w:val="clear" w:color="auto" w:fill="CCFFCC"/>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(0.29)</w:t>
            </w:r>
          </w:p>
        </w:tc>
        <w:tc>
          <w:tcPr>
            <w:tcW w:w="10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auto"/>
            </w:tcBorders>
            <w:shd w:val="clear" w:color="auto" w:fill="CCFFCC"/>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(0.10)</w:t>
            </w:r>
          </w:p>
        </w:tc>
        <w:tc>
          <w:tcPr>
            <w:tcW w:w="340" w:type="dxa"/>
            <w:vAlign w:val="bottom"/>
            <w:tcBorders>
              <w:bottom w:val="single" w:sz="8" w:color="CCFFCC"/>
            </w:tcBorders>
            <w:shd w:val="clear" w:color="auto" w:fill="CCFFCC"/>
          </w:tcPr>
          <w:p>
            <w:pPr>
              <w:spacing w:after="0"/>
              <w:rPr>
                <w:sz w:val="21"/>
                <w:szCs w:val="21"/>
                <w:color w:val="auto"/>
              </w:rPr>
            </w:pPr>
          </w:p>
        </w:tc>
      </w:tr>
      <w:tr>
        <w:trPr>
          <w:trHeight w:val="20"/>
        </w:trPr>
        <w:tc>
          <w:tcPr>
            <w:tcW w:w="6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77"/>
        </w:trPr>
        <w:tc>
          <w:tcPr>
            <w:tcW w:w="6200" w:type="dxa"/>
            <w:vAlign w:val="bottom"/>
            <w:tcBorders>
              <w:bottom w:val="single" w:sz="8" w:color="CCFFCC"/>
            </w:tcBorders>
          </w:tcPr>
          <w:p>
            <w:pPr>
              <w:ind w:left="180"/>
              <w:spacing w:after="0"/>
              <w:rPr>
                <w:sz w:val="20"/>
                <w:szCs w:val="20"/>
                <w:color w:val="auto"/>
              </w:rPr>
            </w:pPr>
            <w:r>
              <w:rPr>
                <w:rFonts w:ascii="Arial" w:cs="Arial" w:eastAsia="Arial" w:hAnsi="Arial"/>
                <w:sz w:val="16"/>
                <w:szCs w:val="16"/>
                <w:color w:val="auto"/>
              </w:rPr>
              <w:t>Diluted</w:t>
            </w: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(0.10)</w:t>
            </w:r>
          </w:p>
        </w:tc>
        <w:tc>
          <w:tcPr>
            <w:tcW w:w="120" w:type="dxa"/>
            <w:vAlign w:val="bottom"/>
            <w:tcBorders>
              <w:bottom w:val="single" w:sz="8" w:color="CCFFCC"/>
            </w:tcBorders>
          </w:tcPr>
          <w:p>
            <w:pPr>
              <w:spacing w:after="0"/>
              <w:rPr>
                <w:sz w:val="24"/>
                <w:szCs w:val="24"/>
                <w:color w:val="auto"/>
              </w:rPr>
            </w:pPr>
          </w:p>
        </w:tc>
        <w:tc>
          <w:tcPr>
            <w:tcW w:w="22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0.03</w:t>
            </w:r>
          </w:p>
        </w:tc>
        <w:tc>
          <w:tcPr>
            <w:tcW w:w="340" w:type="dxa"/>
            <w:vAlign w:val="bottom"/>
            <w:tcBorders>
              <w:bottom w:val="single" w:sz="8" w:color="CCFFCC"/>
            </w:tcBorders>
          </w:tcPr>
          <w:p>
            <w:pPr>
              <w:spacing w:after="0"/>
              <w:rPr>
                <w:sz w:val="24"/>
                <w:szCs w:val="24"/>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(0.29)</w:t>
            </w:r>
          </w:p>
        </w:tc>
        <w:tc>
          <w:tcPr>
            <w:tcW w:w="100" w:type="dxa"/>
            <w:vAlign w:val="bottom"/>
            <w:tcBorders>
              <w:bottom w:val="single" w:sz="8" w:color="CCFFCC"/>
            </w:tcBorders>
          </w:tcPr>
          <w:p>
            <w:pPr>
              <w:spacing w:after="0"/>
              <w:rPr>
                <w:sz w:val="24"/>
                <w:szCs w:val="24"/>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(0.10)</w:t>
            </w:r>
          </w:p>
        </w:tc>
        <w:tc>
          <w:tcPr>
            <w:tcW w:w="340" w:type="dxa"/>
            <w:vAlign w:val="bottom"/>
            <w:tcBorders>
              <w:bottom w:val="single" w:sz="8" w:color="CCFFCC"/>
            </w:tcBorders>
          </w:tcPr>
          <w:p>
            <w:pPr>
              <w:spacing w:after="0"/>
              <w:rPr>
                <w:sz w:val="24"/>
                <w:szCs w:val="24"/>
                <w:color w:val="auto"/>
              </w:rPr>
            </w:pPr>
          </w:p>
        </w:tc>
      </w:tr>
      <w:tr>
        <w:trPr>
          <w:trHeight w:val="284"/>
        </w:trPr>
        <w:tc>
          <w:tcPr>
            <w:tcW w:w="620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90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220" w:type="dxa"/>
            <w:vAlign w:val="bottom"/>
            <w:shd w:val="clear" w:color="auto" w:fill="CCFFCC"/>
          </w:tcPr>
          <w:p>
            <w:pPr>
              <w:spacing w:after="0"/>
              <w:rPr>
                <w:sz w:val="24"/>
                <w:szCs w:val="24"/>
                <w:color w:val="auto"/>
              </w:rPr>
            </w:pPr>
          </w:p>
        </w:tc>
        <w:tc>
          <w:tcPr>
            <w:tcW w:w="920" w:type="dxa"/>
            <w:vAlign w:val="bottom"/>
            <w:shd w:val="clear" w:color="auto" w:fill="CCFFCC"/>
          </w:tcPr>
          <w:p>
            <w:pPr>
              <w:spacing w:after="0"/>
              <w:rPr>
                <w:sz w:val="24"/>
                <w:szCs w:val="24"/>
                <w:color w:val="auto"/>
              </w:rPr>
            </w:pPr>
          </w:p>
        </w:tc>
        <w:tc>
          <w:tcPr>
            <w:tcW w:w="34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88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200" w:type="dxa"/>
            <w:vAlign w:val="bottom"/>
            <w:shd w:val="clear" w:color="auto" w:fill="CCFFCC"/>
          </w:tcPr>
          <w:p>
            <w:pPr>
              <w:spacing w:after="0"/>
              <w:rPr>
                <w:sz w:val="24"/>
                <w:szCs w:val="24"/>
                <w:color w:val="auto"/>
              </w:rPr>
            </w:pPr>
          </w:p>
        </w:tc>
        <w:tc>
          <w:tcPr>
            <w:tcW w:w="920" w:type="dxa"/>
            <w:vAlign w:val="bottom"/>
            <w:shd w:val="clear" w:color="auto" w:fill="CCFFCC"/>
          </w:tcPr>
          <w:p>
            <w:pPr>
              <w:spacing w:after="0"/>
              <w:rPr>
                <w:sz w:val="24"/>
                <w:szCs w:val="24"/>
                <w:color w:val="auto"/>
              </w:rPr>
            </w:pPr>
          </w:p>
        </w:tc>
        <w:tc>
          <w:tcPr>
            <w:tcW w:w="340" w:type="dxa"/>
            <w:vAlign w:val="bottom"/>
            <w:shd w:val="clear" w:color="auto" w:fill="CCFFCC"/>
          </w:tcPr>
          <w:p>
            <w:pPr>
              <w:spacing w:after="0"/>
              <w:rPr>
                <w:sz w:val="24"/>
                <w:szCs w:val="24"/>
                <w:color w:val="auto"/>
              </w:rPr>
            </w:pPr>
          </w:p>
        </w:tc>
      </w:tr>
      <w:tr>
        <w:trPr>
          <w:trHeight w:val="237"/>
        </w:trPr>
        <w:tc>
          <w:tcPr>
            <w:tcW w:w="6200" w:type="dxa"/>
            <w:vAlign w:val="bottom"/>
          </w:tcPr>
          <w:p>
            <w:pPr>
              <w:ind w:left="40"/>
              <w:spacing w:after="0"/>
              <w:rPr>
                <w:sz w:val="20"/>
                <w:szCs w:val="20"/>
                <w:color w:val="auto"/>
              </w:rPr>
            </w:pPr>
            <w:r>
              <w:rPr>
                <w:rFonts w:ascii="Arial" w:cs="Arial" w:eastAsia="Arial" w:hAnsi="Arial"/>
                <w:sz w:val="16"/>
                <w:szCs w:val="16"/>
                <w:color w:val="auto"/>
              </w:rPr>
              <w:t>Weighted-average shares used to compute net (loss) income per share:</w:t>
            </w: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33"/>
        </w:trPr>
        <w:tc>
          <w:tcPr>
            <w:tcW w:w="6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50"/>
        </w:trPr>
        <w:tc>
          <w:tcPr>
            <w:tcW w:w="620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Basic</w:t>
            </w:r>
          </w:p>
        </w:tc>
        <w:tc>
          <w:tcPr>
            <w:tcW w:w="140" w:type="dxa"/>
            <w:vAlign w:val="bottom"/>
            <w:tcBorders>
              <w:bottom w:val="single" w:sz="8" w:color="auto"/>
            </w:tcBorders>
            <w:shd w:val="clear" w:color="auto" w:fill="CCFFCC"/>
          </w:tcPr>
          <w:p>
            <w:pPr>
              <w:spacing w:after="0"/>
              <w:rPr>
                <w:sz w:val="21"/>
                <w:szCs w:val="21"/>
                <w:color w:val="auto"/>
              </w:rPr>
            </w:pPr>
          </w:p>
        </w:tc>
        <w:tc>
          <w:tcPr>
            <w:tcW w:w="900" w:type="dxa"/>
            <w:vAlign w:val="bottom"/>
            <w:tcBorders>
              <w:bottom w:val="single" w:sz="8" w:color="auto"/>
            </w:tcBorders>
            <w:shd w:val="clear" w:color="auto" w:fill="CCFFCC"/>
          </w:tcPr>
          <w:p>
            <w:pPr>
              <w:jc w:val="right"/>
              <w:ind w:right="43"/>
              <w:spacing w:after="0"/>
              <w:rPr>
                <w:sz w:val="20"/>
                <w:szCs w:val="20"/>
                <w:color w:val="auto"/>
              </w:rPr>
            </w:pPr>
            <w:r>
              <w:rPr>
                <w:rFonts w:ascii="Arial" w:cs="Arial" w:eastAsia="Arial" w:hAnsi="Arial"/>
                <w:sz w:val="16"/>
                <w:szCs w:val="16"/>
                <w:color w:val="auto"/>
                <w:w w:val="94"/>
              </w:rPr>
              <w:t>56,047,645</w:t>
            </w:r>
          </w:p>
        </w:tc>
        <w:tc>
          <w:tcPr>
            <w:tcW w:w="12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auto"/>
            </w:tcBorders>
            <w:shd w:val="clear" w:color="auto" w:fill="CCFFCC"/>
          </w:tcPr>
          <w:p>
            <w:pPr>
              <w:spacing w:after="0"/>
              <w:rPr>
                <w:sz w:val="21"/>
                <w:szCs w:val="21"/>
                <w:color w:val="auto"/>
              </w:rPr>
            </w:pPr>
          </w:p>
        </w:tc>
        <w:tc>
          <w:tcPr>
            <w:tcW w:w="920" w:type="dxa"/>
            <w:vAlign w:val="bottom"/>
            <w:tcBorders>
              <w:bottom w:val="single" w:sz="8" w:color="auto"/>
            </w:tcBorders>
            <w:shd w:val="clear" w:color="auto" w:fill="CCFFCC"/>
          </w:tcPr>
          <w:p>
            <w:pPr>
              <w:jc w:val="right"/>
              <w:ind w:right="22"/>
              <w:spacing w:after="0"/>
              <w:rPr>
                <w:sz w:val="20"/>
                <w:szCs w:val="20"/>
                <w:color w:val="auto"/>
              </w:rPr>
            </w:pPr>
            <w:r>
              <w:rPr>
                <w:rFonts w:ascii="Arial" w:cs="Arial" w:eastAsia="Arial" w:hAnsi="Arial"/>
                <w:sz w:val="16"/>
                <w:szCs w:val="16"/>
                <w:color w:val="auto"/>
                <w:w w:val="99"/>
              </w:rPr>
              <w:t>56,525,647</w:t>
            </w:r>
          </w:p>
        </w:tc>
        <w:tc>
          <w:tcPr>
            <w:tcW w:w="34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auto"/>
            </w:tcBorders>
            <w:shd w:val="clear" w:color="auto" w:fill="CCFFCC"/>
          </w:tcPr>
          <w:p>
            <w:pPr>
              <w:spacing w:after="0"/>
              <w:rPr>
                <w:sz w:val="21"/>
                <w:szCs w:val="21"/>
                <w:color w:val="auto"/>
              </w:rPr>
            </w:pPr>
          </w:p>
        </w:tc>
        <w:tc>
          <w:tcPr>
            <w:tcW w:w="880" w:type="dxa"/>
            <w:vAlign w:val="bottom"/>
            <w:tcBorders>
              <w:bottom w:val="single" w:sz="8" w:color="auto"/>
            </w:tcBorders>
            <w:shd w:val="clear" w:color="auto" w:fill="CCFFCC"/>
          </w:tcPr>
          <w:p>
            <w:pPr>
              <w:jc w:val="right"/>
              <w:ind w:right="43"/>
              <w:spacing w:after="0"/>
              <w:rPr>
                <w:sz w:val="20"/>
                <w:szCs w:val="20"/>
                <w:color w:val="auto"/>
              </w:rPr>
            </w:pPr>
            <w:r>
              <w:rPr>
                <w:rFonts w:ascii="Arial" w:cs="Arial" w:eastAsia="Arial" w:hAnsi="Arial"/>
                <w:sz w:val="16"/>
                <w:szCs w:val="16"/>
                <w:color w:val="auto"/>
                <w:w w:val="92"/>
              </w:rPr>
              <w:t>56,131,818</w:t>
            </w:r>
          </w:p>
        </w:tc>
        <w:tc>
          <w:tcPr>
            <w:tcW w:w="10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auto"/>
            </w:tcBorders>
            <w:shd w:val="clear" w:color="auto" w:fill="CCFFCC"/>
          </w:tcPr>
          <w:p>
            <w:pPr>
              <w:spacing w:after="0"/>
              <w:rPr>
                <w:sz w:val="21"/>
                <w:szCs w:val="21"/>
                <w:color w:val="auto"/>
              </w:rPr>
            </w:pPr>
          </w:p>
        </w:tc>
        <w:tc>
          <w:tcPr>
            <w:tcW w:w="920" w:type="dxa"/>
            <w:vAlign w:val="bottom"/>
            <w:tcBorders>
              <w:bottom w:val="single" w:sz="8" w:color="auto"/>
            </w:tcBorders>
            <w:shd w:val="clear" w:color="auto" w:fill="CCFFCC"/>
          </w:tcPr>
          <w:p>
            <w:pPr>
              <w:jc w:val="right"/>
              <w:ind w:right="22"/>
              <w:spacing w:after="0"/>
              <w:rPr>
                <w:sz w:val="20"/>
                <w:szCs w:val="20"/>
                <w:color w:val="auto"/>
              </w:rPr>
            </w:pPr>
            <w:r>
              <w:rPr>
                <w:rFonts w:ascii="Arial" w:cs="Arial" w:eastAsia="Arial" w:hAnsi="Arial"/>
                <w:sz w:val="16"/>
                <w:szCs w:val="16"/>
                <w:color w:val="auto"/>
                <w:w w:val="99"/>
              </w:rPr>
              <w:t>56,437,198</w:t>
            </w:r>
          </w:p>
        </w:tc>
        <w:tc>
          <w:tcPr>
            <w:tcW w:w="340" w:type="dxa"/>
            <w:vAlign w:val="bottom"/>
            <w:tcBorders>
              <w:bottom w:val="single" w:sz="8" w:color="CCFFCC"/>
            </w:tcBorders>
            <w:shd w:val="clear" w:color="auto" w:fill="CCFFCC"/>
          </w:tcPr>
          <w:p>
            <w:pPr>
              <w:spacing w:after="0"/>
              <w:rPr>
                <w:sz w:val="21"/>
                <w:szCs w:val="21"/>
                <w:color w:val="auto"/>
              </w:rPr>
            </w:pPr>
          </w:p>
        </w:tc>
      </w:tr>
      <w:tr>
        <w:trPr>
          <w:trHeight w:val="20"/>
        </w:trPr>
        <w:tc>
          <w:tcPr>
            <w:tcW w:w="6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77"/>
        </w:trPr>
        <w:tc>
          <w:tcPr>
            <w:tcW w:w="6200" w:type="dxa"/>
            <w:vAlign w:val="bottom"/>
            <w:tcBorders>
              <w:bottom w:val="single" w:sz="8" w:color="CCFFCC"/>
            </w:tcBorders>
          </w:tcPr>
          <w:p>
            <w:pPr>
              <w:ind w:left="180"/>
              <w:spacing w:after="0"/>
              <w:rPr>
                <w:sz w:val="20"/>
                <w:szCs w:val="20"/>
                <w:color w:val="auto"/>
              </w:rPr>
            </w:pPr>
            <w:r>
              <w:rPr>
                <w:rFonts w:ascii="Arial" w:cs="Arial" w:eastAsia="Arial" w:hAnsi="Arial"/>
                <w:sz w:val="16"/>
                <w:szCs w:val="16"/>
                <w:color w:val="auto"/>
              </w:rPr>
              <w:t>Diluted</w:t>
            </w: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w w:val="94"/>
              </w:rPr>
              <w:t>56,047,645</w:t>
            </w:r>
          </w:p>
        </w:tc>
        <w:tc>
          <w:tcPr>
            <w:tcW w:w="120" w:type="dxa"/>
            <w:vAlign w:val="bottom"/>
            <w:tcBorders>
              <w:bottom w:val="single" w:sz="8" w:color="CCFFCC"/>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w w:val="99"/>
              </w:rPr>
              <w:t>57,084,437</w:t>
            </w:r>
          </w:p>
        </w:tc>
        <w:tc>
          <w:tcPr>
            <w:tcW w:w="340" w:type="dxa"/>
            <w:vAlign w:val="bottom"/>
            <w:tcBorders>
              <w:bottom w:val="single" w:sz="8" w:color="CCFFCC"/>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w w:val="92"/>
              </w:rPr>
              <w:t>56,131,818</w:t>
            </w:r>
          </w:p>
        </w:tc>
        <w:tc>
          <w:tcPr>
            <w:tcW w:w="100" w:type="dxa"/>
            <w:vAlign w:val="bottom"/>
            <w:tcBorders>
              <w:bottom w:val="single" w:sz="8" w:color="CCFFCC"/>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w w:val="99"/>
              </w:rPr>
              <w:t>56,437,198</w:t>
            </w:r>
          </w:p>
        </w:tc>
        <w:tc>
          <w:tcPr>
            <w:tcW w:w="340" w:type="dxa"/>
            <w:vAlign w:val="bottom"/>
            <w:tcBorders>
              <w:bottom w:val="single" w:sz="8" w:color="CCFFCC"/>
            </w:tcBorders>
          </w:tcPr>
          <w:p>
            <w:pPr>
              <w:spacing w:after="0"/>
              <w:rPr>
                <w:sz w:val="24"/>
                <w:szCs w:val="24"/>
                <w:color w:val="auto"/>
              </w:rPr>
            </w:pPr>
          </w:p>
        </w:tc>
      </w:tr>
      <w:tr>
        <w:trPr>
          <w:trHeight w:val="284"/>
        </w:trPr>
        <w:tc>
          <w:tcPr>
            <w:tcW w:w="620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90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220" w:type="dxa"/>
            <w:vAlign w:val="bottom"/>
            <w:shd w:val="clear" w:color="auto" w:fill="CCFFCC"/>
          </w:tcPr>
          <w:p>
            <w:pPr>
              <w:spacing w:after="0"/>
              <w:rPr>
                <w:sz w:val="24"/>
                <w:szCs w:val="24"/>
                <w:color w:val="auto"/>
              </w:rPr>
            </w:pPr>
          </w:p>
        </w:tc>
        <w:tc>
          <w:tcPr>
            <w:tcW w:w="920" w:type="dxa"/>
            <w:vAlign w:val="bottom"/>
            <w:shd w:val="clear" w:color="auto" w:fill="CCFFCC"/>
          </w:tcPr>
          <w:p>
            <w:pPr>
              <w:spacing w:after="0"/>
              <w:rPr>
                <w:sz w:val="24"/>
                <w:szCs w:val="24"/>
                <w:color w:val="auto"/>
              </w:rPr>
            </w:pPr>
          </w:p>
        </w:tc>
        <w:tc>
          <w:tcPr>
            <w:tcW w:w="34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88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200" w:type="dxa"/>
            <w:vAlign w:val="bottom"/>
            <w:shd w:val="clear" w:color="auto" w:fill="CCFFCC"/>
          </w:tcPr>
          <w:p>
            <w:pPr>
              <w:spacing w:after="0"/>
              <w:rPr>
                <w:sz w:val="24"/>
                <w:szCs w:val="24"/>
                <w:color w:val="auto"/>
              </w:rPr>
            </w:pPr>
          </w:p>
        </w:tc>
        <w:tc>
          <w:tcPr>
            <w:tcW w:w="920" w:type="dxa"/>
            <w:vAlign w:val="bottom"/>
            <w:shd w:val="clear" w:color="auto" w:fill="CCFFCC"/>
          </w:tcPr>
          <w:p>
            <w:pPr>
              <w:spacing w:after="0"/>
              <w:rPr>
                <w:sz w:val="24"/>
                <w:szCs w:val="24"/>
                <w:color w:val="auto"/>
              </w:rPr>
            </w:pPr>
          </w:p>
        </w:tc>
        <w:tc>
          <w:tcPr>
            <w:tcW w:w="340" w:type="dxa"/>
            <w:vAlign w:val="bottom"/>
            <w:shd w:val="clear" w:color="auto" w:fill="CCFFCC"/>
          </w:tcPr>
          <w:p>
            <w:pPr>
              <w:spacing w:after="0"/>
              <w:rPr>
                <w:sz w:val="24"/>
                <w:szCs w:val="24"/>
                <w:color w:val="auto"/>
              </w:rPr>
            </w:pPr>
          </w:p>
        </w:tc>
      </w:tr>
      <w:tr>
        <w:trPr>
          <w:trHeight w:val="297"/>
        </w:trPr>
        <w:tc>
          <w:tcPr>
            <w:tcW w:w="6200" w:type="dxa"/>
            <w:vAlign w:val="bottom"/>
            <w:tcBorders>
              <w:bottom w:val="single" w:sz="8" w:color="auto"/>
            </w:tcBorders>
          </w:tcPr>
          <w:p>
            <w:pPr>
              <w:spacing w:after="0"/>
              <w:rPr>
                <w:sz w:val="24"/>
                <w:szCs w:val="24"/>
                <w:color w:val="auto"/>
              </w:rPr>
            </w:pPr>
          </w:p>
        </w:tc>
        <w:tc>
          <w:tcPr>
            <w:tcW w:w="140" w:type="dxa"/>
            <w:vAlign w:val="bottom"/>
            <w:tcBorders>
              <w:bottom w:val="single" w:sz="8" w:color="CCFFCC"/>
            </w:tcBorders>
          </w:tcPr>
          <w:p>
            <w:pPr>
              <w:spacing w:after="0"/>
              <w:rPr>
                <w:sz w:val="24"/>
                <w:szCs w:val="24"/>
                <w:color w:val="auto"/>
              </w:rPr>
            </w:pPr>
          </w:p>
        </w:tc>
        <w:tc>
          <w:tcPr>
            <w:tcW w:w="900" w:type="dxa"/>
            <w:vAlign w:val="bottom"/>
            <w:tcBorders>
              <w:bottom w:val="single" w:sz="8" w:color="CCFFCC"/>
            </w:tcBorders>
          </w:tcPr>
          <w:p>
            <w:pPr>
              <w:spacing w:after="0"/>
              <w:rPr>
                <w:sz w:val="24"/>
                <w:szCs w:val="24"/>
                <w:color w:val="auto"/>
              </w:rPr>
            </w:pPr>
          </w:p>
        </w:tc>
        <w:tc>
          <w:tcPr>
            <w:tcW w:w="120" w:type="dxa"/>
            <w:vAlign w:val="bottom"/>
            <w:tcBorders>
              <w:bottom w:val="single" w:sz="8" w:color="CCFFCC"/>
            </w:tcBorders>
          </w:tcPr>
          <w:p>
            <w:pPr>
              <w:spacing w:after="0"/>
              <w:rPr>
                <w:sz w:val="24"/>
                <w:szCs w:val="24"/>
                <w:color w:val="auto"/>
              </w:rPr>
            </w:pPr>
          </w:p>
        </w:tc>
        <w:tc>
          <w:tcPr>
            <w:tcW w:w="220" w:type="dxa"/>
            <w:vAlign w:val="bottom"/>
            <w:tcBorders>
              <w:bottom w:val="single" w:sz="8" w:color="CCFFCC"/>
            </w:tcBorders>
          </w:tcPr>
          <w:p>
            <w:pPr>
              <w:spacing w:after="0"/>
              <w:rPr>
                <w:sz w:val="24"/>
                <w:szCs w:val="24"/>
                <w:color w:val="auto"/>
              </w:rPr>
            </w:pPr>
          </w:p>
        </w:tc>
        <w:tc>
          <w:tcPr>
            <w:tcW w:w="920" w:type="dxa"/>
            <w:vAlign w:val="bottom"/>
            <w:tcBorders>
              <w:bottom w:val="single" w:sz="8" w:color="CCFFCC"/>
            </w:tcBorders>
          </w:tcPr>
          <w:p>
            <w:pPr>
              <w:spacing w:after="0"/>
              <w:rPr>
                <w:sz w:val="24"/>
                <w:szCs w:val="24"/>
                <w:color w:val="auto"/>
              </w:rPr>
            </w:pPr>
          </w:p>
        </w:tc>
        <w:tc>
          <w:tcPr>
            <w:tcW w:w="340" w:type="dxa"/>
            <w:vAlign w:val="bottom"/>
            <w:tcBorders>
              <w:bottom w:val="single" w:sz="8" w:color="CCFFCC"/>
            </w:tcBorders>
          </w:tcPr>
          <w:p>
            <w:pPr>
              <w:spacing w:after="0"/>
              <w:rPr>
                <w:sz w:val="24"/>
                <w:szCs w:val="24"/>
                <w:color w:val="auto"/>
              </w:rPr>
            </w:pPr>
          </w:p>
        </w:tc>
        <w:tc>
          <w:tcPr>
            <w:tcW w:w="140" w:type="dxa"/>
            <w:vAlign w:val="bottom"/>
            <w:tcBorders>
              <w:bottom w:val="single" w:sz="8" w:color="CCFFCC"/>
            </w:tcBorders>
          </w:tcPr>
          <w:p>
            <w:pPr>
              <w:spacing w:after="0"/>
              <w:rPr>
                <w:sz w:val="24"/>
                <w:szCs w:val="24"/>
                <w:color w:val="auto"/>
              </w:rPr>
            </w:pPr>
          </w:p>
        </w:tc>
        <w:tc>
          <w:tcPr>
            <w:tcW w:w="880" w:type="dxa"/>
            <w:vAlign w:val="bottom"/>
            <w:tcBorders>
              <w:bottom w:val="single" w:sz="8" w:color="CCFFCC"/>
            </w:tcBorders>
          </w:tcPr>
          <w:p>
            <w:pPr>
              <w:spacing w:after="0"/>
              <w:rPr>
                <w:sz w:val="24"/>
                <w:szCs w:val="24"/>
                <w:color w:val="auto"/>
              </w:rPr>
            </w:pPr>
          </w:p>
        </w:tc>
        <w:tc>
          <w:tcPr>
            <w:tcW w:w="100" w:type="dxa"/>
            <w:vAlign w:val="bottom"/>
            <w:tcBorders>
              <w:bottom w:val="single" w:sz="8" w:color="CCFFCC"/>
            </w:tcBorders>
          </w:tcPr>
          <w:p>
            <w:pPr>
              <w:spacing w:after="0"/>
              <w:rPr>
                <w:sz w:val="24"/>
                <w:szCs w:val="24"/>
                <w:color w:val="auto"/>
              </w:rPr>
            </w:pPr>
          </w:p>
        </w:tc>
        <w:tc>
          <w:tcPr>
            <w:tcW w:w="200" w:type="dxa"/>
            <w:vAlign w:val="bottom"/>
            <w:tcBorders>
              <w:bottom w:val="single" w:sz="8" w:color="CCFFCC"/>
            </w:tcBorders>
          </w:tcPr>
          <w:p>
            <w:pPr>
              <w:spacing w:after="0"/>
              <w:rPr>
                <w:sz w:val="24"/>
                <w:szCs w:val="24"/>
                <w:color w:val="auto"/>
              </w:rPr>
            </w:pPr>
          </w:p>
        </w:tc>
        <w:tc>
          <w:tcPr>
            <w:tcW w:w="920" w:type="dxa"/>
            <w:vAlign w:val="bottom"/>
            <w:tcBorders>
              <w:bottom w:val="single" w:sz="8" w:color="CCFFCC"/>
            </w:tcBorders>
          </w:tcPr>
          <w:p>
            <w:pPr>
              <w:spacing w:after="0"/>
              <w:rPr>
                <w:sz w:val="24"/>
                <w:szCs w:val="24"/>
                <w:color w:val="auto"/>
              </w:rPr>
            </w:pPr>
          </w:p>
        </w:tc>
        <w:tc>
          <w:tcPr>
            <w:tcW w:w="340" w:type="dxa"/>
            <w:vAlign w:val="bottom"/>
            <w:tcBorders>
              <w:bottom w:val="single" w:sz="8" w:color="CCFFCC"/>
            </w:tcBorders>
          </w:tcPr>
          <w:p>
            <w:pPr>
              <w:spacing w:after="0"/>
              <w:rPr>
                <w:sz w:val="24"/>
                <w:szCs w:val="24"/>
                <w:color w:val="auto"/>
              </w:rPr>
            </w:pPr>
          </w:p>
        </w:tc>
      </w:tr>
      <w:tr>
        <w:trPr>
          <w:trHeight w:val="250"/>
        </w:trPr>
        <w:tc>
          <w:tcPr>
            <w:tcW w:w="6200" w:type="dxa"/>
            <w:vAlign w:val="bottom"/>
            <w:shd w:val="clear" w:color="auto" w:fill="CCFFCC"/>
          </w:tcPr>
          <w:p>
            <w:pPr>
              <w:ind w:left="180"/>
              <w:spacing w:after="0"/>
              <w:rPr>
                <w:sz w:val="20"/>
                <w:szCs w:val="20"/>
                <w:color w:val="auto"/>
              </w:rPr>
            </w:pPr>
            <w:r>
              <w:rPr>
                <w:rFonts w:ascii="Arial" w:cs="Arial" w:eastAsia="Arial" w:hAnsi="Arial"/>
                <w:sz w:val="9"/>
                <w:szCs w:val="9"/>
                <w:color w:val="auto"/>
              </w:rPr>
              <w:t xml:space="preserve">(1) </w:t>
            </w:r>
            <w:r>
              <w:rPr>
                <w:rFonts w:ascii="Arial" w:cs="Arial" w:eastAsia="Arial" w:hAnsi="Arial"/>
                <w:sz w:val="14"/>
                <w:szCs w:val="14"/>
                <w:color w:val="auto"/>
              </w:rPr>
              <w:t>Amounts include stock-based compensation expense, as follows:</w:t>
            </w:r>
          </w:p>
        </w:tc>
        <w:tc>
          <w:tcPr>
            <w:tcW w:w="140" w:type="dxa"/>
            <w:vAlign w:val="bottom"/>
            <w:shd w:val="clear" w:color="auto" w:fill="CCFFCC"/>
          </w:tcPr>
          <w:p>
            <w:pPr>
              <w:spacing w:after="0"/>
              <w:rPr>
                <w:sz w:val="21"/>
                <w:szCs w:val="21"/>
                <w:color w:val="auto"/>
              </w:rPr>
            </w:pPr>
          </w:p>
        </w:tc>
        <w:tc>
          <w:tcPr>
            <w:tcW w:w="90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920" w:type="dxa"/>
            <w:vAlign w:val="bottom"/>
            <w:shd w:val="clear" w:color="auto" w:fill="CCFFCC"/>
          </w:tcPr>
          <w:p>
            <w:pPr>
              <w:spacing w:after="0"/>
              <w:rPr>
                <w:sz w:val="21"/>
                <w:szCs w:val="21"/>
                <w:color w:val="auto"/>
              </w:rPr>
            </w:pPr>
          </w:p>
        </w:tc>
        <w:tc>
          <w:tcPr>
            <w:tcW w:w="34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88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920" w:type="dxa"/>
            <w:vAlign w:val="bottom"/>
            <w:shd w:val="clear" w:color="auto" w:fill="CCFFCC"/>
          </w:tcPr>
          <w:p>
            <w:pPr>
              <w:spacing w:after="0"/>
              <w:rPr>
                <w:sz w:val="21"/>
                <w:szCs w:val="21"/>
                <w:color w:val="auto"/>
              </w:rPr>
            </w:pPr>
          </w:p>
        </w:tc>
        <w:tc>
          <w:tcPr>
            <w:tcW w:w="340" w:type="dxa"/>
            <w:vAlign w:val="bottom"/>
            <w:shd w:val="clear" w:color="auto" w:fill="CCFFCC"/>
          </w:tcPr>
          <w:p>
            <w:pPr>
              <w:spacing w:after="0"/>
              <w:rPr>
                <w:sz w:val="21"/>
                <w:szCs w:val="21"/>
                <w:color w:val="auto"/>
              </w:rPr>
            </w:pPr>
          </w:p>
        </w:tc>
      </w:tr>
      <w:tr>
        <w:trPr>
          <w:trHeight w:val="264"/>
        </w:trPr>
        <w:tc>
          <w:tcPr>
            <w:tcW w:w="6200" w:type="dxa"/>
            <w:vAlign w:val="bottom"/>
          </w:tcPr>
          <w:p>
            <w:pPr>
              <w:ind w:left="380"/>
              <w:spacing w:after="0"/>
              <w:rPr>
                <w:sz w:val="20"/>
                <w:szCs w:val="20"/>
                <w:color w:val="auto"/>
              </w:rPr>
            </w:pPr>
            <w:r>
              <w:rPr>
                <w:rFonts w:ascii="Arial" w:cs="Arial" w:eastAsia="Arial" w:hAnsi="Arial"/>
                <w:sz w:val="14"/>
                <w:szCs w:val="14"/>
                <w:color w:val="auto"/>
              </w:rPr>
              <w:t>Cost of revenue</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3"/>
              <w:spacing w:after="0"/>
              <w:rPr>
                <w:sz w:val="20"/>
                <w:szCs w:val="20"/>
                <w:color w:val="auto"/>
              </w:rPr>
            </w:pPr>
            <w:r>
              <w:rPr>
                <w:rFonts w:ascii="Arial" w:cs="Arial" w:eastAsia="Arial" w:hAnsi="Arial"/>
                <w:sz w:val="14"/>
                <w:szCs w:val="14"/>
                <w:color w:val="auto"/>
              </w:rPr>
              <w:t>121</w:t>
            </w:r>
          </w:p>
        </w:tc>
        <w:tc>
          <w:tcPr>
            <w:tcW w:w="120" w:type="dxa"/>
            <w:vAlign w:val="bottom"/>
          </w:tcPr>
          <w:p>
            <w:pPr>
              <w:spacing w:after="0"/>
              <w:rPr>
                <w:sz w:val="22"/>
                <w:szCs w:val="22"/>
                <w:color w:val="auto"/>
              </w:rPr>
            </w:pPr>
          </w:p>
        </w:tc>
        <w:tc>
          <w:tcPr>
            <w:tcW w:w="220" w:type="dxa"/>
            <w:vAlign w:val="bottom"/>
          </w:tcPr>
          <w:p>
            <w:pPr>
              <w:ind w:left="4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2"/>
              <w:spacing w:after="0"/>
              <w:rPr>
                <w:sz w:val="20"/>
                <w:szCs w:val="20"/>
                <w:color w:val="auto"/>
              </w:rPr>
            </w:pPr>
            <w:r>
              <w:rPr>
                <w:rFonts w:ascii="Arial" w:cs="Arial" w:eastAsia="Arial" w:hAnsi="Arial"/>
                <w:sz w:val="14"/>
                <w:szCs w:val="14"/>
                <w:color w:val="auto"/>
              </w:rPr>
              <w:t>288</w:t>
            </w:r>
          </w:p>
        </w:tc>
        <w:tc>
          <w:tcPr>
            <w:tcW w:w="340" w:type="dxa"/>
            <w:vAlign w:val="bottom"/>
          </w:tcPr>
          <w:p>
            <w:pPr>
              <w:spacing w:after="0"/>
              <w:rPr>
                <w:sz w:val="22"/>
                <w:szCs w:val="22"/>
                <w:color w:val="auto"/>
              </w:rPr>
            </w:pP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3"/>
              <w:spacing w:after="0"/>
              <w:rPr>
                <w:sz w:val="20"/>
                <w:szCs w:val="20"/>
                <w:color w:val="auto"/>
              </w:rPr>
            </w:pPr>
            <w:r>
              <w:rPr>
                <w:rFonts w:ascii="Arial" w:cs="Arial" w:eastAsia="Arial" w:hAnsi="Arial"/>
                <w:sz w:val="14"/>
                <w:szCs w:val="14"/>
                <w:color w:val="auto"/>
              </w:rPr>
              <w:t>342</w:t>
            </w:r>
          </w:p>
        </w:tc>
        <w:tc>
          <w:tcPr>
            <w:tcW w:w="100" w:type="dxa"/>
            <w:vAlign w:val="bottom"/>
          </w:tcPr>
          <w:p>
            <w:pPr>
              <w:spacing w:after="0"/>
              <w:rPr>
                <w:sz w:val="22"/>
                <w:szCs w:val="22"/>
                <w:color w:val="auto"/>
              </w:rPr>
            </w:pPr>
          </w:p>
        </w:tc>
        <w:tc>
          <w:tcPr>
            <w:tcW w:w="200" w:type="dxa"/>
            <w:vAlign w:val="bottom"/>
          </w:tcPr>
          <w:p>
            <w:pPr>
              <w:ind w:left="2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2"/>
              <w:spacing w:after="0"/>
              <w:rPr>
                <w:sz w:val="20"/>
                <w:szCs w:val="20"/>
                <w:color w:val="auto"/>
              </w:rPr>
            </w:pPr>
            <w:r>
              <w:rPr>
                <w:rFonts w:ascii="Arial" w:cs="Arial" w:eastAsia="Arial" w:hAnsi="Arial"/>
                <w:sz w:val="14"/>
                <w:szCs w:val="14"/>
                <w:color w:val="auto"/>
              </w:rPr>
              <w:t>1,092</w:t>
            </w:r>
          </w:p>
        </w:tc>
        <w:tc>
          <w:tcPr>
            <w:tcW w:w="340" w:type="dxa"/>
            <w:vAlign w:val="bottom"/>
          </w:tcPr>
          <w:p>
            <w:pPr>
              <w:spacing w:after="0"/>
              <w:rPr>
                <w:sz w:val="22"/>
                <w:szCs w:val="22"/>
                <w:color w:val="auto"/>
              </w:rPr>
            </w:pPr>
          </w:p>
        </w:tc>
      </w:tr>
      <w:tr>
        <w:trPr>
          <w:trHeight w:val="276"/>
        </w:trPr>
        <w:tc>
          <w:tcPr>
            <w:tcW w:w="6200" w:type="dxa"/>
            <w:vAlign w:val="bottom"/>
            <w:shd w:val="clear" w:color="auto" w:fill="CCFFCC"/>
          </w:tcPr>
          <w:p>
            <w:pPr>
              <w:ind w:left="380"/>
              <w:spacing w:after="0"/>
              <w:rPr>
                <w:sz w:val="20"/>
                <w:szCs w:val="20"/>
                <w:color w:val="auto"/>
              </w:rPr>
            </w:pPr>
            <w:r>
              <w:rPr>
                <w:rFonts w:ascii="Arial" w:cs="Arial" w:eastAsia="Arial" w:hAnsi="Arial"/>
                <w:sz w:val="14"/>
                <w:szCs w:val="14"/>
                <w:color w:val="auto"/>
              </w:rPr>
              <w:t>Sales and marketing</w:t>
            </w:r>
          </w:p>
        </w:tc>
        <w:tc>
          <w:tcPr>
            <w:tcW w:w="140" w:type="dxa"/>
            <w:vAlign w:val="bottom"/>
            <w:shd w:val="clear" w:color="auto" w:fill="CCFFCC"/>
          </w:tcPr>
          <w:p>
            <w:pPr>
              <w:spacing w:after="0"/>
              <w:rPr>
                <w:sz w:val="24"/>
                <w:szCs w:val="24"/>
                <w:color w:val="auto"/>
              </w:rPr>
            </w:pPr>
          </w:p>
        </w:tc>
        <w:tc>
          <w:tcPr>
            <w:tcW w:w="900" w:type="dxa"/>
            <w:vAlign w:val="bottom"/>
            <w:shd w:val="clear" w:color="auto" w:fill="CCFFCC"/>
          </w:tcPr>
          <w:p>
            <w:pPr>
              <w:jc w:val="right"/>
              <w:ind w:right="43"/>
              <w:spacing w:after="0"/>
              <w:rPr>
                <w:sz w:val="20"/>
                <w:szCs w:val="20"/>
                <w:color w:val="auto"/>
              </w:rPr>
            </w:pPr>
            <w:r>
              <w:rPr>
                <w:rFonts w:ascii="Arial" w:cs="Arial" w:eastAsia="Arial" w:hAnsi="Arial"/>
                <w:sz w:val="14"/>
                <w:szCs w:val="14"/>
                <w:color w:val="auto"/>
              </w:rPr>
              <w:t>502</w:t>
            </w:r>
          </w:p>
        </w:tc>
        <w:tc>
          <w:tcPr>
            <w:tcW w:w="120" w:type="dxa"/>
            <w:vAlign w:val="bottom"/>
            <w:shd w:val="clear" w:color="auto" w:fill="CCFFCC"/>
          </w:tcPr>
          <w:p>
            <w:pPr>
              <w:spacing w:after="0"/>
              <w:rPr>
                <w:sz w:val="24"/>
                <w:szCs w:val="24"/>
                <w:color w:val="auto"/>
              </w:rPr>
            </w:pPr>
          </w:p>
        </w:tc>
        <w:tc>
          <w:tcPr>
            <w:tcW w:w="220" w:type="dxa"/>
            <w:vAlign w:val="bottom"/>
            <w:shd w:val="clear" w:color="auto" w:fill="CCFFCC"/>
          </w:tcPr>
          <w:p>
            <w:pPr>
              <w:spacing w:after="0"/>
              <w:rPr>
                <w:sz w:val="24"/>
                <w:szCs w:val="24"/>
                <w:color w:val="auto"/>
              </w:rPr>
            </w:pPr>
          </w:p>
        </w:tc>
        <w:tc>
          <w:tcPr>
            <w:tcW w:w="920" w:type="dxa"/>
            <w:vAlign w:val="bottom"/>
            <w:shd w:val="clear" w:color="auto" w:fill="CCFFCC"/>
          </w:tcPr>
          <w:p>
            <w:pPr>
              <w:jc w:val="right"/>
              <w:ind w:right="22"/>
              <w:spacing w:after="0"/>
              <w:rPr>
                <w:sz w:val="20"/>
                <w:szCs w:val="20"/>
                <w:color w:val="auto"/>
              </w:rPr>
            </w:pPr>
            <w:r>
              <w:rPr>
                <w:rFonts w:ascii="Arial" w:cs="Arial" w:eastAsia="Arial" w:hAnsi="Arial"/>
                <w:sz w:val="14"/>
                <w:szCs w:val="14"/>
                <w:color w:val="auto"/>
              </w:rPr>
              <w:t>760</w:t>
            </w:r>
          </w:p>
        </w:tc>
        <w:tc>
          <w:tcPr>
            <w:tcW w:w="34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880" w:type="dxa"/>
            <w:vAlign w:val="bottom"/>
            <w:shd w:val="clear" w:color="auto" w:fill="CCFFCC"/>
          </w:tcPr>
          <w:p>
            <w:pPr>
              <w:jc w:val="right"/>
              <w:ind w:right="43"/>
              <w:spacing w:after="0"/>
              <w:rPr>
                <w:sz w:val="20"/>
                <w:szCs w:val="20"/>
                <w:color w:val="auto"/>
              </w:rPr>
            </w:pPr>
            <w:r>
              <w:rPr>
                <w:rFonts w:ascii="Arial" w:cs="Arial" w:eastAsia="Arial" w:hAnsi="Arial"/>
                <w:sz w:val="14"/>
                <w:szCs w:val="14"/>
                <w:color w:val="auto"/>
              </w:rPr>
              <w:t>1,936</w:t>
            </w:r>
          </w:p>
        </w:tc>
        <w:tc>
          <w:tcPr>
            <w:tcW w:w="100" w:type="dxa"/>
            <w:vAlign w:val="bottom"/>
            <w:shd w:val="clear" w:color="auto" w:fill="CCFFCC"/>
          </w:tcPr>
          <w:p>
            <w:pPr>
              <w:spacing w:after="0"/>
              <w:rPr>
                <w:sz w:val="24"/>
                <w:szCs w:val="24"/>
                <w:color w:val="auto"/>
              </w:rPr>
            </w:pPr>
          </w:p>
        </w:tc>
        <w:tc>
          <w:tcPr>
            <w:tcW w:w="200" w:type="dxa"/>
            <w:vAlign w:val="bottom"/>
            <w:shd w:val="clear" w:color="auto" w:fill="CCFFCC"/>
          </w:tcPr>
          <w:p>
            <w:pPr>
              <w:spacing w:after="0"/>
              <w:rPr>
                <w:sz w:val="24"/>
                <w:szCs w:val="24"/>
                <w:color w:val="auto"/>
              </w:rPr>
            </w:pPr>
          </w:p>
        </w:tc>
        <w:tc>
          <w:tcPr>
            <w:tcW w:w="920" w:type="dxa"/>
            <w:vAlign w:val="bottom"/>
            <w:shd w:val="clear" w:color="auto" w:fill="CCFFCC"/>
          </w:tcPr>
          <w:p>
            <w:pPr>
              <w:jc w:val="right"/>
              <w:ind w:right="22"/>
              <w:spacing w:after="0"/>
              <w:rPr>
                <w:sz w:val="20"/>
                <w:szCs w:val="20"/>
                <w:color w:val="auto"/>
              </w:rPr>
            </w:pPr>
            <w:r>
              <w:rPr>
                <w:rFonts w:ascii="Arial" w:cs="Arial" w:eastAsia="Arial" w:hAnsi="Arial"/>
                <w:sz w:val="14"/>
                <w:szCs w:val="14"/>
                <w:color w:val="auto"/>
              </w:rPr>
              <w:t>2,292</w:t>
            </w:r>
          </w:p>
        </w:tc>
        <w:tc>
          <w:tcPr>
            <w:tcW w:w="340" w:type="dxa"/>
            <w:vAlign w:val="bottom"/>
            <w:shd w:val="clear" w:color="auto" w:fill="CCFFCC"/>
          </w:tcPr>
          <w:p>
            <w:pPr>
              <w:spacing w:after="0"/>
              <w:rPr>
                <w:sz w:val="24"/>
                <w:szCs w:val="24"/>
                <w:color w:val="auto"/>
              </w:rPr>
            </w:pPr>
          </w:p>
        </w:tc>
      </w:tr>
      <w:tr>
        <w:trPr>
          <w:trHeight w:val="264"/>
        </w:trPr>
        <w:tc>
          <w:tcPr>
            <w:tcW w:w="6200" w:type="dxa"/>
            <w:vAlign w:val="bottom"/>
          </w:tcPr>
          <w:p>
            <w:pPr>
              <w:ind w:left="380"/>
              <w:spacing w:after="0"/>
              <w:rPr>
                <w:sz w:val="20"/>
                <w:szCs w:val="20"/>
                <w:color w:val="auto"/>
              </w:rPr>
            </w:pPr>
            <w:r>
              <w:rPr>
                <w:rFonts w:ascii="Arial" w:cs="Arial" w:eastAsia="Arial" w:hAnsi="Arial"/>
                <w:sz w:val="14"/>
                <w:szCs w:val="14"/>
                <w:color w:val="auto"/>
              </w:rPr>
              <w:t>General and administrative</w:t>
            </w:r>
          </w:p>
        </w:tc>
        <w:tc>
          <w:tcPr>
            <w:tcW w:w="140" w:type="dxa"/>
            <w:vAlign w:val="bottom"/>
          </w:tcPr>
          <w:p>
            <w:pPr>
              <w:spacing w:after="0"/>
              <w:rPr>
                <w:sz w:val="22"/>
                <w:szCs w:val="22"/>
                <w:color w:val="auto"/>
              </w:rPr>
            </w:pPr>
          </w:p>
        </w:tc>
        <w:tc>
          <w:tcPr>
            <w:tcW w:w="900" w:type="dxa"/>
            <w:vAlign w:val="bottom"/>
          </w:tcPr>
          <w:p>
            <w:pPr>
              <w:jc w:val="right"/>
              <w:ind w:right="43"/>
              <w:spacing w:after="0"/>
              <w:rPr>
                <w:sz w:val="20"/>
                <w:szCs w:val="20"/>
                <w:color w:val="auto"/>
              </w:rPr>
            </w:pPr>
            <w:r>
              <w:rPr>
                <w:rFonts w:ascii="Arial" w:cs="Arial" w:eastAsia="Arial" w:hAnsi="Arial"/>
                <w:sz w:val="14"/>
                <w:szCs w:val="14"/>
                <w:color w:val="auto"/>
              </w:rPr>
              <w:t>759</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ind w:right="22"/>
              <w:spacing w:after="0"/>
              <w:rPr>
                <w:sz w:val="20"/>
                <w:szCs w:val="20"/>
                <w:color w:val="auto"/>
              </w:rPr>
            </w:pPr>
            <w:r>
              <w:rPr>
                <w:rFonts w:ascii="Arial" w:cs="Arial" w:eastAsia="Arial" w:hAnsi="Arial"/>
                <w:sz w:val="14"/>
                <w:szCs w:val="14"/>
                <w:color w:val="auto"/>
              </w:rPr>
              <w:t>911</w:t>
            </w:r>
          </w:p>
        </w:tc>
        <w:tc>
          <w:tcPr>
            <w:tcW w:w="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43"/>
              <w:spacing w:after="0"/>
              <w:rPr>
                <w:sz w:val="20"/>
                <w:szCs w:val="20"/>
                <w:color w:val="auto"/>
              </w:rPr>
            </w:pPr>
            <w:r>
              <w:rPr>
                <w:rFonts w:ascii="Arial" w:cs="Arial" w:eastAsia="Arial" w:hAnsi="Arial"/>
                <w:sz w:val="14"/>
                <w:szCs w:val="14"/>
                <w:color w:val="auto"/>
              </w:rPr>
              <w:t>2,552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22"/>
              <w:spacing w:after="0"/>
              <w:rPr>
                <w:sz w:val="20"/>
                <w:szCs w:val="20"/>
                <w:color w:val="auto"/>
              </w:rPr>
            </w:pPr>
            <w:r>
              <w:rPr>
                <w:rFonts w:ascii="Arial" w:cs="Arial" w:eastAsia="Arial" w:hAnsi="Arial"/>
                <w:sz w:val="14"/>
                <w:szCs w:val="14"/>
                <w:color w:val="auto"/>
              </w:rPr>
              <w:t>2,590</w:t>
            </w:r>
          </w:p>
        </w:tc>
        <w:tc>
          <w:tcPr>
            <w:tcW w:w="340" w:type="dxa"/>
            <w:vAlign w:val="bottom"/>
          </w:tcPr>
          <w:p>
            <w:pPr>
              <w:spacing w:after="0"/>
              <w:rPr>
                <w:sz w:val="22"/>
                <w:szCs w:val="22"/>
                <w:color w:val="auto"/>
              </w:rPr>
            </w:pPr>
          </w:p>
        </w:tc>
      </w:tr>
      <w:tr>
        <w:trPr>
          <w:trHeight w:val="276"/>
        </w:trPr>
        <w:tc>
          <w:tcPr>
            <w:tcW w:w="6200" w:type="dxa"/>
            <w:vAlign w:val="bottom"/>
            <w:shd w:val="clear" w:color="auto" w:fill="CCFFCC"/>
          </w:tcPr>
          <w:p>
            <w:pPr>
              <w:ind w:left="380"/>
              <w:spacing w:after="0"/>
              <w:rPr>
                <w:sz w:val="20"/>
                <w:szCs w:val="20"/>
                <w:color w:val="auto"/>
              </w:rPr>
            </w:pPr>
            <w:r>
              <w:rPr>
                <w:rFonts w:ascii="Arial" w:cs="Arial" w:eastAsia="Arial" w:hAnsi="Arial"/>
                <w:sz w:val="14"/>
                <w:szCs w:val="14"/>
                <w:color w:val="auto"/>
              </w:rPr>
              <w:t>Product development</w:t>
            </w:r>
          </w:p>
        </w:tc>
        <w:tc>
          <w:tcPr>
            <w:tcW w:w="140" w:type="dxa"/>
            <w:vAlign w:val="bottom"/>
            <w:shd w:val="clear" w:color="auto" w:fill="CCFFCC"/>
          </w:tcPr>
          <w:p>
            <w:pPr>
              <w:spacing w:after="0"/>
              <w:rPr>
                <w:sz w:val="24"/>
                <w:szCs w:val="24"/>
                <w:color w:val="auto"/>
              </w:rPr>
            </w:pPr>
          </w:p>
        </w:tc>
        <w:tc>
          <w:tcPr>
            <w:tcW w:w="900" w:type="dxa"/>
            <w:vAlign w:val="bottom"/>
            <w:shd w:val="clear" w:color="auto" w:fill="CCFFCC"/>
          </w:tcPr>
          <w:p>
            <w:pPr>
              <w:jc w:val="right"/>
              <w:ind w:right="43"/>
              <w:spacing w:after="0"/>
              <w:rPr>
                <w:sz w:val="20"/>
                <w:szCs w:val="20"/>
                <w:color w:val="auto"/>
              </w:rPr>
            </w:pPr>
            <w:r>
              <w:rPr>
                <w:rFonts w:ascii="Arial" w:cs="Arial" w:eastAsia="Arial" w:hAnsi="Arial"/>
                <w:sz w:val="14"/>
                <w:szCs w:val="14"/>
                <w:color w:val="auto"/>
              </w:rPr>
              <w:t>873</w:t>
            </w:r>
          </w:p>
        </w:tc>
        <w:tc>
          <w:tcPr>
            <w:tcW w:w="120" w:type="dxa"/>
            <w:vAlign w:val="bottom"/>
            <w:shd w:val="clear" w:color="auto" w:fill="CCFFCC"/>
          </w:tcPr>
          <w:p>
            <w:pPr>
              <w:spacing w:after="0"/>
              <w:rPr>
                <w:sz w:val="24"/>
                <w:szCs w:val="24"/>
                <w:color w:val="auto"/>
              </w:rPr>
            </w:pPr>
          </w:p>
        </w:tc>
        <w:tc>
          <w:tcPr>
            <w:tcW w:w="220" w:type="dxa"/>
            <w:vAlign w:val="bottom"/>
            <w:shd w:val="clear" w:color="auto" w:fill="CCFFCC"/>
          </w:tcPr>
          <w:p>
            <w:pPr>
              <w:spacing w:after="0"/>
              <w:rPr>
                <w:sz w:val="24"/>
                <w:szCs w:val="24"/>
                <w:color w:val="auto"/>
              </w:rPr>
            </w:pPr>
          </w:p>
        </w:tc>
        <w:tc>
          <w:tcPr>
            <w:tcW w:w="920" w:type="dxa"/>
            <w:vAlign w:val="bottom"/>
            <w:shd w:val="clear" w:color="auto" w:fill="CCFFCC"/>
          </w:tcPr>
          <w:p>
            <w:pPr>
              <w:jc w:val="right"/>
              <w:ind w:right="22"/>
              <w:spacing w:after="0"/>
              <w:rPr>
                <w:sz w:val="20"/>
                <w:szCs w:val="20"/>
                <w:color w:val="auto"/>
              </w:rPr>
            </w:pPr>
            <w:r>
              <w:rPr>
                <w:rFonts w:ascii="Arial" w:cs="Arial" w:eastAsia="Arial" w:hAnsi="Arial"/>
                <w:sz w:val="14"/>
                <w:szCs w:val="14"/>
                <w:color w:val="auto"/>
              </w:rPr>
              <w:t>927</w:t>
            </w:r>
          </w:p>
        </w:tc>
        <w:tc>
          <w:tcPr>
            <w:tcW w:w="34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880" w:type="dxa"/>
            <w:vAlign w:val="bottom"/>
            <w:shd w:val="clear" w:color="auto" w:fill="CCFFCC"/>
          </w:tcPr>
          <w:p>
            <w:pPr>
              <w:jc w:val="right"/>
              <w:ind w:right="43"/>
              <w:spacing w:after="0"/>
              <w:rPr>
                <w:sz w:val="20"/>
                <w:szCs w:val="20"/>
                <w:color w:val="auto"/>
              </w:rPr>
            </w:pPr>
            <w:r>
              <w:rPr>
                <w:rFonts w:ascii="Arial" w:cs="Arial" w:eastAsia="Arial" w:hAnsi="Arial"/>
                <w:sz w:val="14"/>
                <w:szCs w:val="14"/>
                <w:color w:val="auto"/>
              </w:rPr>
              <w:t>2,770</w:t>
            </w:r>
          </w:p>
        </w:tc>
        <w:tc>
          <w:tcPr>
            <w:tcW w:w="100" w:type="dxa"/>
            <w:vAlign w:val="bottom"/>
            <w:shd w:val="clear" w:color="auto" w:fill="CCFFCC"/>
          </w:tcPr>
          <w:p>
            <w:pPr>
              <w:spacing w:after="0"/>
              <w:rPr>
                <w:sz w:val="24"/>
                <w:szCs w:val="24"/>
                <w:color w:val="auto"/>
              </w:rPr>
            </w:pPr>
          </w:p>
        </w:tc>
        <w:tc>
          <w:tcPr>
            <w:tcW w:w="200" w:type="dxa"/>
            <w:vAlign w:val="bottom"/>
            <w:shd w:val="clear" w:color="auto" w:fill="CCFFCC"/>
          </w:tcPr>
          <w:p>
            <w:pPr>
              <w:spacing w:after="0"/>
              <w:rPr>
                <w:sz w:val="24"/>
                <w:szCs w:val="24"/>
                <w:color w:val="auto"/>
              </w:rPr>
            </w:pPr>
          </w:p>
        </w:tc>
        <w:tc>
          <w:tcPr>
            <w:tcW w:w="920" w:type="dxa"/>
            <w:vAlign w:val="bottom"/>
            <w:shd w:val="clear" w:color="auto" w:fill="CCFFCC"/>
          </w:tcPr>
          <w:p>
            <w:pPr>
              <w:jc w:val="right"/>
              <w:ind w:right="22"/>
              <w:spacing w:after="0"/>
              <w:rPr>
                <w:sz w:val="20"/>
                <w:szCs w:val="20"/>
                <w:color w:val="auto"/>
              </w:rPr>
            </w:pPr>
            <w:r>
              <w:rPr>
                <w:rFonts w:ascii="Arial" w:cs="Arial" w:eastAsia="Arial" w:hAnsi="Arial"/>
                <w:sz w:val="14"/>
                <w:szCs w:val="14"/>
                <w:color w:val="auto"/>
              </w:rPr>
              <w:t>2,819</w:t>
            </w:r>
          </w:p>
        </w:tc>
        <w:tc>
          <w:tcPr>
            <w:tcW w:w="340" w:type="dxa"/>
            <w:vAlign w:val="bottom"/>
            <w:shd w:val="clear" w:color="auto" w:fill="CCFFCC"/>
          </w:tcPr>
          <w:p>
            <w:pPr>
              <w:spacing w:after="0"/>
              <w:rPr>
                <w:sz w:val="24"/>
                <w:szCs w:val="24"/>
                <w:color w:val="auto"/>
              </w:rPr>
            </w:pPr>
          </w:p>
        </w:tc>
      </w:tr>
      <w:tr>
        <w:trPr>
          <w:trHeight w:val="270"/>
        </w:trPr>
        <w:tc>
          <w:tcPr>
            <w:tcW w:w="6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40" w:type="dxa"/>
            <w:vAlign w:val="bottom"/>
          </w:tcPr>
          <w:p>
            <w:pPr>
              <w:spacing w:after="0"/>
              <w:rPr>
                <w:sz w:val="23"/>
                <w:szCs w:val="23"/>
                <w:color w:val="auto"/>
              </w:rPr>
            </w:pPr>
          </w:p>
        </w:tc>
      </w:tr>
      <w:tr>
        <w:trPr>
          <w:trHeight w:val="270"/>
        </w:trPr>
        <w:tc>
          <w:tcPr>
            <w:tcW w:w="6200" w:type="dxa"/>
            <w:vAlign w:val="bottom"/>
            <w:shd w:val="clear" w:color="auto" w:fill="CCFFCC"/>
          </w:tcPr>
          <w:p>
            <w:pPr>
              <w:ind w:left="180"/>
              <w:spacing w:after="0"/>
              <w:rPr>
                <w:sz w:val="20"/>
                <w:szCs w:val="20"/>
                <w:color w:val="auto"/>
              </w:rPr>
            </w:pPr>
            <w:r>
              <w:rPr>
                <w:rFonts w:ascii="Arial" w:cs="Arial" w:eastAsia="Arial" w:hAnsi="Arial"/>
                <w:sz w:val="9"/>
                <w:szCs w:val="9"/>
                <w:color w:val="auto"/>
              </w:rPr>
              <w:t xml:space="preserve">(2) </w:t>
            </w:r>
            <w:r>
              <w:rPr>
                <w:rFonts w:ascii="Arial" w:cs="Arial" w:eastAsia="Arial" w:hAnsi="Arial"/>
                <w:sz w:val="14"/>
                <w:szCs w:val="14"/>
                <w:color w:val="auto"/>
              </w:rPr>
              <w:t>Amounts include depreciation expense, as follows:</w:t>
            </w:r>
          </w:p>
        </w:tc>
        <w:tc>
          <w:tcPr>
            <w:tcW w:w="140" w:type="dxa"/>
            <w:vAlign w:val="bottom"/>
            <w:shd w:val="clear" w:color="auto" w:fill="CCFFCC"/>
          </w:tcPr>
          <w:p>
            <w:pPr>
              <w:spacing w:after="0"/>
              <w:rPr>
                <w:sz w:val="23"/>
                <w:szCs w:val="23"/>
                <w:color w:val="auto"/>
              </w:rPr>
            </w:pPr>
          </w:p>
        </w:tc>
        <w:tc>
          <w:tcPr>
            <w:tcW w:w="900" w:type="dxa"/>
            <w:vAlign w:val="bottom"/>
            <w:shd w:val="clear" w:color="auto" w:fill="CCFFCC"/>
          </w:tcPr>
          <w:p>
            <w:pPr>
              <w:spacing w:after="0"/>
              <w:rPr>
                <w:sz w:val="23"/>
                <w:szCs w:val="23"/>
                <w:color w:val="auto"/>
              </w:rPr>
            </w:pPr>
          </w:p>
        </w:tc>
        <w:tc>
          <w:tcPr>
            <w:tcW w:w="120" w:type="dxa"/>
            <w:vAlign w:val="bottom"/>
            <w:shd w:val="clear" w:color="auto" w:fill="CCFFCC"/>
          </w:tcPr>
          <w:p>
            <w:pPr>
              <w:spacing w:after="0"/>
              <w:rPr>
                <w:sz w:val="23"/>
                <w:szCs w:val="23"/>
                <w:color w:val="auto"/>
              </w:rPr>
            </w:pPr>
          </w:p>
        </w:tc>
        <w:tc>
          <w:tcPr>
            <w:tcW w:w="220" w:type="dxa"/>
            <w:vAlign w:val="bottom"/>
            <w:shd w:val="clear" w:color="auto" w:fill="CCFFCC"/>
          </w:tcPr>
          <w:p>
            <w:pPr>
              <w:spacing w:after="0"/>
              <w:rPr>
                <w:sz w:val="23"/>
                <w:szCs w:val="23"/>
                <w:color w:val="auto"/>
              </w:rPr>
            </w:pPr>
          </w:p>
        </w:tc>
        <w:tc>
          <w:tcPr>
            <w:tcW w:w="920" w:type="dxa"/>
            <w:vAlign w:val="bottom"/>
            <w:shd w:val="clear" w:color="auto" w:fill="CCFFCC"/>
          </w:tcPr>
          <w:p>
            <w:pPr>
              <w:spacing w:after="0"/>
              <w:rPr>
                <w:sz w:val="23"/>
                <w:szCs w:val="23"/>
                <w:color w:val="auto"/>
              </w:rPr>
            </w:pPr>
          </w:p>
        </w:tc>
        <w:tc>
          <w:tcPr>
            <w:tcW w:w="340" w:type="dxa"/>
            <w:vAlign w:val="bottom"/>
            <w:shd w:val="clear" w:color="auto" w:fill="CCFFCC"/>
          </w:tcPr>
          <w:p>
            <w:pPr>
              <w:spacing w:after="0"/>
              <w:rPr>
                <w:sz w:val="23"/>
                <w:szCs w:val="23"/>
                <w:color w:val="auto"/>
              </w:rPr>
            </w:pPr>
          </w:p>
        </w:tc>
        <w:tc>
          <w:tcPr>
            <w:tcW w:w="140" w:type="dxa"/>
            <w:vAlign w:val="bottom"/>
            <w:shd w:val="clear" w:color="auto" w:fill="CCFFCC"/>
          </w:tcPr>
          <w:p>
            <w:pPr>
              <w:spacing w:after="0"/>
              <w:rPr>
                <w:sz w:val="23"/>
                <w:szCs w:val="23"/>
                <w:color w:val="auto"/>
              </w:rPr>
            </w:pPr>
          </w:p>
        </w:tc>
        <w:tc>
          <w:tcPr>
            <w:tcW w:w="880" w:type="dxa"/>
            <w:vAlign w:val="bottom"/>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c>
          <w:tcPr>
            <w:tcW w:w="200" w:type="dxa"/>
            <w:vAlign w:val="bottom"/>
            <w:shd w:val="clear" w:color="auto" w:fill="CCFFCC"/>
          </w:tcPr>
          <w:p>
            <w:pPr>
              <w:spacing w:after="0"/>
              <w:rPr>
                <w:sz w:val="23"/>
                <w:szCs w:val="23"/>
                <w:color w:val="auto"/>
              </w:rPr>
            </w:pPr>
          </w:p>
        </w:tc>
        <w:tc>
          <w:tcPr>
            <w:tcW w:w="920" w:type="dxa"/>
            <w:vAlign w:val="bottom"/>
            <w:shd w:val="clear" w:color="auto" w:fill="CCFFCC"/>
          </w:tcPr>
          <w:p>
            <w:pPr>
              <w:spacing w:after="0"/>
              <w:rPr>
                <w:sz w:val="23"/>
                <w:szCs w:val="23"/>
                <w:color w:val="auto"/>
              </w:rPr>
            </w:pPr>
          </w:p>
        </w:tc>
        <w:tc>
          <w:tcPr>
            <w:tcW w:w="340" w:type="dxa"/>
            <w:vAlign w:val="bottom"/>
            <w:shd w:val="clear" w:color="auto" w:fill="CCFFCC"/>
          </w:tcPr>
          <w:p>
            <w:pPr>
              <w:spacing w:after="0"/>
              <w:rPr>
                <w:sz w:val="23"/>
                <w:szCs w:val="23"/>
                <w:color w:val="auto"/>
              </w:rPr>
            </w:pPr>
          </w:p>
        </w:tc>
      </w:tr>
      <w:tr>
        <w:trPr>
          <w:trHeight w:val="264"/>
        </w:trPr>
        <w:tc>
          <w:tcPr>
            <w:tcW w:w="6200" w:type="dxa"/>
            <w:vAlign w:val="bottom"/>
          </w:tcPr>
          <w:p>
            <w:pPr>
              <w:ind w:left="380"/>
              <w:spacing w:after="0"/>
              <w:rPr>
                <w:sz w:val="20"/>
                <w:szCs w:val="20"/>
                <w:color w:val="auto"/>
              </w:rPr>
            </w:pPr>
            <w:r>
              <w:rPr>
                <w:rFonts w:ascii="Arial" w:cs="Arial" w:eastAsia="Arial" w:hAnsi="Arial"/>
                <w:sz w:val="14"/>
                <w:szCs w:val="14"/>
                <w:color w:val="auto"/>
              </w:rPr>
              <w:t>Cost of revenue</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3"/>
              <w:spacing w:after="0"/>
              <w:rPr>
                <w:sz w:val="20"/>
                <w:szCs w:val="20"/>
                <w:color w:val="auto"/>
              </w:rPr>
            </w:pPr>
            <w:r>
              <w:rPr>
                <w:rFonts w:ascii="Arial" w:cs="Arial" w:eastAsia="Arial" w:hAnsi="Arial"/>
                <w:sz w:val="14"/>
                <w:szCs w:val="14"/>
                <w:color w:val="auto"/>
              </w:rPr>
              <w:t>1,756</w:t>
            </w:r>
          </w:p>
        </w:tc>
        <w:tc>
          <w:tcPr>
            <w:tcW w:w="120" w:type="dxa"/>
            <w:vAlign w:val="bottom"/>
          </w:tcPr>
          <w:p>
            <w:pPr>
              <w:spacing w:after="0"/>
              <w:rPr>
                <w:sz w:val="22"/>
                <w:szCs w:val="22"/>
                <w:color w:val="auto"/>
              </w:rPr>
            </w:pPr>
          </w:p>
        </w:tc>
        <w:tc>
          <w:tcPr>
            <w:tcW w:w="220" w:type="dxa"/>
            <w:vAlign w:val="bottom"/>
          </w:tcPr>
          <w:p>
            <w:pPr>
              <w:ind w:left="4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2"/>
              <w:spacing w:after="0"/>
              <w:rPr>
                <w:sz w:val="20"/>
                <w:szCs w:val="20"/>
                <w:color w:val="auto"/>
              </w:rPr>
            </w:pPr>
            <w:r>
              <w:rPr>
                <w:rFonts w:ascii="Arial" w:cs="Arial" w:eastAsia="Arial" w:hAnsi="Arial"/>
                <w:sz w:val="14"/>
                <w:szCs w:val="14"/>
                <w:color w:val="auto"/>
              </w:rPr>
              <w:t>2,266</w:t>
            </w:r>
          </w:p>
        </w:tc>
        <w:tc>
          <w:tcPr>
            <w:tcW w:w="340" w:type="dxa"/>
            <w:vAlign w:val="bottom"/>
          </w:tcPr>
          <w:p>
            <w:pPr>
              <w:spacing w:after="0"/>
              <w:rPr>
                <w:sz w:val="22"/>
                <w:szCs w:val="22"/>
                <w:color w:val="auto"/>
              </w:rPr>
            </w:pP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3"/>
              <w:spacing w:after="0"/>
              <w:rPr>
                <w:sz w:val="20"/>
                <w:szCs w:val="20"/>
                <w:color w:val="auto"/>
              </w:rPr>
            </w:pPr>
            <w:r>
              <w:rPr>
                <w:rFonts w:ascii="Arial" w:cs="Arial" w:eastAsia="Arial" w:hAnsi="Arial"/>
                <w:sz w:val="14"/>
                <w:szCs w:val="14"/>
                <w:color w:val="auto"/>
              </w:rPr>
              <w:t>6,469</w:t>
            </w:r>
          </w:p>
        </w:tc>
        <w:tc>
          <w:tcPr>
            <w:tcW w:w="100" w:type="dxa"/>
            <w:vAlign w:val="bottom"/>
          </w:tcPr>
          <w:p>
            <w:pPr>
              <w:spacing w:after="0"/>
              <w:rPr>
                <w:sz w:val="22"/>
                <w:szCs w:val="22"/>
                <w:color w:val="auto"/>
              </w:rPr>
            </w:pPr>
          </w:p>
        </w:tc>
        <w:tc>
          <w:tcPr>
            <w:tcW w:w="200" w:type="dxa"/>
            <w:vAlign w:val="bottom"/>
          </w:tcPr>
          <w:p>
            <w:pPr>
              <w:ind w:left="2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2"/>
              <w:spacing w:after="0"/>
              <w:rPr>
                <w:sz w:val="20"/>
                <w:szCs w:val="20"/>
                <w:color w:val="auto"/>
              </w:rPr>
            </w:pPr>
            <w:r>
              <w:rPr>
                <w:rFonts w:ascii="Arial" w:cs="Arial" w:eastAsia="Arial" w:hAnsi="Arial"/>
                <w:sz w:val="14"/>
                <w:szCs w:val="14"/>
                <w:color w:val="auto"/>
              </w:rPr>
              <w:t>6,491</w:t>
            </w:r>
          </w:p>
        </w:tc>
        <w:tc>
          <w:tcPr>
            <w:tcW w:w="340" w:type="dxa"/>
            <w:vAlign w:val="bottom"/>
          </w:tcPr>
          <w:p>
            <w:pPr>
              <w:spacing w:after="0"/>
              <w:rPr>
                <w:sz w:val="22"/>
                <w:szCs w:val="22"/>
                <w:color w:val="auto"/>
              </w:rPr>
            </w:pPr>
          </w:p>
        </w:tc>
      </w:tr>
      <w:tr>
        <w:trPr>
          <w:trHeight w:val="276"/>
        </w:trPr>
        <w:tc>
          <w:tcPr>
            <w:tcW w:w="6200" w:type="dxa"/>
            <w:vAlign w:val="bottom"/>
            <w:shd w:val="clear" w:color="auto" w:fill="CCFFCC"/>
          </w:tcPr>
          <w:p>
            <w:pPr>
              <w:ind w:left="380"/>
              <w:spacing w:after="0"/>
              <w:rPr>
                <w:sz w:val="20"/>
                <w:szCs w:val="20"/>
                <w:color w:val="auto"/>
              </w:rPr>
            </w:pPr>
            <w:r>
              <w:rPr>
                <w:rFonts w:ascii="Arial" w:cs="Arial" w:eastAsia="Arial" w:hAnsi="Arial"/>
                <w:sz w:val="14"/>
                <w:szCs w:val="14"/>
                <w:color w:val="auto"/>
              </w:rPr>
              <w:t>Sales and marketing</w:t>
            </w:r>
          </w:p>
        </w:tc>
        <w:tc>
          <w:tcPr>
            <w:tcW w:w="140" w:type="dxa"/>
            <w:vAlign w:val="bottom"/>
            <w:shd w:val="clear" w:color="auto" w:fill="CCFFCC"/>
          </w:tcPr>
          <w:p>
            <w:pPr>
              <w:spacing w:after="0"/>
              <w:rPr>
                <w:sz w:val="24"/>
                <w:szCs w:val="24"/>
                <w:color w:val="auto"/>
              </w:rPr>
            </w:pPr>
          </w:p>
        </w:tc>
        <w:tc>
          <w:tcPr>
            <w:tcW w:w="900" w:type="dxa"/>
            <w:vAlign w:val="bottom"/>
            <w:shd w:val="clear" w:color="auto" w:fill="CCFFCC"/>
          </w:tcPr>
          <w:p>
            <w:pPr>
              <w:jc w:val="right"/>
              <w:ind w:right="43"/>
              <w:spacing w:after="0"/>
              <w:rPr>
                <w:sz w:val="20"/>
                <w:szCs w:val="20"/>
                <w:color w:val="auto"/>
              </w:rPr>
            </w:pPr>
            <w:r>
              <w:rPr>
                <w:rFonts w:ascii="Arial" w:cs="Arial" w:eastAsia="Arial" w:hAnsi="Arial"/>
                <w:sz w:val="14"/>
                <w:szCs w:val="14"/>
                <w:color w:val="auto"/>
              </w:rPr>
              <w:t>212</w:t>
            </w:r>
          </w:p>
        </w:tc>
        <w:tc>
          <w:tcPr>
            <w:tcW w:w="120" w:type="dxa"/>
            <w:vAlign w:val="bottom"/>
            <w:shd w:val="clear" w:color="auto" w:fill="CCFFCC"/>
          </w:tcPr>
          <w:p>
            <w:pPr>
              <w:spacing w:after="0"/>
              <w:rPr>
                <w:sz w:val="24"/>
                <w:szCs w:val="24"/>
                <w:color w:val="auto"/>
              </w:rPr>
            </w:pPr>
          </w:p>
        </w:tc>
        <w:tc>
          <w:tcPr>
            <w:tcW w:w="220" w:type="dxa"/>
            <w:vAlign w:val="bottom"/>
            <w:shd w:val="clear" w:color="auto" w:fill="CCFFCC"/>
          </w:tcPr>
          <w:p>
            <w:pPr>
              <w:spacing w:after="0"/>
              <w:rPr>
                <w:sz w:val="24"/>
                <w:szCs w:val="24"/>
                <w:color w:val="auto"/>
              </w:rPr>
            </w:pPr>
          </w:p>
        </w:tc>
        <w:tc>
          <w:tcPr>
            <w:tcW w:w="920" w:type="dxa"/>
            <w:vAlign w:val="bottom"/>
            <w:shd w:val="clear" w:color="auto" w:fill="CCFFCC"/>
          </w:tcPr>
          <w:p>
            <w:pPr>
              <w:jc w:val="right"/>
              <w:ind w:right="22"/>
              <w:spacing w:after="0"/>
              <w:rPr>
                <w:sz w:val="20"/>
                <w:szCs w:val="20"/>
                <w:color w:val="auto"/>
              </w:rPr>
            </w:pPr>
            <w:r>
              <w:rPr>
                <w:rFonts w:ascii="Arial" w:cs="Arial" w:eastAsia="Arial" w:hAnsi="Arial"/>
                <w:sz w:val="14"/>
                <w:szCs w:val="14"/>
                <w:color w:val="auto"/>
              </w:rPr>
              <w:t>254</w:t>
            </w:r>
          </w:p>
        </w:tc>
        <w:tc>
          <w:tcPr>
            <w:tcW w:w="34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880" w:type="dxa"/>
            <w:vAlign w:val="bottom"/>
            <w:shd w:val="clear" w:color="auto" w:fill="CCFFCC"/>
          </w:tcPr>
          <w:p>
            <w:pPr>
              <w:jc w:val="right"/>
              <w:ind w:right="43"/>
              <w:spacing w:after="0"/>
              <w:rPr>
                <w:sz w:val="20"/>
                <w:szCs w:val="20"/>
                <w:color w:val="auto"/>
              </w:rPr>
            </w:pPr>
            <w:r>
              <w:rPr>
                <w:rFonts w:ascii="Arial" w:cs="Arial" w:eastAsia="Arial" w:hAnsi="Arial"/>
                <w:sz w:val="14"/>
                <w:szCs w:val="14"/>
                <w:color w:val="auto"/>
              </w:rPr>
              <w:t>1,012</w:t>
            </w:r>
          </w:p>
        </w:tc>
        <w:tc>
          <w:tcPr>
            <w:tcW w:w="100" w:type="dxa"/>
            <w:vAlign w:val="bottom"/>
            <w:shd w:val="clear" w:color="auto" w:fill="CCFFCC"/>
          </w:tcPr>
          <w:p>
            <w:pPr>
              <w:spacing w:after="0"/>
              <w:rPr>
                <w:sz w:val="24"/>
                <w:szCs w:val="24"/>
                <w:color w:val="auto"/>
              </w:rPr>
            </w:pPr>
          </w:p>
        </w:tc>
        <w:tc>
          <w:tcPr>
            <w:tcW w:w="200" w:type="dxa"/>
            <w:vAlign w:val="bottom"/>
            <w:shd w:val="clear" w:color="auto" w:fill="CCFFCC"/>
          </w:tcPr>
          <w:p>
            <w:pPr>
              <w:spacing w:after="0"/>
              <w:rPr>
                <w:sz w:val="24"/>
                <w:szCs w:val="24"/>
                <w:color w:val="auto"/>
              </w:rPr>
            </w:pPr>
          </w:p>
        </w:tc>
        <w:tc>
          <w:tcPr>
            <w:tcW w:w="920" w:type="dxa"/>
            <w:vAlign w:val="bottom"/>
            <w:shd w:val="clear" w:color="auto" w:fill="CCFFCC"/>
          </w:tcPr>
          <w:p>
            <w:pPr>
              <w:jc w:val="right"/>
              <w:ind w:right="22"/>
              <w:spacing w:after="0"/>
              <w:rPr>
                <w:sz w:val="20"/>
                <w:szCs w:val="20"/>
                <w:color w:val="auto"/>
              </w:rPr>
            </w:pPr>
            <w:r>
              <w:rPr>
                <w:rFonts w:ascii="Arial" w:cs="Arial" w:eastAsia="Arial" w:hAnsi="Arial"/>
                <w:sz w:val="14"/>
                <w:szCs w:val="14"/>
                <w:color w:val="auto"/>
              </w:rPr>
              <w:t>819</w:t>
            </w:r>
          </w:p>
        </w:tc>
        <w:tc>
          <w:tcPr>
            <w:tcW w:w="340" w:type="dxa"/>
            <w:vAlign w:val="bottom"/>
            <w:shd w:val="clear" w:color="auto" w:fill="CCFFCC"/>
          </w:tcPr>
          <w:p>
            <w:pPr>
              <w:spacing w:after="0"/>
              <w:rPr>
                <w:sz w:val="24"/>
                <w:szCs w:val="24"/>
                <w:color w:val="auto"/>
              </w:rPr>
            </w:pPr>
          </w:p>
        </w:tc>
      </w:tr>
      <w:tr>
        <w:trPr>
          <w:trHeight w:val="264"/>
        </w:trPr>
        <w:tc>
          <w:tcPr>
            <w:tcW w:w="6200" w:type="dxa"/>
            <w:vAlign w:val="bottom"/>
          </w:tcPr>
          <w:p>
            <w:pPr>
              <w:ind w:left="380"/>
              <w:spacing w:after="0"/>
              <w:rPr>
                <w:sz w:val="20"/>
                <w:szCs w:val="20"/>
                <w:color w:val="auto"/>
              </w:rPr>
            </w:pPr>
            <w:r>
              <w:rPr>
                <w:rFonts w:ascii="Arial" w:cs="Arial" w:eastAsia="Arial" w:hAnsi="Arial"/>
                <w:sz w:val="14"/>
                <w:szCs w:val="14"/>
                <w:color w:val="auto"/>
              </w:rPr>
              <w:t>General and administrative</w:t>
            </w:r>
          </w:p>
        </w:tc>
        <w:tc>
          <w:tcPr>
            <w:tcW w:w="140" w:type="dxa"/>
            <w:vAlign w:val="bottom"/>
          </w:tcPr>
          <w:p>
            <w:pPr>
              <w:spacing w:after="0"/>
              <w:rPr>
                <w:sz w:val="22"/>
                <w:szCs w:val="22"/>
                <w:color w:val="auto"/>
              </w:rPr>
            </w:pPr>
          </w:p>
        </w:tc>
        <w:tc>
          <w:tcPr>
            <w:tcW w:w="900" w:type="dxa"/>
            <w:vAlign w:val="bottom"/>
          </w:tcPr>
          <w:p>
            <w:pPr>
              <w:jc w:val="right"/>
              <w:ind w:right="43"/>
              <w:spacing w:after="0"/>
              <w:rPr>
                <w:sz w:val="20"/>
                <w:szCs w:val="20"/>
                <w:color w:val="auto"/>
              </w:rPr>
            </w:pPr>
            <w:r>
              <w:rPr>
                <w:rFonts w:ascii="Arial" w:cs="Arial" w:eastAsia="Arial" w:hAnsi="Arial"/>
                <w:sz w:val="14"/>
                <w:szCs w:val="14"/>
                <w:color w:val="auto"/>
              </w:rPr>
              <w:t>435</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ind w:right="22"/>
              <w:spacing w:after="0"/>
              <w:rPr>
                <w:sz w:val="20"/>
                <w:szCs w:val="20"/>
                <w:color w:val="auto"/>
              </w:rPr>
            </w:pPr>
            <w:r>
              <w:rPr>
                <w:rFonts w:ascii="Arial" w:cs="Arial" w:eastAsia="Arial" w:hAnsi="Arial"/>
                <w:sz w:val="14"/>
                <w:szCs w:val="14"/>
                <w:color w:val="auto"/>
              </w:rPr>
              <w:t>190</w:t>
            </w:r>
          </w:p>
        </w:tc>
        <w:tc>
          <w:tcPr>
            <w:tcW w:w="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43"/>
              <w:spacing w:after="0"/>
              <w:rPr>
                <w:sz w:val="20"/>
                <w:szCs w:val="20"/>
                <w:color w:val="auto"/>
              </w:rPr>
            </w:pPr>
            <w:r>
              <w:rPr>
                <w:rFonts w:ascii="Arial" w:cs="Arial" w:eastAsia="Arial" w:hAnsi="Arial"/>
                <w:sz w:val="14"/>
                <w:szCs w:val="14"/>
                <w:color w:val="auto"/>
              </w:rPr>
              <w:t>1,215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22"/>
              <w:spacing w:after="0"/>
              <w:rPr>
                <w:sz w:val="20"/>
                <w:szCs w:val="20"/>
                <w:color w:val="auto"/>
              </w:rPr>
            </w:pPr>
            <w:r>
              <w:rPr>
                <w:rFonts w:ascii="Arial" w:cs="Arial" w:eastAsia="Arial" w:hAnsi="Arial"/>
                <w:sz w:val="14"/>
                <w:szCs w:val="14"/>
                <w:color w:val="auto"/>
              </w:rPr>
              <w:t>663</w:t>
            </w:r>
          </w:p>
        </w:tc>
        <w:tc>
          <w:tcPr>
            <w:tcW w:w="340" w:type="dxa"/>
            <w:vAlign w:val="bottom"/>
          </w:tcPr>
          <w:p>
            <w:pPr>
              <w:spacing w:after="0"/>
              <w:rPr>
                <w:sz w:val="22"/>
                <w:szCs w:val="22"/>
                <w:color w:val="auto"/>
              </w:rPr>
            </w:pPr>
          </w:p>
        </w:tc>
      </w:tr>
      <w:tr>
        <w:trPr>
          <w:trHeight w:val="276"/>
        </w:trPr>
        <w:tc>
          <w:tcPr>
            <w:tcW w:w="6200" w:type="dxa"/>
            <w:vAlign w:val="bottom"/>
            <w:shd w:val="clear" w:color="auto" w:fill="CCFFCC"/>
          </w:tcPr>
          <w:p>
            <w:pPr>
              <w:ind w:left="380"/>
              <w:spacing w:after="0"/>
              <w:rPr>
                <w:sz w:val="20"/>
                <w:szCs w:val="20"/>
                <w:color w:val="auto"/>
              </w:rPr>
            </w:pPr>
            <w:r>
              <w:rPr>
                <w:rFonts w:ascii="Arial" w:cs="Arial" w:eastAsia="Arial" w:hAnsi="Arial"/>
                <w:sz w:val="14"/>
                <w:szCs w:val="14"/>
                <w:color w:val="auto"/>
              </w:rPr>
              <w:t>Product development</w:t>
            </w:r>
          </w:p>
        </w:tc>
        <w:tc>
          <w:tcPr>
            <w:tcW w:w="140" w:type="dxa"/>
            <w:vAlign w:val="bottom"/>
            <w:shd w:val="clear" w:color="auto" w:fill="CCFFCC"/>
          </w:tcPr>
          <w:p>
            <w:pPr>
              <w:spacing w:after="0"/>
              <w:rPr>
                <w:sz w:val="24"/>
                <w:szCs w:val="24"/>
                <w:color w:val="auto"/>
              </w:rPr>
            </w:pPr>
          </w:p>
        </w:tc>
        <w:tc>
          <w:tcPr>
            <w:tcW w:w="900" w:type="dxa"/>
            <w:vAlign w:val="bottom"/>
            <w:shd w:val="clear" w:color="auto" w:fill="CCFFCC"/>
          </w:tcPr>
          <w:p>
            <w:pPr>
              <w:jc w:val="right"/>
              <w:ind w:right="43"/>
              <w:spacing w:after="0"/>
              <w:rPr>
                <w:sz w:val="20"/>
                <w:szCs w:val="20"/>
                <w:color w:val="auto"/>
              </w:rPr>
            </w:pPr>
            <w:r>
              <w:rPr>
                <w:rFonts w:ascii="Arial" w:cs="Arial" w:eastAsia="Arial" w:hAnsi="Arial"/>
                <w:sz w:val="14"/>
                <w:szCs w:val="14"/>
                <w:color w:val="auto"/>
              </w:rPr>
              <w:t>247</w:t>
            </w:r>
          </w:p>
        </w:tc>
        <w:tc>
          <w:tcPr>
            <w:tcW w:w="120" w:type="dxa"/>
            <w:vAlign w:val="bottom"/>
            <w:shd w:val="clear" w:color="auto" w:fill="CCFFCC"/>
          </w:tcPr>
          <w:p>
            <w:pPr>
              <w:spacing w:after="0"/>
              <w:rPr>
                <w:sz w:val="24"/>
                <w:szCs w:val="24"/>
                <w:color w:val="auto"/>
              </w:rPr>
            </w:pPr>
          </w:p>
        </w:tc>
        <w:tc>
          <w:tcPr>
            <w:tcW w:w="220" w:type="dxa"/>
            <w:vAlign w:val="bottom"/>
            <w:shd w:val="clear" w:color="auto" w:fill="CCFFCC"/>
          </w:tcPr>
          <w:p>
            <w:pPr>
              <w:spacing w:after="0"/>
              <w:rPr>
                <w:sz w:val="24"/>
                <w:szCs w:val="24"/>
                <w:color w:val="auto"/>
              </w:rPr>
            </w:pPr>
          </w:p>
        </w:tc>
        <w:tc>
          <w:tcPr>
            <w:tcW w:w="920" w:type="dxa"/>
            <w:vAlign w:val="bottom"/>
            <w:shd w:val="clear" w:color="auto" w:fill="CCFFCC"/>
          </w:tcPr>
          <w:p>
            <w:pPr>
              <w:jc w:val="right"/>
              <w:ind w:right="22"/>
              <w:spacing w:after="0"/>
              <w:rPr>
                <w:sz w:val="20"/>
                <w:szCs w:val="20"/>
                <w:color w:val="auto"/>
              </w:rPr>
            </w:pPr>
            <w:r>
              <w:rPr>
                <w:rFonts w:ascii="Arial" w:cs="Arial" w:eastAsia="Arial" w:hAnsi="Arial"/>
                <w:sz w:val="14"/>
                <w:szCs w:val="14"/>
                <w:color w:val="auto"/>
              </w:rPr>
              <w:t>229</w:t>
            </w:r>
          </w:p>
        </w:tc>
        <w:tc>
          <w:tcPr>
            <w:tcW w:w="34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880" w:type="dxa"/>
            <w:vAlign w:val="bottom"/>
            <w:shd w:val="clear" w:color="auto" w:fill="CCFFCC"/>
          </w:tcPr>
          <w:p>
            <w:pPr>
              <w:jc w:val="right"/>
              <w:ind w:right="43"/>
              <w:spacing w:after="0"/>
              <w:rPr>
                <w:sz w:val="20"/>
                <w:szCs w:val="20"/>
                <w:color w:val="auto"/>
              </w:rPr>
            </w:pPr>
            <w:r>
              <w:rPr>
                <w:rFonts w:ascii="Arial" w:cs="Arial" w:eastAsia="Arial" w:hAnsi="Arial"/>
                <w:sz w:val="14"/>
                <w:szCs w:val="14"/>
                <w:color w:val="auto"/>
              </w:rPr>
              <w:t>749</w:t>
            </w:r>
          </w:p>
        </w:tc>
        <w:tc>
          <w:tcPr>
            <w:tcW w:w="100" w:type="dxa"/>
            <w:vAlign w:val="bottom"/>
            <w:shd w:val="clear" w:color="auto" w:fill="CCFFCC"/>
          </w:tcPr>
          <w:p>
            <w:pPr>
              <w:spacing w:after="0"/>
              <w:rPr>
                <w:sz w:val="24"/>
                <w:szCs w:val="24"/>
                <w:color w:val="auto"/>
              </w:rPr>
            </w:pPr>
          </w:p>
        </w:tc>
        <w:tc>
          <w:tcPr>
            <w:tcW w:w="200" w:type="dxa"/>
            <w:vAlign w:val="bottom"/>
            <w:shd w:val="clear" w:color="auto" w:fill="CCFFCC"/>
          </w:tcPr>
          <w:p>
            <w:pPr>
              <w:spacing w:after="0"/>
              <w:rPr>
                <w:sz w:val="24"/>
                <w:szCs w:val="24"/>
                <w:color w:val="auto"/>
              </w:rPr>
            </w:pPr>
          </w:p>
        </w:tc>
        <w:tc>
          <w:tcPr>
            <w:tcW w:w="920" w:type="dxa"/>
            <w:vAlign w:val="bottom"/>
            <w:shd w:val="clear" w:color="auto" w:fill="CCFFCC"/>
          </w:tcPr>
          <w:p>
            <w:pPr>
              <w:jc w:val="right"/>
              <w:ind w:right="22"/>
              <w:spacing w:after="0"/>
              <w:rPr>
                <w:sz w:val="20"/>
                <w:szCs w:val="20"/>
                <w:color w:val="auto"/>
              </w:rPr>
            </w:pPr>
            <w:r>
              <w:rPr>
                <w:rFonts w:ascii="Arial" w:cs="Arial" w:eastAsia="Arial" w:hAnsi="Arial"/>
                <w:sz w:val="14"/>
                <w:szCs w:val="14"/>
                <w:color w:val="auto"/>
              </w:rPr>
              <w:t>626</w:t>
            </w:r>
          </w:p>
        </w:tc>
        <w:tc>
          <w:tcPr>
            <w:tcW w:w="340" w:type="dxa"/>
            <w:vAlign w:val="bottom"/>
            <w:shd w:val="clear" w:color="auto" w:fill="CCFFCC"/>
          </w:tcPr>
          <w:p>
            <w:pPr>
              <w:spacing w:after="0"/>
              <w:rPr>
                <w:sz w:val="24"/>
                <w:szCs w:val="24"/>
                <w:color w:val="auto"/>
              </w:rPr>
            </w:pPr>
          </w:p>
        </w:tc>
      </w:tr>
      <w:tr>
        <w:trPr>
          <w:trHeight w:val="270"/>
        </w:trPr>
        <w:tc>
          <w:tcPr>
            <w:tcW w:w="6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40" w:type="dxa"/>
            <w:vAlign w:val="bottom"/>
          </w:tcPr>
          <w:p>
            <w:pPr>
              <w:spacing w:after="0"/>
              <w:rPr>
                <w:sz w:val="23"/>
                <w:szCs w:val="23"/>
                <w:color w:val="auto"/>
              </w:rPr>
            </w:pPr>
          </w:p>
        </w:tc>
      </w:tr>
      <w:tr>
        <w:trPr>
          <w:trHeight w:val="270"/>
        </w:trPr>
        <w:tc>
          <w:tcPr>
            <w:tcW w:w="6200" w:type="dxa"/>
            <w:vAlign w:val="bottom"/>
            <w:shd w:val="clear" w:color="auto" w:fill="CCFFCC"/>
          </w:tcPr>
          <w:p>
            <w:pPr>
              <w:ind w:left="180"/>
              <w:spacing w:after="0"/>
              <w:rPr>
                <w:sz w:val="20"/>
                <w:szCs w:val="20"/>
                <w:color w:val="auto"/>
              </w:rPr>
            </w:pPr>
            <w:r>
              <w:rPr>
                <w:rFonts w:ascii="Arial" w:cs="Arial" w:eastAsia="Arial" w:hAnsi="Arial"/>
                <w:sz w:val="9"/>
                <w:szCs w:val="9"/>
                <w:color w:val="auto"/>
              </w:rPr>
              <w:t xml:space="preserve">(3) </w:t>
            </w:r>
            <w:r>
              <w:rPr>
                <w:rFonts w:ascii="Arial" w:cs="Arial" w:eastAsia="Arial" w:hAnsi="Arial"/>
                <w:sz w:val="14"/>
                <w:szCs w:val="14"/>
                <w:color w:val="auto"/>
              </w:rPr>
              <w:t>Amounts include amortization of purchased intangibles, as follows:</w:t>
            </w:r>
          </w:p>
        </w:tc>
        <w:tc>
          <w:tcPr>
            <w:tcW w:w="140" w:type="dxa"/>
            <w:vAlign w:val="bottom"/>
            <w:shd w:val="clear" w:color="auto" w:fill="CCFFCC"/>
          </w:tcPr>
          <w:p>
            <w:pPr>
              <w:spacing w:after="0"/>
              <w:rPr>
                <w:sz w:val="23"/>
                <w:szCs w:val="23"/>
                <w:color w:val="auto"/>
              </w:rPr>
            </w:pPr>
          </w:p>
        </w:tc>
        <w:tc>
          <w:tcPr>
            <w:tcW w:w="900" w:type="dxa"/>
            <w:vAlign w:val="bottom"/>
            <w:shd w:val="clear" w:color="auto" w:fill="CCFFCC"/>
          </w:tcPr>
          <w:p>
            <w:pPr>
              <w:spacing w:after="0"/>
              <w:rPr>
                <w:sz w:val="23"/>
                <w:szCs w:val="23"/>
                <w:color w:val="auto"/>
              </w:rPr>
            </w:pPr>
          </w:p>
        </w:tc>
        <w:tc>
          <w:tcPr>
            <w:tcW w:w="120" w:type="dxa"/>
            <w:vAlign w:val="bottom"/>
            <w:shd w:val="clear" w:color="auto" w:fill="CCFFCC"/>
          </w:tcPr>
          <w:p>
            <w:pPr>
              <w:spacing w:after="0"/>
              <w:rPr>
                <w:sz w:val="23"/>
                <w:szCs w:val="23"/>
                <w:color w:val="auto"/>
              </w:rPr>
            </w:pPr>
          </w:p>
        </w:tc>
        <w:tc>
          <w:tcPr>
            <w:tcW w:w="220" w:type="dxa"/>
            <w:vAlign w:val="bottom"/>
            <w:shd w:val="clear" w:color="auto" w:fill="CCFFCC"/>
          </w:tcPr>
          <w:p>
            <w:pPr>
              <w:spacing w:after="0"/>
              <w:rPr>
                <w:sz w:val="23"/>
                <w:szCs w:val="23"/>
                <w:color w:val="auto"/>
              </w:rPr>
            </w:pPr>
          </w:p>
        </w:tc>
        <w:tc>
          <w:tcPr>
            <w:tcW w:w="920" w:type="dxa"/>
            <w:vAlign w:val="bottom"/>
            <w:shd w:val="clear" w:color="auto" w:fill="CCFFCC"/>
          </w:tcPr>
          <w:p>
            <w:pPr>
              <w:spacing w:after="0"/>
              <w:rPr>
                <w:sz w:val="23"/>
                <w:szCs w:val="23"/>
                <w:color w:val="auto"/>
              </w:rPr>
            </w:pPr>
          </w:p>
        </w:tc>
        <w:tc>
          <w:tcPr>
            <w:tcW w:w="340" w:type="dxa"/>
            <w:vAlign w:val="bottom"/>
            <w:shd w:val="clear" w:color="auto" w:fill="CCFFCC"/>
          </w:tcPr>
          <w:p>
            <w:pPr>
              <w:spacing w:after="0"/>
              <w:rPr>
                <w:sz w:val="23"/>
                <w:szCs w:val="23"/>
                <w:color w:val="auto"/>
              </w:rPr>
            </w:pPr>
          </w:p>
        </w:tc>
        <w:tc>
          <w:tcPr>
            <w:tcW w:w="140" w:type="dxa"/>
            <w:vAlign w:val="bottom"/>
            <w:shd w:val="clear" w:color="auto" w:fill="CCFFCC"/>
          </w:tcPr>
          <w:p>
            <w:pPr>
              <w:spacing w:after="0"/>
              <w:rPr>
                <w:sz w:val="23"/>
                <w:szCs w:val="23"/>
                <w:color w:val="auto"/>
              </w:rPr>
            </w:pPr>
          </w:p>
        </w:tc>
        <w:tc>
          <w:tcPr>
            <w:tcW w:w="880" w:type="dxa"/>
            <w:vAlign w:val="bottom"/>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c>
          <w:tcPr>
            <w:tcW w:w="200" w:type="dxa"/>
            <w:vAlign w:val="bottom"/>
            <w:shd w:val="clear" w:color="auto" w:fill="CCFFCC"/>
          </w:tcPr>
          <w:p>
            <w:pPr>
              <w:spacing w:after="0"/>
              <w:rPr>
                <w:sz w:val="23"/>
                <w:szCs w:val="23"/>
                <w:color w:val="auto"/>
              </w:rPr>
            </w:pPr>
          </w:p>
        </w:tc>
        <w:tc>
          <w:tcPr>
            <w:tcW w:w="920" w:type="dxa"/>
            <w:vAlign w:val="bottom"/>
            <w:shd w:val="clear" w:color="auto" w:fill="CCFFCC"/>
          </w:tcPr>
          <w:p>
            <w:pPr>
              <w:spacing w:after="0"/>
              <w:rPr>
                <w:sz w:val="23"/>
                <w:szCs w:val="23"/>
                <w:color w:val="auto"/>
              </w:rPr>
            </w:pPr>
          </w:p>
        </w:tc>
        <w:tc>
          <w:tcPr>
            <w:tcW w:w="340" w:type="dxa"/>
            <w:vAlign w:val="bottom"/>
            <w:shd w:val="clear" w:color="auto" w:fill="CCFFCC"/>
          </w:tcPr>
          <w:p>
            <w:pPr>
              <w:spacing w:after="0"/>
              <w:rPr>
                <w:sz w:val="23"/>
                <w:szCs w:val="23"/>
                <w:color w:val="auto"/>
              </w:rPr>
            </w:pPr>
          </w:p>
        </w:tc>
      </w:tr>
      <w:tr>
        <w:trPr>
          <w:trHeight w:val="264"/>
        </w:trPr>
        <w:tc>
          <w:tcPr>
            <w:tcW w:w="6200" w:type="dxa"/>
            <w:vAlign w:val="bottom"/>
          </w:tcPr>
          <w:p>
            <w:pPr>
              <w:ind w:left="380"/>
              <w:spacing w:after="0"/>
              <w:rPr>
                <w:sz w:val="20"/>
                <w:szCs w:val="20"/>
                <w:color w:val="auto"/>
              </w:rPr>
            </w:pPr>
            <w:r>
              <w:rPr>
                <w:rFonts w:ascii="Arial" w:cs="Arial" w:eastAsia="Arial" w:hAnsi="Arial"/>
                <w:sz w:val="14"/>
                <w:szCs w:val="14"/>
                <w:color w:val="auto"/>
              </w:rPr>
              <w:t>Cost of revenue</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3"/>
              <w:spacing w:after="0"/>
              <w:rPr>
                <w:sz w:val="20"/>
                <w:szCs w:val="20"/>
                <w:color w:val="auto"/>
              </w:rPr>
            </w:pPr>
            <w:r>
              <w:rPr>
                <w:rFonts w:ascii="Arial" w:cs="Arial" w:eastAsia="Arial" w:hAnsi="Arial"/>
                <w:sz w:val="14"/>
                <w:szCs w:val="14"/>
                <w:color w:val="auto"/>
              </w:rPr>
              <w:t>697</w:t>
            </w:r>
          </w:p>
        </w:tc>
        <w:tc>
          <w:tcPr>
            <w:tcW w:w="120" w:type="dxa"/>
            <w:vAlign w:val="bottom"/>
          </w:tcPr>
          <w:p>
            <w:pPr>
              <w:spacing w:after="0"/>
              <w:rPr>
                <w:sz w:val="22"/>
                <w:szCs w:val="22"/>
                <w:color w:val="auto"/>
              </w:rPr>
            </w:pPr>
          </w:p>
        </w:tc>
        <w:tc>
          <w:tcPr>
            <w:tcW w:w="220" w:type="dxa"/>
            <w:vAlign w:val="bottom"/>
          </w:tcPr>
          <w:p>
            <w:pPr>
              <w:ind w:left="4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2"/>
              <w:spacing w:after="0"/>
              <w:rPr>
                <w:sz w:val="20"/>
                <w:szCs w:val="20"/>
                <w:color w:val="auto"/>
              </w:rPr>
            </w:pPr>
            <w:r>
              <w:rPr>
                <w:rFonts w:ascii="Arial" w:cs="Arial" w:eastAsia="Arial" w:hAnsi="Arial"/>
                <w:sz w:val="14"/>
                <w:szCs w:val="14"/>
                <w:color w:val="auto"/>
              </w:rPr>
              <w:t>760</w:t>
            </w:r>
          </w:p>
        </w:tc>
        <w:tc>
          <w:tcPr>
            <w:tcW w:w="340" w:type="dxa"/>
            <w:vAlign w:val="bottom"/>
          </w:tcPr>
          <w:p>
            <w:pPr>
              <w:spacing w:after="0"/>
              <w:rPr>
                <w:sz w:val="22"/>
                <w:szCs w:val="22"/>
                <w:color w:val="auto"/>
              </w:rPr>
            </w:pP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3"/>
              <w:spacing w:after="0"/>
              <w:rPr>
                <w:sz w:val="20"/>
                <w:szCs w:val="20"/>
                <w:color w:val="auto"/>
              </w:rPr>
            </w:pPr>
            <w:r>
              <w:rPr>
                <w:rFonts w:ascii="Arial" w:cs="Arial" w:eastAsia="Arial" w:hAnsi="Arial"/>
                <w:sz w:val="14"/>
                <w:szCs w:val="14"/>
                <w:color w:val="auto"/>
              </w:rPr>
              <w:t>2,091</w:t>
            </w:r>
          </w:p>
        </w:tc>
        <w:tc>
          <w:tcPr>
            <w:tcW w:w="100" w:type="dxa"/>
            <w:vAlign w:val="bottom"/>
          </w:tcPr>
          <w:p>
            <w:pPr>
              <w:spacing w:after="0"/>
              <w:rPr>
                <w:sz w:val="22"/>
                <w:szCs w:val="22"/>
                <w:color w:val="auto"/>
              </w:rPr>
            </w:pPr>
          </w:p>
        </w:tc>
        <w:tc>
          <w:tcPr>
            <w:tcW w:w="200" w:type="dxa"/>
            <w:vAlign w:val="bottom"/>
          </w:tcPr>
          <w:p>
            <w:pPr>
              <w:ind w:left="2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2"/>
              <w:spacing w:after="0"/>
              <w:rPr>
                <w:sz w:val="20"/>
                <w:szCs w:val="20"/>
                <w:color w:val="auto"/>
              </w:rPr>
            </w:pPr>
            <w:r>
              <w:rPr>
                <w:rFonts w:ascii="Arial" w:cs="Arial" w:eastAsia="Arial" w:hAnsi="Arial"/>
                <w:sz w:val="14"/>
                <w:szCs w:val="14"/>
                <w:color w:val="auto"/>
              </w:rPr>
              <w:t>2,439</w:t>
            </w:r>
          </w:p>
        </w:tc>
        <w:tc>
          <w:tcPr>
            <w:tcW w:w="340" w:type="dxa"/>
            <w:vAlign w:val="bottom"/>
          </w:tcPr>
          <w:p>
            <w:pPr>
              <w:spacing w:after="0"/>
              <w:rPr>
                <w:sz w:val="22"/>
                <w:szCs w:val="22"/>
                <w:color w:val="auto"/>
              </w:rPr>
            </w:pPr>
          </w:p>
        </w:tc>
      </w:tr>
      <w:tr>
        <w:trPr>
          <w:trHeight w:val="290"/>
        </w:trPr>
        <w:tc>
          <w:tcPr>
            <w:tcW w:w="620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90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220" w:type="dxa"/>
            <w:vAlign w:val="bottom"/>
            <w:shd w:val="clear" w:color="auto" w:fill="CCFFCC"/>
          </w:tcPr>
          <w:p>
            <w:pPr>
              <w:spacing w:after="0"/>
              <w:rPr>
                <w:sz w:val="24"/>
                <w:szCs w:val="24"/>
                <w:color w:val="auto"/>
              </w:rPr>
            </w:pPr>
          </w:p>
        </w:tc>
        <w:tc>
          <w:tcPr>
            <w:tcW w:w="920" w:type="dxa"/>
            <w:vAlign w:val="bottom"/>
            <w:shd w:val="clear" w:color="auto" w:fill="CCFFCC"/>
          </w:tcPr>
          <w:p>
            <w:pPr>
              <w:spacing w:after="0"/>
              <w:rPr>
                <w:sz w:val="24"/>
                <w:szCs w:val="24"/>
                <w:color w:val="auto"/>
              </w:rPr>
            </w:pPr>
          </w:p>
        </w:tc>
        <w:tc>
          <w:tcPr>
            <w:tcW w:w="34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88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200" w:type="dxa"/>
            <w:vAlign w:val="bottom"/>
            <w:shd w:val="clear" w:color="auto" w:fill="CCFFCC"/>
          </w:tcPr>
          <w:p>
            <w:pPr>
              <w:spacing w:after="0"/>
              <w:rPr>
                <w:sz w:val="24"/>
                <w:szCs w:val="24"/>
                <w:color w:val="auto"/>
              </w:rPr>
            </w:pPr>
          </w:p>
        </w:tc>
        <w:tc>
          <w:tcPr>
            <w:tcW w:w="920" w:type="dxa"/>
            <w:vAlign w:val="bottom"/>
            <w:shd w:val="clear" w:color="auto" w:fill="CCFFCC"/>
          </w:tcPr>
          <w:p>
            <w:pPr>
              <w:spacing w:after="0"/>
              <w:rPr>
                <w:sz w:val="24"/>
                <w:szCs w:val="24"/>
                <w:color w:val="auto"/>
              </w:rPr>
            </w:pPr>
          </w:p>
        </w:tc>
        <w:tc>
          <w:tcPr>
            <w:tcW w:w="340" w:type="dxa"/>
            <w:vAlign w:val="bottom"/>
            <w:shd w:val="clear" w:color="auto" w:fill="CCFFCC"/>
          </w:tcPr>
          <w:p>
            <w:pPr>
              <w:spacing w:after="0"/>
              <w:rPr>
                <w:sz w:val="24"/>
                <w:szCs w:val="24"/>
                <w:color w:val="auto"/>
              </w:rPr>
            </w:pPr>
          </w:p>
        </w:tc>
      </w:tr>
    </w:tbl>
    <w:p>
      <w:pPr>
        <w:spacing w:after="0" w:line="8" w:lineRule="exact"/>
        <w:rPr>
          <w:sz w:val="20"/>
          <w:szCs w:val="20"/>
          <w:color w:val="auto"/>
        </w:rPr>
      </w:pPr>
    </w:p>
    <w:p>
      <w:pPr>
        <w:ind w:left="180" w:right="460" w:hanging="10"/>
        <w:spacing w:after="0" w:line="253" w:lineRule="auto"/>
        <w:tabs>
          <w:tab w:leader="none" w:pos="318" w:val="left"/>
        </w:tabs>
        <w:numPr>
          <w:ilvl w:val="0"/>
          <w:numId w:val="3"/>
        </w:numPr>
        <w:rPr>
          <w:rFonts w:ascii="Arial" w:cs="Arial" w:eastAsia="Arial" w:hAnsi="Arial"/>
          <w:sz w:val="9"/>
          <w:szCs w:val="9"/>
          <w:color w:val="auto"/>
        </w:rPr>
      </w:pPr>
      <w:r>
        <w:rPr>
          <w:rFonts w:ascii="Arial" w:cs="Arial" w:eastAsia="Arial" w:hAnsi="Arial"/>
          <w:sz w:val="14"/>
          <w:szCs w:val="14"/>
          <w:color w:val="auto"/>
        </w:rPr>
        <w:t>The Company reclassified $1.3 million and $1.5 million in the three and nine months ended September 30, 2016, respectively, related to the fair value adjustment of the contingent earn-out for CAO! and Engage from cost of revenue to general and administrative expenses to conform to the full year presentation.</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 (unaudited).</w:t>
      </w:r>
    </w:p>
    <w:p>
      <w:pPr>
        <w:sectPr>
          <w:pgSz w:w="11900" w:h="16838" w:orient="portrait"/>
          <w:cols w:equalWidth="0" w:num="1">
            <w:col w:w="11420"/>
          </w:cols>
          <w:pgMar w:left="240" w:top="769"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769" w:right="239" w:bottom="1440" w:gutter="0" w:footer="0" w:header="0"/>
          <w:type w:val="continuous"/>
        </w:sectPr>
      </w:pPr>
    </w:p>
    <w:bookmarkStart w:id="5" w:name="page6"/>
    <w:bookmarkEnd w:id="5"/>
    <w:p>
      <w:pPr>
        <w:ind w:left="4900"/>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6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3"/>
              </w:rPr>
              <w:t>Three Months Ended</w:t>
            </w:r>
          </w:p>
        </w:tc>
        <w:tc>
          <w:tcPr>
            <w:tcW w:w="200" w:type="dxa"/>
            <w:vAlign w:val="bottom"/>
          </w:tcPr>
          <w:p>
            <w:pPr>
              <w:spacing w:after="0"/>
              <w:rPr>
                <w:sz w:val="16"/>
                <w:szCs w:val="16"/>
                <w:color w:val="auto"/>
              </w:rPr>
            </w:pPr>
          </w:p>
        </w:tc>
        <w:tc>
          <w:tcPr>
            <w:tcW w:w="1700" w:type="dxa"/>
            <w:vAlign w:val="bottom"/>
            <w:gridSpan w:val="4"/>
          </w:tcPr>
          <w:p>
            <w:pPr>
              <w:jc w:val="right"/>
              <w:ind w:right="241"/>
              <w:spacing w:after="0"/>
              <w:rPr>
                <w:sz w:val="20"/>
                <w:szCs w:val="20"/>
                <w:color w:val="auto"/>
              </w:rPr>
            </w:pPr>
            <w:r>
              <w:rPr>
                <w:rFonts w:ascii="Arial" w:cs="Arial" w:eastAsia="Arial" w:hAnsi="Arial"/>
                <w:sz w:val="14"/>
                <w:szCs w:val="14"/>
                <w:b w:val="1"/>
                <w:bCs w:val="1"/>
                <w:color w:val="auto"/>
              </w:rPr>
              <w:t>Nine Months Ended</w:t>
            </w:r>
          </w:p>
        </w:tc>
      </w:tr>
      <w:tr>
        <w:trPr>
          <w:trHeight w:val="276"/>
        </w:trPr>
        <w:tc>
          <w:tcPr>
            <w:tcW w:w="7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6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1"/>
              </w:rPr>
              <w:t>September 30,</w:t>
            </w:r>
          </w:p>
        </w:tc>
        <w:tc>
          <w:tcPr>
            <w:tcW w:w="200" w:type="dxa"/>
            <w:vAlign w:val="bottom"/>
          </w:tcPr>
          <w:p>
            <w:pPr>
              <w:spacing w:after="0"/>
              <w:rPr>
                <w:sz w:val="24"/>
                <w:szCs w:val="24"/>
                <w:color w:val="auto"/>
              </w:rPr>
            </w:pPr>
          </w:p>
        </w:tc>
        <w:tc>
          <w:tcPr>
            <w:tcW w:w="1700" w:type="dxa"/>
            <w:vAlign w:val="bottom"/>
            <w:gridSpan w:val="4"/>
          </w:tcPr>
          <w:p>
            <w:pPr>
              <w:jc w:val="right"/>
              <w:ind w:right="421"/>
              <w:spacing w:after="0"/>
              <w:rPr>
                <w:sz w:val="20"/>
                <w:szCs w:val="20"/>
                <w:color w:val="auto"/>
              </w:rPr>
            </w:pPr>
            <w:r>
              <w:rPr>
                <w:rFonts w:ascii="Arial" w:cs="Arial" w:eastAsia="Arial" w:hAnsi="Arial"/>
                <w:sz w:val="14"/>
                <w:szCs w:val="14"/>
                <w:b w:val="1"/>
                <w:bCs w:val="1"/>
                <w:color w:val="auto"/>
              </w:rPr>
              <w:t>September 30,</w:t>
            </w:r>
          </w:p>
        </w:tc>
      </w:tr>
      <w:tr>
        <w:trPr>
          <w:trHeight w:val="264"/>
        </w:trPr>
        <w:tc>
          <w:tcPr>
            <w:tcW w:w="7200" w:type="dxa"/>
            <w:vAlign w:val="bottom"/>
            <w:tcBorders>
              <w:bottom w:val="single" w:sz="8" w:color="CCFFCC"/>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30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CCFFCC"/>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CFFCC"/>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FFCC"/>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2015</w:t>
            </w:r>
          </w:p>
        </w:tc>
      </w:tr>
      <w:tr>
        <w:trPr>
          <w:trHeight w:val="236"/>
        </w:trPr>
        <w:tc>
          <w:tcPr>
            <w:tcW w:w="720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Net (loss) income</w:t>
            </w:r>
          </w:p>
        </w:tc>
        <w:tc>
          <w:tcPr>
            <w:tcW w:w="260" w:type="dxa"/>
            <w:vAlign w:val="bottom"/>
            <w:tcBorders>
              <w:bottom w:val="single" w:sz="8" w:color="CCFFCC"/>
            </w:tcBorders>
            <w:shd w:val="clear" w:color="auto" w:fill="CCFFCC"/>
          </w:tcPr>
          <w:p>
            <w:pPr>
              <w:jc w:val="right"/>
              <w:ind w:right="5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(5,879)</w:t>
            </w:r>
          </w:p>
        </w:tc>
        <w:tc>
          <w:tcPr>
            <w:tcW w:w="120" w:type="dxa"/>
            <w:vAlign w:val="bottom"/>
            <w:tcBorders>
              <w:bottom w:val="single" w:sz="8" w:color="CCFFCC"/>
            </w:tcBorders>
            <w:shd w:val="clear" w:color="auto" w:fill="CCFFCC"/>
          </w:tcPr>
          <w:p>
            <w:pPr>
              <w:spacing w:after="0"/>
              <w:rPr>
                <w:sz w:val="20"/>
                <w:szCs w:val="20"/>
                <w:color w:val="auto"/>
              </w:rPr>
            </w:pPr>
          </w:p>
        </w:tc>
        <w:tc>
          <w:tcPr>
            <w:tcW w:w="22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FFCC"/>
            </w:tcBorders>
            <w:shd w:val="clear" w:color="auto" w:fill="CCFFCC"/>
          </w:tcPr>
          <w:p>
            <w:pPr>
              <w:jc w:val="right"/>
              <w:ind w:right="41"/>
              <w:spacing w:after="0"/>
              <w:rPr>
                <w:sz w:val="20"/>
                <w:szCs w:val="20"/>
                <w:color w:val="auto"/>
              </w:rPr>
            </w:pPr>
            <w:r>
              <w:rPr>
                <w:rFonts w:ascii="Arial" w:cs="Arial" w:eastAsia="Arial" w:hAnsi="Arial"/>
                <w:sz w:val="16"/>
                <w:szCs w:val="16"/>
                <w:color w:val="auto"/>
              </w:rPr>
              <w:t>1,925</w:t>
            </w:r>
          </w:p>
        </w:tc>
        <w:tc>
          <w:tcPr>
            <w:tcW w:w="200" w:type="dxa"/>
            <w:vAlign w:val="bottom"/>
            <w:tcBorders>
              <w:bottom w:val="single" w:sz="8" w:color="CCFFCC"/>
            </w:tcBorders>
            <w:shd w:val="clear" w:color="auto" w:fill="CCFFCC"/>
          </w:tcPr>
          <w:p>
            <w:pPr>
              <w:spacing w:after="0"/>
              <w:rPr>
                <w:sz w:val="20"/>
                <w:szCs w:val="20"/>
                <w:color w:val="auto"/>
              </w:rPr>
            </w:pPr>
          </w:p>
        </w:tc>
        <w:tc>
          <w:tcPr>
            <w:tcW w:w="2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(16,308)</w:t>
            </w:r>
          </w:p>
        </w:tc>
        <w:tc>
          <w:tcPr>
            <w:tcW w:w="100" w:type="dxa"/>
            <w:vAlign w:val="bottom"/>
            <w:tcBorders>
              <w:bottom w:val="single" w:sz="8" w:color="CCFFCC"/>
            </w:tcBorders>
            <w:shd w:val="clear" w:color="auto" w:fill="CCFFCC"/>
          </w:tcPr>
          <w:p>
            <w:pPr>
              <w:spacing w:after="0"/>
              <w:rPr>
                <w:sz w:val="20"/>
                <w:szCs w:val="20"/>
                <w:color w:val="auto"/>
              </w:rPr>
            </w:pPr>
          </w:p>
        </w:tc>
        <w:tc>
          <w:tcPr>
            <w:tcW w:w="22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(5,487)</w:t>
            </w:r>
          </w:p>
        </w:tc>
      </w:tr>
      <w:tr>
        <w:trPr>
          <w:trHeight w:val="237"/>
        </w:trPr>
        <w:tc>
          <w:tcPr>
            <w:tcW w:w="7200" w:type="dxa"/>
            <w:vAlign w:val="bottom"/>
          </w:tcPr>
          <w:p>
            <w:pPr>
              <w:ind w:left="40"/>
              <w:spacing w:after="0"/>
              <w:rPr>
                <w:sz w:val="20"/>
                <w:szCs w:val="20"/>
                <w:color w:val="auto"/>
              </w:rPr>
            </w:pPr>
            <w:r>
              <w:rPr>
                <w:rFonts w:ascii="Arial" w:cs="Arial" w:eastAsia="Arial" w:hAnsi="Arial"/>
                <w:sz w:val="16"/>
                <w:szCs w:val="16"/>
                <w:color w:val="auto"/>
              </w:rPr>
              <w:t>Foreign currency translation adjustment</w:t>
            </w:r>
          </w:p>
        </w:tc>
        <w:tc>
          <w:tcPr>
            <w:tcW w:w="260" w:type="dxa"/>
            <w:vAlign w:val="bottom"/>
          </w:tcPr>
          <w:p>
            <w:pPr>
              <w:spacing w:after="0"/>
              <w:rPr>
                <w:sz w:val="20"/>
                <w:szCs w:val="20"/>
                <w:color w:val="auto"/>
              </w:rPr>
            </w:pPr>
          </w:p>
        </w:tc>
        <w:tc>
          <w:tcPr>
            <w:tcW w:w="800" w:type="dxa"/>
            <w:vAlign w:val="bottom"/>
          </w:tcPr>
          <w:p>
            <w:pPr>
              <w:jc w:val="right"/>
              <w:ind w:right="43"/>
              <w:spacing w:after="0"/>
              <w:rPr>
                <w:sz w:val="20"/>
                <w:szCs w:val="20"/>
                <w:color w:val="auto"/>
              </w:rPr>
            </w:pPr>
            <w:r>
              <w:rPr>
                <w:rFonts w:ascii="Arial" w:cs="Arial" w:eastAsia="Arial" w:hAnsi="Arial"/>
                <w:sz w:val="16"/>
                <w:szCs w:val="16"/>
                <w:color w:val="auto"/>
              </w:rPr>
              <w:t>1,848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ind w:right="1"/>
              <w:spacing w:after="0"/>
              <w:rPr>
                <w:sz w:val="20"/>
                <w:szCs w:val="20"/>
                <w:color w:val="auto"/>
              </w:rPr>
            </w:pPr>
            <w:r>
              <w:rPr>
                <w:rFonts w:ascii="Arial" w:cs="Arial" w:eastAsia="Arial" w:hAnsi="Arial"/>
                <w:sz w:val="16"/>
                <w:szCs w:val="16"/>
                <w:color w:val="auto"/>
              </w:rPr>
              <w:t>(2,374)</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(650)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(1,303)</w:t>
            </w:r>
          </w:p>
        </w:tc>
      </w:tr>
      <w:tr>
        <w:trPr>
          <w:trHeight w:val="33"/>
        </w:trPr>
        <w:tc>
          <w:tcPr>
            <w:tcW w:w="7200" w:type="dxa"/>
            <w:vAlign w:val="bottom"/>
            <w:tcBorders>
              <w:bottom w:val="single" w:sz="8" w:color="CCFFC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Comprehensive loss</w:t>
            </w:r>
          </w:p>
        </w:tc>
        <w:tc>
          <w:tcPr>
            <w:tcW w:w="260" w:type="dxa"/>
            <w:vAlign w:val="bottom"/>
            <w:tcBorders>
              <w:bottom w:val="single" w:sz="8" w:color="auto"/>
            </w:tcBorders>
            <w:shd w:val="clear" w:color="auto" w:fill="CCFFCC"/>
          </w:tcPr>
          <w:p>
            <w:pPr>
              <w:jc w:val="right"/>
              <w:ind w:right="5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(4,031)</w:t>
            </w:r>
          </w:p>
        </w:tc>
        <w:tc>
          <w:tcPr>
            <w:tcW w:w="12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auto"/>
            </w:tcBorders>
            <w:shd w:val="clear" w:color="auto" w:fill="CCFFCC"/>
          </w:tcPr>
          <w:p>
            <w:pPr>
              <w:jc w:val="right"/>
              <w:ind w:right="3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FFCC"/>
          </w:tcPr>
          <w:p>
            <w:pPr>
              <w:jc w:val="right"/>
              <w:ind w:right="1"/>
              <w:spacing w:after="0"/>
              <w:rPr>
                <w:sz w:val="20"/>
                <w:szCs w:val="20"/>
                <w:color w:val="auto"/>
              </w:rPr>
            </w:pPr>
            <w:r>
              <w:rPr>
                <w:rFonts w:ascii="Arial" w:cs="Arial" w:eastAsia="Arial" w:hAnsi="Arial"/>
                <w:sz w:val="16"/>
                <w:szCs w:val="16"/>
                <w:color w:val="auto"/>
              </w:rPr>
              <w:t>(449)</w:t>
            </w:r>
          </w:p>
        </w:tc>
        <w:tc>
          <w:tcPr>
            <w:tcW w:w="20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(16,958)</w:t>
            </w:r>
          </w:p>
        </w:tc>
        <w:tc>
          <w:tcPr>
            <w:tcW w:w="10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auto"/>
            </w:tcBorders>
            <w:shd w:val="clear" w:color="auto" w:fill="CCFFCC"/>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(6,790)</w:t>
            </w:r>
          </w:p>
        </w:tc>
      </w:tr>
      <w:tr>
        <w:trPr>
          <w:trHeight w:val="20"/>
        </w:trPr>
        <w:tc>
          <w:tcPr>
            <w:tcW w:w="7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 (unaudited).</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769"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LIVEPERSON,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5"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Nine Months Ended</w:t>
      </w:r>
    </w:p>
    <w:p>
      <w:pPr>
        <w:spacing w:after="0" w:line="119" w:lineRule="exact"/>
        <w:rPr>
          <w:sz w:val="20"/>
          <w:szCs w:val="20"/>
          <w:color w:val="auto"/>
        </w:rPr>
      </w:pPr>
    </w:p>
    <w:p>
      <w:pPr>
        <w:ind w:left="948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17145</wp:posOffset>
            </wp:positionV>
            <wp:extent cx="19551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340" w:type="dxa"/>
            <w:vAlign w:val="bottom"/>
            <w:tcBorders>
              <w:bottom w:val="single" w:sz="8" w:color="CCFFCC"/>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CCFFCC"/>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2015</w:t>
            </w:r>
          </w:p>
        </w:tc>
      </w:tr>
      <w:tr>
        <w:trPr>
          <w:trHeight w:val="257"/>
        </w:trPr>
        <w:tc>
          <w:tcPr>
            <w:tcW w:w="8340" w:type="dxa"/>
            <w:vAlign w:val="bottom"/>
            <w:shd w:val="clear" w:color="auto" w:fill="CCFFCC"/>
          </w:tcPr>
          <w:p>
            <w:pPr>
              <w:ind w:left="40"/>
              <w:spacing w:after="0"/>
              <w:rPr>
                <w:sz w:val="20"/>
                <w:szCs w:val="20"/>
                <w:color w:val="auto"/>
              </w:rPr>
            </w:pPr>
            <w:r>
              <w:rPr>
                <w:rFonts w:ascii="Arial" w:cs="Arial" w:eastAsia="Arial" w:hAnsi="Arial"/>
                <w:sz w:val="14"/>
                <w:szCs w:val="14"/>
                <w:color w:val="auto"/>
              </w:rPr>
              <w:t>OPERATING ACTIVITIES:</w:t>
            </w:r>
          </w:p>
        </w:tc>
        <w:tc>
          <w:tcPr>
            <w:tcW w:w="920" w:type="dxa"/>
            <w:vAlign w:val="bottom"/>
            <w:shd w:val="clear" w:color="auto" w:fill="CCFFCC"/>
          </w:tcPr>
          <w:p>
            <w:pPr>
              <w:spacing w:after="0"/>
              <w:rPr>
                <w:sz w:val="22"/>
                <w:szCs w:val="22"/>
                <w:color w:val="auto"/>
              </w:rPr>
            </w:pPr>
          </w:p>
        </w:tc>
        <w:tc>
          <w:tcPr>
            <w:tcW w:w="580" w:type="dxa"/>
            <w:vAlign w:val="bottom"/>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340" w:type="dxa"/>
            <w:vAlign w:val="bottom"/>
            <w:shd w:val="clear" w:color="auto" w:fill="CCFFCC"/>
          </w:tcPr>
          <w:p>
            <w:pPr>
              <w:spacing w:after="0"/>
              <w:rPr>
                <w:sz w:val="22"/>
                <w:szCs w:val="22"/>
                <w:color w:val="auto"/>
              </w:rPr>
            </w:pPr>
          </w:p>
        </w:tc>
        <w:tc>
          <w:tcPr>
            <w:tcW w:w="1120" w:type="dxa"/>
            <w:vAlign w:val="bottom"/>
            <w:shd w:val="clear" w:color="auto" w:fill="CCFFCC"/>
          </w:tcPr>
          <w:p>
            <w:pPr>
              <w:spacing w:after="0"/>
              <w:rPr>
                <w:sz w:val="22"/>
                <w:szCs w:val="22"/>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Net loss</w:t>
            </w:r>
          </w:p>
        </w:tc>
        <w:tc>
          <w:tcPr>
            <w:tcW w:w="920" w:type="dxa"/>
            <w:vAlign w:val="bottom"/>
          </w:tcPr>
          <w:p>
            <w:pPr>
              <w:jc w:val="right"/>
              <w:ind w:right="749"/>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8"/>
              <w:spacing w:after="0"/>
              <w:rPr>
                <w:sz w:val="20"/>
                <w:szCs w:val="20"/>
                <w:color w:val="auto"/>
              </w:rPr>
            </w:pPr>
            <w:r>
              <w:rPr>
                <w:rFonts w:ascii="Arial" w:cs="Arial" w:eastAsia="Arial" w:hAnsi="Arial"/>
                <w:sz w:val="14"/>
                <w:szCs w:val="14"/>
                <w:color w:val="auto"/>
                <w:w w:val="91"/>
              </w:rPr>
              <w:t>(16,308)</w:t>
            </w:r>
          </w:p>
        </w:tc>
        <w:tc>
          <w:tcPr>
            <w:tcW w:w="120" w:type="dxa"/>
            <w:vAlign w:val="bottom"/>
          </w:tcPr>
          <w:p>
            <w:pPr>
              <w:spacing w:after="0"/>
              <w:rPr>
                <w:sz w:val="22"/>
                <w:szCs w:val="22"/>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(5,487)</w:t>
            </w:r>
          </w:p>
        </w:tc>
      </w:tr>
      <w:tr>
        <w:trPr>
          <w:trHeight w:val="276"/>
        </w:trPr>
        <w:tc>
          <w:tcPr>
            <w:tcW w:w="8340" w:type="dxa"/>
            <w:vAlign w:val="bottom"/>
            <w:shd w:val="clear" w:color="auto" w:fill="CCFFCC"/>
          </w:tcPr>
          <w:p>
            <w:pPr>
              <w:ind w:left="180"/>
              <w:spacing w:after="0"/>
              <w:rPr>
                <w:sz w:val="20"/>
                <w:szCs w:val="20"/>
                <w:color w:val="auto"/>
              </w:rPr>
            </w:pPr>
            <w:r>
              <w:rPr>
                <w:rFonts w:ascii="Arial" w:cs="Arial" w:eastAsia="Arial" w:hAnsi="Arial"/>
                <w:sz w:val="14"/>
                <w:szCs w:val="14"/>
                <w:color w:val="auto"/>
              </w:rPr>
              <w:t>Adjustments to reconcile net loss to net cash provided by operating activities:</w:t>
            </w:r>
          </w:p>
        </w:tc>
        <w:tc>
          <w:tcPr>
            <w:tcW w:w="920" w:type="dxa"/>
            <w:vAlign w:val="bottom"/>
            <w:shd w:val="clear" w:color="auto" w:fill="CCFFCC"/>
          </w:tcPr>
          <w:p>
            <w:pPr>
              <w:spacing w:after="0"/>
              <w:rPr>
                <w:sz w:val="24"/>
                <w:szCs w:val="24"/>
                <w:color w:val="auto"/>
              </w:rPr>
            </w:pPr>
          </w:p>
        </w:tc>
        <w:tc>
          <w:tcPr>
            <w:tcW w:w="58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340" w:type="dxa"/>
            <w:vAlign w:val="bottom"/>
            <w:shd w:val="clear" w:color="auto" w:fill="CCFFCC"/>
          </w:tcPr>
          <w:p>
            <w:pPr>
              <w:spacing w:after="0"/>
              <w:rPr>
                <w:sz w:val="24"/>
                <w:szCs w:val="24"/>
                <w:color w:val="auto"/>
              </w:rPr>
            </w:pPr>
          </w:p>
        </w:tc>
        <w:tc>
          <w:tcPr>
            <w:tcW w:w="1120" w:type="dxa"/>
            <w:vAlign w:val="bottom"/>
            <w:shd w:val="clear" w:color="auto" w:fill="CCFFCC"/>
          </w:tcPr>
          <w:p>
            <w:pPr>
              <w:spacing w:after="0"/>
              <w:rPr>
                <w:sz w:val="24"/>
                <w:szCs w:val="24"/>
                <w:color w:val="auto"/>
              </w:rPr>
            </w:pPr>
          </w:p>
        </w:tc>
      </w:tr>
      <w:tr>
        <w:trPr>
          <w:trHeight w:val="264"/>
        </w:trPr>
        <w:tc>
          <w:tcPr>
            <w:tcW w:w="8340" w:type="dxa"/>
            <w:vAlign w:val="bottom"/>
          </w:tcPr>
          <w:p>
            <w:pPr>
              <w:ind w:left="180"/>
              <w:spacing w:after="0"/>
              <w:rPr>
                <w:sz w:val="20"/>
                <w:szCs w:val="20"/>
                <w:color w:val="auto"/>
              </w:rPr>
            </w:pPr>
            <w:r>
              <w:rPr>
                <w:rFonts w:ascii="Arial" w:cs="Arial" w:eastAsia="Arial" w:hAnsi="Arial"/>
                <w:sz w:val="14"/>
                <w:szCs w:val="14"/>
                <w:color w:val="auto"/>
              </w:rPr>
              <w:t>Stock-based compensation expense</w:t>
            </w:r>
          </w:p>
        </w:tc>
        <w:tc>
          <w:tcPr>
            <w:tcW w:w="92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7,600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8,793</w:t>
            </w:r>
          </w:p>
        </w:tc>
      </w:tr>
      <w:tr>
        <w:trPr>
          <w:trHeight w:val="276"/>
        </w:trPr>
        <w:tc>
          <w:tcPr>
            <w:tcW w:w="8340" w:type="dxa"/>
            <w:vAlign w:val="bottom"/>
            <w:shd w:val="clear" w:color="auto" w:fill="CCFFCC"/>
          </w:tcPr>
          <w:p>
            <w:pPr>
              <w:ind w:left="180"/>
              <w:spacing w:after="0"/>
              <w:rPr>
                <w:sz w:val="20"/>
                <w:szCs w:val="20"/>
                <w:color w:val="auto"/>
              </w:rPr>
            </w:pPr>
            <w:r>
              <w:rPr>
                <w:rFonts w:ascii="Arial" w:cs="Arial" w:eastAsia="Arial" w:hAnsi="Arial"/>
                <w:sz w:val="14"/>
                <w:szCs w:val="14"/>
                <w:color w:val="auto"/>
              </w:rPr>
              <w:t>Depreciation</w:t>
            </w:r>
          </w:p>
        </w:tc>
        <w:tc>
          <w:tcPr>
            <w:tcW w:w="920" w:type="dxa"/>
            <w:vAlign w:val="bottom"/>
            <w:shd w:val="clear" w:color="auto" w:fill="CCFFCC"/>
          </w:tcPr>
          <w:p>
            <w:pPr>
              <w:spacing w:after="0"/>
              <w:rPr>
                <w:sz w:val="24"/>
                <w:szCs w:val="24"/>
                <w:color w:val="auto"/>
              </w:rPr>
            </w:pPr>
          </w:p>
        </w:tc>
        <w:tc>
          <w:tcPr>
            <w:tcW w:w="58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9,445</w:t>
            </w:r>
          </w:p>
        </w:tc>
        <w:tc>
          <w:tcPr>
            <w:tcW w:w="120" w:type="dxa"/>
            <w:vAlign w:val="bottom"/>
            <w:shd w:val="clear" w:color="auto" w:fill="CCFFCC"/>
          </w:tcPr>
          <w:p>
            <w:pPr>
              <w:spacing w:after="0"/>
              <w:rPr>
                <w:sz w:val="24"/>
                <w:szCs w:val="24"/>
                <w:color w:val="auto"/>
              </w:rPr>
            </w:pPr>
          </w:p>
        </w:tc>
        <w:tc>
          <w:tcPr>
            <w:tcW w:w="340" w:type="dxa"/>
            <w:vAlign w:val="bottom"/>
            <w:shd w:val="clear" w:color="auto" w:fill="CCFFCC"/>
          </w:tcPr>
          <w:p>
            <w:pPr>
              <w:spacing w:after="0"/>
              <w:rPr>
                <w:sz w:val="24"/>
                <w:szCs w:val="24"/>
                <w:color w:val="auto"/>
              </w:rPr>
            </w:pPr>
          </w:p>
        </w:tc>
        <w:tc>
          <w:tcPr>
            <w:tcW w:w="112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8,599</w:t>
            </w:r>
          </w:p>
        </w:tc>
      </w:tr>
      <w:tr>
        <w:trPr>
          <w:trHeight w:val="264"/>
        </w:trPr>
        <w:tc>
          <w:tcPr>
            <w:tcW w:w="8340" w:type="dxa"/>
            <w:vAlign w:val="bottom"/>
          </w:tcPr>
          <w:p>
            <w:pPr>
              <w:ind w:left="180"/>
              <w:spacing w:after="0"/>
              <w:rPr>
                <w:sz w:val="20"/>
                <w:szCs w:val="20"/>
                <w:color w:val="auto"/>
              </w:rPr>
            </w:pPr>
            <w:r>
              <w:rPr>
                <w:rFonts w:ascii="Arial" w:cs="Arial" w:eastAsia="Arial" w:hAnsi="Arial"/>
                <w:sz w:val="14"/>
                <w:szCs w:val="14"/>
                <w:color w:val="auto"/>
              </w:rPr>
              <w:t>Amortization of purchased intangibles</w:t>
            </w:r>
          </w:p>
        </w:tc>
        <w:tc>
          <w:tcPr>
            <w:tcW w:w="92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5,045</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6,122</w:t>
            </w:r>
          </w:p>
        </w:tc>
      </w:tr>
      <w:tr>
        <w:trPr>
          <w:trHeight w:val="276"/>
        </w:trPr>
        <w:tc>
          <w:tcPr>
            <w:tcW w:w="8340" w:type="dxa"/>
            <w:vAlign w:val="bottom"/>
            <w:shd w:val="clear" w:color="auto" w:fill="CCFFCC"/>
          </w:tcPr>
          <w:p>
            <w:pPr>
              <w:ind w:left="180"/>
              <w:spacing w:after="0"/>
              <w:rPr>
                <w:sz w:val="20"/>
                <w:szCs w:val="20"/>
                <w:color w:val="auto"/>
              </w:rPr>
            </w:pPr>
            <w:r>
              <w:rPr>
                <w:rFonts w:ascii="Arial" w:cs="Arial" w:eastAsia="Arial" w:hAnsi="Arial"/>
                <w:sz w:val="14"/>
                <w:szCs w:val="14"/>
                <w:color w:val="auto"/>
              </w:rPr>
              <w:t>Deferred income taxes and other non-cash tax items</w:t>
            </w:r>
          </w:p>
        </w:tc>
        <w:tc>
          <w:tcPr>
            <w:tcW w:w="920" w:type="dxa"/>
            <w:vAlign w:val="bottom"/>
            <w:shd w:val="clear" w:color="auto" w:fill="CCFFCC"/>
          </w:tcPr>
          <w:p>
            <w:pPr>
              <w:spacing w:after="0"/>
              <w:rPr>
                <w:sz w:val="24"/>
                <w:szCs w:val="24"/>
                <w:color w:val="auto"/>
              </w:rPr>
            </w:pPr>
          </w:p>
        </w:tc>
        <w:tc>
          <w:tcPr>
            <w:tcW w:w="58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163</w:t>
            </w:r>
          </w:p>
        </w:tc>
        <w:tc>
          <w:tcPr>
            <w:tcW w:w="120" w:type="dxa"/>
            <w:vAlign w:val="bottom"/>
            <w:shd w:val="clear" w:color="auto" w:fill="CCFFCC"/>
          </w:tcPr>
          <w:p>
            <w:pPr>
              <w:spacing w:after="0"/>
              <w:rPr>
                <w:sz w:val="24"/>
                <w:szCs w:val="24"/>
                <w:color w:val="auto"/>
              </w:rPr>
            </w:pPr>
          </w:p>
        </w:tc>
        <w:tc>
          <w:tcPr>
            <w:tcW w:w="340" w:type="dxa"/>
            <w:vAlign w:val="bottom"/>
            <w:shd w:val="clear" w:color="auto" w:fill="CCFFCC"/>
          </w:tcPr>
          <w:p>
            <w:pPr>
              <w:spacing w:after="0"/>
              <w:rPr>
                <w:sz w:val="24"/>
                <w:szCs w:val="24"/>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(4,103)</w:t>
            </w:r>
          </w:p>
        </w:tc>
      </w:tr>
      <w:tr>
        <w:trPr>
          <w:trHeight w:val="264"/>
        </w:trPr>
        <w:tc>
          <w:tcPr>
            <w:tcW w:w="8340" w:type="dxa"/>
            <w:vAlign w:val="bottom"/>
          </w:tcPr>
          <w:p>
            <w:pPr>
              <w:ind w:left="180"/>
              <w:spacing w:after="0"/>
              <w:rPr>
                <w:sz w:val="20"/>
                <w:szCs w:val="20"/>
                <w:color w:val="auto"/>
              </w:rPr>
            </w:pPr>
            <w:r>
              <w:rPr>
                <w:rFonts w:ascii="Arial" w:cs="Arial" w:eastAsia="Arial" w:hAnsi="Arial"/>
                <w:sz w:val="14"/>
                <w:szCs w:val="14"/>
                <w:color w:val="auto"/>
              </w:rPr>
              <w:t>Change in fair value contingent consideration</w:t>
            </w:r>
          </w:p>
        </w:tc>
        <w:tc>
          <w:tcPr>
            <w:tcW w:w="92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3,792</w:t>
            </w:r>
          </w:p>
        </w:tc>
      </w:tr>
      <w:tr>
        <w:trPr>
          <w:trHeight w:val="276"/>
        </w:trPr>
        <w:tc>
          <w:tcPr>
            <w:tcW w:w="8340" w:type="dxa"/>
            <w:vAlign w:val="bottom"/>
            <w:shd w:val="clear" w:color="auto" w:fill="CCFFCC"/>
          </w:tcPr>
          <w:p>
            <w:pPr>
              <w:ind w:left="180"/>
              <w:spacing w:after="0"/>
              <w:rPr>
                <w:sz w:val="20"/>
                <w:szCs w:val="20"/>
                <w:color w:val="auto"/>
              </w:rPr>
            </w:pPr>
            <w:r>
              <w:rPr>
                <w:rFonts w:ascii="Arial" w:cs="Arial" w:eastAsia="Arial" w:hAnsi="Arial"/>
                <w:sz w:val="14"/>
                <w:szCs w:val="14"/>
                <w:color w:val="auto"/>
              </w:rPr>
              <w:t>Provision for doubtful accounts, net</w:t>
            </w:r>
          </w:p>
        </w:tc>
        <w:tc>
          <w:tcPr>
            <w:tcW w:w="920" w:type="dxa"/>
            <w:vAlign w:val="bottom"/>
            <w:shd w:val="clear" w:color="auto" w:fill="CCFFCC"/>
          </w:tcPr>
          <w:p>
            <w:pPr>
              <w:spacing w:after="0"/>
              <w:rPr>
                <w:sz w:val="24"/>
                <w:szCs w:val="24"/>
                <w:color w:val="auto"/>
              </w:rPr>
            </w:pPr>
          </w:p>
        </w:tc>
        <w:tc>
          <w:tcPr>
            <w:tcW w:w="58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1,240</w:t>
            </w:r>
          </w:p>
        </w:tc>
        <w:tc>
          <w:tcPr>
            <w:tcW w:w="120" w:type="dxa"/>
            <w:vAlign w:val="bottom"/>
            <w:shd w:val="clear" w:color="auto" w:fill="CCFFCC"/>
          </w:tcPr>
          <w:p>
            <w:pPr>
              <w:spacing w:after="0"/>
              <w:rPr>
                <w:sz w:val="24"/>
                <w:szCs w:val="24"/>
                <w:color w:val="auto"/>
              </w:rPr>
            </w:pPr>
          </w:p>
        </w:tc>
        <w:tc>
          <w:tcPr>
            <w:tcW w:w="340" w:type="dxa"/>
            <w:vAlign w:val="bottom"/>
            <w:shd w:val="clear" w:color="auto" w:fill="CCFFCC"/>
          </w:tcPr>
          <w:p>
            <w:pPr>
              <w:spacing w:after="0"/>
              <w:rPr>
                <w:sz w:val="24"/>
                <w:szCs w:val="24"/>
                <w:color w:val="auto"/>
              </w:rPr>
            </w:pPr>
          </w:p>
        </w:tc>
        <w:tc>
          <w:tcPr>
            <w:tcW w:w="112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1,688</w:t>
            </w:r>
          </w:p>
        </w:tc>
      </w:tr>
      <w:tr>
        <w:trPr>
          <w:trHeight w:val="297"/>
        </w:trPr>
        <w:tc>
          <w:tcPr>
            <w:tcW w:w="8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70"/>
        </w:trPr>
        <w:tc>
          <w:tcPr>
            <w:tcW w:w="8340" w:type="dxa"/>
            <w:vAlign w:val="bottom"/>
            <w:shd w:val="clear" w:color="auto" w:fill="CCFFCC"/>
          </w:tcPr>
          <w:p>
            <w:pPr>
              <w:ind w:left="180"/>
              <w:spacing w:after="0"/>
              <w:rPr>
                <w:sz w:val="20"/>
                <w:szCs w:val="20"/>
                <w:color w:val="auto"/>
              </w:rPr>
            </w:pPr>
            <w:r>
              <w:rPr>
                <w:rFonts w:ascii="Arial" w:cs="Arial" w:eastAsia="Arial" w:hAnsi="Arial"/>
                <w:sz w:val="14"/>
                <w:szCs w:val="14"/>
                <w:color w:val="auto"/>
              </w:rPr>
              <w:t>Changes in operating assets and liabilities:</w:t>
            </w:r>
          </w:p>
        </w:tc>
        <w:tc>
          <w:tcPr>
            <w:tcW w:w="920" w:type="dxa"/>
            <w:vAlign w:val="bottom"/>
            <w:shd w:val="clear" w:color="auto" w:fill="CCFFCC"/>
          </w:tcPr>
          <w:p>
            <w:pPr>
              <w:spacing w:after="0"/>
              <w:rPr>
                <w:sz w:val="23"/>
                <w:szCs w:val="23"/>
                <w:color w:val="auto"/>
              </w:rPr>
            </w:pPr>
          </w:p>
        </w:tc>
        <w:tc>
          <w:tcPr>
            <w:tcW w:w="580" w:type="dxa"/>
            <w:vAlign w:val="bottom"/>
            <w:shd w:val="clear" w:color="auto" w:fill="CCFFCC"/>
          </w:tcPr>
          <w:p>
            <w:pPr>
              <w:spacing w:after="0"/>
              <w:rPr>
                <w:sz w:val="23"/>
                <w:szCs w:val="23"/>
                <w:color w:val="auto"/>
              </w:rPr>
            </w:pPr>
          </w:p>
        </w:tc>
        <w:tc>
          <w:tcPr>
            <w:tcW w:w="120" w:type="dxa"/>
            <w:vAlign w:val="bottom"/>
            <w:shd w:val="clear" w:color="auto" w:fill="CCFFCC"/>
          </w:tcPr>
          <w:p>
            <w:pPr>
              <w:spacing w:after="0"/>
              <w:rPr>
                <w:sz w:val="23"/>
                <w:szCs w:val="23"/>
                <w:color w:val="auto"/>
              </w:rPr>
            </w:pPr>
          </w:p>
        </w:tc>
        <w:tc>
          <w:tcPr>
            <w:tcW w:w="340" w:type="dxa"/>
            <w:vAlign w:val="bottom"/>
            <w:shd w:val="clear" w:color="auto" w:fill="CCFFCC"/>
          </w:tcPr>
          <w:p>
            <w:pPr>
              <w:spacing w:after="0"/>
              <w:rPr>
                <w:sz w:val="23"/>
                <w:szCs w:val="23"/>
                <w:color w:val="auto"/>
              </w:rPr>
            </w:pPr>
          </w:p>
        </w:tc>
        <w:tc>
          <w:tcPr>
            <w:tcW w:w="1120" w:type="dxa"/>
            <w:vAlign w:val="bottom"/>
            <w:shd w:val="clear" w:color="auto" w:fill="CCFFCC"/>
          </w:tcPr>
          <w:p>
            <w:pPr>
              <w:spacing w:after="0"/>
              <w:rPr>
                <w:sz w:val="23"/>
                <w:szCs w:val="23"/>
                <w:color w:val="auto"/>
              </w:rPr>
            </w:pPr>
          </w:p>
        </w:tc>
      </w:tr>
      <w:tr>
        <w:trPr>
          <w:trHeight w:val="264"/>
        </w:trPr>
        <w:tc>
          <w:tcPr>
            <w:tcW w:w="8340" w:type="dxa"/>
            <w:vAlign w:val="bottom"/>
          </w:tcPr>
          <w:p>
            <w:pPr>
              <w:ind w:left="380"/>
              <w:spacing w:after="0"/>
              <w:rPr>
                <w:sz w:val="20"/>
                <w:szCs w:val="20"/>
                <w:color w:val="auto"/>
              </w:rPr>
            </w:pPr>
            <w:r>
              <w:rPr>
                <w:rFonts w:ascii="Arial" w:cs="Arial" w:eastAsia="Arial" w:hAnsi="Arial"/>
                <w:sz w:val="14"/>
                <w:szCs w:val="14"/>
                <w:color w:val="auto"/>
              </w:rPr>
              <w:t>Accounts receivable</w:t>
            </w:r>
          </w:p>
        </w:tc>
        <w:tc>
          <w:tcPr>
            <w:tcW w:w="920" w:type="dxa"/>
            <w:vAlign w:val="bottom"/>
          </w:tcPr>
          <w:p>
            <w:pPr>
              <w:spacing w:after="0"/>
              <w:rPr>
                <w:sz w:val="22"/>
                <w:szCs w:val="22"/>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(340)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(2,750)</w:t>
            </w:r>
          </w:p>
        </w:tc>
      </w:tr>
      <w:tr>
        <w:trPr>
          <w:trHeight w:val="276"/>
        </w:trPr>
        <w:tc>
          <w:tcPr>
            <w:tcW w:w="8340" w:type="dxa"/>
            <w:vAlign w:val="bottom"/>
            <w:shd w:val="clear" w:color="auto" w:fill="CCFFCC"/>
          </w:tcPr>
          <w:p>
            <w:pPr>
              <w:ind w:left="380"/>
              <w:spacing w:after="0"/>
              <w:rPr>
                <w:sz w:val="20"/>
                <w:szCs w:val="20"/>
                <w:color w:val="auto"/>
              </w:rPr>
            </w:pPr>
            <w:r>
              <w:rPr>
                <w:rFonts w:ascii="Arial" w:cs="Arial" w:eastAsia="Arial" w:hAnsi="Arial"/>
                <w:sz w:val="14"/>
                <w:szCs w:val="14"/>
                <w:color w:val="auto"/>
              </w:rPr>
              <w:t>Prepaid expenses and other current assets</w:t>
            </w:r>
          </w:p>
        </w:tc>
        <w:tc>
          <w:tcPr>
            <w:tcW w:w="920" w:type="dxa"/>
            <w:vAlign w:val="bottom"/>
            <w:shd w:val="clear" w:color="auto" w:fill="CCFFCC"/>
          </w:tcPr>
          <w:p>
            <w:pPr>
              <w:spacing w:after="0"/>
              <w:rPr>
                <w:sz w:val="24"/>
                <w:szCs w:val="24"/>
                <w:color w:val="auto"/>
              </w:rPr>
            </w:pPr>
          </w:p>
        </w:tc>
        <w:tc>
          <w:tcPr>
            <w:tcW w:w="580" w:type="dxa"/>
            <w:vAlign w:val="bottom"/>
            <w:shd w:val="clear" w:color="auto" w:fill="CCFFCC"/>
          </w:tcPr>
          <w:p>
            <w:pPr>
              <w:jc w:val="right"/>
              <w:ind w:right="8"/>
              <w:spacing w:after="0"/>
              <w:rPr>
                <w:sz w:val="20"/>
                <w:szCs w:val="20"/>
                <w:color w:val="auto"/>
              </w:rPr>
            </w:pPr>
            <w:r>
              <w:rPr>
                <w:rFonts w:ascii="Arial" w:cs="Arial" w:eastAsia="Arial" w:hAnsi="Arial"/>
                <w:sz w:val="14"/>
                <w:szCs w:val="14"/>
                <w:color w:val="auto"/>
              </w:rPr>
              <w:t>(1,627)</w:t>
            </w:r>
          </w:p>
        </w:tc>
        <w:tc>
          <w:tcPr>
            <w:tcW w:w="120" w:type="dxa"/>
            <w:vAlign w:val="bottom"/>
            <w:shd w:val="clear" w:color="auto" w:fill="CCFFCC"/>
          </w:tcPr>
          <w:p>
            <w:pPr>
              <w:spacing w:after="0"/>
              <w:rPr>
                <w:sz w:val="24"/>
                <w:szCs w:val="24"/>
                <w:color w:val="auto"/>
              </w:rPr>
            </w:pPr>
          </w:p>
        </w:tc>
        <w:tc>
          <w:tcPr>
            <w:tcW w:w="340" w:type="dxa"/>
            <w:vAlign w:val="bottom"/>
            <w:shd w:val="clear" w:color="auto" w:fill="CCFFCC"/>
          </w:tcPr>
          <w:p>
            <w:pPr>
              <w:spacing w:after="0"/>
              <w:rPr>
                <w:sz w:val="24"/>
                <w:szCs w:val="24"/>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(1,278)</w:t>
            </w:r>
          </w:p>
        </w:tc>
      </w:tr>
      <w:tr>
        <w:trPr>
          <w:trHeight w:val="264"/>
        </w:trPr>
        <w:tc>
          <w:tcPr>
            <w:tcW w:w="8340" w:type="dxa"/>
            <w:vAlign w:val="bottom"/>
          </w:tcPr>
          <w:p>
            <w:pPr>
              <w:ind w:left="380"/>
              <w:spacing w:after="0"/>
              <w:rPr>
                <w:sz w:val="20"/>
                <w:szCs w:val="20"/>
                <w:color w:val="auto"/>
              </w:rPr>
            </w:pPr>
            <w:r>
              <w:rPr>
                <w:rFonts w:ascii="Arial" w:cs="Arial" w:eastAsia="Arial" w:hAnsi="Arial"/>
                <w:sz w:val="14"/>
                <w:szCs w:val="14"/>
                <w:color w:val="auto"/>
              </w:rPr>
              <w:t>Other assets</w:t>
            </w:r>
          </w:p>
        </w:tc>
        <w:tc>
          <w:tcPr>
            <w:tcW w:w="920" w:type="dxa"/>
            <w:vAlign w:val="bottom"/>
          </w:tcPr>
          <w:p>
            <w:pPr>
              <w:spacing w:after="0"/>
              <w:rPr>
                <w:sz w:val="22"/>
                <w:szCs w:val="22"/>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(32)</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85</w:t>
            </w:r>
          </w:p>
        </w:tc>
      </w:tr>
      <w:tr>
        <w:trPr>
          <w:trHeight w:val="276"/>
        </w:trPr>
        <w:tc>
          <w:tcPr>
            <w:tcW w:w="8340" w:type="dxa"/>
            <w:vAlign w:val="bottom"/>
            <w:shd w:val="clear" w:color="auto" w:fill="CCFFCC"/>
          </w:tcPr>
          <w:p>
            <w:pPr>
              <w:ind w:left="380"/>
              <w:spacing w:after="0"/>
              <w:rPr>
                <w:sz w:val="20"/>
                <w:szCs w:val="20"/>
                <w:color w:val="auto"/>
              </w:rPr>
            </w:pPr>
            <w:r>
              <w:rPr>
                <w:rFonts w:ascii="Arial" w:cs="Arial" w:eastAsia="Arial" w:hAnsi="Arial"/>
                <w:sz w:val="14"/>
                <w:szCs w:val="14"/>
                <w:color w:val="auto"/>
              </w:rPr>
              <w:t>Accounts payable</w:t>
            </w:r>
          </w:p>
        </w:tc>
        <w:tc>
          <w:tcPr>
            <w:tcW w:w="920" w:type="dxa"/>
            <w:vAlign w:val="bottom"/>
            <w:shd w:val="clear" w:color="auto" w:fill="CCFFCC"/>
          </w:tcPr>
          <w:p>
            <w:pPr>
              <w:spacing w:after="0"/>
              <w:rPr>
                <w:sz w:val="24"/>
                <w:szCs w:val="24"/>
                <w:color w:val="auto"/>
              </w:rPr>
            </w:pPr>
          </w:p>
        </w:tc>
        <w:tc>
          <w:tcPr>
            <w:tcW w:w="580" w:type="dxa"/>
            <w:vAlign w:val="bottom"/>
            <w:shd w:val="clear" w:color="auto" w:fill="CCFFCC"/>
          </w:tcPr>
          <w:p>
            <w:pPr>
              <w:jc w:val="right"/>
              <w:ind w:right="8"/>
              <w:spacing w:after="0"/>
              <w:rPr>
                <w:sz w:val="20"/>
                <w:szCs w:val="20"/>
                <w:color w:val="auto"/>
              </w:rPr>
            </w:pPr>
            <w:r>
              <w:rPr>
                <w:rFonts w:ascii="Arial" w:cs="Arial" w:eastAsia="Arial" w:hAnsi="Arial"/>
                <w:sz w:val="14"/>
                <w:szCs w:val="14"/>
                <w:color w:val="auto"/>
              </w:rPr>
              <w:t>(1,404)</w:t>
            </w:r>
          </w:p>
        </w:tc>
        <w:tc>
          <w:tcPr>
            <w:tcW w:w="120" w:type="dxa"/>
            <w:vAlign w:val="bottom"/>
            <w:shd w:val="clear" w:color="auto" w:fill="CCFFCC"/>
          </w:tcPr>
          <w:p>
            <w:pPr>
              <w:spacing w:after="0"/>
              <w:rPr>
                <w:sz w:val="24"/>
                <w:szCs w:val="24"/>
                <w:color w:val="auto"/>
              </w:rPr>
            </w:pPr>
          </w:p>
        </w:tc>
        <w:tc>
          <w:tcPr>
            <w:tcW w:w="340" w:type="dxa"/>
            <w:vAlign w:val="bottom"/>
            <w:shd w:val="clear" w:color="auto" w:fill="CCFFCC"/>
          </w:tcPr>
          <w:p>
            <w:pPr>
              <w:spacing w:after="0"/>
              <w:rPr>
                <w:sz w:val="24"/>
                <w:szCs w:val="24"/>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(2,494)</w:t>
            </w:r>
          </w:p>
        </w:tc>
      </w:tr>
      <w:tr>
        <w:trPr>
          <w:trHeight w:val="264"/>
        </w:trPr>
        <w:tc>
          <w:tcPr>
            <w:tcW w:w="8340" w:type="dxa"/>
            <w:vAlign w:val="bottom"/>
          </w:tcPr>
          <w:p>
            <w:pPr>
              <w:ind w:left="380"/>
              <w:spacing w:after="0"/>
              <w:rPr>
                <w:sz w:val="20"/>
                <w:szCs w:val="20"/>
                <w:color w:val="auto"/>
              </w:rPr>
            </w:pPr>
            <w:r>
              <w:rPr>
                <w:rFonts w:ascii="Arial" w:cs="Arial" w:eastAsia="Arial" w:hAnsi="Arial"/>
                <w:sz w:val="14"/>
                <w:szCs w:val="14"/>
                <w:color w:val="auto"/>
              </w:rPr>
              <w:t>Accrued expenses and other current liabilities</w:t>
            </w:r>
          </w:p>
        </w:tc>
        <w:tc>
          <w:tcPr>
            <w:tcW w:w="920" w:type="dxa"/>
            <w:vAlign w:val="bottom"/>
          </w:tcPr>
          <w:p>
            <w:pPr>
              <w:spacing w:after="0"/>
              <w:rPr>
                <w:sz w:val="22"/>
                <w:szCs w:val="22"/>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(1,690)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(2,705)</w:t>
            </w:r>
          </w:p>
        </w:tc>
      </w:tr>
      <w:tr>
        <w:trPr>
          <w:trHeight w:val="276"/>
        </w:trPr>
        <w:tc>
          <w:tcPr>
            <w:tcW w:w="8340" w:type="dxa"/>
            <w:vAlign w:val="bottom"/>
            <w:shd w:val="clear" w:color="auto" w:fill="CCFFCC"/>
          </w:tcPr>
          <w:p>
            <w:pPr>
              <w:ind w:left="380"/>
              <w:spacing w:after="0"/>
              <w:rPr>
                <w:sz w:val="20"/>
                <w:szCs w:val="20"/>
                <w:color w:val="auto"/>
              </w:rPr>
            </w:pPr>
            <w:r>
              <w:rPr>
                <w:rFonts w:ascii="Arial" w:cs="Arial" w:eastAsia="Arial" w:hAnsi="Arial"/>
                <w:sz w:val="14"/>
                <w:szCs w:val="14"/>
                <w:color w:val="auto"/>
              </w:rPr>
              <w:t>Deferred revenue</w:t>
            </w:r>
          </w:p>
        </w:tc>
        <w:tc>
          <w:tcPr>
            <w:tcW w:w="920" w:type="dxa"/>
            <w:vAlign w:val="bottom"/>
            <w:shd w:val="clear" w:color="auto" w:fill="CCFFCC"/>
          </w:tcPr>
          <w:p>
            <w:pPr>
              <w:spacing w:after="0"/>
              <w:rPr>
                <w:sz w:val="24"/>
                <w:szCs w:val="24"/>
                <w:color w:val="auto"/>
              </w:rPr>
            </w:pPr>
          </w:p>
        </w:tc>
        <w:tc>
          <w:tcPr>
            <w:tcW w:w="58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12,593</w:t>
            </w:r>
          </w:p>
        </w:tc>
        <w:tc>
          <w:tcPr>
            <w:tcW w:w="120" w:type="dxa"/>
            <w:vAlign w:val="bottom"/>
            <w:shd w:val="clear" w:color="auto" w:fill="CCFFCC"/>
          </w:tcPr>
          <w:p>
            <w:pPr>
              <w:spacing w:after="0"/>
              <w:rPr>
                <w:sz w:val="24"/>
                <w:szCs w:val="24"/>
                <w:color w:val="auto"/>
              </w:rPr>
            </w:pPr>
          </w:p>
        </w:tc>
        <w:tc>
          <w:tcPr>
            <w:tcW w:w="340" w:type="dxa"/>
            <w:vAlign w:val="bottom"/>
            <w:shd w:val="clear" w:color="auto" w:fill="CCFFCC"/>
          </w:tcPr>
          <w:p>
            <w:pPr>
              <w:spacing w:after="0"/>
              <w:rPr>
                <w:sz w:val="24"/>
                <w:szCs w:val="24"/>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(1,697)</w:t>
            </w:r>
          </w:p>
        </w:tc>
      </w:tr>
      <w:tr>
        <w:trPr>
          <w:trHeight w:val="264"/>
        </w:trPr>
        <w:tc>
          <w:tcPr>
            <w:tcW w:w="8340" w:type="dxa"/>
            <w:vAlign w:val="bottom"/>
            <w:tcBorders>
              <w:bottom w:val="single" w:sz="8" w:color="CCFFCC"/>
            </w:tcBorders>
          </w:tcPr>
          <w:p>
            <w:pPr>
              <w:ind w:left="380"/>
              <w:spacing w:after="0"/>
              <w:rPr>
                <w:sz w:val="20"/>
                <w:szCs w:val="20"/>
                <w:color w:val="auto"/>
              </w:rPr>
            </w:pPr>
            <w:r>
              <w:rPr>
                <w:rFonts w:ascii="Arial" w:cs="Arial" w:eastAsia="Arial" w:hAnsi="Arial"/>
                <w:sz w:val="14"/>
                <w:szCs w:val="14"/>
                <w:color w:val="auto"/>
              </w:rPr>
              <w:t>Other liabilities</w:t>
            </w:r>
          </w:p>
        </w:tc>
        <w:tc>
          <w:tcPr>
            <w:tcW w:w="9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1,865</w:t>
            </w:r>
          </w:p>
        </w:tc>
        <w:tc>
          <w:tcPr>
            <w:tcW w:w="120" w:type="dxa"/>
            <w:vAlign w:val="bottom"/>
            <w:tcBorders>
              <w:bottom w:val="single" w:sz="8" w:color="CCFFCC"/>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2,300</w:t>
            </w:r>
          </w:p>
        </w:tc>
      </w:tr>
      <w:tr>
        <w:trPr>
          <w:trHeight w:val="250"/>
        </w:trPr>
        <w:tc>
          <w:tcPr>
            <w:tcW w:w="8340" w:type="dxa"/>
            <w:vAlign w:val="bottom"/>
            <w:shd w:val="clear" w:color="auto" w:fill="CCFFCC"/>
          </w:tcPr>
          <w:p>
            <w:pPr>
              <w:ind w:left="600"/>
              <w:spacing w:after="0"/>
              <w:rPr>
                <w:sz w:val="20"/>
                <w:szCs w:val="20"/>
                <w:color w:val="auto"/>
              </w:rPr>
            </w:pPr>
            <w:r>
              <w:rPr>
                <w:rFonts w:ascii="Arial" w:cs="Arial" w:eastAsia="Arial" w:hAnsi="Arial"/>
                <w:sz w:val="14"/>
                <w:szCs w:val="14"/>
                <w:color w:val="auto"/>
              </w:rPr>
              <w:t>Net cash provided by operating activities</w:t>
            </w:r>
          </w:p>
        </w:tc>
        <w:tc>
          <w:tcPr>
            <w:tcW w:w="920" w:type="dxa"/>
            <w:vAlign w:val="bottom"/>
            <w:tcBorders>
              <w:bottom w:val="single" w:sz="8" w:color="auto"/>
            </w:tcBorders>
            <w:shd w:val="clear" w:color="auto" w:fill="CCFFCC"/>
          </w:tcPr>
          <w:p>
            <w:pPr>
              <w:spacing w:after="0"/>
              <w:rPr>
                <w:sz w:val="21"/>
                <w:szCs w:val="21"/>
                <w:color w:val="auto"/>
              </w:rPr>
            </w:pPr>
          </w:p>
        </w:tc>
        <w:tc>
          <w:tcPr>
            <w:tcW w:w="580" w:type="dxa"/>
            <w:vAlign w:val="bottom"/>
            <w:tcBorders>
              <w:bottom w:val="single" w:sz="8" w:color="auto"/>
            </w:tcBorders>
            <w:shd w:val="clear" w:color="auto" w:fill="CCFFCC"/>
          </w:tcPr>
          <w:p>
            <w:pPr>
              <w:jc w:val="right"/>
              <w:ind w:right="48"/>
              <w:spacing w:after="0"/>
              <w:rPr>
                <w:sz w:val="20"/>
                <w:szCs w:val="20"/>
                <w:color w:val="auto"/>
              </w:rPr>
            </w:pPr>
            <w:r>
              <w:rPr>
                <w:rFonts w:ascii="Arial" w:cs="Arial" w:eastAsia="Arial" w:hAnsi="Arial"/>
                <w:sz w:val="14"/>
                <w:szCs w:val="14"/>
                <w:color w:val="auto"/>
              </w:rPr>
              <w:t>16,550</w:t>
            </w:r>
          </w:p>
        </w:tc>
        <w:tc>
          <w:tcPr>
            <w:tcW w:w="120" w:type="dxa"/>
            <w:vAlign w:val="bottom"/>
            <w:shd w:val="clear" w:color="auto" w:fill="CCFFCC"/>
          </w:tcPr>
          <w:p>
            <w:pPr>
              <w:spacing w:after="0"/>
              <w:rPr>
                <w:sz w:val="21"/>
                <w:szCs w:val="21"/>
                <w:color w:val="auto"/>
              </w:rPr>
            </w:pPr>
          </w:p>
        </w:tc>
        <w:tc>
          <w:tcPr>
            <w:tcW w:w="340" w:type="dxa"/>
            <w:vAlign w:val="bottom"/>
            <w:tcBorders>
              <w:bottom w:val="single" w:sz="8" w:color="auto"/>
            </w:tcBorders>
            <w:shd w:val="clear" w:color="auto" w:fill="CCFFCC"/>
          </w:tcPr>
          <w:p>
            <w:pPr>
              <w:spacing w:after="0"/>
              <w:rPr>
                <w:sz w:val="21"/>
                <w:szCs w:val="21"/>
                <w:color w:val="auto"/>
              </w:rPr>
            </w:pPr>
          </w:p>
        </w:tc>
        <w:tc>
          <w:tcPr>
            <w:tcW w:w="1120" w:type="dxa"/>
            <w:vAlign w:val="bottom"/>
            <w:tcBorders>
              <w:bottom w:val="single" w:sz="8" w:color="auto"/>
            </w:tcBorders>
            <w:shd w:val="clear" w:color="auto" w:fill="CCFFCC"/>
          </w:tcPr>
          <w:p>
            <w:pPr>
              <w:jc w:val="right"/>
              <w:ind w:right="28"/>
              <w:spacing w:after="0"/>
              <w:rPr>
                <w:sz w:val="20"/>
                <w:szCs w:val="20"/>
                <w:color w:val="auto"/>
              </w:rPr>
            </w:pPr>
            <w:r>
              <w:rPr>
                <w:rFonts w:ascii="Arial" w:cs="Arial" w:eastAsia="Arial" w:hAnsi="Arial"/>
                <w:sz w:val="14"/>
                <w:szCs w:val="14"/>
                <w:color w:val="auto"/>
              </w:rPr>
              <w:t>10,865</w:t>
            </w:r>
          </w:p>
        </w:tc>
      </w:tr>
      <w:tr>
        <w:trPr>
          <w:trHeight w:val="297"/>
        </w:trPr>
        <w:tc>
          <w:tcPr>
            <w:tcW w:w="8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70"/>
        </w:trPr>
        <w:tc>
          <w:tcPr>
            <w:tcW w:w="8340" w:type="dxa"/>
            <w:vAlign w:val="bottom"/>
            <w:shd w:val="clear" w:color="auto" w:fill="CCFFCC"/>
          </w:tcPr>
          <w:p>
            <w:pPr>
              <w:ind w:left="40"/>
              <w:spacing w:after="0"/>
              <w:rPr>
                <w:sz w:val="20"/>
                <w:szCs w:val="20"/>
                <w:color w:val="auto"/>
              </w:rPr>
            </w:pPr>
            <w:r>
              <w:rPr>
                <w:rFonts w:ascii="Arial" w:cs="Arial" w:eastAsia="Arial" w:hAnsi="Arial"/>
                <w:sz w:val="14"/>
                <w:szCs w:val="14"/>
                <w:color w:val="auto"/>
              </w:rPr>
              <w:t>INVESTING ACTIVITIES:</w:t>
            </w:r>
          </w:p>
        </w:tc>
        <w:tc>
          <w:tcPr>
            <w:tcW w:w="920" w:type="dxa"/>
            <w:vAlign w:val="bottom"/>
            <w:shd w:val="clear" w:color="auto" w:fill="CCFFCC"/>
          </w:tcPr>
          <w:p>
            <w:pPr>
              <w:spacing w:after="0"/>
              <w:rPr>
                <w:sz w:val="23"/>
                <w:szCs w:val="23"/>
                <w:color w:val="auto"/>
              </w:rPr>
            </w:pPr>
          </w:p>
        </w:tc>
        <w:tc>
          <w:tcPr>
            <w:tcW w:w="580" w:type="dxa"/>
            <w:vAlign w:val="bottom"/>
            <w:shd w:val="clear" w:color="auto" w:fill="CCFFCC"/>
          </w:tcPr>
          <w:p>
            <w:pPr>
              <w:spacing w:after="0"/>
              <w:rPr>
                <w:sz w:val="23"/>
                <w:szCs w:val="23"/>
                <w:color w:val="auto"/>
              </w:rPr>
            </w:pPr>
          </w:p>
        </w:tc>
        <w:tc>
          <w:tcPr>
            <w:tcW w:w="120" w:type="dxa"/>
            <w:vAlign w:val="bottom"/>
            <w:shd w:val="clear" w:color="auto" w:fill="CCFFCC"/>
          </w:tcPr>
          <w:p>
            <w:pPr>
              <w:spacing w:after="0"/>
              <w:rPr>
                <w:sz w:val="23"/>
                <w:szCs w:val="23"/>
                <w:color w:val="auto"/>
              </w:rPr>
            </w:pPr>
          </w:p>
        </w:tc>
        <w:tc>
          <w:tcPr>
            <w:tcW w:w="340" w:type="dxa"/>
            <w:vAlign w:val="bottom"/>
            <w:shd w:val="clear" w:color="auto" w:fill="CCFFCC"/>
          </w:tcPr>
          <w:p>
            <w:pPr>
              <w:spacing w:after="0"/>
              <w:rPr>
                <w:sz w:val="23"/>
                <w:szCs w:val="23"/>
                <w:color w:val="auto"/>
              </w:rPr>
            </w:pPr>
          </w:p>
        </w:tc>
        <w:tc>
          <w:tcPr>
            <w:tcW w:w="1120" w:type="dxa"/>
            <w:vAlign w:val="bottom"/>
            <w:shd w:val="clear" w:color="auto" w:fill="CCFFCC"/>
          </w:tcPr>
          <w:p>
            <w:pPr>
              <w:spacing w:after="0"/>
              <w:rPr>
                <w:sz w:val="23"/>
                <w:szCs w:val="23"/>
                <w:color w:val="auto"/>
              </w:rPr>
            </w:pPr>
          </w:p>
        </w:tc>
      </w:tr>
      <w:tr>
        <w:trPr>
          <w:trHeight w:val="264"/>
        </w:trPr>
        <w:tc>
          <w:tcPr>
            <w:tcW w:w="8340" w:type="dxa"/>
            <w:vAlign w:val="bottom"/>
          </w:tcPr>
          <w:p>
            <w:pPr>
              <w:ind w:left="180"/>
              <w:spacing w:after="0"/>
              <w:rPr>
                <w:sz w:val="20"/>
                <w:szCs w:val="20"/>
                <w:color w:val="auto"/>
              </w:rPr>
            </w:pPr>
            <w:r>
              <w:rPr>
                <w:rFonts w:ascii="Arial" w:cs="Arial" w:eastAsia="Arial" w:hAnsi="Arial"/>
                <w:sz w:val="14"/>
                <w:szCs w:val="14"/>
                <w:color w:val="auto"/>
              </w:rPr>
              <w:t>Purchases of property and equipment, including capitalized software</w:t>
            </w:r>
          </w:p>
        </w:tc>
        <w:tc>
          <w:tcPr>
            <w:tcW w:w="920" w:type="dxa"/>
            <w:vAlign w:val="bottom"/>
          </w:tcPr>
          <w:p>
            <w:pPr>
              <w:spacing w:after="0"/>
              <w:rPr>
                <w:sz w:val="22"/>
                <w:szCs w:val="22"/>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(9,251)</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(11,047)</w:t>
            </w:r>
          </w:p>
        </w:tc>
      </w:tr>
      <w:tr>
        <w:trPr>
          <w:trHeight w:val="276"/>
        </w:trPr>
        <w:tc>
          <w:tcPr>
            <w:tcW w:w="8340" w:type="dxa"/>
            <w:vAlign w:val="bottom"/>
            <w:shd w:val="clear" w:color="auto" w:fill="CCFFCC"/>
          </w:tcPr>
          <w:p>
            <w:pPr>
              <w:ind w:left="180"/>
              <w:spacing w:after="0"/>
              <w:rPr>
                <w:sz w:val="20"/>
                <w:szCs w:val="20"/>
                <w:color w:val="auto"/>
              </w:rPr>
            </w:pPr>
            <w:r>
              <w:rPr>
                <w:rFonts w:ascii="Arial" w:cs="Arial" w:eastAsia="Arial" w:hAnsi="Arial"/>
                <w:sz w:val="14"/>
                <w:szCs w:val="14"/>
                <w:color w:val="auto"/>
              </w:rPr>
              <w:t>Cash held as collateral for foreign exchange forward contracts</w:t>
            </w:r>
          </w:p>
        </w:tc>
        <w:tc>
          <w:tcPr>
            <w:tcW w:w="920" w:type="dxa"/>
            <w:vAlign w:val="bottom"/>
            <w:shd w:val="clear" w:color="auto" w:fill="CCFFCC"/>
          </w:tcPr>
          <w:p>
            <w:pPr>
              <w:spacing w:after="0"/>
              <w:rPr>
                <w:sz w:val="24"/>
                <w:szCs w:val="24"/>
                <w:color w:val="auto"/>
              </w:rPr>
            </w:pPr>
          </w:p>
        </w:tc>
        <w:tc>
          <w:tcPr>
            <w:tcW w:w="58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1,443</w:t>
            </w:r>
          </w:p>
        </w:tc>
        <w:tc>
          <w:tcPr>
            <w:tcW w:w="120" w:type="dxa"/>
            <w:vAlign w:val="bottom"/>
            <w:shd w:val="clear" w:color="auto" w:fill="CCFFCC"/>
          </w:tcPr>
          <w:p>
            <w:pPr>
              <w:spacing w:after="0"/>
              <w:rPr>
                <w:sz w:val="24"/>
                <w:szCs w:val="24"/>
                <w:color w:val="auto"/>
              </w:rPr>
            </w:pPr>
          </w:p>
        </w:tc>
        <w:tc>
          <w:tcPr>
            <w:tcW w:w="340" w:type="dxa"/>
            <w:vAlign w:val="bottom"/>
            <w:shd w:val="clear" w:color="auto" w:fill="CCFFCC"/>
          </w:tcPr>
          <w:p>
            <w:pPr>
              <w:spacing w:after="0"/>
              <w:rPr>
                <w:sz w:val="24"/>
                <w:szCs w:val="24"/>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(5,400)</w:t>
            </w:r>
          </w:p>
        </w:tc>
      </w:tr>
      <w:tr>
        <w:trPr>
          <w:trHeight w:val="264"/>
        </w:trPr>
        <w:tc>
          <w:tcPr>
            <w:tcW w:w="8340" w:type="dxa"/>
            <w:vAlign w:val="bottom"/>
            <w:tcBorders>
              <w:bottom w:val="single" w:sz="8" w:color="CCFFCC"/>
            </w:tcBorders>
          </w:tcPr>
          <w:p>
            <w:pPr>
              <w:ind w:left="180"/>
              <w:spacing w:after="0"/>
              <w:rPr>
                <w:sz w:val="20"/>
                <w:szCs w:val="20"/>
                <w:color w:val="auto"/>
              </w:rPr>
            </w:pPr>
            <w:r>
              <w:rPr>
                <w:rFonts w:ascii="Arial" w:cs="Arial" w:eastAsia="Arial" w:hAnsi="Arial"/>
                <w:sz w:val="14"/>
                <w:szCs w:val="14"/>
                <w:color w:val="auto"/>
              </w:rPr>
              <w:t>Payments for acquisitions and intangible assets, net of cash acquired</w:t>
            </w:r>
          </w:p>
        </w:tc>
        <w:tc>
          <w:tcPr>
            <w:tcW w:w="9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(411)</w:t>
            </w:r>
          </w:p>
        </w:tc>
        <w:tc>
          <w:tcPr>
            <w:tcW w:w="120" w:type="dxa"/>
            <w:vAlign w:val="bottom"/>
            <w:tcBorders>
              <w:bottom w:val="single" w:sz="8" w:color="CCFFCC"/>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w:t>
            </w:r>
          </w:p>
        </w:tc>
      </w:tr>
      <w:tr>
        <w:trPr>
          <w:trHeight w:val="250"/>
        </w:trPr>
        <w:tc>
          <w:tcPr>
            <w:tcW w:w="8340" w:type="dxa"/>
            <w:vAlign w:val="bottom"/>
            <w:shd w:val="clear" w:color="auto" w:fill="CCFFCC"/>
          </w:tcPr>
          <w:p>
            <w:pPr>
              <w:ind w:left="600"/>
              <w:spacing w:after="0"/>
              <w:rPr>
                <w:sz w:val="20"/>
                <w:szCs w:val="20"/>
                <w:color w:val="auto"/>
              </w:rPr>
            </w:pPr>
            <w:r>
              <w:rPr>
                <w:rFonts w:ascii="Arial" w:cs="Arial" w:eastAsia="Arial" w:hAnsi="Arial"/>
                <w:sz w:val="14"/>
                <w:szCs w:val="14"/>
                <w:color w:val="auto"/>
              </w:rPr>
              <w:t>Net cash used in investing activities</w:t>
            </w:r>
          </w:p>
        </w:tc>
        <w:tc>
          <w:tcPr>
            <w:tcW w:w="920" w:type="dxa"/>
            <w:vAlign w:val="bottom"/>
            <w:tcBorders>
              <w:bottom w:val="single" w:sz="8" w:color="auto"/>
            </w:tcBorders>
            <w:shd w:val="clear" w:color="auto" w:fill="CCFFCC"/>
          </w:tcPr>
          <w:p>
            <w:pPr>
              <w:spacing w:after="0"/>
              <w:rPr>
                <w:sz w:val="21"/>
                <w:szCs w:val="21"/>
                <w:color w:val="auto"/>
              </w:rPr>
            </w:pPr>
          </w:p>
        </w:tc>
        <w:tc>
          <w:tcPr>
            <w:tcW w:w="580" w:type="dxa"/>
            <w:vAlign w:val="bottom"/>
            <w:tcBorders>
              <w:bottom w:val="single" w:sz="8" w:color="auto"/>
            </w:tcBorders>
            <w:shd w:val="clear" w:color="auto" w:fill="CCFFCC"/>
          </w:tcPr>
          <w:p>
            <w:pPr>
              <w:jc w:val="right"/>
              <w:ind w:right="8"/>
              <w:spacing w:after="0"/>
              <w:rPr>
                <w:sz w:val="20"/>
                <w:szCs w:val="20"/>
                <w:color w:val="auto"/>
              </w:rPr>
            </w:pPr>
            <w:r>
              <w:rPr>
                <w:rFonts w:ascii="Arial" w:cs="Arial" w:eastAsia="Arial" w:hAnsi="Arial"/>
                <w:sz w:val="14"/>
                <w:szCs w:val="14"/>
                <w:color w:val="auto"/>
              </w:rPr>
              <w:t>(8,219)</w:t>
            </w:r>
          </w:p>
        </w:tc>
        <w:tc>
          <w:tcPr>
            <w:tcW w:w="120" w:type="dxa"/>
            <w:vAlign w:val="bottom"/>
            <w:shd w:val="clear" w:color="auto" w:fill="CCFFCC"/>
          </w:tcPr>
          <w:p>
            <w:pPr>
              <w:spacing w:after="0"/>
              <w:rPr>
                <w:sz w:val="21"/>
                <w:szCs w:val="21"/>
                <w:color w:val="auto"/>
              </w:rPr>
            </w:pPr>
          </w:p>
        </w:tc>
        <w:tc>
          <w:tcPr>
            <w:tcW w:w="340" w:type="dxa"/>
            <w:vAlign w:val="bottom"/>
            <w:tcBorders>
              <w:bottom w:val="single" w:sz="8" w:color="auto"/>
            </w:tcBorders>
            <w:shd w:val="clear" w:color="auto" w:fill="CCFFCC"/>
          </w:tcPr>
          <w:p>
            <w:pPr>
              <w:spacing w:after="0"/>
              <w:rPr>
                <w:sz w:val="21"/>
                <w:szCs w:val="21"/>
                <w:color w:val="auto"/>
              </w:rPr>
            </w:pPr>
          </w:p>
        </w:tc>
        <w:tc>
          <w:tcPr>
            <w:tcW w:w="11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(16,597)</w:t>
            </w:r>
          </w:p>
        </w:tc>
      </w:tr>
      <w:tr>
        <w:trPr>
          <w:trHeight w:val="297"/>
        </w:trPr>
        <w:tc>
          <w:tcPr>
            <w:tcW w:w="8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70"/>
        </w:trPr>
        <w:tc>
          <w:tcPr>
            <w:tcW w:w="8340" w:type="dxa"/>
            <w:vAlign w:val="bottom"/>
            <w:shd w:val="clear" w:color="auto" w:fill="CCFFCC"/>
          </w:tcPr>
          <w:p>
            <w:pPr>
              <w:ind w:left="40"/>
              <w:spacing w:after="0"/>
              <w:rPr>
                <w:sz w:val="20"/>
                <w:szCs w:val="20"/>
                <w:color w:val="auto"/>
              </w:rPr>
            </w:pPr>
            <w:r>
              <w:rPr>
                <w:rFonts w:ascii="Arial" w:cs="Arial" w:eastAsia="Arial" w:hAnsi="Arial"/>
                <w:sz w:val="14"/>
                <w:szCs w:val="14"/>
                <w:color w:val="auto"/>
              </w:rPr>
              <w:t>FINANCING ACTIVITIES:</w:t>
            </w:r>
          </w:p>
        </w:tc>
        <w:tc>
          <w:tcPr>
            <w:tcW w:w="920" w:type="dxa"/>
            <w:vAlign w:val="bottom"/>
            <w:shd w:val="clear" w:color="auto" w:fill="CCFFCC"/>
          </w:tcPr>
          <w:p>
            <w:pPr>
              <w:spacing w:after="0"/>
              <w:rPr>
                <w:sz w:val="23"/>
                <w:szCs w:val="23"/>
                <w:color w:val="auto"/>
              </w:rPr>
            </w:pPr>
          </w:p>
        </w:tc>
        <w:tc>
          <w:tcPr>
            <w:tcW w:w="580" w:type="dxa"/>
            <w:vAlign w:val="bottom"/>
            <w:shd w:val="clear" w:color="auto" w:fill="CCFFCC"/>
          </w:tcPr>
          <w:p>
            <w:pPr>
              <w:spacing w:after="0"/>
              <w:rPr>
                <w:sz w:val="23"/>
                <w:szCs w:val="23"/>
                <w:color w:val="auto"/>
              </w:rPr>
            </w:pPr>
          </w:p>
        </w:tc>
        <w:tc>
          <w:tcPr>
            <w:tcW w:w="120" w:type="dxa"/>
            <w:vAlign w:val="bottom"/>
            <w:shd w:val="clear" w:color="auto" w:fill="CCFFCC"/>
          </w:tcPr>
          <w:p>
            <w:pPr>
              <w:spacing w:after="0"/>
              <w:rPr>
                <w:sz w:val="23"/>
                <w:szCs w:val="23"/>
                <w:color w:val="auto"/>
              </w:rPr>
            </w:pPr>
          </w:p>
        </w:tc>
        <w:tc>
          <w:tcPr>
            <w:tcW w:w="340" w:type="dxa"/>
            <w:vAlign w:val="bottom"/>
            <w:shd w:val="clear" w:color="auto" w:fill="CCFFCC"/>
          </w:tcPr>
          <w:p>
            <w:pPr>
              <w:spacing w:after="0"/>
              <w:rPr>
                <w:sz w:val="23"/>
                <w:szCs w:val="23"/>
                <w:color w:val="auto"/>
              </w:rPr>
            </w:pPr>
          </w:p>
        </w:tc>
        <w:tc>
          <w:tcPr>
            <w:tcW w:w="1120" w:type="dxa"/>
            <w:vAlign w:val="bottom"/>
            <w:shd w:val="clear" w:color="auto" w:fill="CCFFCC"/>
          </w:tcPr>
          <w:p>
            <w:pPr>
              <w:spacing w:after="0"/>
              <w:rPr>
                <w:sz w:val="23"/>
                <w:szCs w:val="23"/>
                <w:color w:val="auto"/>
              </w:rPr>
            </w:pPr>
          </w:p>
        </w:tc>
      </w:tr>
      <w:tr>
        <w:trPr>
          <w:trHeight w:val="264"/>
        </w:trPr>
        <w:tc>
          <w:tcPr>
            <w:tcW w:w="8340" w:type="dxa"/>
            <w:vAlign w:val="bottom"/>
          </w:tcPr>
          <w:p>
            <w:pPr>
              <w:ind w:left="180"/>
              <w:spacing w:after="0"/>
              <w:rPr>
                <w:sz w:val="20"/>
                <w:szCs w:val="20"/>
                <w:color w:val="auto"/>
              </w:rPr>
            </w:pPr>
            <w:r>
              <w:rPr>
                <w:rFonts w:ascii="Arial" w:cs="Arial" w:eastAsia="Arial" w:hAnsi="Arial"/>
                <w:sz w:val="14"/>
                <w:szCs w:val="14"/>
                <w:color w:val="auto"/>
              </w:rPr>
              <w:t>Excess tax benefit from the exercise of employee stock options</w:t>
            </w:r>
          </w:p>
        </w:tc>
        <w:tc>
          <w:tcPr>
            <w:tcW w:w="92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796</w:t>
            </w:r>
          </w:p>
        </w:tc>
      </w:tr>
      <w:tr>
        <w:trPr>
          <w:trHeight w:val="276"/>
        </w:trPr>
        <w:tc>
          <w:tcPr>
            <w:tcW w:w="8340" w:type="dxa"/>
            <w:vAlign w:val="bottom"/>
            <w:shd w:val="clear" w:color="auto" w:fill="CCFFCC"/>
          </w:tcPr>
          <w:p>
            <w:pPr>
              <w:ind w:left="180"/>
              <w:spacing w:after="0"/>
              <w:rPr>
                <w:sz w:val="20"/>
                <w:szCs w:val="20"/>
                <w:color w:val="auto"/>
              </w:rPr>
            </w:pPr>
            <w:r>
              <w:rPr>
                <w:rFonts w:ascii="Arial" w:cs="Arial" w:eastAsia="Arial" w:hAnsi="Arial"/>
                <w:sz w:val="14"/>
                <w:szCs w:val="14"/>
                <w:color w:val="auto"/>
              </w:rPr>
              <w:t>Proceeds from issuance of common stock in connection with the exercise of options</w:t>
            </w:r>
          </w:p>
        </w:tc>
        <w:tc>
          <w:tcPr>
            <w:tcW w:w="920" w:type="dxa"/>
            <w:vAlign w:val="bottom"/>
            <w:shd w:val="clear" w:color="auto" w:fill="CCFFCC"/>
          </w:tcPr>
          <w:p>
            <w:pPr>
              <w:spacing w:after="0"/>
              <w:rPr>
                <w:sz w:val="24"/>
                <w:szCs w:val="24"/>
                <w:color w:val="auto"/>
              </w:rPr>
            </w:pPr>
          </w:p>
        </w:tc>
        <w:tc>
          <w:tcPr>
            <w:tcW w:w="58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838</w:t>
            </w:r>
          </w:p>
        </w:tc>
        <w:tc>
          <w:tcPr>
            <w:tcW w:w="120" w:type="dxa"/>
            <w:vAlign w:val="bottom"/>
            <w:shd w:val="clear" w:color="auto" w:fill="CCFFCC"/>
          </w:tcPr>
          <w:p>
            <w:pPr>
              <w:spacing w:after="0"/>
              <w:rPr>
                <w:sz w:val="24"/>
                <w:szCs w:val="24"/>
                <w:color w:val="auto"/>
              </w:rPr>
            </w:pPr>
          </w:p>
        </w:tc>
        <w:tc>
          <w:tcPr>
            <w:tcW w:w="340" w:type="dxa"/>
            <w:vAlign w:val="bottom"/>
            <w:shd w:val="clear" w:color="auto" w:fill="CCFFCC"/>
          </w:tcPr>
          <w:p>
            <w:pPr>
              <w:spacing w:after="0"/>
              <w:rPr>
                <w:sz w:val="24"/>
                <w:szCs w:val="24"/>
                <w:color w:val="auto"/>
              </w:rPr>
            </w:pPr>
          </w:p>
        </w:tc>
        <w:tc>
          <w:tcPr>
            <w:tcW w:w="112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3,758</w:t>
            </w:r>
          </w:p>
        </w:tc>
      </w:tr>
      <w:tr>
        <w:trPr>
          <w:trHeight w:val="264"/>
        </w:trPr>
        <w:tc>
          <w:tcPr>
            <w:tcW w:w="8340" w:type="dxa"/>
            <w:vAlign w:val="bottom"/>
          </w:tcPr>
          <w:p>
            <w:pPr>
              <w:ind w:left="180"/>
              <w:spacing w:after="0"/>
              <w:rPr>
                <w:sz w:val="20"/>
                <w:szCs w:val="20"/>
                <w:color w:val="auto"/>
              </w:rPr>
            </w:pPr>
            <w:r>
              <w:rPr>
                <w:rFonts w:ascii="Arial" w:cs="Arial" w:eastAsia="Arial" w:hAnsi="Arial"/>
                <w:sz w:val="14"/>
                <w:szCs w:val="14"/>
                <w:color w:val="auto"/>
              </w:rPr>
              <w:t>Payments related to contingent consideration</w:t>
            </w:r>
          </w:p>
        </w:tc>
        <w:tc>
          <w:tcPr>
            <w:tcW w:w="92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(2,366)</w:t>
            </w:r>
          </w:p>
        </w:tc>
      </w:tr>
      <w:tr>
        <w:trPr>
          <w:trHeight w:val="270"/>
        </w:trPr>
        <w:tc>
          <w:tcPr>
            <w:tcW w:w="8340" w:type="dxa"/>
            <w:vAlign w:val="bottom"/>
            <w:shd w:val="clear" w:color="auto" w:fill="CCFFCC"/>
          </w:tcPr>
          <w:p>
            <w:pPr>
              <w:ind w:left="180"/>
              <w:spacing w:after="0"/>
              <w:rPr>
                <w:sz w:val="20"/>
                <w:szCs w:val="20"/>
                <w:color w:val="auto"/>
              </w:rPr>
            </w:pPr>
            <w:r>
              <w:rPr>
                <w:rFonts w:ascii="Arial" w:cs="Arial" w:eastAsia="Arial" w:hAnsi="Arial"/>
                <w:sz w:val="14"/>
                <w:szCs w:val="14"/>
                <w:color w:val="auto"/>
              </w:rPr>
              <w:t>Repurchase of common stock</w:t>
            </w:r>
          </w:p>
        </w:tc>
        <w:tc>
          <w:tcPr>
            <w:tcW w:w="920" w:type="dxa"/>
            <w:vAlign w:val="bottom"/>
            <w:tcBorders>
              <w:bottom w:val="single" w:sz="8" w:color="auto"/>
            </w:tcBorders>
            <w:shd w:val="clear" w:color="auto" w:fill="CCFFCC"/>
          </w:tcPr>
          <w:p>
            <w:pPr>
              <w:spacing w:after="0"/>
              <w:rPr>
                <w:sz w:val="23"/>
                <w:szCs w:val="23"/>
                <w:color w:val="auto"/>
              </w:rPr>
            </w:pPr>
          </w:p>
        </w:tc>
        <w:tc>
          <w:tcPr>
            <w:tcW w:w="580" w:type="dxa"/>
            <w:vAlign w:val="bottom"/>
            <w:tcBorders>
              <w:bottom w:val="single" w:sz="8" w:color="auto"/>
            </w:tcBorders>
            <w:shd w:val="clear" w:color="auto" w:fill="CCFFCC"/>
          </w:tcPr>
          <w:p>
            <w:pPr>
              <w:jc w:val="right"/>
              <w:ind w:right="8"/>
              <w:spacing w:after="0"/>
              <w:rPr>
                <w:sz w:val="20"/>
                <w:szCs w:val="20"/>
                <w:color w:val="auto"/>
              </w:rPr>
            </w:pPr>
            <w:r>
              <w:rPr>
                <w:rFonts w:ascii="Arial" w:cs="Arial" w:eastAsia="Arial" w:hAnsi="Arial"/>
                <w:sz w:val="14"/>
                <w:szCs w:val="14"/>
                <w:color w:val="auto"/>
              </w:rPr>
              <w:t>(5,773)</w:t>
            </w:r>
          </w:p>
        </w:tc>
        <w:tc>
          <w:tcPr>
            <w:tcW w:w="120" w:type="dxa"/>
            <w:vAlign w:val="bottom"/>
            <w:shd w:val="clear" w:color="auto" w:fill="CCFFCC"/>
          </w:tcPr>
          <w:p>
            <w:pPr>
              <w:spacing w:after="0"/>
              <w:rPr>
                <w:sz w:val="23"/>
                <w:szCs w:val="23"/>
                <w:color w:val="auto"/>
              </w:rPr>
            </w:pPr>
          </w:p>
        </w:tc>
        <w:tc>
          <w:tcPr>
            <w:tcW w:w="340" w:type="dxa"/>
            <w:vAlign w:val="bottom"/>
            <w:tcBorders>
              <w:bottom w:val="single" w:sz="8" w:color="auto"/>
            </w:tcBorders>
            <w:shd w:val="clear" w:color="auto" w:fill="CCFFCC"/>
          </w:tcPr>
          <w:p>
            <w:pPr>
              <w:spacing w:after="0"/>
              <w:rPr>
                <w:sz w:val="23"/>
                <w:szCs w:val="23"/>
                <w:color w:val="auto"/>
              </w:rPr>
            </w:pPr>
          </w:p>
        </w:tc>
        <w:tc>
          <w:tcPr>
            <w:tcW w:w="11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(4,202)</w:t>
            </w:r>
          </w:p>
        </w:tc>
      </w:tr>
      <w:tr>
        <w:trPr>
          <w:trHeight w:val="250"/>
        </w:trPr>
        <w:tc>
          <w:tcPr>
            <w:tcW w:w="8340" w:type="dxa"/>
            <w:vAlign w:val="bottom"/>
            <w:tcBorders>
              <w:bottom w:val="single" w:sz="8" w:color="CCFFCC"/>
            </w:tcBorders>
          </w:tcPr>
          <w:p>
            <w:pPr>
              <w:ind w:left="600"/>
              <w:spacing w:after="0"/>
              <w:rPr>
                <w:sz w:val="20"/>
                <w:szCs w:val="20"/>
                <w:color w:val="auto"/>
              </w:rPr>
            </w:pPr>
            <w:r>
              <w:rPr>
                <w:rFonts w:ascii="Arial" w:cs="Arial" w:eastAsia="Arial" w:hAnsi="Arial"/>
                <w:sz w:val="14"/>
                <w:szCs w:val="14"/>
                <w:color w:val="auto"/>
              </w:rPr>
              <w:t>Net cash used in financing activities</w:t>
            </w:r>
          </w:p>
        </w:tc>
        <w:tc>
          <w:tcPr>
            <w:tcW w:w="9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(4,935)</w:t>
            </w:r>
          </w:p>
        </w:tc>
        <w:tc>
          <w:tcPr>
            <w:tcW w:w="120" w:type="dxa"/>
            <w:vAlign w:val="bottom"/>
            <w:tcBorders>
              <w:bottom w:val="single" w:sz="8" w:color="CCFFCC"/>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(2,014)</w:t>
            </w:r>
          </w:p>
        </w:tc>
      </w:tr>
      <w:tr>
        <w:trPr>
          <w:trHeight w:val="250"/>
        </w:trPr>
        <w:tc>
          <w:tcPr>
            <w:tcW w:w="8340" w:type="dxa"/>
            <w:vAlign w:val="bottom"/>
            <w:shd w:val="clear" w:color="auto" w:fill="CCFFCC"/>
          </w:tcPr>
          <w:p>
            <w:pPr>
              <w:ind w:left="40"/>
              <w:spacing w:after="0"/>
              <w:rPr>
                <w:sz w:val="20"/>
                <w:szCs w:val="20"/>
                <w:color w:val="auto"/>
              </w:rPr>
            </w:pPr>
            <w:r>
              <w:rPr>
                <w:rFonts w:ascii="Arial" w:cs="Arial" w:eastAsia="Arial" w:hAnsi="Arial"/>
                <w:sz w:val="14"/>
                <w:szCs w:val="14"/>
                <w:color w:val="auto"/>
              </w:rPr>
              <w:t>EFFECT OF FOREIGN EXCHANGE RATE CHANGES ON CASH AND CASH EQUIVALENTS</w:t>
            </w:r>
          </w:p>
        </w:tc>
        <w:tc>
          <w:tcPr>
            <w:tcW w:w="920" w:type="dxa"/>
            <w:vAlign w:val="bottom"/>
            <w:tcBorders>
              <w:bottom w:val="single" w:sz="8" w:color="auto"/>
            </w:tcBorders>
            <w:shd w:val="clear" w:color="auto" w:fill="CCFFCC"/>
          </w:tcPr>
          <w:p>
            <w:pPr>
              <w:spacing w:after="0"/>
              <w:rPr>
                <w:sz w:val="21"/>
                <w:szCs w:val="21"/>
                <w:color w:val="auto"/>
              </w:rPr>
            </w:pPr>
          </w:p>
        </w:tc>
        <w:tc>
          <w:tcPr>
            <w:tcW w:w="580" w:type="dxa"/>
            <w:vAlign w:val="bottom"/>
            <w:tcBorders>
              <w:bottom w:val="single" w:sz="8" w:color="auto"/>
            </w:tcBorders>
            <w:shd w:val="clear" w:color="auto" w:fill="CCFFCC"/>
          </w:tcPr>
          <w:p>
            <w:pPr>
              <w:jc w:val="right"/>
              <w:ind w:right="8"/>
              <w:spacing w:after="0"/>
              <w:rPr>
                <w:sz w:val="20"/>
                <w:szCs w:val="20"/>
                <w:color w:val="auto"/>
              </w:rPr>
            </w:pPr>
            <w:r>
              <w:rPr>
                <w:rFonts w:ascii="Arial" w:cs="Arial" w:eastAsia="Arial" w:hAnsi="Arial"/>
                <w:sz w:val="14"/>
                <w:szCs w:val="14"/>
                <w:color w:val="auto"/>
              </w:rPr>
              <w:t>(794)</w:t>
            </w:r>
          </w:p>
        </w:tc>
        <w:tc>
          <w:tcPr>
            <w:tcW w:w="120" w:type="dxa"/>
            <w:vAlign w:val="bottom"/>
            <w:shd w:val="clear" w:color="auto" w:fill="CCFFCC"/>
          </w:tcPr>
          <w:p>
            <w:pPr>
              <w:spacing w:after="0"/>
              <w:rPr>
                <w:sz w:val="21"/>
                <w:szCs w:val="21"/>
                <w:color w:val="auto"/>
              </w:rPr>
            </w:pPr>
          </w:p>
        </w:tc>
        <w:tc>
          <w:tcPr>
            <w:tcW w:w="340" w:type="dxa"/>
            <w:vAlign w:val="bottom"/>
            <w:tcBorders>
              <w:bottom w:val="single" w:sz="8" w:color="auto"/>
            </w:tcBorders>
            <w:shd w:val="clear" w:color="auto" w:fill="CCFFCC"/>
          </w:tcPr>
          <w:p>
            <w:pPr>
              <w:spacing w:after="0"/>
              <w:rPr>
                <w:sz w:val="21"/>
                <w:szCs w:val="21"/>
                <w:color w:val="auto"/>
              </w:rPr>
            </w:pPr>
          </w:p>
        </w:tc>
        <w:tc>
          <w:tcPr>
            <w:tcW w:w="11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(782)</w:t>
            </w:r>
          </w:p>
        </w:tc>
      </w:tr>
      <w:tr>
        <w:trPr>
          <w:trHeight w:val="250"/>
        </w:trPr>
        <w:tc>
          <w:tcPr>
            <w:tcW w:w="8340" w:type="dxa"/>
            <w:vAlign w:val="bottom"/>
          </w:tcPr>
          <w:p>
            <w:pPr>
              <w:ind w:left="40"/>
              <w:spacing w:after="0"/>
              <w:rPr>
                <w:sz w:val="20"/>
                <w:szCs w:val="20"/>
                <w:color w:val="auto"/>
              </w:rPr>
            </w:pPr>
            <w:r>
              <w:rPr>
                <w:rFonts w:ascii="Arial" w:cs="Arial" w:eastAsia="Arial" w:hAnsi="Arial"/>
                <w:sz w:val="14"/>
                <w:szCs w:val="14"/>
                <w:color w:val="auto"/>
              </w:rPr>
              <w:t>CHANGE IN CASH AND CASH EQUIVALENTS</w:t>
            </w:r>
          </w:p>
        </w:tc>
        <w:tc>
          <w:tcPr>
            <w:tcW w:w="920" w:type="dxa"/>
            <w:vAlign w:val="bottom"/>
          </w:tcPr>
          <w:p>
            <w:pPr>
              <w:spacing w:after="0"/>
              <w:rPr>
                <w:sz w:val="21"/>
                <w:szCs w:val="21"/>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2,602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(8,528)</w:t>
            </w:r>
          </w:p>
        </w:tc>
      </w:tr>
      <w:tr>
        <w:trPr>
          <w:trHeight w:val="270"/>
        </w:trPr>
        <w:tc>
          <w:tcPr>
            <w:tcW w:w="8340" w:type="dxa"/>
            <w:vAlign w:val="bottom"/>
            <w:shd w:val="clear" w:color="auto" w:fill="CCFFCC"/>
          </w:tcPr>
          <w:p>
            <w:pPr>
              <w:ind w:left="40"/>
              <w:spacing w:after="0"/>
              <w:rPr>
                <w:sz w:val="20"/>
                <w:szCs w:val="20"/>
                <w:color w:val="auto"/>
              </w:rPr>
            </w:pPr>
            <w:r>
              <w:rPr>
                <w:rFonts w:ascii="Arial" w:cs="Arial" w:eastAsia="Arial" w:hAnsi="Arial"/>
                <w:sz w:val="14"/>
                <w:szCs w:val="14"/>
                <w:color w:val="auto"/>
              </w:rPr>
              <w:t>CASH AND CASH EQUIVALENTS - Beginning of the period</w:t>
            </w:r>
          </w:p>
        </w:tc>
        <w:tc>
          <w:tcPr>
            <w:tcW w:w="920" w:type="dxa"/>
            <w:vAlign w:val="bottom"/>
            <w:tcBorders>
              <w:bottom w:val="single" w:sz="8" w:color="auto"/>
            </w:tcBorders>
            <w:shd w:val="clear" w:color="auto" w:fill="CCFFCC"/>
          </w:tcPr>
          <w:p>
            <w:pPr>
              <w:spacing w:after="0"/>
              <w:rPr>
                <w:sz w:val="23"/>
                <w:szCs w:val="23"/>
                <w:color w:val="auto"/>
              </w:rPr>
            </w:pPr>
          </w:p>
        </w:tc>
        <w:tc>
          <w:tcPr>
            <w:tcW w:w="580" w:type="dxa"/>
            <w:vAlign w:val="bottom"/>
            <w:tcBorders>
              <w:bottom w:val="single" w:sz="8" w:color="auto"/>
            </w:tcBorders>
            <w:shd w:val="clear" w:color="auto" w:fill="CCFFCC"/>
          </w:tcPr>
          <w:p>
            <w:pPr>
              <w:jc w:val="right"/>
              <w:ind w:right="48"/>
              <w:spacing w:after="0"/>
              <w:rPr>
                <w:sz w:val="20"/>
                <w:szCs w:val="20"/>
                <w:color w:val="auto"/>
              </w:rPr>
            </w:pPr>
            <w:r>
              <w:rPr>
                <w:rFonts w:ascii="Arial" w:cs="Arial" w:eastAsia="Arial" w:hAnsi="Arial"/>
                <w:sz w:val="14"/>
                <w:szCs w:val="14"/>
                <w:color w:val="auto"/>
              </w:rPr>
              <w:t>48,803</w:t>
            </w:r>
          </w:p>
        </w:tc>
        <w:tc>
          <w:tcPr>
            <w:tcW w:w="120" w:type="dxa"/>
            <w:vAlign w:val="bottom"/>
            <w:shd w:val="clear" w:color="auto" w:fill="CCFFCC"/>
          </w:tcPr>
          <w:p>
            <w:pPr>
              <w:spacing w:after="0"/>
              <w:rPr>
                <w:sz w:val="23"/>
                <w:szCs w:val="23"/>
                <w:color w:val="auto"/>
              </w:rPr>
            </w:pPr>
          </w:p>
        </w:tc>
        <w:tc>
          <w:tcPr>
            <w:tcW w:w="340" w:type="dxa"/>
            <w:vAlign w:val="bottom"/>
            <w:tcBorders>
              <w:bottom w:val="single" w:sz="8" w:color="auto"/>
            </w:tcBorders>
            <w:shd w:val="clear" w:color="auto" w:fill="CCFFCC"/>
          </w:tcPr>
          <w:p>
            <w:pPr>
              <w:spacing w:after="0"/>
              <w:rPr>
                <w:sz w:val="23"/>
                <w:szCs w:val="23"/>
                <w:color w:val="auto"/>
              </w:rPr>
            </w:pPr>
          </w:p>
        </w:tc>
        <w:tc>
          <w:tcPr>
            <w:tcW w:w="1120" w:type="dxa"/>
            <w:vAlign w:val="bottom"/>
            <w:tcBorders>
              <w:bottom w:val="single" w:sz="8" w:color="auto"/>
            </w:tcBorders>
            <w:shd w:val="clear" w:color="auto" w:fill="CCFFCC"/>
          </w:tcPr>
          <w:p>
            <w:pPr>
              <w:jc w:val="right"/>
              <w:ind w:right="28"/>
              <w:spacing w:after="0"/>
              <w:rPr>
                <w:sz w:val="20"/>
                <w:szCs w:val="20"/>
                <w:color w:val="auto"/>
              </w:rPr>
            </w:pPr>
            <w:r>
              <w:rPr>
                <w:rFonts w:ascii="Arial" w:cs="Arial" w:eastAsia="Arial" w:hAnsi="Arial"/>
                <w:sz w:val="14"/>
                <w:szCs w:val="14"/>
                <w:color w:val="auto"/>
              </w:rPr>
              <w:t>49,372</w:t>
            </w:r>
          </w:p>
        </w:tc>
      </w:tr>
      <w:tr>
        <w:trPr>
          <w:trHeight w:val="283"/>
        </w:trPr>
        <w:tc>
          <w:tcPr>
            <w:tcW w:w="8340" w:type="dxa"/>
            <w:vAlign w:val="bottom"/>
            <w:tcBorders>
              <w:bottom w:val="single" w:sz="8" w:color="CCFFCC"/>
            </w:tcBorders>
          </w:tcPr>
          <w:p>
            <w:pPr>
              <w:ind w:left="40"/>
              <w:spacing w:after="0"/>
              <w:rPr>
                <w:sz w:val="20"/>
                <w:szCs w:val="20"/>
                <w:color w:val="auto"/>
              </w:rPr>
            </w:pPr>
            <w:r>
              <w:rPr>
                <w:rFonts w:ascii="Arial" w:cs="Arial" w:eastAsia="Arial" w:hAnsi="Arial"/>
                <w:sz w:val="14"/>
                <w:szCs w:val="14"/>
                <w:color w:val="auto"/>
              </w:rPr>
              <w:t>CASH AND CASH EQUIVALENTS - End of the period</w:t>
            </w:r>
          </w:p>
        </w:tc>
        <w:tc>
          <w:tcPr>
            <w:tcW w:w="920" w:type="dxa"/>
            <w:vAlign w:val="bottom"/>
            <w:tcBorders>
              <w:bottom w:val="single" w:sz="8" w:color="auto"/>
            </w:tcBorders>
          </w:tcPr>
          <w:p>
            <w:pPr>
              <w:jc w:val="right"/>
              <w:ind w:right="749"/>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51,405</w:t>
            </w:r>
          </w:p>
        </w:tc>
        <w:tc>
          <w:tcPr>
            <w:tcW w:w="120" w:type="dxa"/>
            <w:vAlign w:val="bottom"/>
            <w:tcBorders>
              <w:bottom w:val="single" w:sz="8" w:color="CCFFCC"/>
            </w:tcBorders>
          </w:tcPr>
          <w:p>
            <w:pPr>
              <w:spacing w:after="0"/>
              <w:rPr>
                <w:sz w:val="24"/>
                <w:szCs w:val="24"/>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40,844</w:t>
            </w:r>
          </w:p>
        </w:tc>
      </w:tr>
      <w:tr>
        <w:trPr>
          <w:trHeight w:val="264"/>
        </w:trPr>
        <w:tc>
          <w:tcPr>
            <w:tcW w:w="8340" w:type="dxa"/>
            <w:vAlign w:val="bottom"/>
            <w:shd w:val="clear" w:color="auto" w:fill="CCFFCC"/>
          </w:tcPr>
          <w:p>
            <w:pPr>
              <w:spacing w:after="0"/>
              <w:rPr>
                <w:sz w:val="22"/>
                <w:szCs w:val="22"/>
                <w:color w:val="auto"/>
              </w:rPr>
            </w:pPr>
          </w:p>
        </w:tc>
        <w:tc>
          <w:tcPr>
            <w:tcW w:w="920" w:type="dxa"/>
            <w:vAlign w:val="bottom"/>
            <w:shd w:val="clear" w:color="auto" w:fill="CCFFCC"/>
          </w:tcPr>
          <w:p>
            <w:pPr>
              <w:spacing w:after="0"/>
              <w:rPr>
                <w:sz w:val="22"/>
                <w:szCs w:val="22"/>
                <w:color w:val="auto"/>
              </w:rPr>
            </w:pPr>
          </w:p>
        </w:tc>
        <w:tc>
          <w:tcPr>
            <w:tcW w:w="580" w:type="dxa"/>
            <w:vAlign w:val="bottom"/>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340" w:type="dxa"/>
            <w:vAlign w:val="bottom"/>
            <w:shd w:val="clear" w:color="auto" w:fill="CCFFCC"/>
          </w:tcPr>
          <w:p>
            <w:pPr>
              <w:spacing w:after="0"/>
              <w:rPr>
                <w:sz w:val="22"/>
                <w:szCs w:val="22"/>
                <w:color w:val="auto"/>
              </w:rPr>
            </w:pPr>
          </w:p>
        </w:tc>
        <w:tc>
          <w:tcPr>
            <w:tcW w:w="1120" w:type="dxa"/>
            <w:vAlign w:val="bottom"/>
            <w:shd w:val="clear" w:color="auto" w:fill="CCFFCC"/>
          </w:tcPr>
          <w:p>
            <w:pPr>
              <w:spacing w:after="0"/>
              <w:rPr>
                <w:sz w:val="22"/>
                <w:szCs w:val="22"/>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SUPPLEMENTAL DISCLOSURE OF OTHER CASH FLOW INFORMATION:</w:t>
            </w:r>
          </w:p>
        </w:tc>
        <w:tc>
          <w:tcPr>
            <w:tcW w:w="9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63"/>
        </w:trPr>
        <w:tc>
          <w:tcPr>
            <w:tcW w:w="834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4"/>
                <w:szCs w:val="14"/>
                <w:color w:val="auto"/>
              </w:rPr>
              <w:t>Cash paid for income taxes</w:t>
            </w:r>
          </w:p>
        </w:tc>
        <w:tc>
          <w:tcPr>
            <w:tcW w:w="920" w:type="dxa"/>
            <w:vAlign w:val="bottom"/>
            <w:tcBorders>
              <w:bottom w:val="single" w:sz="8" w:color="auto"/>
            </w:tcBorders>
            <w:shd w:val="clear" w:color="auto" w:fill="CCFFCC"/>
          </w:tcPr>
          <w:p>
            <w:pPr>
              <w:jc w:val="right"/>
              <w:ind w:right="749"/>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CFFCC"/>
          </w:tcPr>
          <w:p>
            <w:pPr>
              <w:jc w:val="right"/>
              <w:ind w:right="48"/>
              <w:spacing w:after="0"/>
              <w:rPr>
                <w:sz w:val="20"/>
                <w:szCs w:val="20"/>
                <w:color w:val="auto"/>
              </w:rPr>
            </w:pPr>
            <w:r>
              <w:rPr>
                <w:rFonts w:ascii="Arial" w:cs="Arial" w:eastAsia="Arial" w:hAnsi="Arial"/>
                <w:sz w:val="14"/>
                <w:szCs w:val="14"/>
                <w:color w:val="auto"/>
              </w:rPr>
              <w:t>628</w:t>
            </w:r>
          </w:p>
        </w:tc>
        <w:tc>
          <w:tcPr>
            <w:tcW w:w="120" w:type="dxa"/>
            <w:vAlign w:val="bottom"/>
            <w:tcBorders>
              <w:bottom w:val="single" w:sz="8" w:color="CCFFCC"/>
            </w:tcBorders>
            <w:shd w:val="clear" w:color="auto" w:fill="CCFFCC"/>
          </w:tcPr>
          <w:p>
            <w:pPr>
              <w:spacing w:after="0"/>
              <w:rPr>
                <w:sz w:val="22"/>
                <w:szCs w:val="22"/>
                <w:color w:val="auto"/>
              </w:rPr>
            </w:pPr>
          </w:p>
        </w:tc>
        <w:tc>
          <w:tcPr>
            <w:tcW w:w="340" w:type="dxa"/>
            <w:vAlign w:val="bottom"/>
            <w:tcBorders>
              <w:bottom w:val="single" w:sz="8" w:color="auto"/>
            </w:tcBorders>
            <w:shd w:val="clear" w:color="auto" w:fill="CCFFCC"/>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FFCC"/>
          </w:tcPr>
          <w:p>
            <w:pPr>
              <w:jc w:val="right"/>
              <w:ind w:right="28"/>
              <w:spacing w:after="0"/>
              <w:rPr>
                <w:sz w:val="20"/>
                <w:szCs w:val="20"/>
                <w:color w:val="auto"/>
              </w:rPr>
            </w:pPr>
            <w:r>
              <w:rPr>
                <w:rFonts w:ascii="Arial" w:cs="Arial" w:eastAsia="Arial" w:hAnsi="Arial"/>
                <w:sz w:val="14"/>
                <w:szCs w:val="14"/>
                <w:color w:val="auto"/>
              </w:rPr>
              <w:t>1,497</w:t>
            </w:r>
          </w:p>
        </w:tc>
      </w:tr>
      <w:tr>
        <w:trPr>
          <w:trHeight w:val="20"/>
        </w:trPr>
        <w:tc>
          <w:tcPr>
            <w:tcW w:w="83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64"/>
        </w:trPr>
        <w:tc>
          <w:tcPr>
            <w:tcW w:w="83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0"/>
        </w:trPr>
        <w:tc>
          <w:tcPr>
            <w:tcW w:w="8340" w:type="dxa"/>
            <w:vAlign w:val="bottom"/>
            <w:shd w:val="clear" w:color="auto" w:fill="CCFFCC"/>
          </w:tcPr>
          <w:p>
            <w:pPr>
              <w:ind w:left="40"/>
              <w:spacing w:after="0"/>
              <w:rPr>
                <w:sz w:val="20"/>
                <w:szCs w:val="20"/>
                <w:color w:val="auto"/>
              </w:rPr>
            </w:pPr>
            <w:r>
              <w:rPr>
                <w:rFonts w:ascii="Arial" w:cs="Arial" w:eastAsia="Arial" w:hAnsi="Arial"/>
                <w:sz w:val="14"/>
                <w:szCs w:val="14"/>
                <w:color w:val="auto"/>
              </w:rPr>
              <w:t>SUPPLEMENTAL DISCLOSURE OF NON-CASH INVESTING AND FINANCING ACTIVITIES:</w:t>
            </w:r>
          </w:p>
        </w:tc>
        <w:tc>
          <w:tcPr>
            <w:tcW w:w="920" w:type="dxa"/>
            <w:vAlign w:val="bottom"/>
            <w:shd w:val="clear" w:color="auto" w:fill="CCFFCC"/>
          </w:tcPr>
          <w:p>
            <w:pPr>
              <w:spacing w:after="0"/>
              <w:rPr>
                <w:sz w:val="23"/>
                <w:szCs w:val="23"/>
                <w:color w:val="auto"/>
              </w:rPr>
            </w:pPr>
          </w:p>
        </w:tc>
        <w:tc>
          <w:tcPr>
            <w:tcW w:w="580" w:type="dxa"/>
            <w:vAlign w:val="bottom"/>
            <w:shd w:val="clear" w:color="auto" w:fill="CCFFCC"/>
          </w:tcPr>
          <w:p>
            <w:pPr>
              <w:spacing w:after="0"/>
              <w:rPr>
                <w:sz w:val="23"/>
                <w:szCs w:val="23"/>
                <w:color w:val="auto"/>
              </w:rPr>
            </w:pPr>
          </w:p>
        </w:tc>
        <w:tc>
          <w:tcPr>
            <w:tcW w:w="120" w:type="dxa"/>
            <w:vAlign w:val="bottom"/>
            <w:shd w:val="clear" w:color="auto" w:fill="CCFFCC"/>
          </w:tcPr>
          <w:p>
            <w:pPr>
              <w:spacing w:after="0"/>
              <w:rPr>
                <w:sz w:val="23"/>
                <w:szCs w:val="23"/>
                <w:color w:val="auto"/>
              </w:rPr>
            </w:pPr>
          </w:p>
        </w:tc>
        <w:tc>
          <w:tcPr>
            <w:tcW w:w="340" w:type="dxa"/>
            <w:vAlign w:val="bottom"/>
            <w:shd w:val="clear" w:color="auto" w:fill="CCFFCC"/>
          </w:tcPr>
          <w:p>
            <w:pPr>
              <w:spacing w:after="0"/>
              <w:rPr>
                <w:sz w:val="23"/>
                <w:szCs w:val="23"/>
                <w:color w:val="auto"/>
              </w:rPr>
            </w:pPr>
          </w:p>
        </w:tc>
        <w:tc>
          <w:tcPr>
            <w:tcW w:w="1120" w:type="dxa"/>
            <w:vAlign w:val="bottom"/>
            <w:shd w:val="clear" w:color="auto" w:fill="CCFFCC"/>
          </w:tcPr>
          <w:p>
            <w:pPr>
              <w:spacing w:after="0"/>
              <w:rPr>
                <w:sz w:val="23"/>
                <w:szCs w:val="23"/>
                <w:color w:val="auto"/>
              </w:rPr>
            </w:pPr>
          </w:p>
        </w:tc>
      </w:tr>
      <w:tr>
        <w:trPr>
          <w:trHeight w:val="297"/>
        </w:trPr>
        <w:tc>
          <w:tcPr>
            <w:tcW w:w="8340" w:type="dxa"/>
            <w:vAlign w:val="bottom"/>
            <w:tcBorders>
              <w:bottom w:val="single" w:sz="8" w:color="CCFFCC"/>
            </w:tcBorders>
          </w:tcPr>
          <w:p>
            <w:pPr>
              <w:ind w:left="180"/>
              <w:spacing w:after="0"/>
              <w:rPr>
                <w:sz w:val="20"/>
                <w:szCs w:val="20"/>
                <w:color w:val="auto"/>
              </w:rPr>
            </w:pPr>
            <w:r>
              <w:rPr>
                <w:rFonts w:ascii="Arial" w:cs="Arial" w:eastAsia="Arial" w:hAnsi="Arial"/>
                <w:sz w:val="14"/>
                <w:szCs w:val="14"/>
                <w:color w:val="auto"/>
              </w:rPr>
              <w:t>Purchase of property and equipment recorded in accounts payable</w:t>
            </w:r>
          </w:p>
        </w:tc>
        <w:tc>
          <w:tcPr>
            <w:tcW w:w="920" w:type="dxa"/>
            <w:vAlign w:val="bottom"/>
            <w:tcBorders>
              <w:bottom w:val="single" w:sz="8" w:color="auto"/>
            </w:tcBorders>
          </w:tcPr>
          <w:p>
            <w:pPr>
              <w:jc w:val="right"/>
              <w:ind w:right="749"/>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53</w:t>
            </w:r>
          </w:p>
        </w:tc>
        <w:tc>
          <w:tcPr>
            <w:tcW w:w="120" w:type="dxa"/>
            <w:vAlign w:val="bottom"/>
            <w:tcBorders>
              <w:bottom w:val="single" w:sz="8" w:color="CCFFCC"/>
            </w:tcBorders>
          </w:tcPr>
          <w:p>
            <w:pPr>
              <w:spacing w:after="0"/>
              <w:rPr>
                <w:sz w:val="24"/>
                <w:szCs w:val="24"/>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277</w:t>
            </w:r>
          </w:p>
        </w:tc>
      </w:tr>
      <w:tr>
        <w:trPr>
          <w:trHeight w:val="210"/>
        </w:trPr>
        <w:tc>
          <w:tcPr>
            <w:tcW w:w="834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4"/>
                <w:szCs w:val="14"/>
                <w:color w:val="auto"/>
              </w:rPr>
              <w:t>Leasehold improvements funded by landlord</w:t>
            </w:r>
          </w:p>
        </w:tc>
        <w:tc>
          <w:tcPr>
            <w:tcW w:w="920" w:type="dxa"/>
            <w:vAlign w:val="bottom"/>
            <w:tcBorders>
              <w:bottom w:val="single" w:sz="8" w:color="auto"/>
            </w:tcBorders>
            <w:shd w:val="clear" w:color="auto" w:fill="CCFFCC"/>
          </w:tcPr>
          <w:p>
            <w:pPr>
              <w:jc w:val="right"/>
              <w:ind w:right="749"/>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CFFCC"/>
          </w:tcPr>
          <w:p>
            <w:pPr>
              <w:jc w:val="right"/>
              <w:ind w:right="48"/>
              <w:spacing w:after="0"/>
              <w:rPr>
                <w:sz w:val="20"/>
                <w:szCs w:val="20"/>
                <w:color w:val="auto"/>
              </w:rPr>
            </w:pPr>
            <w:r>
              <w:rPr>
                <w:rFonts w:ascii="Arial" w:cs="Arial" w:eastAsia="Arial" w:hAnsi="Arial"/>
                <w:sz w:val="14"/>
                <w:szCs w:val="14"/>
                <w:color w:val="auto"/>
              </w:rPr>
              <w:t>107</w:t>
            </w:r>
          </w:p>
        </w:tc>
        <w:tc>
          <w:tcPr>
            <w:tcW w:w="120" w:type="dxa"/>
            <w:vAlign w:val="bottom"/>
            <w:tcBorders>
              <w:bottom w:val="single" w:sz="8" w:color="CCFFCC"/>
            </w:tcBorders>
            <w:shd w:val="clear" w:color="auto" w:fill="CCFFCC"/>
          </w:tcPr>
          <w:p>
            <w:pPr>
              <w:spacing w:after="0"/>
              <w:rPr>
                <w:sz w:val="18"/>
                <w:szCs w:val="18"/>
                <w:color w:val="auto"/>
              </w:rPr>
            </w:pPr>
          </w:p>
        </w:tc>
        <w:tc>
          <w:tcPr>
            <w:tcW w:w="340" w:type="dxa"/>
            <w:vAlign w:val="bottom"/>
            <w:tcBorders>
              <w:bottom w:val="single" w:sz="8" w:color="auto"/>
            </w:tcBorders>
            <w:shd w:val="clear" w:color="auto" w:fill="CCFFCC"/>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FFCC"/>
          </w:tcPr>
          <w:p>
            <w:pPr>
              <w:jc w:val="right"/>
              <w:ind w:right="28"/>
              <w:spacing w:after="0"/>
              <w:rPr>
                <w:sz w:val="20"/>
                <w:szCs w:val="20"/>
                <w:color w:val="auto"/>
              </w:rPr>
            </w:pPr>
            <w:r>
              <w:rPr>
                <w:rFonts w:ascii="Arial" w:cs="Arial" w:eastAsia="Arial" w:hAnsi="Arial"/>
                <w:sz w:val="14"/>
                <w:szCs w:val="14"/>
                <w:color w:val="auto"/>
              </w:rPr>
              <w:t>—</w:t>
            </w:r>
          </w:p>
        </w:tc>
      </w:tr>
      <w:tr>
        <w:trPr>
          <w:trHeight w:val="20"/>
        </w:trPr>
        <w:tc>
          <w:tcPr>
            <w:tcW w:w="83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 (unaudited).</w:t>
      </w:r>
    </w:p>
    <w:p>
      <w:pPr>
        <w:sectPr>
          <w:pgSz w:w="11900" w:h="16838" w:orient="portrait"/>
          <w:cols w:equalWidth="0" w:num="1">
            <w:col w:w="11420"/>
          </w:cols>
          <w:pgMar w:left="240" w:top="769" w:right="239" w:bottom="732"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769" w:right="239" w:bottom="732" w:gutter="0" w:footer="0" w:header="0"/>
          <w:type w:val="continuous"/>
        </w:sectPr>
      </w:pPr>
    </w:p>
    <w:bookmarkStart w:id="7" w:name="page8"/>
    <w:bookmarkEnd w:id="7"/>
    <w:p>
      <w:pPr>
        <w:ind w:left="4900"/>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9"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 and Basis of Presentation</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LivePerson, Inc. (the “Company” or “LivePerson”) was incorporated in the State of Delaware in November 1995 and the LivePerson service was introduced in November 1998. In April 2000, the Company completed an initial public offering and is currently traded on the Nasdaq Global Select Market and the Tel Aviv Stock Exchange. LivePerson is headquartered in New York City, with U.S. offices in Alpharetta (Georgia) and international offices in Amsterdam, Berlin, London, Mannheim, Melbourne, Milan, Paris, Ra'anana (Israel), Reading (UK), and Tokyo.</w:t>
      </w:r>
    </w:p>
    <w:p>
      <w:pPr>
        <w:spacing w:after="0" w:line="6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LivePerson provides mobile and online messaging technologies that power digital communication between brands and consumers. LiveEngage, the Company’s enterprise-class, cloud-based platform, enables businesses to create a meaningful connection with consumers by offering messaging as a preferred channel of communication. Messaging diminishes the need to rely on email systems or call a 1-800 number. Brands leverage LivePerson’s sophisticated intelligence engine and suite of text and mobile messaging, real-time chat messaging, content delivery, and co-browsing offerings to proactively engage with consumers through m-dot sites, mobile apps, the desktop, social media and third-party consumer messaging platforms. The Company’s campaign-based messaging enables the brand to target the right consumer at the right time on a brand’s site by leveraging proprietary analysis and data-driven intelligence.</w:t>
      </w:r>
    </w:p>
    <w:p>
      <w:pPr>
        <w:spacing w:after="0" w:line="5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data that the Company gathers and analyzes, on behalf of its customers, spans the breadth of an online or mobile visitor session, starting from an initial keyword search or application login, through actions on the website or mobile application of the Company’s customer, and even into a shopping cart and an executed sale. The Company combines this session data with other historical, behavioral and operational information to develop insights into each step of a consumer’s journey for sales and service transactions. These unique, industry- and use-case specific insights are mapped to each brand’s business goals in order to deliver successful campaign outcomes. LivePerson’s products, coupled with its domain knowledge, industry expertise and consulting services, have been proven to maximize the effectiveness of consumer engagement.</w:t>
      </w:r>
    </w:p>
    <w:p>
      <w:pPr>
        <w:spacing w:after="0" w:line="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Company’s primary revenue source is from the sale of LivePerson services to businesses of all sizes. The Company also offers an online marketplace that connects independent service providers (“Experts”) who provide information and knowledge for a fee via mobile and online messaging with individual consumers (“Users”).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accompanying condensed consolidated financial statements as of September 30, 2016 and for the three and nine months ended September 30, 2016 and 2015 are unaudited. In the opinion of management, the unaudited condensed consolidated financial statements have been prepared on the same basis as the annual financial statements and reflect all adjustments, which include only normal recurring adjustments, necessary to present fairly the consolidated financial position of LivePerson as of September 30, 2016, and the consolidated results of operations, comprehensive loss and cash flows for the interim periods ended September 30, 2016 and 2015. The financial data and other information disclosed in these notes to the condensed consolidated financial statements related to these periods are unaudited. The results of operations for any interim period are not necessarily indicative of the results of operations for any other future interim period or for a full fiscal year. The condensed consolidated balance sheet at December 31, 2015 has been derived from audited consolidated financial statements at that date.</w:t>
      </w:r>
    </w:p>
    <w:p>
      <w:pPr>
        <w:spacing w:after="0" w:line="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Certain information and note disclosures normally included in financial statements prepared in accordance with generally accepted accounting principles in the United States (“GAAP”) have been condensed or omitted pursuant to the rules and regulations of the Securities and Exchange Commission (the “SEC”). These unaudited interim condensed consolidated financial statements should be read in conjunction with the Company’s audited consolidated financial statements and notes thereto for the year ended December 31, 2015, included in the Company’s Annual Report on Form 10-K filed with the SEC on March 15, 2016.</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12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condensed consolidated financial statements include the Company and its wholly-owned subsidiaries. All intercompany balances and transactions have been eliminated.</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w:t>
      </w:r>
    </w:p>
    <w:p>
      <w:pPr>
        <w:spacing w:after="0" w:line="121" w:lineRule="exact"/>
        <w:rPr>
          <w:sz w:val="20"/>
          <w:szCs w:val="20"/>
          <w:color w:val="auto"/>
        </w:rPr>
      </w:pPr>
    </w:p>
    <w:p>
      <w:pPr>
        <w:jc w:val="both"/>
        <w:ind w:right="20" w:firstLine="648"/>
        <w:spacing w:after="0" w:line="271" w:lineRule="auto"/>
        <w:rPr>
          <w:sz w:val="20"/>
          <w:szCs w:val="20"/>
          <w:color w:val="auto"/>
        </w:rPr>
      </w:pPr>
      <w:r>
        <w:rPr>
          <w:rFonts w:ascii="Arial" w:cs="Arial" w:eastAsia="Arial" w:hAnsi="Arial"/>
          <w:sz w:val="18"/>
          <w:szCs w:val="18"/>
          <w:color w:val="auto"/>
        </w:rPr>
        <w:t>For comparability, certain 2015 amounts have been reclassified, where appropriate, to conform to the financial presentation in 2016. The Company reclassified $1.3 million and $1.5 million in the three and nine ended September 30, 2016, respectively, related to the fair value adjustment of the contingent earn-out for CAO! and Engage Pty Ltd. (“Engage”) from cost of revenue to general and administrative expenses.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80"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preparation of the Company’s condensed consolidated financial statements in conformity with GAAP requires management to make estimates and assumptions that affect the reported amounts of assets and liabilities and disclosure of contingent assets and liabilities at the date of the condensed consolidated financial statements and the reported amounts of income and expenses during the reporting period. These estimates are based on information available as of the date of the condensed consolidated financial statements; therefore, actual results could differ from management’s estimates.</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12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August 2016, the Financial Accounting Standards Board (“FASB”) issued Accounting Standards Update No. 2016-15, “Statement of Cash Flows (Topic 230): Classification of Certain Cash Receipts and Cash Payments” (“ASU 2016-15”). Topic 230 addresses the following eight specific cash flow issues: debt prepayment or debt extinguishment costs; settlement of zero-coupon debt instruments or other debt instruments with coupon interest rates that are insignificant in relation to the effective interest rate of the borrowing; contingent consideration payments made after a business combination; proceeds from the settlement of insurance claims; proceeds from the settlement of corporate-owned life insurance policies (COLIs) (including bank-owned life insurance policies (BOLIs)); distributions received from equity method investees; beneficial interests in securitization transactions; and separately identifiable cash flows and application of the predominance principle. ASU 2016-15 is effective for financial statements issued for annual periods beginning after December 15, 2017, and interim periods within those annual periods. The Company is in the process of evaluating the impact of adoption of ASU 2016-15 on its financial statements.</w:t>
      </w:r>
    </w:p>
    <w:p>
      <w:pPr>
        <w:spacing w:after="0" w:line="8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March 2016, the FASB issued Accounting Standards Update No. 2016-09, “Compensation -Stock Compensation (Topic 718): Improvements to Employee Share-Based Payment Accounting” (“ASU 2016-09”). This update is intended to improve the accounting for employee share-based payments and affects all organizations that issue share-based payment awards to their employees. Several aspects of the accounting for share-based payment award transactions are simplified, including:(a) income tax consequences; (b) classification of awards as either equity or liabilities; and(c)classification on the statement of cash flows. ASU 2016-09 is effective for financial statements issued for annual periods beginning after December 15, 2016. The Company is currently in the process of evaluating the impact of adoption of ASU 2016-09 on its financial statements.</w:t>
      </w:r>
    </w:p>
    <w:p>
      <w:pPr>
        <w:spacing w:after="0" w:line="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February 2016, the FASB issued Accounting Standards Update No. 2016-02, "Leases" ("ASU 2016-02"). ASU 2016-02 requires lessees to recognize the following for all leases (with the exception of short-term leases) at the commencement date: a lease liability, which is a lessee‘s obligation to make lease payments arising from a lease, measured on a discounted basis; and a right-of-use asset, which is an asset that represents the lessee’s right to use, or control the use of, a specified asset for the lease term. Under the new guidance, lessor accounting is largely unchanged. Certain targeted improvements were made to align, where necessary, lessor accounting with the lessee accounting model and Topic 606, Revenue from Contracts with Customers. The new lease guidance also simplified the accounting for sale and leaseback transactions primarily because lessees must recognize lease assets and lease liabilities. Lessees will no longer be provided with a source of off-balance sheet financing. Lessees (for capital and operating leases) and lessors (for sales-type, direct financing, and operating leases) must apply a modified retrospective transition approach for leases existing at, or entered into after, the beginning of the earliest comparative period presented in the financial statements. The modified retrospective approach would not require any transition accounting for leases that expired before the earliest comparative period presented. Lessees and lessors may not apply a full retrospective transition approach. ASU 2016-02 is effective for financial statements issued for annual periods beginning after December 15, 2018. The Company is currently in the process of evaluating the impact of adoption of ASU 2016-02 on its financial statements.</w:t>
      </w:r>
    </w:p>
    <w:p>
      <w:pPr>
        <w:spacing w:after="0" w:line="7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November 2015, FASB issued Accounting Standards Update No. 2015-17, “Income taxes: Balance Sheet Classification of Deferred Taxes Business” (“ASU 2015-17”). Topic 740, Income Taxes, requires an entity to separate deferred income tax liabilities and assets into current and noncurrent amounts in a classified statement of financial position. Deferred tax liabilities and assets are classified as current or noncurrent based on the classification of the related asset or liability for financial reporting. Deferred tax liabilities and assets that are not related to an asset or liability for financial reporting are classified according to the expected reversal date of the temporary difference. To simplify the presentation of deferred income taxes, ASU 2015-17 requires that deferred income tax liabilities and assets be classified as noncurrent in a classified statement of financial position. ASU 2015-17 is effective for financial statements issued for annual periods beginning after December 15, 2016, and interim periods within those annual periods. The Company has elected to early adopt ASU 2015-17 on its financial statements during the second quarter of 2016 on a prospective basis.</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904" w:right="239" w:bottom="1440" w:gutter="0" w:footer="0" w:header="0"/>
        </w:sectPr>
      </w:pPr>
    </w:p>
    <w:bookmarkStart w:id="9" w:name="page10"/>
    <w:bookmarkEnd w:id="9"/>
    <w:p>
      <w:pPr>
        <w:jc w:val="both"/>
        <w:ind w:firstLine="648"/>
        <w:spacing w:after="0" w:line="291" w:lineRule="auto"/>
        <w:rPr>
          <w:sz w:val="20"/>
          <w:szCs w:val="20"/>
          <w:color w:val="auto"/>
        </w:rPr>
      </w:pPr>
      <w:r>
        <w:rPr>
          <w:rFonts w:ascii="Arial" w:cs="Arial" w:eastAsia="Arial" w:hAnsi="Arial"/>
          <w:sz w:val="16"/>
          <w:szCs w:val="16"/>
          <w:color w:val="auto"/>
        </w:rPr>
        <w:t>In September 2015, FASB issued Accounting Standards Update No. 2015-16, “Business Combinations: Simplifying the Accounting for Measurement-Period Adjustments” (“ASU 2015-16”). ASU 2015-16 requires that an acquirer recognize adjustments to provisional amounts that are identified during the measurement period in the reporting period in which the adjustment amounts are determined. The amendments in ASU 2015-16 require that the acquirer record, in the same period’s financial statements, the effect on earnings of changes in depreciation, amortization, or other income effects, if any, as a result of the change to the provisional amounts, calculated as if the accounting had been completed at the acquisition date. ASU 2015-16 is effective for annual reporting periods beginning after December 15, 2015. This standard became effective for the Company in the first quarter of 2016, and is applied on a prospective basis to adjustments to provisional amounts that occur after the effective date with no material impact to its financial statements.</w:t>
      </w:r>
    </w:p>
    <w:p>
      <w:pPr>
        <w:spacing w:after="0" w:line="5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February 2015, FASB issued Accounting Standards Update No. 2015-02, Consolidation: Amendments to the Consolidation Analysis (“ASU 2015-02”), which affects reporting entities that are required to evaluate whether they should consolidate certain legal entities. All legal entities are subject to reevaluation under the revised consolidation model. The standard amends the consolidation requirements in ASC 810. ASU 2015-02 is effective for fiscal periods beginning after December 15, 2015 for public companies, and early adoption is permitted. The Company adopted this standard during the first quarter of 2016 and there was no material impact to its financial statements.</w:t>
      </w:r>
    </w:p>
    <w:p>
      <w:pPr>
        <w:spacing w:after="0" w:line="8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In May 2014, FASB issued Accounting Standards Update No. 2014-09, Revenue from Contracts with Customers (“ASU 2014-09”), which supersedes most existing revenue recognition guidance under GAAP. The core principle of ASU 2014-09 is to recognize revenues when promised goods or services are transferred to customers in an amount that reflects the consideration to which an entity expects to be entitled for those goods or services. ASU 2014-09 defines a five step process to achieve this core principle and, in doing so, more judgment and estimates may be required within the revenue recognition process than are required under existing GAAP. The standard is effective for annual periods beginning after December 15, 2017, and interim periods therein, using either of the following transition methods: (i) a full retrospective approach reflecting the application of the standard in each prior reporting period with the option to elect certain practical expedients, or (ii) a retrospective approach with the cumulative effect of initially adopting ASU 2014-09 recognized at the date of adoption (which includes additional footnote disclosures). In March 2016, the FASB issued implementation guidance that clarified the considerations in principal versus agent determination. In April 2016, the FASB issued guidance that clarified identifying performance obligations and licensing implementation guidance contained in the new revenue recognition standard. In May 2016, FASB issued guidance that addresses narrow-scope improvements to the guidance on collectability, noncash consideration, and completed contracts at transition. The Company will adopt this guidance at the beginning of its first quarter of fiscal year 2018. Adoption of this guidance is not expected to have a material impact on the Company’s financial statements.</w:t>
      </w:r>
    </w:p>
    <w:p>
      <w:pPr>
        <w:spacing w:after="0" w:line="292"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majority of the Company’s revenue is generated from monthly service revenues and related professional services from the sale of the LivePerson services. Because the Company provides its application as a service, the Company follows the provisions of FASB Accounting Standards Codification (“ASC”) 605-10-S99, “Revenue Recognition” and ASC 605-25, “Revenue Recognition with Multiple-Element Arrangements.” The Company charges a monthly, quarterly or annual fee, which varies by type of service, the level of customer usage and website traffic, and in some cases, the number of orders placed via the Company’s online engagement solutions.</w:t>
      </w:r>
    </w:p>
    <w:p>
      <w:pPr>
        <w:spacing w:after="0" w:line="8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For certain of the Company’s larger customers, the Company may provide call center labor through an arrangement with one or more of several qualified vendors. For most of these customers, the Company passes the fee it incurs with the labor provider and its fee for the hosted services through to its customers in the form of a fixed fee for each order placed via the Company’s online engagement solutions. For these Pay for Performance (“PFP”) arrangements, in accordance with ASC 605-45, “Principal Agent Considerations,” the Company records revenue for transactions in which it acts as an agent on a net basis, and revenue for transactions in which it acts as a principal on a gross basis.</w:t>
      </w:r>
    </w:p>
    <w:p>
      <w:pPr>
        <w:spacing w:after="0" w:line="64"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Company also sells certain of the LivePerson services directly via Internet download. These services are marketed as LiveEngage for small to medium-sized businesses, and are paid for almost exclusively by credit card. Credit card payments accelerate cash flow and reduce the Company’s collection risk, subject to the merchant bank’s right to hold back cash pending settlement of the transactions. Sales of LiveEngage may occur with or without the assistance of an online sales representative, rather than through face-to-face or telephone contact that is typically required for traditional direct sales.</w:t>
      </w:r>
    </w:p>
    <w:p>
      <w:pPr>
        <w:spacing w:after="0" w:line="4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Company recognizes monthly service revenue based upon the fee charged for the LivePerson services, provided that there is persuasive evidence of an arrangement, no significant Company obligations remain, collection of the resulting receivable is probable and the amount of fees to be paid is fixed or determinable. The Company’s service agreements typically have twelve month terms and, in some cases, are terminable or may terminate upon 30 to 90 days’ notice without penalty. When professional service fees add value to the customer on a standalone basis, the Company recognizes professional service fees upon completion and customer acceptance. The Company establishes a selling price hierarchy for determining the selling price of a deliverable,</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84" w:right="239" w:bottom="1440" w:gutter="0" w:footer="0" w:header="0"/>
        </w:sectPr>
      </w:pPr>
    </w:p>
    <w:bookmarkStart w:id="10" w:name="page11"/>
    <w:bookmarkEnd w:id="10"/>
    <w:p>
      <w:pPr>
        <w:jc w:val="both"/>
        <w:ind w:right="20"/>
        <w:spacing w:after="0" w:line="342" w:lineRule="auto"/>
        <w:rPr>
          <w:sz w:val="20"/>
          <w:szCs w:val="20"/>
          <w:color w:val="auto"/>
        </w:rPr>
      </w:pPr>
      <w:r>
        <w:rPr>
          <w:rFonts w:ascii="Arial" w:cs="Arial" w:eastAsia="Arial" w:hAnsi="Arial"/>
          <w:sz w:val="16"/>
          <w:szCs w:val="16"/>
          <w:color w:val="auto"/>
        </w:rPr>
        <w:t>which is based on: (a) vendor-specific objective evidence; (b) third-party evidence; or (c) best estimated selling price. If a professional services arrangement does not qualify for separate accounting, the Company recognizes the fees, and the related labor costs, ratably over the contracted period.</w:t>
      </w:r>
    </w:p>
    <w:p>
      <w:pPr>
        <w:spacing w:after="0" w:line="1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For revenue from the Company’s Consumer segment generated from online transactions between Experts and Users, the Company recognizes revenue net of the Expert fees in accordance with ASC 605-45, “Principal Agent Considerations,” due primarily to the fact that the Expert is the primary obligor. Additionally, the Company performs as an agent without any risk of loss for collection, and is not involved in selecting the Expert or establishing the Expert’s fee. The Company collects a fee from the User and retains a portion of the fee, and then remits the balance to the Expert. Revenue from these transactions is recognized when there is persuasive evidence of an arrangement, no significant Company obligations remain, collection of the resulting receivable is probable and the amount of fees to be paid is fixed and determinable.</w:t>
      </w:r>
    </w:p>
    <w:p>
      <w:pPr>
        <w:spacing w:after="0" w:line="297"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(Loss) Per Share</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Company calculates earnings per share (“EPS”) in accordance with the provisions of ASC 260-10 and the guidance of SEC Staff Accounting Bulletin (“SAB”) No. 98. Under ASC 260-10, basic EPS excludes dilution for common stock equivalents and is computed by dividing net income or loss attributable to common shareholders by the weighted average number of common shares outstanding for the period. All options, warrants or other potentially dilutive instruments issued for nominal consideration are required to be included in the calculation of basic and diluted net income attributable to common stockholders. Diluted EPS is calculated using the treasury stock method and reflects the potential dilution that could occur if securities or other contracts to issue common stock were exercised or converted into common stock and resulted in the issuance of common stock.</w:t>
      </w:r>
    </w:p>
    <w:p>
      <w:pPr>
        <w:spacing w:after="0" w:line="5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Diluted net loss per common share for the three and nine months ended September 30, 2016 does not include the effect of 9,492,949 outstanding common stock awards, as the effect of their inclusion is anti-dilutive. Diluted net loss per common share for the three months ended September 30, 2015 includes the effect of options to purchase 1,429,142 shares of outstanding common stock with a weighted average exercise price of $9.02. Diluted net loss per common share for the three months ended September 30, 2015 does not include the effect of 8,140,127 outstanding common stock awards, as the effect of their inclusion is anti-dilutive. Diluted net loss per common share for the nine months ended September 30, 2015 does not include the effect of 9,569,269 outstanding common stock awards, as the effect of their inclusion is anti-dilutive.</w:t>
      </w:r>
    </w:p>
    <w:p>
      <w:pPr>
        <w:spacing w:after="0" w:line="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reconciliation of shares used in calculating basic and diluted net loss per share follows:</w:t>
      </w:r>
    </w:p>
    <w:p>
      <w:pPr>
        <w:spacing w:after="0" w:line="338"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5580" w:type="dxa"/>
            <w:vAlign w:val="bottom"/>
          </w:tcPr>
          <w:p>
            <w:pPr>
              <w:spacing w:after="0"/>
              <w:rPr>
                <w:sz w:val="16"/>
                <w:szCs w:val="16"/>
                <w:color w:val="auto"/>
              </w:rPr>
            </w:pPr>
          </w:p>
        </w:tc>
        <w:tc>
          <w:tcPr>
            <w:tcW w:w="300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3"/>
              </w:rPr>
              <w:t>Three Months Ended</w:t>
            </w:r>
          </w:p>
        </w:tc>
        <w:tc>
          <w:tcPr>
            <w:tcW w:w="28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Nine Months Ended</w:t>
            </w:r>
          </w:p>
        </w:tc>
      </w:tr>
      <w:tr>
        <w:trPr>
          <w:trHeight w:val="276"/>
        </w:trPr>
        <w:tc>
          <w:tcPr>
            <w:tcW w:w="5580" w:type="dxa"/>
            <w:vAlign w:val="bottom"/>
          </w:tcPr>
          <w:p>
            <w:pPr>
              <w:spacing w:after="0"/>
              <w:rPr>
                <w:sz w:val="24"/>
                <w:szCs w:val="24"/>
                <w:color w:val="auto"/>
              </w:rPr>
            </w:pPr>
          </w:p>
        </w:tc>
        <w:tc>
          <w:tcPr>
            <w:tcW w:w="1960" w:type="dxa"/>
            <w:vAlign w:val="bottom"/>
            <w:tcBorders>
              <w:bottom w:val="single" w:sz="8" w:color="auto"/>
            </w:tcBorders>
            <w:gridSpan w:val="3"/>
          </w:tcPr>
          <w:p>
            <w:pPr>
              <w:jc w:val="center"/>
              <w:ind w:left="843"/>
              <w:spacing w:after="0"/>
              <w:rPr>
                <w:sz w:val="20"/>
                <w:szCs w:val="20"/>
                <w:color w:val="auto"/>
              </w:rPr>
            </w:pPr>
            <w:r>
              <w:rPr>
                <w:rFonts w:ascii="Arial" w:cs="Arial" w:eastAsia="Arial" w:hAnsi="Arial"/>
                <w:sz w:val="14"/>
                <w:szCs w:val="14"/>
                <w:b w:val="1"/>
                <w:bCs w:val="1"/>
                <w:color w:val="auto"/>
                <w:w w:val="91"/>
              </w:rPr>
              <w:t>September 30,</w:t>
            </w:r>
          </w:p>
        </w:tc>
        <w:tc>
          <w:tcPr>
            <w:tcW w:w="90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900" w:type="dxa"/>
            <w:vAlign w:val="bottom"/>
            <w:tcBorders>
              <w:bottom w:val="single" w:sz="8" w:color="auto"/>
            </w:tcBorders>
            <w:gridSpan w:val="3"/>
          </w:tcPr>
          <w:p>
            <w:pPr>
              <w:jc w:val="center"/>
              <w:ind w:left="823"/>
              <w:spacing w:after="0"/>
              <w:rPr>
                <w:sz w:val="20"/>
                <w:szCs w:val="20"/>
                <w:color w:val="auto"/>
              </w:rPr>
            </w:pPr>
            <w:r>
              <w:rPr>
                <w:rFonts w:ascii="Arial" w:cs="Arial" w:eastAsia="Arial" w:hAnsi="Arial"/>
                <w:sz w:val="14"/>
                <w:szCs w:val="14"/>
                <w:b w:val="1"/>
                <w:bCs w:val="1"/>
                <w:color w:val="auto"/>
                <w:w w:val="91"/>
              </w:rPr>
              <w:t>September 30,</w:t>
            </w:r>
          </w:p>
        </w:tc>
        <w:tc>
          <w:tcPr>
            <w:tcW w:w="900" w:type="dxa"/>
            <w:vAlign w:val="bottom"/>
            <w:tcBorders>
              <w:bottom w:val="single" w:sz="8" w:color="auto"/>
            </w:tcBorders>
          </w:tcPr>
          <w:p>
            <w:pPr>
              <w:spacing w:after="0"/>
              <w:rPr>
                <w:sz w:val="24"/>
                <w:szCs w:val="24"/>
                <w:color w:val="auto"/>
              </w:rPr>
            </w:pPr>
          </w:p>
        </w:tc>
      </w:tr>
      <w:tr>
        <w:trPr>
          <w:trHeight w:val="264"/>
        </w:trPr>
        <w:tc>
          <w:tcPr>
            <w:tcW w:w="5580" w:type="dxa"/>
            <w:vAlign w:val="bottom"/>
          </w:tcPr>
          <w:p>
            <w:pPr>
              <w:spacing w:after="0"/>
              <w:rPr>
                <w:sz w:val="22"/>
                <w:szCs w:val="22"/>
                <w:color w:val="auto"/>
              </w:rPr>
            </w:pPr>
          </w:p>
        </w:tc>
        <w:tc>
          <w:tcPr>
            <w:tcW w:w="138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2015</w:t>
            </w:r>
          </w:p>
        </w:tc>
        <w:tc>
          <w:tcPr>
            <w:tcW w:w="140" w:type="dxa"/>
            <w:vAlign w:val="bottom"/>
          </w:tcPr>
          <w:p>
            <w:pPr>
              <w:spacing w:after="0"/>
              <w:rPr>
                <w:sz w:val="22"/>
                <w:szCs w:val="22"/>
                <w:color w:val="auto"/>
              </w:rPr>
            </w:pPr>
          </w:p>
        </w:tc>
        <w:tc>
          <w:tcPr>
            <w:tcW w:w="134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2015</w:t>
            </w:r>
          </w:p>
        </w:tc>
      </w:tr>
      <w:tr>
        <w:trPr>
          <w:trHeight w:val="223"/>
        </w:trPr>
        <w:tc>
          <w:tcPr>
            <w:tcW w:w="5580" w:type="dxa"/>
            <w:vAlign w:val="bottom"/>
          </w:tcPr>
          <w:p>
            <w:pPr>
              <w:spacing w:after="0"/>
              <w:rPr>
                <w:sz w:val="20"/>
                <w:szCs w:val="20"/>
                <w:color w:val="auto"/>
              </w:rPr>
            </w:pPr>
            <w:r>
              <w:rPr>
                <w:rFonts w:ascii="Arial" w:cs="Arial" w:eastAsia="Arial" w:hAnsi="Arial"/>
                <w:sz w:val="16"/>
                <w:szCs w:val="16"/>
                <w:color w:val="auto"/>
              </w:rPr>
              <w:t>Basic</w:t>
            </w:r>
          </w:p>
        </w:tc>
        <w:tc>
          <w:tcPr>
            <w:tcW w:w="1380" w:type="dxa"/>
            <w:vAlign w:val="bottom"/>
          </w:tcPr>
          <w:p>
            <w:pPr>
              <w:jc w:val="right"/>
              <w:ind w:right="63"/>
              <w:spacing w:after="0"/>
              <w:rPr>
                <w:sz w:val="20"/>
                <w:szCs w:val="20"/>
                <w:color w:val="auto"/>
              </w:rPr>
            </w:pPr>
            <w:r>
              <w:rPr>
                <w:rFonts w:ascii="Arial" w:cs="Arial" w:eastAsia="Arial" w:hAnsi="Arial"/>
                <w:sz w:val="16"/>
                <w:szCs w:val="16"/>
                <w:color w:val="auto"/>
              </w:rPr>
              <w:t>56,047,645</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color w:val="auto"/>
                <w:w w:val="94"/>
              </w:rPr>
              <w:t>56,525,647</w:t>
            </w:r>
          </w:p>
        </w:tc>
        <w:tc>
          <w:tcPr>
            <w:tcW w:w="140" w:type="dxa"/>
            <w:vAlign w:val="bottom"/>
          </w:tcPr>
          <w:p>
            <w:pPr>
              <w:spacing w:after="0"/>
              <w:rPr>
                <w:sz w:val="19"/>
                <w:szCs w:val="19"/>
                <w:color w:val="auto"/>
              </w:rPr>
            </w:pPr>
          </w:p>
        </w:tc>
        <w:tc>
          <w:tcPr>
            <w:tcW w:w="1340" w:type="dxa"/>
            <w:vAlign w:val="bottom"/>
          </w:tcPr>
          <w:p>
            <w:pPr>
              <w:jc w:val="right"/>
              <w:ind w:right="23"/>
              <w:spacing w:after="0"/>
              <w:rPr>
                <w:sz w:val="20"/>
                <w:szCs w:val="20"/>
                <w:color w:val="auto"/>
              </w:rPr>
            </w:pPr>
            <w:r>
              <w:rPr>
                <w:rFonts w:ascii="Arial" w:cs="Arial" w:eastAsia="Arial" w:hAnsi="Arial"/>
                <w:sz w:val="16"/>
                <w:szCs w:val="16"/>
                <w:color w:val="auto"/>
              </w:rPr>
              <w:t>56,131,818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color w:val="auto"/>
                <w:w w:val="97"/>
              </w:rPr>
              <w:t>56,437,198</w:t>
            </w:r>
          </w:p>
        </w:tc>
      </w:tr>
      <w:tr>
        <w:trPr>
          <w:trHeight w:val="270"/>
        </w:trPr>
        <w:tc>
          <w:tcPr>
            <w:tcW w:w="5580" w:type="dxa"/>
            <w:vAlign w:val="bottom"/>
          </w:tcPr>
          <w:p>
            <w:pPr>
              <w:spacing w:after="0"/>
              <w:rPr>
                <w:sz w:val="20"/>
                <w:szCs w:val="20"/>
                <w:color w:val="auto"/>
              </w:rPr>
            </w:pPr>
            <w:r>
              <w:rPr>
                <w:rFonts w:ascii="Arial" w:cs="Arial" w:eastAsia="Arial" w:hAnsi="Arial"/>
                <w:sz w:val="16"/>
                <w:szCs w:val="16"/>
                <w:color w:val="auto"/>
              </w:rPr>
              <w:t>Effect of assumed exercised options</w:t>
            </w:r>
          </w:p>
        </w:tc>
        <w:tc>
          <w:tcPr>
            <w:tcW w:w="1960" w:type="dxa"/>
            <w:vAlign w:val="bottom"/>
            <w:gridSpan w:val="3"/>
          </w:tcPr>
          <w:p>
            <w:pPr>
              <w:jc w:val="right"/>
              <w:ind w:right="7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558,790</w:t>
            </w:r>
          </w:p>
        </w:tc>
        <w:tc>
          <w:tcPr>
            <w:tcW w:w="140" w:type="dxa"/>
            <w:vAlign w:val="bottom"/>
          </w:tcPr>
          <w:p>
            <w:pPr>
              <w:spacing w:after="0"/>
              <w:rPr>
                <w:sz w:val="23"/>
                <w:szCs w:val="23"/>
                <w:color w:val="auto"/>
              </w:rPr>
            </w:pPr>
          </w:p>
        </w:tc>
        <w:tc>
          <w:tcPr>
            <w:tcW w:w="1900" w:type="dxa"/>
            <w:vAlign w:val="bottom"/>
            <w:gridSpan w:val="3"/>
          </w:tcPr>
          <w:p>
            <w:pPr>
              <w:jc w:val="right"/>
              <w:ind w:right="66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w:t>
            </w:r>
          </w:p>
        </w:tc>
      </w:tr>
      <w:tr>
        <w:trPr>
          <w:trHeight w:val="33"/>
        </w:trPr>
        <w:tc>
          <w:tcPr>
            <w:tcW w:w="558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5580" w:type="dxa"/>
            <w:vAlign w:val="bottom"/>
          </w:tcPr>
          <w:p>
            <w:pPr>
              <w:spacing w:after="0"/>
              <w:rPr>
                <w:sz w:val="20"/>
                <w:szCs w:val="20"/>
                <w:color w:val="auto"/>
              </w:rPr>
            </w:pPr>
            <w:r>
              <w:rPr>
                <w:rFonts w:ascii="Arial" w:cs="Arial" w:eastAsia="Arial" w:hAnsi="Arial"/>
                <w:sz w:val="16"/>
                <w:szCs w:val="16"/>
                <w:color w:val="auto"/>
              </w:rPr>
              <w:t>Diluted</w:t>
            </w:r>
          </w:p>
        </w:tc>
        <w:tc>
          <w:tcPr>
            <w:tcW w:w="138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color w:val="auto"/>
              </w:rPr>
              <w:t>56,047,645</w:t>
            </w:r>
          </w:p>
        </w:tc>
        <w:tc>
          <w:tcPr>
            <w:tcW w:w="12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w w:val="94"/>
              </w:rPr>
              <w:t>57,084,437</w:t>
            </w:r>
          </w:p>
        </w:tc>
        <w:tc>
          <w:tcPr>
            <w:tcW w:w="140" w:type="dxa"/>
            <w:vAlign w:val="bottom"/>
          </w:tcPr>
          <w:p>
            <w:pPr>
              <w:spacing w:after="0"/>
              <w:rPr>
                <w:sz w:val="21"/>
                <w:szCs w:val="21"/>
                <w:color w:val="auto"/>
              </w:rPr>
            </w:pPr>
          </w:p>
        </w:tc>
        <w:tc>
          <w:tcPr>
            <w:tcW w:w="134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56,131,818</w:t>
            </w:r>
          </w:p>
        </w:tc>
        <w:tc>
          <w:tcPr>
            <w:tcW w:w="10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w w:val="97"/>
              </w:rPr>
              <w:t>56,437,198</w:t>
            </w:r>
          </w:p>
        </w:tc>
      </w:tr>
      <w:tr>
        <w:trPr>
          <w:trHeight w:val="20"/>
        </w:trPr>
        <w:tc>
          <w:tcPr>
            <w:tcW w:w="55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Company accounts for its segment information in accordance with the provisions of ASC 280-10, “Segment Reporting.” ASC 280-10 establishes annual and interim reporting standards for operating segments of a company. ASC 280-10 requires disclosures of selected segment-related financial information about products, major customers, and geographic areas based on the Company’s internal accounting methods. The Company is organized into two operating segments for purposes of making operating decisions and assessing performance. The Business segment facilitates real-time online interactions – chat, voice and content delivery across multiple channels and screens for global corporations of all sizes. The Consumer segment facilitates online transactions between Experts and Users and sells its services to consumers. Both segments currently generate their revenue primarily in the United States. The chief operating decision maker, who is the chief executive officer, evaluates performance, makes operating decisions, and allocates resources based on the operating income of each segment. The reporting segments follow the same accounting polices used in the preparation of the Company’s condensed consolidated financial statements which are described in the summary of significant accounting policies. The Company allocates cost of revenue, sales and marketing and amortization of purchased intangibles to the segments, but it does not allocate product development expenses, general and administrative expenses, restructuring costs and income tax expense because management does not use this information to measure performance of the operating segments. There are currently no inter-segment sales.</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84" w:right="239" w:bottom="1440" w:gutter="0" w:footer="0" w:header="0"/>
        </w:sectPr>
      </w:pPr>
    </w:p>
    <w:bookmarkStart w:id="11" w:name="page12"/>
    <w:bookmarkEnd w:id="11"/>
    <w:p>
      <w:pPr>
        <w:ind w:firstLine="648"/>
        <w:spacing w:after="0" w:line="277" w:lineRule="auto"/>
        <w:rPr>
          <w:sz w:val="20"/>
          <w:szCs w:val="20"/>
          <w:color w:val="auto"/>
        </w:rPr>
      </w:pPr>
      <w:r>
        <w:rPr>
          <w:rFonts w:ascii="Arial" w:cs="Arial" w:eastAsia="Arial" w:hAnsi="Arial"/>
          <w:sz w:val="18"/>
          <w:szCs w:val="18"/>
          <w:color w:val="auto"/>
        </w:rPr>
        <w:t>Summarized financial information by segment for the three months ended September 30, 2016, based on the Company’s internal financial reporting system utilized by the Company’s chief operating decision maker, follows (amounts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gridSpan w:val="2"/>
          </w:tcPr>
          <w:p>
            <w:pPr>
              <w:ind w:left="140"/>
              <w:spacing w:after="0"/>
              <w:rPr>
                <w:sz w:val="20"/>
                <w:szCs w:val="20"/>
                <w:color w:val="auto"/>
              </w:rPr>
            </w:pPr>
            <w:r>
              <w:rPr>
                <w:rFonts w:ascii="Arial" w:cs="Arial" w:eastAsia="Arial" w:hAnsi="Arial"/>
                <w:sz w:val="14"/>
                <w:szCs w:val="14"/>
                <w:b w:val="1"/>
                <w:bCs w:val="1"/>
                <w:color w:val="auto"/>
              </w:rPr>
              <w:t>Business</w:t>
            </w:r>
          </w:p>
        </w:tc>
        <w:tc>
          <w:tcPr>
            <w:tcW w:w="200" w:type="dxa"/>
            <w:vAlign w:val="bottom"/>
          </w:tcPr>
          <w:p>
            <w:pPr>
              <w:spacing w:after="0"/>
              <w:rPr>
                <w:sz w:val="16"/>
                <w:szCs w:val="16"/>
                <w:color w:val="auto"/>
              </w:rPr>
            </w:pPr>
          </w:p>
        </w:tc>
        <w:tc>
          <w:tcPr>
            <w:tcW w:w="1180" w:type="dxa"/>
            <w:vAlign w:val="bottom"/>
            <w:gridSpan w:val="2"/>
          </w:tcPr>
          <w:p>
            <w:pPr>
              <w:ind w:left="120"/>
              <w:spacing w:after="0"/>
              <w:rPr>
                <w:sz w:val="20"/>
                <w:szCs w:val="20"/>
                <w:color w:val="auto"/>
              </w:rPr>
            </w:pPr>
            <w:r>
              <w:rPr>
                <w:rFonts w:ascii="Arial" w:cs="Arial" w:eastAsia="Arial" w:hAnsi="Arial"/>
                <w:sz w:val="14"/>
                <w:szCs w:val="14"/>
                <w:b w:val="1"/>
                <w:bCs w:val="1"/>
                <w:color w:val="auto"/>
              </w:rPr>
              <w:t>Consumer</w:t>
            </w:r>
          </w:p>
        </w:tc>
        <w:tc>
          <w:tcPr>
            <w:tcW w:w="200" w:type="dxa"/>
            <w:vAlign w:val="bottom"/>
          </w:tcPr>
          <w:p>
            <w:pPr>
              <w:spacing w:after="0"/>
              <w:rPr>
                <w:sz w:val="16"/>
                <w:szCs w:val="16"/>
                <w:color w:val="auto"/>
              </w:rPr>
            </w:pPr>
          </w:p>
        </w:tc>
        <w:tc>
          <w:tcPr>
            <w:tcW w:w="1140" w:type="dxa"/>
            <w:vAlign w:val="bottom"/>
            <w:gridSpan w:val="2"/>
          </w:tcPr>
          <w:p>
            <w:pPr>
              <w:ind w:left="100"/>
              <w:spacing w:after="0"/>
              <w:rPr>
                <w:sz w:val="20"/>
                <w:szCs w:val="20"/>
                <w:color w:val="auto"/>
              </w:rPr>
            </w:pPr>
            <w:r>
              <w:rPr>
                <w:rFonts w:ascii="Arial" w:cs="Arial" w:eastAsia="Arial" w:hAnsi="Arial"/>
                <w:sz w:val="14"/>
                <w:szCs w:val="14"/>
                <w:b w:val="1"/>
                <w:bCs w:val="1"/>
                <w:color w:val="auto"/>
              </w:rPr>
              <w:t>Corporate</w:t>
            </w:r>
          </w:p>
        </w:tc>
        <w:tc>
          <w:tcPr>
            <w:tcW w:w="140" w:type="dxa"/>
            <w:vAlign w:val="bottom"/>
          </w:tcPr>
          <w:p>
            <w:pPr>
              <w:spacing w:after="0"/>
              <w:rPr>
                <w:sz w:val="16"/>
                <w:szCs w:val="16"/>
                <w:color w:val="auto"/>
              </w:rPr>
            </w:pPr>
          </w:p>
        </w:tc>
        <w:tc>
          <w:tcPr>
            <w:tcW w:w="980" w:type="dxa"/>
            <w:vAlign w:val="bottom"/>
          </w:tcPr>
          <w:p>
            <w:pPr>
              <w:jc w:val="right"/>
              <w:ind w:right="80"/>
              <w:spacing w:after="0"/>
              <w:rPr>
                <w:sz w:val="20"/>
                <w:szCs w:val="20"/>
                <w:color w:val="auto"/>
              </w:rPr>
            </w:pPr>
            <w:r>
              <w:rPr>
                <w:rFonts w:ascii="Arial" w:cs="Arial" w:eastAsia="Arial" w:hAnsi="Arial"/>
                <w:sz w:val="14"/>
                <w:szCs w:val="14"/>
                <w:b w:val="1"/>
                <w:bCs w:val="1"/>
                <w:color w:val="auto"/>
                <w:w w:val="90"/>
              </w:rPr>
              <w:t>Consolidated</w:t>
            </w:r>
          </w:p>
        </w:tc>
      </w:tr>
      <w:tr>
        <w:trPr>
          <w:trHeight w:val="250"/>
        </w:trPr>
        <w:tc>
          <w:tcPr>
            <w:tcW w:w="6160" w:type="dxa"/>
            <w:vAlign w:val="bottom"/>
            <w:tcBorders>
              <w:top w:val="single" w:sz="8" w:color="CCFFCC"/>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Revenue:</w:t>
            </w:r>
          </w:p>
        </w:tc>
        <w:tc>
          <w:tcPr>
            <w:tcW w:w="240" w:type="dxa"/>
            <w:vAlign w:val="bottom"/>
            <w:tcBorders>
              <w:top w:val="single" w:sz="8" w:color="auto"/>
              <w:bottom w:val="single" w:sz="8" w:color="CCFFCC"/>
            </w:tcBorders>
            <w:shd w:val="clear" w:color="auto" w:fill="CCFFCC"/>
          </w:tcPr>
          <w:p>
            <w:pPr>
              <w:spacing w:after="0"/>
              <w:rPr>
                <w:sz w:val="21"/>
                <w:szCs w:val="21"/>
                <w:color w:val="auto"/>
              </w:rPr>
            </w:pPr>
          </w:p>
        </w:tc>
        <w:tc>
          <w:tcPr>
            <w:tcW w:w="1040" w:type="dxa"/>
            <w:vAlign w:val="bottom"/>
            <w:tcBorders>
              <w:top w:val="single" w:sz="8" w:color="auto"/>
              <w:bottom w:val="single" w:sz="8" w:color="CCFFCC"/>
            </w:tcBorders>
            <w:shd w:val="clear" w:color="auto" w:fill="CCFFCC"/>
          </w:tcPr>
          <w:p>
            <w:pPr>
              <w:spacing w:after="0"/>
              <w:rPr>
                <w:sz w:val="21"/>
                <w:szCs w:val="21"/>
                <w:color w:val="auto"/>
              </w:rPr>
            </w:pP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200" w:type="dxa"/>
            <w:vAlign w:val="bottom"/>
            <w:tcBorders>
              <w:top w:val="single" w:sz="8" w:color="auto"/>
              <w:bottom w:val="single" w:sz="8" w:color="CCFFCC"/>
            </w:tcBorders>
            <w:shd w:val="clear" w:color="auto" w:fill="CCFFCC"/>
          </w:tcPr>
          <w:p>
            <w:pPr>
              <w:spacing w:after="0"/>
              <w:rPr>
                <w:sz w:val="21"/>
                <w:szCs w:val="21"/>
                <w:color w:val="auto"/>
              </w:rPr>
            </w:pPr>
          </w:p>
        </w:tc>
        <w:tc>
          <w:tcPr>
            <w:tcW w:w="1060" w:type="dxa"/>
            <w:vAlign w:val="bottom"/>
            <w:tcBorders>
              <w:top w:val="single" w:sz="8" w:color="auto"/>
              <w:bottom w:val="single" w:sz="8" w:color="CCFFCC"/>
            </w:tcBorders>
            <w:shd w:val="clear" w:color="auto" w:fill="CCFFCC"/>
          </w:tcPr>
          <w:p>
            <w:pPr>
              <w:spacing w:after="0"/>
              <w:rPr>
                <w:sz w:val="21"/>
                <w:szCs w:val="21"/>
                <w:color w:val="auto"/>
              </w:rPr>
            </w:pP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200" w:type="dxa"/>
            <w:vAlign w:val="bottom"/>
            <w:tcBorders>
              <w:top w:val="single" w:sz="8" w:color="auto"/>
              <w:bottom w:val="single" w:sz="8" w:color="CCFFCC"/>
            </w:tcBorders>
            <w:shd w:val="clear" w:color="auto" w:fill="CCFFCC"/>
          </w:tcPr>
          <w:p>
            <w:pPr>
              <w:spacing w:after="0"/>
              <w:rPr>
                <w:sz w:val="21"/>
                <w:szCs w:val="21"/>
                <w:color w:val="auto"/>
              </w:rPr>
            </w:pPr>
          </w:p>
        </w:tc>
        <w:tc>
          <w:tcPr>
            <w:tcW w:w="1040" w:type="dxa"/>
            <w:vAlign w:val="bottom"/>
            <w:tcBorders>
              <w:top w:val="single" w:sz="8" w:color="auto"/>
              <w:bottom w:val="single" w:sz="8" w:color="CCFFCC"/>
            </w:tcBorders>
            <w:shd w:val="clear" w:color="auto" w:fill="CCFFCC"/>
          </w:tcPr>
          <w:p>
            <w:pPr>
              <w:spacing w:after="0"/>
              <w:rPr>
                <w:sz w:val="21"/>
                <w:szCs w:val="21"/>
                <w:color w:val="auto"/>
              </w:rPr>
            </w:pPr>
          </w:p>
        </w:tc>
        <w:tc>
          <w:tcPr>
            <w:tcW w:w="100" w:type="dxa"/>
            <w:vAlign w:val="bottom"/>
            <w:tcBorders>
              <w:top w:val="single" w:sz="8" w:color="CCFFCC"/>
              <w:bottom w:val="single" w:sz="8" w:color="CCFFCC"/>
            </w:tcBorders>
            <w:shd w:val="clear" w:color="auto" w:fill="CCFFCC"/>
          </w:tcPr>
          <w:p>
            <w:pPr>
              <w:spacing w:after="0"/>
              <w:rPr>
                <w:sz w:val="21"/>
                <w:szCs w:val="21"/>
                <w:color w:val="auto"/>
              </w:rPr>
            </w:pPr>
          </w:p>
        </w:tc>
        <w:tc>
          <w:tcPr>
            <w:tcW w:w="140" w:type="dxa"/>
            <w:vAlign w:val="bottom"/>
            <w:tcBorders>
              <w:top w:val="single" w:sz="8" w:color="auto"/>
              <w:bottom w:val="single" w:sz="8" w:color="CCFFCC"/>
            </w:tcBorders>
            <w:shd w:val="clear" w:color="auto" w:fill="CCFFCC"/>
          </w:tcPr>
          <w:p>
            <w:pPr>
              <w:spacing w:after="0"/>
              <w:rPr>
                <w:sz w:val="21"/>
                <w:szCs w:val="21"/>
                <w:color w:val="auto"/>
              </w:rPr>
            </w:pPr>
          </w:p>
        </w:tc>
        <w:tc>
          <w:tcPr>
            <w:tcW w:w="980" w:type="dxa"/>
            <w:vAlign w:val="bottom"/>
            <w:tcBorders>
              <w:top w:val="single" w:sz="8" w:color="auto"/>
              <w:bottom w:val="single" w:sz="8" w:color="CCFFCC"/>
            </w:tcBorders>
            <w:shd w:val="clear" w:color="auto" w:fill="CCFFCC"/>
          </w:tcPr>
          <w:p>
            <w:pPr>
              <w:spacing w:after="0"/>
              <w:rPr>
                <w:sz w:val="21"/>
                <w:szCs w:val="21"/>
                <w:color w:val="auto"/>
              </w:rPr>
            </w:pPr>
          </w:p>
        </w:tc>
      </w:tr>
      <w:tr>
        <w:trPr>
          <w:trHeight w:val="237"/>
        </w:trPr>
        <w:tc>
          <w:tcPr>
            <w:tcW w:w="6160" w:type="dxa"/>
            <w:vAlign w:val="bottom"/>
          </w:tcPr>
          <w:p>
            <w:pPr>
              <w:ind w:left="180"/>
              <w:spacing w:after="0"/>
              <w:rPr>
                <w:sz w:val="20"/>
                <w:szCs w:val="20"/>
                <w:color w:val="auto"/>
              </w:rPr>
            </w:pPr>
            <w:r>
              <w:rPr>
                <w:rFonts w:ascii="Arial" w:cs="Arial" w:eastAsia="Arial" w:hAnsi="Arial"/>
                <w:sz w:val="16"/>
                <w:szCs w:val="16"/>
                <w:color w:val="auto"/>
              </w:rPr>
              <w:t>Hosted services – Business</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44,553</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44,553</w:t>
            </w:r>
          </w:p>
        </w:tc>
      </w:tr>
      <w:tr>
        <w:trPr>
          <w:trHeight w:val="33"/>
        </w:trPr>
        <w:tc>
          <w:tcPr>
            <w:tcW w:w="6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16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Hosted services – Consumer</w:t>
            </w:r>
          </w:p>
        </w:tc>
        <w:tc>
          <w:tcPr>
            <w:tcW w:w="240" w:type="dxa"/>
            <w:vAlign w:val="bottom"/>
            <w:tcBorders>
              <w:bottom w:val="single" w:sz="8" w:color="CCFFCC"/>
            </w:tcBorders>
            <w:shd w:val="clear" w:color="auto" w:fill="CCFFCC"/>
          </w:tcPr>
          <w:p>
            <w:pPr>
              <w:spacing w:after="0"/>
              <w:rPr>
                <w:sz w:val="21"/>
                <w:szCs w:val="21"/>
                <w:color w:val="auto"/>
              </w:rPr>
            </w:pPr>
          </w:p>
        </w:tc>
        <w:tc>
          <w:tcPr>
            <w:tcW w:w="116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FFCC"/>
            </w:tcBorders>
            <w:shd w:val="clear" w:color="auto" w:fill="CCFFCC"/>
          </w:tcPr>
          <w:p>
            <w:pPr>
              <w:spacing w:after="0"/>
              <w:rPr>
                <w:sz w:val="21"/>
                <w:szCs w:val="21"/>
                <w:color w:val="auto"/>
              </w:rPr>
            </w:pPr>
          </w:p>
        </w:tc>
        <w:tc>
          <w:tcPr>
            <w:tcW w:w="106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4,044</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FFCC"/>
            </w:tcBorders>
            <w:shd w:val="clear" w:color="auto" w:fill="CCFFCC"/>
          </w:tcPr>
          <w:p>
            <w:pPr>
              <w:spacing w:after="0"/>
              <w:rPr>
                <w:sz w:val="21"/>
                <w:szCs w:val="21"/>
                <w:color w:val="auto"/>
              </w:rPr>
            </w:pPr>
          </w:p>
        </w:tc>
        <w:tc>
          <w:tcPr>
            <w:tcW w:w="98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4,044</w:t>
            </w:r>
          </w:p>
        </w:tc>
      </w:tr>
      <w:tr>
        <w:trPr>
          <w:trHeight w:val="237"/>
        </w:trPr>
        <w:tc>
          <w:tcPr>
            <w:tcW w:w="6160" w:type="dxa"/>
            <w:vAlign w:val="bottom"/>
          </w:tcPr>
          <w:p>
            <w:pPr>
              <w:ind w:left="180"/>
              <w:spacing w:after="0"/>
              <w:rPr>
                <w:sz w:val="20"/>
                <w:szCs w:val="20"/>
                <w:color w:val="auto"/>
              </w:rPr>
            </w:pPr>
            <w:r>
              <w:rPr>
                <w:rFonts w:ascii="Arial" w:cs="Arial" w:eastAsia="Arial" w:hAnsi="Arial"/>
                <w:sz w:val="16"/>
                <w:szCs w:val="16"/>
                <w:color w:val="auto"/>
              </w:rPr>
              <w:t>Professional services</w:t>
            </w:r>
          </w:p>
        </w:tc>
        <w:tc>
          <w:tcPr>
            <w:tcW w:w="24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5,921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5,921</w:t>
            </w:r>
          </w:p>
        </w:tc>
      </w:tr>
      <w:tr>
        <w:trPr>
          <w:trHeight w:val="33"/>
        </w:trPr>
        <w:tc>
          <w:tcPr>
            <w:tcW w:w="6160" w:type="dxa"/>
            <w:vAlign w:val="bottom"/>
            <w:tcBorders>
              <w:bottom w:val="single" w:sz="8" w:color="CCFFC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0"/>
        </w:trPr>
        <w:tc>
          <w:tcPr>
            <w:tcW w:w="616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Total revenue</w:t>
            </w:r>
          </w:p>
        </w:tc>
        <w:tc>
          <w:tcPr>
            <w:tcW w:w="24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50,474</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06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4,044</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FFCC"/>
            </w:tcBorders>
            <w:shd w:val="clear" w:color="auto" w:fill="CCFFCC"/>
          </w:tcPr>
          <w:p>
            <w:pPr>
              <w:spacing w:after="0"/>
              <w:rPr>
                <w:sz w:val="21"/>
                <w:szCs w:val="21"/>
                <w:color w:val="auto"/>
              </w:rPr>
            </w:pPr>
          </w:p>
        </w:tc>
        <w:tc>
          <w:tcPr>
            <w:tcW w:w="98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54,518</w:t>
            </w:r>
          </w:p>
        </w:tc>
      </w:tr>
      <w:tr>
        <w:trPr>
          <w:trHeight w:val="217"/>
        </w:trPr>
        <w:tc>
          <w:tcPr>
            <w:tcW w:w="6160" w:type="dxa"/>
            <w:vAlign w:val="bottom"/>
          </w:tcPr>
          <w:p>
            <w:pPr>
              <w:ind w:left="40"/>
              <w:spacing w:after="0"/>
              <w:rPr>
                <w:sz w:val="20"/>
                <w:szCs w:val="20"/>
                <w:color w:val="auto"/>
              </w:rPr>
            </w:pPr>
            <w:r>
              <w:rPr>
                <w:rFonts w:ascii="Arial" w:cs="Arial" w:eastAsia="Arial" w:hAnsi="Arial"/>
                <w:sz w:val="16"/>
                <w:szCs w:val="16"/>
                <w:color w:val="auto"/>
              </w:rPr>
              <w:t>Cost of revenue</w:t>
            </w: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14,215</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622</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14,837</w:t>
            </w:r>
          </w:p>
        </w:tc>
      </w:tr>
      <w:tr>
        <w:trPr>
          <w:trHeight w:val="33"/>
        </w:trPr>
        <w:tc>
          <w:tcPr>
            <w:tcW w:w="6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1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Sales and marketing</w:t>
            </w:r>
          </w:p>
        </w:tc>
        <w:tc>
          <w:tcPr>
            <w:tcW w:w="24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20,278</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06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1,789</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FFCC"/>
            </w:tcBorders>
            <w:shd w:val="clear" w:color="auto" w:fill="CCFFCC"/>
          </w:tcPr>
          <w:p>
            <w:pPr>
              <w:spacing w:after="0"/>
              <w:rPr>
                <w:sz w:val="21"/>
                <w:szCs w:val="21"/>
                <w:color w:val="auto"/>
              </w:rPr>
            </w:pPr>
          </w:p>
        </w:tc>
        <w:tc>
          <w:tcPr>
            <w:tcW w:w="98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22,067</w:t>
            </w:r>
          </w:p>
        </w:tc>
      </w:tr>
      <w:tr>
        <w:trPr>
          <w:trHeight w:val="237"/>
        </w:trPr>
        <w:tc>
          <w:tcPr>
            <w:tcW w:w="6160" w:type="dxa"/>
            <w:vAlign w:val="bottom"/>
          </w:tcPr>
          <w:p>
            <w:pPr>
              <w:ind w:left="40"/>
              <w:spacing w:after="0"/>
              <w:rPr>
                <w:sz w:val="20"/>
                <w:szCs w:val="20"/>
                <w:color w:val="auto"/>
              </w:rPr>
            </w:pPr>
            <w:r>
              <w:rPr>
                <w:rFonts w:ascii="Arial" w:cs="Arial" w:eastAsia="Arial" w:hAnsi="Arial"/>
                <w:sz w:val="16"/>
                <w:szCs w:val="16"/>
                <w:color w:val="auto"/>
              </w:rPr>
              <w:t>Amortization of purchased intangibles</w:t>
            </w:r>
          </w:p>
        </w:tc>
        <w:tc>
          <w:tcPr>
            <w:tcW w:w="24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1,013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1,013</w:t>
            </w:r>
          </w:p>
        </w:tc>
      </w:tr>
      <w:tr>
        <w:trPr>
          <w:trHeight w:val="33"/>
        </w:trPr>
        <w:tc>
          <w:tcPr>
            <w:tcW w:w="6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61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Unallocated corporate expenses</w:t>
            </w:r>
          </w:p>
        </w:tc>
        <w:tc>
          <w:tcPr>
            <w:tcW w:w="240" w:type="dxa"/>
            <w:vAlign w:val="bottom"/>
            <w:tcBorders>
              <w:bottom w:val="single" w:sz="8" w:color="CCFFCC"/>
            </w:tcBorders>
            <w:shd w:val="clear" w:color="auto" w:fill="CCFFCC"/>
          </w:tcPr>
          <w:p>
            <w:pPr>
              <w:spacing w:after="0"/>
              <w:rPr>
                <w:sz w:val="23"/>
                <w:szCs w:val="23"/>
                <w:color w:val="auto"/>
              </w:rPr>
            </w:pPr>
          </w:p>
        </w:tc>
        <w:tc>
          <w:tcPr>
            <w:tcW w:w="116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FFCC"/>
            </w:tcBorders>
            <w:shd w:val="clear" w:color="auto" w:fill="CCFFCC"/>
          </w:tcPr>
          <w:p>
            <w:pPr>
              <w:spacing w:after="0"/>
              <w:rPr>
                <w:sz w:val="23"/>
                <w:szCs w:val="23"/>
                <w:color w:val="auto"/>
              </w:rPr>
            </w:pPr>
          </w:p>
        </w:tc>
        <w:tc>
          <w:tcPr>
            <w:tcW w:w="118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FFCC"/>
            </w:tcBorders>
            <w:shd w:val="clear" w:color="auto" w:fill="CCFFCC"/>
          </w:tcPr>
          <w:p>
            <w:pPr>
              <w:spacing w:after="0"/>
              <w:rPr>
                <w:sz w:val="23"/>
                <w:szCs w:val="23"/>
                <w:color w:val="auto"/>
              </w:rPr>
            </w:pPr>
          </w:p>
        </w:tc>
        <w:tc>
          <w:tcPr>
            <w:tcW w:w="104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19,180</w:t>
            </w:r>
          </w:p>
        </w:tc>
        <w:tc>
          <w:tcPr>
            <w:tcW w:w="100" w:type="dxa"/>
            <w:vAlign w:val="bottom"/>
            <w:tcBorders>
              <w:bottom w:val="single" w:sz="8" w:color="CCFFCC"/>
            </w:tcBorders>
            <w:shd w:val="clear" w:color="auto" w:fill="CCFFCC"/>
          </w:tcPr>
          <w:p>
            <w:pPr>
              <w:spacing w:after="0"/>
              <w:rPr>
                <w:sz w:val="23"/>
                <w:szCs w:val="23"/>
                <w:color w:val="auto"/>
              </w:rPr>
            </w:pPr>
          </w:p>
        </w:tc>
        <w:tc>
          <w:tcPr>
            <w:tcW w:w="140" w:type="dxa"/>
            <w:vAlign w:val="bottom"/>
            <w:tcBorders>
              <w:bottom w:val="single" w:sz="8" w:color="CCFFCC"/>
            </w:tcBorders>
            <w:shd w:val="clear" w:color="auto" w:fill="CCFFCC"/>
          </w:tcPr>
          <w:p>
            <w:pPr>
              <w:spacing w:after="0"/>
              <w:rPr>
                <w:sz w:val="23"/>
                <w:szCs w:val="23"/>
                <w:color w:val="auto"/>
              </w:rPr>
            </w:pPr>
          </w:p>
        </w:tc>
        <w:tc>
          <w:tcPr>
            <w:tcW w:w="98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19,180</w:t>
            </w:r>
          </w:p>
        </w:tc>
      </w:tr>
      <w:tr>
        <w:trPr>
          <w:trHeight w:val="244"/>
        </w:trPr>
        <w:tc>
          <w:tcPr>
            <w:tcW w:w="6160" w:type="dxa"/>
            <w:vAlign w:val="bottom"/>
          </w:tcPr>
          <w:p>
            <w:pPr>
              <w:ind w:left="40"/>
              <w:spacing w:after="0"/>
              <w:rPr>
                <w:sz w:val="20"/>
                <w:szCs w:val="20"/>
                <w:color w:val="auto"/>
              </w:rPr>
            </w:pPr>
            <w:r>
              <w:rPr>
                <w:rFonts w:ascii="Arial" w:cs="Arial" w:eastAsia="Arial" w:hAnsi="Arial"/>
                <w:sz w:val="16"/>
                <w:szCs w:val="16"/>
                <w:color w:val="auto"/>
              </w:rPr>
              <w:t>Operating income (loss)</w:t>
            </w: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14,968</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1,633</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(19,180)</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(2,579)</w:t>
            </w:r>
          </w:p>
        </w:tc>
      </w:tr>
      <w:tr>
        <w:trPr>
          <w:trHeight w:val="20"/>
        </w:trPr>
        <w:tc>
          <w:tcPr>
            <w:tcW w:w="6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Summarized financial information by segment for the three months ended September 30, 2015, based on the Company’s internal financial reporting system utilized by the Company’s chief operating decision maker, follows (amounts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gridSpan w:val="2"/>
          </w:tcPr>
          <w:p>
            <w:pPr>
              <w:ind w:left="140"/>
              <w:spacing w:after="0"/>
              <w:rPr>
                <w:sz w:val="20"/>
                <w:szCs w:val="20"/>
                <w:color w:val="auto"/>
              </w:rPr>
            </w:pPr>
            <w:r>
              <w:rPr>
                <w:rFonts w:ascii="Arial" w:cs="Arial" w:eastAsia="Arial" w:hAnsi="Arial"/>
                <w:sz w:val="14"/>
                <w:szCs w:val="14"/>
                <w:b w:val="1"/>
                <w:bCs w:val="1"/>
                <w:color w:val="auto"/>
              </w:rPr>
              <w:t>Business</w:t>
            </w:r>
          </w:p>
        </w:tc>
        <w:tc>
          <w:tcPr>
            <w:tcW w:w="220" w:type="dxa"/>
            <w:vAlign w:val="bottom"/>
          </w:tcPr>
          <w:p>
            <w:pPr>
              <w:spacing w:after="0"/>
              <w:rPr>
                <w:sz w:val="16"/>
                <w:szCs w:val="16"/>
                <w:color w:val="auto"/>
              </w:rPr>
            </w:pPr>
          </w:p>
        </w:tc>
        <w:tc>
          <w:tcPr>
            <w:tcW w:w="1140" w:type="dxa"/>
            <w:vAlign w:val="bottom"/>
            <w:gridSpan w:val="2"/>
          </w:tcPr>
          <w:p>
            <w:pPr>
              <w:ind w:left="100"/>
              <w:spacing w:after="0"/>
              <w:rPr>
                <w:sz w:val="20"/>
                <w:szCs w:val="20"/>
                <w:color w:val="auto"/>
              </w:rPr>
            </w:pPr>
            <w:r>
              <w:rPr>
                <w:rFonts w:ascii="Arial" w:cs="Arial" w:eastAsia="Arial" w:hAnsi="Arial"/>
                <w:sz w:val="14"/>
                <w:szCs w:val="14"/>
                <w:b w:val="1"/>
                <w:bCs w:val="1"/>
                <w:color w:val="auto"/>
              </w:rPr>
              <w:t>Consumer</w:t>
            </w:r>
          </w:p>
        </w:tc>
        <w:tc>
          <w:tcPr>
            <w:tcW w:w="220" w:type="dxa"/>
            <w:vAlign w:val="bottom"/>
          </w:tcPr>
          <w:p>
            <w:pPr>
              <w:spacing w:after="0"/>
              <w:rPr>
                <w:sz w:val="16"/>
                <w:szCs w:val="16"/>
                <w:color w:val="auto"/>
              </w:rPr>
            </w:pPr>
          </w:p>
        </w:tc>
        <w:tc>
          <w:tcPr>
            <w:tcW w:w="1140" w:type="dxa"/>
            <w:vAlign w:val="bottom"/>
            <w:gridSpan w:val="2"/>
          </w:tcPr>
          <w:p>
            <w:pPr>
              <w:ind w:left="80"/>
              <w:spacing w:after="0"/>
              <w:rPr>
                <w:sz w:val="20"/>
                <w:szCs w:val="20"/>
                <w:color w:val="auto"/>
              </w:rPr>
            </w:pPr>
            <w:r>
              <w:rPr>
                <w:rFonts w:ascii="Arial" w:cs="Arial" w:eastAsia="Arial" w:hAnsi="Arial"/>
                <w:sz w:val="14"/>
                <w:szCs w:val="14"/>
                <w:b w:val="1"/>
                <w:bCs w:val="1"/>
                <w:color w:val="auto"/>
              </w:rPr>
              <w:t>Corporate</w:t>
            </w:r>
          </w:p>
        </w:tc>
        <w:tc>
          <w:tcPr>
            <w:tcW w:w="160" w:type="dxa"/>
            <w:vAlign w:val="bottom"/>
          </w:tcPr>
          <w:p>
            <w:pPr>
              <w:spacing w:after="0"/>
              <w:rPr>
                <w:sz w:val="16"/>
                <w:szCs w:val="16"/>
                <w:color w:val="auto"/>
              </w:rPr>
            </w:pPr>
          </w:p>
        </w:tc>
        <w:tc>
          <w:tcPr>
            <w:tcW w:w="1080" w:type="dxa"/>
            <w:vAlign w:val="bottom"/>
          </w:tcPr>
          <w:p>
            <w:pPr>
              <w:jc w:val="right"/>
              <w:ind w:right="140"/>
              <w:spacing w:after="0"/>
              <w:rPr>
                <w:sz w:val="20"/>
                <w:szCs w:val="20"/>
                <w:color w:val="auto"/>
              </w:rPr>
            </w:pPr>
            <w:r>
              <w:rPr>
                <w:rFonts w:ascii="Arial" w:cs="Arial" w:eastAsia="Arial" w:hAnsi="Arial"/>
                <w:sz w:val="14"/>
                <w:szCs w:val="14"/>
                <w:b w:val="1"/>
                <w:bCs w:val="1"/>
                <w:color w:val="auto"/>
                <w:w w:val="94"/>
              </w:rPr>
              <w:t>Consolidated</w:t>
            </w:r>
          </w:p>
        </w:tc>
      </w:tr>
      <w:tr>
        <w:trPr>
          <w:trHeight w:val="250"/>
        </w:trPr>
        <w:tc>
          <w:tcPr>
            <w:tcW w:w="6060" w:type="dxa"/>
            <w:vAlign w:val="bottom"/>
            <w:tcBorders>
              <w:top w:val="single" w:sz="8" w:color="CCFFCC"/>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Revenue:</w:t>
            </w:r>
          </w:p>
        </w:tc>
        <w:tc>
          <w:tcPr>
            <w:tcW w:w="240" w:type="dxa"/>
            <w:vAlign w:val="bottom"/>
            <w:tcBorders>
              <w:top w:val="single" w:sz="8" w:color="auto"/>
              <w:bottom w:val="single" w:sz="8" w:color="CCFFCC"/>
            </w:tcBorders>
            <w:shd w:val="clear" w:color="auto" w:fill="CCFFCC"/>
          </w:tcPr>
          <w:p>
            <w:pPr>
              <w:spacing w:after="0"/>
              <w:rPr>
                <w:sz w:val="21"/>
                <w:szCs w:val="21"/>
                <w:color w:val="auto"/>
              </w:rPr>
            </w:pPr>
          </w:p>
        </w:tc>
        <w:tc>
          <w:tcPr>
            <w:tcW w:w="1040" w:type="dxa"/>
            <w:vAlign w:val="bottom"/>
            <w:tcBorders>
              <w:top w:val="single" w:sz="8" w:color="auto"/>
              <w:bottom w:val="single" w:sz="8" w:color="CCFFCC"/>
            </w:tcBorders>
            <w:shd w:val="clear" w:color="auto" w:fill="CCFFCC"/>
          </w:tcPr>
          <w:p>
            <w:pPr>
              <w:spacing w:after="0"/>
              <w:rPr>
                <w:sz w:val="21"/>
                <w:szCs w:val="21"/>
                <w:color w:val="auto"/>
              </w:rPr>
            </w:pP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220" w:type="dxa"/>
            <w:vAlign w:val="bottom"/>
            <w:tcBorders>
              <w:top w:val="single" w:sz="8" w:color="auto"/>
              <w:bottom w:val="single" w:sz="8" w:color="CCFFCC"/>
            </w:tcBorders>
            <w:shd w:val="clear" w:color="auto" w:fill="CCFFCC"/>
          </w:tcPr>
          <w:p>
            <w:pPr>
              <w:spacing w:after="0"/>
              <w:rPr>
                <w:sz w:val="21"/>
                <w:szCs w:val="21"/>
                <w:color w:val="auto"/>
              </w:rPr>
            </w:pPr>
          </w:p>
        </w:tc>
        <w:tc>
          <w:tcPr>
            <w:tcW w:w="1040" w:type="dxa"/>
            <w:vAlign w:val="bottom"/>
            <w:tcBorders>
              <w:top w:val="single" w:sz="8" w:color="auto"/>
              <w:bottom w:val="single" w:sz="8" w:color="CCFFCC"/>
            </w:tcBorders>
            <w:shd w:val="clear" w:color="auto" w:fill="CCFFCC"/>
          </w:tcPr>
          <w:p>
            <w:pPr>
              <w:spacing w:after="0"/>
              <w:rPr>
                <w:sz w:val="21"/>
                <w:szCs w:val="21"/>
                <w:color w:val="auto"/>
              </w:rPr>
            </w:pPr>
          </w:p>
        </w:tc>
        <w:tc>
          <w:tcPr>
            <w:tcW w:w="100" w:type="dxa"/>
            <w:vAlign w:val="bottom"/>
            <w:tcBorders>
              <w:top w:val="single" w:sz="8" w:color="CCFFCC"/>
              <w:bottom w:val="single" w:sz="8" w:color="CCFFCC"/>
            </w:tcBorders>
            <w:shd w:val="clear" w:color="auto" w:fill="CCFFCC"/>
          </w:tcPr>
          <w:p>
            <w:pPr>
              <w:spacing w:after="0"/>
              <w:rPr>
                <w:sz w:val="21"/>
                <w:szCs w:val="21"/>
                <w:color w:val="auto"/>
              </w:rPr>
            </w:pPr>
          </w:p>
        </w:tc>
        <w:tc>
          <w:tcPr>
            <w:tcW w:w="220" w:type="dxa"/>
            <w:vAlign w:val="bottom"/>
            <w:tcBorders>
              <w:top w:val="single" w:sz="8" w:color="auto"/>
              <w:bottom w:val="single" w:sz="8" w:color="CCFFCC"/>
            </w:tcBorders>
            <w:shd w:val="clear" w:color="auto" w:fill="CCFFCC"/>
          </w:tcPr>
          <w:p>
            <w:pPr>
              <w:spacing w:after="0"/>
              <w:rPr>
                <w:sz w:val="21"/>
                <w:szCs w:val="21"/>
                <w:color w:val="auto"/>
              </w:rPr>
            </w:pPr>
          </w:p>
        </w:tc>
        <w:tc>
          <w:tcPr>
            <w:tcW w:w="1020" w:type="dxa"/>
            <w:vAlign w:val="bottom"/>
            <w:tcBorders>
              <w:top w:val="single" w:sz="8" w:color="auto"/>
              <w:bottom w:val="single" w:sz="8" w:color="CCFFCC"/>
            </w:tcBorders>
            <w:shd w:val="clear" w:color="auto" w:fill="CCFFCC"/>
          </w:tcPr>
          <w:p>
            <w:pPr>
              <w:spacing w:after="0"/>
              <w:rPr>
                <w:sz w:val="21"/>
                <w:szCs w:val="21"/>
                <w:color w:val="auto"/>
              </w:rPr>
            </w:pP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160" w:type="dxa"/>
            <w:vAlign w:val="bottom"/>
            <w:tcBorders>
              <w:top w:val="single" w:sz="8" w:color="auto"/>
              <w:bottom w:val="single" w:sz="8" w:color="CCFFCC"/>
            </w:tcBorders>
            <w:shd w:val="clear" w:color="auto" w:fill="CCFFCC"/>
          </w:tcPr>
          <w:p>
            <w:pPr>
              <w:spacing w:after="0"/>
              <w:rPr>
                <w:sz w:val="21"/>
                <w:szCs w:val="21"/>
                <w:color w:val="auto"/>
              </w:rPr>
            </w:pPr>
          </w:p>
        </w:tc>
        <w:tc>
          <w:tcPr>
            <w:tcW w:w="1080" w:type="dxa"/>
            <w:vAlign w:val="bottom"/>
            <w:tcBorders>
              <w:top w:val="single" w:sz="8" w:color="auto"/>
              <w:bottom w:val="single" w:sz="8" w:color="CCFFCC"/>
            </w:tcBorders>
            <w:shd w:val="clear" w:color="auto" w:fill="CCFFCC"/>
          </w:tcPr>
          <w:p>
            <w:pPr>
              <w:spacing w:after="0"/>
              <w:rPr>
                <w:sz w:val="21"/>
                <w:szCs w:val="21"/>
                <w:color w:val="auto"/>
              </w:rPr>
            </w:pPr>
          </w:p>
        </w:tc>
      </w:tr>
      <w:tr>
        <w:trPr>
          <w:trHeight w:val="237"/>
        </w:trPr>
        <w:tc>
          <w:tcPr>
            <w:tcW w:w="6060" w:type="dxa"/>
            <w:vAlign w:val="bottom"/>
          </w:tcPr>
          <w:p>
            <w:pPr>
              <w:ind w:left="180"/>
              <w:spacing w:after="0"/>
              <w:rPr>
                <w:sz w:val="20"/>
                <w:szCs w:val="20"/>
                <w:color w:val="auto"/>
              </w:rPr>
            </w:pPr>
            <w:r>
              <w:rPr>
                <w:rFonts w:ascii="Arial" w:cs="Arial" w:eastAsia="Arial" w:hAnsi="Arial"/>
                <w:sz w:val="16"/>
                <w:szCs w:val="16"/>
                <w:color w:val="auto"/>
              </w:rPr>
              <w:t>Hosted services – Business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50,957</w:t>
            </w:r>
          </w:p>
        </w:tc>
        <w:tc>
          <w:tcPr>
            <w:tcW w:w="12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50,957</w:t>
            </w:r>
          </w:p>
        </w:tc>
      </w:tr>
      <w:tr>
        <w:trPr>
          <w:trHeight w:val="33"/>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06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Hosted services – Consumer</w:t>
            </w:r>
          </w:p>
        </w:tc>
        <w:tc>
          <w:tcPr>
            <w:tcW w:w="240" w:type="dxa"/>
            <w:vAlign w:val="bottom"/>
            <w:tcBorders>
              <w:bottom w:val="single" w:sz="8" w:color="CCFFCC"/>
            </w:tcBorders>
            <w:shd w:val="clear" w:color="auto" w:fill="CCFFCC"/>
          </w:tcPr>
          <w:p>
            <w:pPr>
              <w:spacing w:after="0"/>
              <w:rPr>
                <w:sz w:val="21"/>
                <w:szCs w:val="21"/>
                <w:color w:val="auto"/>
              </w:rPr>
            </w:pPr>
          </w:p>
        </w:tc>
        <w:tc>
          <w:tcPr>
            <w:tcW w:w="116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3,661</w:t>
            </w:r>
          </w:p>
        </w:tc>
        <w:tc>
          <w:tcPr>
            <w:tcW w:w="10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FFCC"/>
            </w:tcBorders>
            <w:shd w:val="clear" w:color="auto" w:fill="CCFFCC"/>
          </w:tcPr>
          <w:p>
            <w:pPr>
              <w:spacing w:after="0"/>
              <w:rPr>
                <w:sz w:val="21"/>
                <w:szCs w:val="21"/>
                <w:color w:val="auto"/>
              </w:rPr>
            </w:pPr>
          </w:p>
        </w:tc>
        <w:tc>
          <w:tcPr>
            <w:tcW w:w="108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3,661</w:t>
            </w:r>
          </w:p>
        </w:tc>
      </w:tr>
      <w:tr>
        <w:trPr>
          <w:trHeight w:val="237"/>
        </w:trPr>
        <w:tc>
          <w:tcPr>
            <w:tcW w:w="6060" w:type="dxa"/>
            <w:vAlign w:val="bottom"/>
          </w:tcPr>
          <w:p>
            <w:pPr>
              <w:ind w:left="180"/>
              <w:spacing w:after="0"/>
              <w:rPr>
                <w:sz w:val="20"/>
                <w:szCs w:val="20"/>
                <w:color w:val="auto"/>
              </w:rPr>
            </w:pPr>
            <w:r>
              <w:rPr>
                <w:rFonts w:ascii="Arial" w:cs="Arial" w:eastAsia="Arial" w:hAnsi="Arial"/>
                <w:sz w:val="16"/>
                <w:szCs w:val="16"/>
                <w:color w:val="auto"/>
              </w:rPr>
              <w:t>Professional services</w:t>
            </w:r>
          </w:p>
        </w:tc>
        <w:tc>
          <w:tcPr>
            <w:tcW w:w="24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6,139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6,139</w:t>
            </w:r>
          </w:p>
        </w:tc>
      </w:tr>
      <w:tr>
        <w:trPr>
          <w:trHeight w:val="33"/>
        </w:trPr>
        <w:tc>
          <w:tcPr>
            <w:tcW w:w="6060" w:type="dxa"/>
            <w:vAlign w:val="bottom"/>
            <w:tcBorders>
              <w:bottom w:val="single" w:sz="8" w:color="CCFFC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0"/>
        </w:trPr>
        <w:tc>
          <w:tcPr>
            <w:tcW w:w="606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Total revenue</w:t>
            </w:r>
          </w:p>
        </w:tc>
        <w:tc>
          <w:tcPr>
            <w:tcW w:w="24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57,096</w:t>
            </w:r>
          </w:p>
        </w:tc>
        <w:tc>
          <w:tcPr>
            <w:tcW w:w="12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3,661</w:t>
            </w:r>
          </w:p>
        </w:tc>
        <w:tc>
          <w:tcPr>
            <w:tcW w:w="10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FFCC"/>
            </w:tcBorders>
            <w:shd w:val="clear" w:color="auto" w:fill="CCFFCC"/>
          </w:tcPr>
          <w:p>
            <w:pPr>
              <w:spacing w:after="0"/>
              <w:rPr>
                <w:sz w:val="21"/>
                <w:szCs w:val="21"/>
                <w:color w:val="auto"/>
              </w:rPr>
            </w:pPr>
          </w:p>
        </w:tc>
        <w:tc>
          <w:tcPr>
            <w:tcW w:w="108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60,757</w:t>
            </w:r>
          </w:p>
        </w:tc>
      </w:tr>
      <w:tr>
        <w:trPr>
          <w:trHeight w:val="217"/>
        </w:trPr>
        <w:tc>
          <w:tcPr>
            <w:tcW w:w="6060" w:type="dxa"/>
            <w:vAlign w:val="bottom"/>
          </w:tcPr>
          <w:p>
            <w:pPr>
              <w:ind w:left="40"/>
              <w:spacing w:after="0"/>
              <w:rPr>
                <w:sz w:val="20"/>
                <w:szCs w:val="20"/>
                <w:color w:val="auto"/>
              </w:rPr>
            </w:pPr>
            <w:r>
              <w:rPr>
                <w:rFonts w:ascii="Arial" w:cs="Arial" w:eastAsia="Arial" w:hAnsi="Arial"/>
                <w:sz w:val="16"/>
                <w:szCs w:val="16"/>
                <w:color w:val="auto"/>
              </w:rPr>
              <w:t>Cost of revenue</w:t>
            </w: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17,652</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573</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18,225</w:t>
            </w:r>
          </w:p>
        </w:tc>
      </w:tr>
      <w:tr>
        <w:trPr>
          <w:trHeight w:val="33"/>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0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Sales and marketing</w:t>
            </w:r>
          </w:p>
        </w:tc>
        <w:tc>
          <w:tcPr>
            <w:tcW w:w="24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21,333</w:t>
            </w:r>
          </w:p>
        </w:tc>
        <w:tc>
          <w:tcPr>
            <w:tcW w:w="12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1,953</w:t>
            </w:r>
          </w:p>
        </w:tc>
        <w:tc>
          <w:tcPr>
            <w:tcW w:w="10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FFCC"/>
            </w:tcBorders>
            <w:shd w:val="clear" w:color="auto" w:fill="CCFFCC"/>
          </w:tcPr>
          <w:p>
            <w:pPr>
              <w:spacing w:after="0"/>
              <w:rPr>
                <w:sz w:val="21"/>
                <w:szCs w:val="21"/>
                <w:color w:val="auto"/>
              </w:rPr>
            </w:pPr>
          </w:p>
        </w:tc>
        <w:tc>
          <w:tcPr>
            <w:tcW w:w="108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23,286</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Amortization of purchased intangibles</w:t>
            </w:r>
          </w:p>
        </w:tc>
        <w:tc>
          <w:tcPr>
            <w:tcW w:w="24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1,193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1,193</w:t>
            </w:r>
          </w:p>
        </w:tc>
      </w:tr>
      <w:tr>
        <w:trPr>
          <w:trHeight w:val="33"/>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60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Unallocated corporate expenses</w:t>
            </w:r>
          </w:p>
        </w:tc>
        <w:tc>
          <w:tcPr>
            <w:tcW w:w="240" w:type="dxa"/>
            <w:vAlign w:val="bottom"/>
            <w:tcBorders>
              <w:bottom w:val="single" w:sz="8" w:color="CCFFCC"/>
            </w:tcBorders>
            <w:shd w:val="clear" w:color="auto" w:fill="CCFFCC"/>
          </w:tcPr>
          <w:p>
            <w:pPr>
              <w:spacing w:after="0"/>
              <w:rPr>
                <w:sz w:val="23"/>
                <w:szCs w:val="23"/>
                <w:color w:val="auto"/>
              </w:rPr>
            </w:pPr>
          </w:p>
        </w:tc>
        <w:tc>
          <w:tcPr>
            <w:tcW w:w="116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FFCC"/>
            </w:tcBorders>
            <w:shd w:val="clear" w:color="auto" w:fill="CCFFCC"/>
          </w:tcPr>
          <w:p>
            <w:pPr>
              <w:spacing w:after="0"/>
              <w:rPr>
                <w:sz w:val="23"/>
                <w:szCs w:val="23"/>
                <w:color w:val="auto"/>
              </w:rPr>
            </w:pPr>
          </w:p>
        </w:tc>
        <w:tc>
          <w:tcPr>
            <w:tcW w:w="1140" w:type="dxa"/>
            <w:vAlign w:val="bottom"/>
            <w:tcBorders>
              <w:bottom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FFCC"/>
            </w:tcBorders>
            <w:shd w:val="clear" w:color="auto" w:fill="CCFFCC"/>
          </w:tcPr>
          <w:p>
            <w:pPr>
              <w:spacing w:after="0"/>
              <w:rPr>
                <w:sz w:val="23"/>
                <w:szCs w:val="23"/>
                <w:color w:val="auto"/>
              </w:rPr>
            </w:pPr>
          </w:p>
        </w:tc>
        <w:tc>
          <w:tcPr>
            <w:tcW w:w="102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16,154</w:t>
            </w:r>
          </w:p>
        </w:tc>
        <w:tc>
          <w:tcPr>
            <w:tcW w:w="120" w:type="dxa"/>
            <w:vAlign w:val="bottom"/>
            <w:tcBorders>
              <w:bottom w:val="single" w:sz="8" w:color="CCFFCC"/>
            </w:tcBorders>
            <w:shd w:val="clear" w:color="auto" w:fill="CCFFCC"/>
          </w:tcPr>
          <w:p>
            <w:pPr>
              <w:spacing w:after="0"/>
              <w:rPr>
                <w:sz w:val="23"/>
                <w:szCs w:val="23"/>
                <w:color w:val="auto"/>
              </w:rPr>
            </w:pPr>
          </w:p>
        </w:tc>
        <w:tc>
          <w:tcPr>
            <w:tcW w:w="160" w:type="dxa"/>
            <w:vAlign w:val="bottom"/>
            <w:tcBorders>
              <w:bottom w:val="single" w:sz="8" w:color="CCFFCC"/>
            </w:tcBorders>
            <w:shd w:val="clear" w:color="auto" w:fill="CCFFCC"/>
          </w:tcPr>
          <w:p>
            <w:pPr>
              <w:spacing w:after="0"/>
              <w:rPr>
                <w:sz w:val="23"/>
                <w:szCs w:val="23"/>
                <w:color w:val="auto"/>
              </w:rPr>
            </w:pPr>
          </w:p>
        </w:tc>
        <w:tc>
          <w:tcPr>
            <w:tcW w:w="108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16,154</w:t>
            </w:r>
          </w:p>
        </w:tc>
      </w:tr>
      <w:tr>
        <w:trPr>
          <w:trHeight w:val="244"/>
        </w:trPr>
        <w:tc>
          <w:tcPr>
            <w:tcW w:w="6060" w:type="dxa"/>
            <w:vAlign w:val="bottom"/>
          </w:tcPr>
          <w:p>
            <w:pPr>
              <w:ind w:left="40"/>
              <w:spacing w:after="0"/>
              <w:rPr>
                <w:sz w:val="20"/>
                <w:szCs w:val="20"/>
                <w:color w:val="auto"/>
              </w:rPr>
            </w:pPr>
            <w:r>
              <w:rPr>
                <w:rFonts w:ascii="Arial" w:cs="Arial" w:eastAsia="Arial" w:hAnsi="Arial"/>
                <w:sz w:val="16"/>
                <w:szCs w:val="16"/>
                <w:color w:val="auto"/>
              </w:rPr>
              <w:t>Operating income (loss)</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16,918</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1,135</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(16,154)</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1,899</w:t>
            </w:r>
          </w:p>
        </w:tc>
      </w:tr>
      <w:tr>
        <w:trPr>
          <w:trHeight w:val="20"/>
        </w:trPr>
        <w:tc>
          <w:tcPr>
            <w:tcW w:w="6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Summarized financial information by segment for the nine months ended September 30, 2016, based on the Company’s internal financial reporting system utilized by the Company’s chief operating decision maker, follows (amounts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gridSpan w:val="2"/>
          </w:tcPr>
          <w:p>
            <w:pPr>
              <w:ind w:left="140"/>
              <w:spacing w:after="0"/>
              <w:rPr>
                <w:sz w:val="20"/>
                <w:szCs w:val="20"/>
                <w:color w:val="auto"/>
              </w:rPr>
            </w:pPr>
            <w:r>
              <w:rPr>
                <w:rFonts w:ascii="Arial" w:cs="Arial" w:eastAsia="Arial" w:hAnsi="Arial"/>
                <w:sz w:val="14"/>
                <w:szCs w:val="14"/>
                <w:b w:val="1"/>
                <w:bCs w:val="1"/>
                <w:color w:val="auto"/>
              </w:rPr>
              <w:t>Business</w:t>
            </w:r>
          </w:p>
        </w:tc>
        <w:tc>
          <w:tcPr>
            <w:tcW w:w="200" w:type="dxa"/>
            <w:vAlign w:val="bottom"/>
          </w:tcPr>
          <w:p>
            <w:pPr>
              <w:spacing w:after="0"/>
              <w:rPr>
                <w:sz w:val="16"/>
                <w:szCs w:val="16"/>
                <w:color w:val="auto"/>
              </w:rPr>
            </w:pPr>
          </w:p>
        </w:tc>
        <w:tc>
          <w:tcPr>
            <w:tcW w:w="1180" w:type="dxa"/>
            <w:vAlign w:val="bottom"/>
            <w:gridSpan w:val="2"/>
          </w:tcPr>
          <w:p>
            <w:pPr>
              <w:ind w:left="120"/>
              <w:spacing w:after="0"/>
              <w:rPr>
                <w:sz w:val="20"/>
                <w:szCs w:val="20"/>
                <w:color w:val="auto"/>
              </w:rPr>
            </w:pPr>
            <w:r>
              <w:rPr>
                <w:rFonts w:ascii="Arial" w:cs="Arial" w:eastAsia="Arial" w:hAnsi="Arial"/>
                <w:sz w:val="14"/>
                <w:szCs w:val="14"/>
                <w:b w:val="1"/>
                <w:bCs w:val="1"/>
                <w:color w:val="auto"/>
              </w:rPr>
              <w:t>Consumer</w:t>
            </w:r>
          </w:p>
        </w:tc>
        <w:tc>
          <w:tcPr>
            <w:tcW w:w="200" w:type="dxa"/>
            <w:vAlign w:val="bottom"/>
          </w:tcPr>
          <w:p>
            <w:pPr>
              <w:spacing w:after="0"/>
              <w:rPr>
                <w:sz w:val="16"/>
                <w:szCs w:val="16"/>
                <w:color w:val="auto"/>
              </w:rPr>
            </w:pPr>
          </w:p>
        </w:tc>
        <w:tc>
          <w:tcPr>
            <w:tcW w:w="1140" w:type="dxa"/>
            <w:vAlign w:val="bottom"/>
            <w:gridSpan w:val="2"/>
          </w:tcPr>
          <w:p>
            <w:pPr>
              <w:ind w:left="100"/>
              <w:spacing w:after="0"/>
              <w:rPr>
                <w:sz w:val="20"/>
                <w:szCs w:val="20"/>
                <w:color w:val="auto"/>
              </w:rPr>
            </w:pPr>
            <w:r>
              <w:rPr>
                <w:rFonts w:ascii="Arial" w:cs="Arial" w:eastAsia="Arial" w:hAnsi="Arial"/>
                <w:sz w:val="14"/>
                <w:szCs w:val="14"/>
                <w:b w:val="1"/>
                <w:bCs w:val="1"/>
                <w:color w:val="auto"/>
              </w:rPr>
              <w:t>Corporate</w:t>
            </w:r>
          </w:p>
        </w:tc>
        <w:tc>
          <w:tcPr>
            <w:tcW w:w="140" w:type="dxa"/>
            <w:vAlign w:val="bottom"/>
          </w:tcPr>
          <w:p>
            <w:pPr>
              <w:spacing w:after="0"/>
              <w:rPr>
                <w:sz w:val="16"/>
                <w:szCs w:val="16"/>
                <w:color w:val="auto"/>
              </w:rPr>
            </w:pPr>
          </w:p>
        </w:tc>
        <w:tc>
          <w:tcPr>
            <w:tcW w:w="980" w:type="dxa"/>
            <w:vAlign w:val="bottom"/>
          </w:tcPr>
          <w:p>
            <w:pPr>
              <w:jc w:val="right"/>
              <w:ind w:right="80"/>
              <w:spacing w:after="0"/>
              <w:rPr>
                <w:sz w:val="20"/>
                <w:szCs w:val="20"/>
                <w:color w:val="auto"/>
              </w:rPr>
            </w:pPr>
            <w:r>
              <w:rPr>
                <w:rFonts w:ascii="Arial" w:cs="Arial" w:eastAsia="Arial" w:hAnsi="Arial"/>
                <w:sz w:val="14"/>
                <w:szCs w:val="14"/>
                <w:b w:val="1"/>
                <w:bCs w:val="1"/>
                <w:color w:val="auto"/>
                <w:w w:val="90"/>
              </w:rPr>
              <w:t>Consolidated</w:t>
            </w:r>
          </w:p>
        </w:tc>
      </w:tr>
      <w:tr>
        <w:trPr>
          <w:trHeight w:val="250"/>
        </w:trPr>
        <w:tc>
          <w:tcPr>
            <w:tcW w:w="6160" w:type="dxa"/>
            <w:vAlign w:val="bottom"/>
            <w:tcBorders>
              <w:top w:val="single" w:sz="8" w:color="CCFFCC"/>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Revenue:</w:t>
            </w:r>
          </w:p>
        </w:tc>
        <w:tc>
          <w:tcPr>
            <w:tcW w:w="240" w:type="dxa"/>
            <w:vAlign w:val="bottom"/>
            <w:tcBorders>
              <w:top w:val="single" w:sz="8" w:color="auto"/>
              <w:bottom w:val="single" w:sz="8" w:color="CCFFCC"/>
            </w:tcBorders>
            <w:shd w:val="clear" w:color="auto" w:fill="CCFFCC"/>
          </w:tcPr>
          <w:p>
            <w:pPr>
              <w:spacing w:after="0"/>
              <w:rPr>
                <w:sz w:val="21"/>
                <w:szCs w:val="21"/>
                <w:color w:val="auto"/>
              </w:rPr>
            </w:pPr>
          </w:p>
        </w:tc>
        <w:tc>
          <w:tcPr>
            <w:tcW w:w="1040" w:type="dxa"/>
            <w:vAlign w:val="bottom"/>
            <w:tcBorders>
              <w:top w:val="single" w:sz="8" w:color="auto"/>
              <w:bottom w:val="single" w:sz="8" w:color="CCFFCC"/>
            </w:tcBorders>
            <w:shd w:val="clear" w:color="auto" w:fill="CCFFCC"/>
          </w:tcPr>
          <w:p>
            <w:pPr>
              <w:spacing w:after="0"/>
              <w:rPr>
                <w:sz w:val="21"/>
                <w:szCs w:val="21"/>
                <w:color w:val="auto"/>
              </w:rPr>
            </w:pP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200" w:type="dxa"/>
            <w:vAlign w:val="bottom"/>
            <w:tcBorders>
              <w:top w:val="single" w:sz="8" w:color="auto"/>
              <w:bottom w:val="single" w:sz="8" w:color="CCFFCC"/>
            </w:tcBorders>
            <w:shd w:val="clear" w:color="auto" w:fill="CCFFCC"/>
          </w:tcPr>
          <w:p>
            <w:pPr>
              <w:spacing w:after="0"/>
              <w:rPr>
                <w:sz w:val="21"/>
                <w:szCs w:val="21"/>
                <w:color w:val="auto"/>
              </w:rPr>
            </w:pPr>
          </w:p>
        </w:tc>
        <w:tc>
          <w:tcPr>
            <w:tcW w:w="1060" w:type="dxa"/>
            <w:vAlign w:val="bottom"/>
            <w:tcBorders>
              <w:top w:val="single" w:sz="8" w:color="auto"/>
              <w:bottom w:val="single" w:sz="8" w:color="CCFFCC"/>
            </w:tcBorders>
            <w:shd w:val="clear" w:color="auto" w:fill="CCFFCC"/>
          </w:tcPr>
          <w:p>
            <w:pPr>
              <w:spacing w:after="0"/>
              <w:rPr>
                <w:sz w:val="21"/>
                <w:szCs w:val="21"/>
                <w:color w:val="auto"/>
              </w:rPr>
            </w:pP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200" w:type="dxa"/>
            <w:vAlign w:val="bottom"/>
            <w:tcBorders>
              <w:top w:val="single" w:sz="8" w:color="auto"/>
              <w:bottom w:val="single" w:sz="8" w:color="CCFFCC"/>
            </w:tcBorders>
            <w:shd w:val="clear" w:color="auto" w:fill="CCFFCC"/>
          </w:tcPr>
          <w:p>
            <w:pPr>
              <w:spacing w:after="0"/>
              <w:rPr>
                <w:sz w:val="21"/>
                <w:szCs w:val="21"/>
                <w:color w:val="auto"/>
              </w:rPr>
            </w:pPr>
          </w:p>
        </w:tc>
        <w:tc>
          <w:tcPr>
            <w:tcW w:w="1040" w:type="dxa"/>
            <w:vAlign w:val="bottom"/>
            <w:tcBorders>
              <w:top w:val="single" w:sz="8" w:color="auto"/>
              <w:bottom w:val="single" w:sz="8" w:color="CCFFCC"/>
            </w:tcBorders>
            <w:shd w:val="clear" w:color="auto" w:fill="CCFFCC"/>
          </w:tcPr>
          <w:p>
            <w:pPr>
              <w:spacing w:after="0"/>
              <w:rPr>
                <w:sz w:val="21"/>
                <w:szCs w:val="21"/>
                <w:color w:val="auto"/>
              </w:rPr>
            </w:pPr>
          </w:p>
        </w:tc>
        <w:tc>
          <w:tcPr>
            <w:tcW w:w="100" w:type="dxa"/>
            <w:vAlign w:val="bottom"/>
            <w:tcBorders>
              <w:top w:val="single" w:sz="8" w:color="CCFFCC"/>
              <w:bottom w:val="single" w:sz="8" w:color="CCFFCC"/>
            </w:tcBorders>
            <w:shd w:val="clear" w:color="auto" w:fill="CCFFCC"/>
          </w:tcPr>
          <w:p>
            <w:pPr>
              <w:spacing w:after="0"/>
              <w:rPr>
                <w:sz w:val="21"/>
                <w:szCs w:val="21"/>
                <w:color w:val="auto"/>
              </w:rPr>
            </w:pPr>
          </w:p>
        </w:tc>
        <w:tc>
          <w:tcPr>
            <w:tcW w:w="140" w:type="dxa"/>
            <w:vAlign w:val="bottom"/>
            <w:tcBorders>
              <w:top w:val="single" w:sz="8" w:color="auto"/>
              <w:bottom w:val="single" w:sz="8" w:color="CCFFCC"/>
            </w:tcBorders>
            <w:shd w:val="clear" w:color="auto" w:fill="CCFFCC"/>
          </w:tcPr>
          <w:p>
            <w:pPr>
              <w:spacing w:after="0"/>
              <w:rPr>
                <w:sz w:val="21"/>
                <w:szCs w:val="21"/>
                <w:color w:val="auto"/>
              </w:rPr>
            </w:pPr>
          </w:p>
        </w:tc>
        <w:tc>
          <w:tcPr>
            <w:tcW w:w="980" w:type="dxa"/>
            <w:vAlign w:val="bottom"/>
            <w:tcBorders>
              <w:top w:val="single" w:sz="8" w:color="auto"/>
              <w:bottom w:val="single" w:sz="8" w:color="CCFFCC"/>
            </w:tcBorders>
            <w:shd w:val="clear" w:color="auto" w:fill="CCFFCC"/>
          </w:tcPr>
          <w:p>
            <w:pPr>
              <w:spacing w:after="0"/>
              <w:rPr>
                <w:sz w:val="21"/>
                <w:szCs w:val="21"/>
                <w:color w:val="auto"/>
              </w:rPr>
            </w:pPr>
          </w:p>
        </w:tc>
      </w:tr>
      <w:tr>
        <w:trPr>
          <w:trHeight w:val="237"/>
        </w:trPr>
        <w:tc>
          <w:tcPr>
            <w:tcW w:w="6160" w:type="dxa"/>
            <w:vAlign w:val="bottom"/>
          </w:tcPr>
          <w:p>
            <w:pPr>
              <w:ind w:left="180"/>
              <w:spacing w:after="0"/>
              <w:rPr>
                <w:sz w:val="20"/>
                <w:szCs w:val="20"/>
                <w:color w:val="auto"/>
              </w:rPr>
            </w:pPr>
            <w:r>
              <w:rPr>
                <w:rFonts w:ascii="Arial" w:cs="Arial" w:eastAsia="Arial" w:hAnsi="Arial"/>
                <w:sz w:val="16"/>
                <w:szCs w:val="16"/>
                <w:color w:val="auto"/>
              </w:rPr>
              <w:t>Hosted services – Business</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137,240</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137,240</w:t>
            </w:r>
          </w:p>
        </w:tc>
      </w:tr>
      <w:tr>
        <w:trPr>
          <w:trHeight w:val="33"/>
        </w:trPr>
        <w:tc>
          <w:tcPr>
            <w:tcW w:w="6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16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Hosted services – Consumer</w:t>
            </w:r>
          </w:p>
        </w:tc>
        <w:tc>
          <w:tcPr>
            <w:tcW w:w="240" w:type="dxa"/>
            <w:vAlign w:val="bottom"/>
            <w:tcBorders>
              <w:bottom w:val="single" w:sz="8" w:color="CCFFCC"/>
            </w:tcBorders>
            <w:shd w:val="clear" w:color="auto" w:fill="CCFFCC"/>
          </w:tcPr>
          <w:p>
            <w:pPr>
              <w:spacing w:after="0"/>
              <w:rPr>
                <w:sz w:val="21"/>
                <w:szCs w:val="21"/>
                <w:color w:val="auto"/>
              </w:rPr>
            </w:pPr>
          </w:p>
        </w:tc>
        <w:tc>
          <w:tcPr>
            <w:tcW w:w="116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FFCC"/>
            </w:tcBorders>
            <w:shd w:val="clear" w:color="auto" w:fill="CCFFCC"/>
          </w:tcPr>
          <w:p>
            <w:pPr>
              <w:spacing w:after="0"/>
              <w:rPr>
                <w:sz w:val="21"/>
                <w:szCs w:val="21"/>
                <w:color w:val="auto"/>
              </w:rPr>
            </w:pPr>
          </w:p>
        </w:tc>
        <w:tc>
          <w:tcPr>
            <w:tcW w:w="106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12,048</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FFCC"/>
            </w:tcBorders>
            <w:shd w:val="clear" w:color="auto" w:fill="CCFFCC"/>
          </w:tcPr>
          <w:p>
            <w:pPr>
              <w:spacing w:after="0"/>
              <w:rPr>
                <w:sz w:val="21"/>
                <w:szCs w:val="21"/>
                <w:color w:val="auto"/>
              </w:rPr>
            </w:pPr>
          </w:p>
        </w:tc>
        <w:tc>
          <w:tcPr>
            <w:tcW w:w="98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12,048</w:t>
            </w:r>
          </w:p>
        </w:tc>
      </w:tr>
      <w:tr>
        <w:trPr>
          <w:trHeight w:val="237"/>
        </w:trPr>
        <w:tc>
          <w:tcPr>
            <w:tcW w:w="6160" w:type="dxa"/>
            <w:vAlign w:val="bottom"/>
          </w:tcPr>
          <w:p>
            <w:pPr>
              <w:ind w:left="180"/>
              <w:spacing w:after="0"/>
              <w:rPr>
                <w:sz w:val="20"/>
                <w:szCs w:val="20"/>
                <w:color w:val="auto"/>
              </w:rPr>
            </w:pPr>
            <w:r>
              <w:rPr>
                <w:rFonts w:ascii="Arial" w:cs="Arial" w:eastAsia="Arial" w:hAnsi="Arial"/>
                <w:sz w:val="16"/>
                <w:szCs w:val="16"/>
                <w:color w:val="auto"/>
              </w:rPr>
              <w:t>Professional services</w:t>
            </w:r>
          </w:p>
        </w:tc>
        <w:tc>
          <w:tcPr>
            <w:tcW w:w="24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17,374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17,374</w:t>
            </w:r>
          </w:p>
        </w:tc>
      </w:tr>
      <w:tr>
        <w:trPr>
          <w:trHeight w:val="33"/>
        </w:trPr>
        <w:tc>
          <w:tcPr>
            <w:tcW w:w="6160" w:type="dxa"/>
            <w:vAlign w:val="bottom"/>
            <w:tcBorders>
              <w:bottom w:val="single" w:sz="8" w:color="CCFFC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0"/>
        </w:trPr>
        <w:tc>
          <w:tcPr>
            <w:tcW w:w="616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Total revenue</w:t>
            </w:r>
          </w:p>
        </w:tc>
        <w:tc>
          <w:tcPr>
            <w:tcW w:w="24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154,614</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06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12,048</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FFCC"/>
            </w:tcBorders>
            <w:shd w:val="clear" w:color="auto" w:fill="CCFFCC"/>
          </w:tcPr>
          <w:p>
            <w:pPr>
              <w:spacing w:after="0"/>
              <w:rPr>
                <w:sz w:val="21"/>
                <w:szCs w:val="21"/>
                <w:color w:val="auto"/>
              </w:rPr>
            </w:pPr>
          </w:p>
        </w:tc>
        <w:tc>
          <w:tcPr>
            <w:tcW w:w="98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166,662</w:t>
            </w:r>
          </w:p>
        </w:tc>
      </w:tr>
      <w:tr>
        <w:trPr>
          <w:trHeight w:val="217"/>
        </w:trPr>
        <w:tc>
          <w:tcPr>
            <w:tcW w:w="6160" w:type="dxa"/>
            <w:vAlign w:val="bottom"/>
          </w:tcPr>
          <w:p>
            <w:pPr>
              <w:ind w:left="40"/>
              <w:spacing w:after="0"/>
              <w:rPr>
                <w:sz w:val="20"/>
                <w:szCs w:val="20"/>
                <w:color w:val="auto"/>
              </w:rPr>
            </w:pPr>
            <w:r>
              <w:rPr>
                <w:rFonts w:ascii="Arial" w:cs="Arial" w:eastAsia="Arial" w:hAnsi="Arial"/>
                <w:sz w:val="16"/>
                <w:szCs w:val="16"/>
                <w:color w:val="auto"/>
              </w:rPr>
              <w:t>Cost of revenue</w:t>
            </w: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46,145</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2,065</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48,210</w:t>
            </w:r>
          </w:p>
        </w:tc>
      </w:tr>
      <w:tr>
        <w:trPr>
          <w:trHeight w:val="33"/>
        </w:trPr>
        <w:tc>
          <w:tcPr>
            <w:tcW w:w="6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1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Sales and marketing</w:t>
            </w:r>
          </w:p>
        </w:tc>
        <w:tc>
          <w:tcPr>
            <w:tcW w:w="24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62,606</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06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5,225</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FFCC"/>
            </w:tcBorders>
            <w:shd w:val="clear" w:color="auto" w:fill="CCFFCC"/>
          </w:tcPr>
          <w:p>
            <w:pPr>
              <w:spacing w:after="0"/>
              <w:rPr>
                <w:sz w:val="21"/>
                <w:szCs w:val="21"/>
                <w:color w:val="auto"/>
              </w:rPr>
            </w:pPr>
          </w:p>
        </w:tc>
        <w:tc>
          <w:tcPr>
            <w:tcW w:w="98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67,831</w:t>
            </w:r>
          </w:p>
        </w:tc>
      </w:tr>
      <w:tr>
        <w:trPr>
          <w:trHeight w:val="237"/>
        </w:trPr>
        <w:tc>
          <w:tcPr>
            <w:tcW w:w="6160" w:type="dxa"/>
            <w:vAlign w:val="bottom"/>
          </w:tcPr>
          <w:p>
            <w:pPr>
              <w:ind w:left="40"/>
              <w:spacing w:after="0"/>
              <w:rPr>
                <w:sz w:val="20"/>
                <w:szCs w:val="20"/>
                <w:color w:val="auto"/>
              </w:rPr>
            </w:pPr>
            <w:r>
              <w:rPr>
                <w:rFonts w:ascii="Arial" w:cs="Arial" w:eastAsia="Arial" w:hAnsi="Arial"/>
                <w:sz w:val="16"/>
                <w:szCs w:val="16"/>
                <w:color w:val="auto"/>
              </w:rPr>
              <w:t>Amortization of purchased intangibles</w:t>
            </w:r>
          </w:p>
        </w:tc>
        <w:tc>
          <w:tcPr>
            <w:tcW w:w="24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2,954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2,954</w:t>
            </w:r>
          </w:p>
        </w:tc>
      </w:tr>
      <w:tr>
        <w:trPr>
          <w:trHeight w:val="33"/>
        </w:trPr>
        <w:tc>
          <w:tcPr>
            <w:tcW w:w="6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61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Unallocated corporate expenses</w:t>
            </w:r>
          </w:p>
        </w:tc>
        <w:tc>
          <w:tcPr>
            <w:tcW w:w="240" w:type="dxa"/>
            <w:vAlign w:val="bottom"/>
            <w:tcBorders>
              <w:bottom w:val="single" w:sz="8" w:color="CCFFCC"/>
            </w:tcBorders>
            <w:shd w:val="clear" w:color="auto" w:fill="CCFFCC"/>
          </w:tcPr>
          <w:p>
            <w:pPr>
              <w:spacing w:after="0"/>
              <w:rPr>
                <w:sz w:val="23"/>
                <w:szCs w:val="23"/>
                <w:color w:val="auto"/>
              </w:rPr>
            </w:pPr>
          </w:p>
        </w:tc>
        <w:tc>
          <w:tcPr>
            <w:tcW w:w="116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FFCC"/>
            </w:tcBorders>
            <w:shd w:val="clear" w:color="auto" w:fill="CCFFCC"/>
          </w:tcPr>
          <w:p>
            <w:pPr>
              <w:spacing w:after="0"/>
              <w:rPr>
                <w:sz w:val="23"/>
                <w:szCs w:val="23"/>
                <w:color w:val="auto"/>
              </w:rPr>
            </w:pPr>
          </w:p>
        </w:tc>
        <w:tc>
          <w:tcPr>
            <w:tcW w:w="118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FFCC"/>
            </w:tcBorders>
            <w:shd w:val="clear" w:color="auto" w:fill="CCFFCC"/>
          </w:tcPr>
          <w:p>
            <w:pPr>
              <w:spacing w:after="0"/>
              <w:rPr>
                <w:sz w:val="23"/>
                <w:szCs w:val="23"/>
                <w:color w:val="auto"/>
              </w:rPr>
            </w:pPr>
          </w:p>
        </w:tc>
        <w:tc>
          <w:tcPr>
            <w:tcW w:w="104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58,802</w:t>
            </w:r>
          </w:p>
        </w:tc>
        <w:tc>
          <w:tcPr>
            <w:tcW w:w="100" w:type="dxa"/>
            <w:vAlign w:val="bottom"/>
            <w:tcBorders>
              <w:bottom w:val="single" w:sz="8" w:color="CCFFCC"/>
            </w:tcBorders>
            <w:shd w:val="clear" w:color="auto" w:fill="CCFFCC"/>
          </w:tcPr>
          <w:p>
            <w:pPr>
              <w:spacing w:after="0"/>
              <w:rPr>
                <w:sz w:val="23"/>
                <w:szCs w:val="23"/>
                <w:color w:val="auto"/>
              </w:rPr>
            </w:pPr>
          </w:p>
        </w:tc>
        <w:tc>
          <w:tcPr>
            <w:tcW w:w="140" w:type="dxa"/>
            <w:vAlign w:val="bottom"/>
            <w:tcBorders>
              <w:bottom w:val="single" w:sz="8" w:color="CCFFCC"/>
            </w:tcBorders>
            <w:shd w:val="clear" w:color="auto" w:fill="CCFFCC"/>
          </w:tcPr>
          <w:p>
            <w:pPr>
              <w:spacing w:after="0"/>
              <w:rPr>
                <w:sz w:val="23"/>
                <w:szCs w:val="23"/>
                <w:color w:val="auto"/>
              </w:rPr>
            </w:pPr>
          </w:p>
        </w:tc>
        <w:tc>
          <w:tcPr>
            <w:tcW w:w="98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58,802</w:t>
            </w:r>
          </w:p>
        </w:tc>
      </w:tr>
      <w:tr>
        <w:trPr>
          <w:trHeight w:val="244"/>
        </w:trPr>
        <w:tc>
          <w:tcPr>
            <w:tcW w:w="6160" w:type="dxa"/>
            <w:vAlign w:val="bottom"/>
          </w:tcPr>
          <w:p>
            <w:pPr>
              <w:ind w:left="40"/>
              <w:spacing w:after="0"/>
              <w:rPr>
                <w:sz w:val="20"/>
                <w:szCs w:val="20"/>
                <w:color w:val="auto"/>
              </w:rPr>
            </w:pPr>
            <w:r>
              <w:rPr>
                <w:rFonts w:ascii="Arial" w:cs="Arial" w:eastAsia="Arial" w:hAnsi="Arial"/>
                <w:sz w:val="16"/>
                <w:szCs w:val="16"/>
                <w:color w:val="auto"/>
              </w:rPr>
              <w:t>Operating income (loss)</w:t>
            </w: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42,909</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4,758</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(58,802)</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(11,135)</w:t>
            </w:r>
          </w:p>
        </w:tc>
      </w:tr>
      <w:tr>
        <w:trPr>
          <w:trHeight w:val="20"/>
        </w:trPr>
        <w:tc>
          <w:tcPr>
            <w:tcW w:w="6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84" w:right="239" w:bottom="1440" w:gutter="0" w:footer="0" w:header="0"/>
        </w:sectPr>
      </w:pPr>
    </w:p>
    <w:bookmarkStart w:id="12" w:name="page13"/>
    <w:bookmarkEnd w:id="12"/>
    <w:p>
      <w:pPr>
        <w:jc w:val="both"/>
        <w:ind w:firstLine="648"/>
        <w:spacing w:after="0" w:line="277" w:lineRule="auto"/>
        <w:rPr>
          <w:sz w:val="20"/>
          <w:szCs w:val="20"/>
          <w:color w:val="auto"/>
        </w:rPr>
      </w:pPr>
      <w:r>
        <w:rPr>
          <w:rFonts w:ascii="Arial" w:cs="Arial" w:eastAsia="Arial" w:hAnsi="Arial"/>
          <w:sz w:val="18"/>
          <w:szCs w:val="18"/>
          <w:color w:val="auto"/>
        </w:rPr>
        <w:t>Summarized financial information by segment for the nine months ended September 30, 2015, based on the Company’s internal financial reporting system utilized by the Company’s chief operating decision maker, follows (amounts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gridSpan w:val="2"/>
          </w:tcPr>
          <w:p>
            <w:pPr>
              <w:ind w:left="140"/>
              <w:spacing w:after="0"/>
              <w:rPr>
                <w:sz w:val="20"/>
                <w:szCs w:val="20"/>
                <w:color w:val="auto"/>
              </w:rPr>
            </w:pPr>
            <w:r>
              <w:rPr>
                <w:rFonts w:ascii="Arial" w:cs="Arial" w:eastAsia="Arial" w:hAnsi="Arial"/>
                <w:sz w:val="14"/>
                <w:szCs w:val="14"/>
                <w:b w:val="1"/>
                <w:bCs w:val="1"/>
                <w:color w:val="auto"/>
              </w:rPr>
              <w:t>Business</w:t>
            </w:r>
          </w:p>
        </w:tc>
        <w:tc>
          <w:tcPr>
            <w:tcW w:w="220" w:type="dxa"/>
            <w:vAlign w:val="bottom"/>
          </w:tcPr>
          <w:p>
            <w:pPr>
              <w:spacing w:after="0"/>
              <w:rPr>
                <w:sz w:val="16"/>
                <w:szCs w:val="16"/>
                <w:color w:val="auto"/>
              </w:rPr>
            </w:pPr>
          </w:p>
        </w:tc>
        <w:tc>
          <w:tcPr>
            <w:tcW w:w="1140" w:type="dxa"/>
            <w:vAlign w:val="bottom"/>
            <w:gridSpan w:val="2"/>
          </w:tcPr>
          <w:p>
            <w:pPr>
              <w:ind w:left="100"/>
              <w:spacing w:after="0"/>
              <w:rPr>
                <w:sz w:val="20"/>
                <w:szCs w:val="20"/>
                <w:color w:val="auto"/>
              </w:rPr>
            </w:pPr>
            <w:r>
              <w:rPr>
                <w:rFonts w:ascii="Arial" w:cs="Arial" w:eastAsia="Arial" w:hAnsi="Arial"/>
                <w:sz w:val="14"/>
                <w:szCs w:val="14"/>
                <w:b w:val="1"/>
                <w:bCs w:val="1"/>
                <w:color w:val="auto"/>
              </w:rPr>
              <w:t>Consumer</w:t>
            </w:r>
          </w:p>
        </w:tc>
        <w:tc>
          <w:tcPr>
            <w:tcW w:w="220" w:type="dxa"/>
            <w:vAlign w:val="bottom"/>
          </w:tcPr>
          <w:p>
            <w:pPr>
              <w:spacing w:after="0"/>
              <w:rPr>
                <w:sz w:val="16"/>
                <w:szCs w:val="16"/>
                <w:color w:val="auto"/>
              </w:rPr>
            </w:pPr>
          </w:p>
        </w:tc>
        <w:tc>
          <w:tcPr>
            <w:tcW w:w="1140" w:type="dxa"/>
            <w:vAlign w:val="bottom"/>
            <w:gridSpan w:val="2"/>
          </w:tcPr>
          <w:p>
            <w:pPr>
              <w:ind w:left="80"/>
              <w:spacing w:after="0"/>
              <w:rPr>
                <w:sz w:val="20"/>
                <w:szCs w:val="20"/>
                <w:color w:val="auto"/>
              </w:rPr>
            </w:pPr>
            <w:r>
              <w:rPr>
                <w:rFonts w:ascii="Arial" w:cs="Arial" w:eastAsia="Arial" w:hAnsi="Arial"/>
                <w:sz w:val="14"/>
                <w:szCs w:val="14"/>
                <w:b w:val="1"/>
                <w:bCs w:val="1"/>
                <w:color w:val="auto"/>
              </w:rPr>
              <w:t>Corporate</w:t>
            </w:r>
          </w:p>
        </w:tc>
        <w:tc>
          <w:tcPr>
            <w:tcW w:w="160" w:type="dxa"/>
            <w:vAlign w:val="bottom"/>
          </w:tcPr>
          <w:p>
            <w:pPr>
              <w:spacing w:after="0"/>
              <w:rPr>
                <w:sz w:val="16"/>
                <w:szCs w:val="16"/>
                <w:color w:val="auto"/>
              </w:rPr>
            </w:pPr>
          </w:p>
        </w:tc>
        <w:tc>
          <w:tcPr>
            <w:tcW w:w="1080" w:type="dxa"/>
            <w:vAlign w:val="bottom"/>
          </w:tcPr>
          <w:p>
            <w:pPr>
              <w:jc w:val="right"/>
              <w:ind w:right="140"/>
              <w:spacing w:after="0"/>
              <w:rPr>
                <w:sz w:val="20"/>
                <w:szCs w:val="20"/>
                <w:color w:val="auto"/>
              </w:rPr>
            </w:pPr>
            <w:r>
              <w:rPr>
                <w:rFonts w:ascii="Arial" w:cs="Arial" w:eastAsia="Arial" w:hAnsi="Arial"/>
                <w:sz w:val="14"/>
                <w:szCs w:val="14"/>
                <w:b w:val="1"/>
                <w:bCs w:val="1"/>
                <w:color w:val="auto"/>
                <w:w w:val="94"/>
              </w:rPr>
              <w:t>Consolidated</w:t>
            </w:r>
          </w:p>
        </w:tc>
      </w:tr>
      <w:tr>
        <w:trPr>
          <w:trHeight w:val="250"/>
        </w:trPr>
        <w:tc>
          <w:tcPr>
            <w:tcW w:w="6060" w:type="dxa"/>
            <w:vAlign w:val="bottom"/>
            <w:tcBorders>
              <w:top w:val="single" w:sz="8" w:color="CCFFCC"/>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Revenue:</w:t>
            </w:r>
          </w:p>
        </w:tc>
        <w:tc>
          <w:tcPr>
            <w:tcW w:w="240" w:type="dxa"/>
            <w:vAlign w:val="bottom"/>
            <w:tcBorders>
              <w:top w:val="single" w:sz="8" w:color="auto"/>
              <w:bottom w:val="single" w:sz="8" w:color="CCFFCC"/>
            </w:tcBorders>
            <w:shd w:val="clear" w:color="auto" w:fill="CCFFCC"/>
          </w:tcPr>
          <w:p>
            <w:pPr>
              <w:spacing w:after="0"/>
              <w:rPr>
                <w:sz w:val="21"/>
                <w:szCs w:val="21"/>
                <w:color w:val="auto"/>
              </w:rPr>
            </w:pPr>
          </w:p>
        </w:tc>
        <w:tc>
          <w:tcPr>
            <w:tcW w:w="1040" w:type="dxa"/>
            <w:vAlign w:val="bottom"/>
            <w:tcBorders>
              <w:top w:val="single" w:sz="8" w:color="auto"/>
              <w:bottom w:val="single" w:sz="8" w:color="CCFFCC"/>
            </w:tcBorders>
            <w:shd w:val="clear" w:color="auto" w:fill="CCFFCC"/>
          </w:tcPr>
          <w:p>
            <w:pPr>
              <w:spacing w:after="0"/>
              <w:rPr>
                <w:sz w:val="21"/>
                <w:szCs w:val="21"/>
                <w:color w:val="auto"/>
              </w:rPr>
            </w:pP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220" w:type="dxa"/>
            <w:vAlign w:val="bottom"/>
            <w:tcBorders>
              <w:top w:val="single" w:sz="8" w:color="auto"/>
              <w:bottom w:val="single" w:sz="8" w:color="CCFFCC"/>
            </w:tcBorders>
            <w:shd w:val="clear" w:color="auto" w:fill="CCFFCC"/>
          </w:tcPr>
          <w:p>
            <w:pPr>
              <w:spacing w:after="0"/>
              <w:rPr>
                <w:sz w:val="21"/>
                <w:szCs w:val="21"/>
                <w:color w:val="auto"/>
              </w:rPr>
            </w:pPr>
          </w:p>
        </w:tc>
        <w:tc>
          <w:tcPr>
            <w:tcW w:w="1040" w:type="dxa"/>
            <w:vAlign w:val="bottom"/>
            <w:tcBorders>
              <w:top w:val="single" w:sz="8" w:color="auto"/>
              <w:bottom w:val="single" w:sz="8" w:color="CCFFCC"/>
            </w:tcBorders>
            <w:shd w:val="clear" w:color="auto" w:fill="CCFFCC"/>
          </w:tcPr>
          <w:p>
            <w:pPr>
              <w:spacing w:after="0"/>
              <w:rPr>
                <w:sz w:val="21"/>
                <w:szCs w:val="21"/>
                <w:color w:val="auto"/>
              </w:rPr>
            </w:pPr>
          </w:p>
        </w:tc>
        <w:tc>
          <w:tcPr>
            <w:tcW w:w="100" w:type="dxa"/>
            <w:vAlign w:val="bottom"/>
            <w:tcBorders>
              <w:top w:val="single" w:sz="8" w:color="CCFFCC"/>
              <w:bottom w:val="single" w:sz="8" w:color="CCFFCC"/>
            </w:tcBorders>
            <w:shd w:val="clear" w:color="auto" w:fill="CCFFCC"/>
          </w:tcPr>
          <w:p>
            <w:pPr>
              <w:spacing w:after="0"/>
              <w:rPr>
                <w:sz w:val="21"/>
                <w:szCs w:val="21"/>
                <w:color w:val="auto"/>
              </w:rPr>
            </w:pPr>
          </w:p>
        </w:tc>
        <w:tc>
          <w:tcPr>
            <w:tcW w:w="220" w:type="dxa"/>
            <w:vAlign w:val="bottom"/>
            <w:tcBorders>
              <w:top w:val="single" w:sz="8" w:color="auto"/>
              <w:bottom w:val="single" w:sz="8" w:color="CCFFCC"/>
            </w:tcBorders>
            <w:shd w:val="clear" w:color="auto" w:fill="CCFFCC"/>
          </w:tcPr>
          <w:p>
            <w:pPr>
              <w:spacing w:after="0"/>
              <w:rPr>
                <w:sz w:val="21"/>
                <w:szCs w:val="21"/>
                <w:color w:val="auto"/>
              </w:rPr>
            </w:pPr>
          </w:p>
        </w:tc>
        <w:tc>
          <w:tcPr>
            <w:tcW w:w="1020" w:type="dxa"/>
            <w:vAlign w:val="bottom"/>
            <w:tcBorders>
              <w:top w:val="single" w:sz="8" w:color="auto"/>
              <w:bottom w:val="single" w:sz="8" w:color="CCFFCC"/>
            </w:tcBorders>
            <w:shd w:val="clear" w:color="auto" w:fill="CCFFCC"/>
          </w:tcPr>
          <w:p>
            <w:pPr>
              <w:spacing w:after="0"/>
              <w:rPr>
                <w:sz w:val="21"/>
                <w:szCs w:val="21"/>
                <w:color w:val="auto"/>
              </w:rPr>
            </w:pP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160" w:type="dxa"/>
            <w:vAlign w:val="bottom"/>
            <w:tcBorders>
              <w:top w:val="single" w:sz="8" w:color="auto"/>
              <w:bottom w:val="single" w:sz="8" w:color="CCFFCC"/>
            </w:tcBorders>
            <w:shd w:val="clear" w:color="auto" w:fill="CCFFCC"/>
          </w:tcPr>
          <w:p>
            <w:pPr>
              <w:spacing w:after="0"/>
              <w:rPr>
                <w:sz w:val="21"/>
                <w:szCs w:val="21"/>
                <w:color w:val="auto"/>
              </w:rPr>
            </w:pPr>
          </w:p>
        </w:tc>
        <w:tc>
          <w:tcPr>
            <w:tcW w:w="1080" w:type="dxa"/>
            <w:vAlign w:val="bottom"/>
            <w:tcBorders>
              <w:top w:val="single" w:sz="8" w:color="auto"/>
              <w:bottom w:val="single" w:sz="8" w:color="CCFFCC"/>
            </w:tcBorders>
            <w:shd w:val="clear" w:color="auto" w:fill="CCFFCC"/>
          </w:tcPr>
          <w:p>
            <w:pPr>
              <w:spacing w:after="0"/>
              <w:rPr>
                <w:sz w:val="21"/>
                <w:szCs w:val="21"/>
                <w:color w:val="auto"/>
              </w:rPr>
            </w:pPr>
          </w:p>
        </w:tc>
      </w:tr>
      <w:tr>
        <w:trPr>
          <w:trHeight w:val="237"/>
        </w:trPr>
        <w:tc>
          <w:tcPr>
            <w:tcW w:w="6060" w:type="dxa"/>
            <w:vAlign w:val="bottom"/>
          </w:tcPr>
          <w:p>
            <w:pPr>
              <w:ind w:left="180"/>
              <w:spacing w:after="0"/>
              <w:rPr>
                <w:sz w:val="20"/>
                <w:szCs w:val="20"/>
                <w:color w:val="auto"/>
              </w:rPr>
            </w:pPr>
            <w:r>
              <w:rPr>
                <w:rFonts w:ascii="Arial" w:cs="Arial" w:eastAsia="Arial" w:hAnsi="Arial"/>
                <w:sz w:val="16"/>
                <w:szCs w:val="16"/>
                <w:color w:val="auto"/>
              </w:rPr>
              <w:t>Hosted services – Business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151,767</w:t>
            </w:r>
          </w:p>
        </w:tc>
        <w:tc>
          <w:tcPr>
            <w:tcW w:w="12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151,767</w:t>
            </w:r>
          </w:p>
        </w:tc>
      </w:tr>
      <w:tr>
        <w:trPr>
          <w:trHeight w:val="33"/>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06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Hosted services – Consumer</w:t>
            </w:r>
          </w:p>
        </w:tc>
        <w:tc>
          <w:tcPr>
            <w:tcW w:w="240" w:type="dxa"/>
            <w:vAlign w:val="bottom"/>
            <w:tcBorders>
              <w:bottom w:val="single" w:sz="8" w:color="CCFFCC"/>
            </w:tcBorders>
            <w:shd w:val="clear" w:color="auto" w:fill="CCFFCC"/>
          </w:tcPr>
          <w:p>
            <w:pPr>
              <w:spacing w:after="0"/>
              <w:rPr>
                <w:sz w:val="21"/>
                <w:szCs w:val="21"/>
                <w:color w:val="auto"/>
              </w:rPr>
            </w:pPr>
          </w:p>
        </w:tc>
        <w:tc>
          <w:tcPr>
            <w:tcW w:w="116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11,219</w:t>
            </w:r>
          </w:p>
        </w:tc>
        <w:tc>
          <w:tcPr>
            <w:tcW w:w="10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FFCC"/>
            </w:tcBorders>
            <w:shd w:val="clear" w:color="auto" w:fill="CCFFCC"/>
          </w:tcPr>
          <w:p>
            <w:pPr>
              <w:spacing w:after="0"/>
              <w:rPr>
                <w:sz w:val="21"/>
                <w:szCs w:val="21"/>
                <w:color w:val="auto"/>
              </w:rPr>
            </w:pPr>
          </w:p>
        </w:tc>
        <w:tc>
          <w:tcPr>
            <w:tcW w:w="108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11,219</w:t>
            </w:r>
          </w:p>
        </w:tc>
      </w:tr>
      <w:tr>
        <w:trPr>
          <w:trHeight w:val="237"/>
        </w:trPr>
        <w:tc>
          <w:tcPr>
            <w:tcW w:w="6060" w:type="dxa"/>
            <w:vAlign w:val="bottom"/>
          </w:tcPr>
          <w:p>
            <w:pPr>
              <w:ind w:left="180"/>
              <w:spacing w:after="0"/>
              <w:rPr>
                <w:sz w:val="20"/>
                <w:szCs w:val="20"/>
                <w:color w:val="auto"/>
              </w:rPr>
            </w:pPr>
            <w:r>
              <w:rPr>
                <w:rFonts w:ascii="Arial" w:cs="Arial" w:eastAsia="Arial" w:hAnsi="Arial"/>
                <w:sz w:val="16"/>
                <w:szCs w:val="16"/>
                <w:color w:val="auto"/>
              </w:rPr>
              <w:t>Professional services</w:t>
            </w:r>
          </w:p>
        </w:tc>
        <w:tc>
          <w:tcPr>
            <w:tcW w:w="24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16,875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16,875</w:t>
            </w:r>
          </w:p>
        </w:tc>
      </w:tr>
      <w:tr>
        <w:trPr>
          <w:trHeight w:val="33"/>
        </w:trPr>
        <w:tc>
          <w:tcPr>
            <w:tcW w:w="6060" w:type="dxa"/>
            <w:vAlign w:val="bottom"/>
            <w:tcBorders>
              <w:bottom w:val="single" w:sz="8" w:color="CCFFC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0"/>
        </w:trPr>
        <w:tc>
          <w:tcPr>
            <w:tcW w:w="606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Total revenue</w:t>
            </w:r>
          </w:p>
        </w:tc>
        <w:tc>
          <w:tcPr>
            <w:tcW w:w="24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168,642</w:t>
            </w:r>
          </w:p>
        </w:tc>
        <w:tc>
          <w:tcPr>
            <w:tcW w:w="12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11,219</w:t>
            </w:r>
          </w:p>
        </w:tc>
        <w:tc>
          <w:tcPr>
            <w:tcW w:w="10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FFCC"/>
            </w:tcBorders>
            <w:shd w:val="clear" w:color="auto" w:fill="CCFFCC"/>
          </w:tcPr>
          <w:p>
            <w:pPr>
              <w:spacing w:after="0"/>
              <w:rPr>
                <w:sz w:val="21"/>
                <w:szCs w:val="21"/>
                <w:color w:val="auto"/>
              </w:rPr>
            </w:pPr>
          </w:p>
        </w:tc>
        <w:tc>
          <w:tcPr>
            <w:tcW w:w="108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179,861</w:t>
            </w:r>
          </w:p>
        </w:tc>
      </w:tr>
      <w:tr>
        <w:trPr>
          <w:trHeight w:val="217"/>
        </w:trPr>
        <w:tc>
          <w:tcPr>
            <w:tcW w:w="6060" w:type="dxa"/>
            <w:vAlign w:val="bottom"/>
          </w:tcPr>
          <w:p>
            <w:pPr>
              <w:ind w:left="40"/>
              <w:spacing w:after="0"/>
              <w:rPr>
                <w:sz w:val="20"/>
                <w:szCs w:val="20"/>
                <w:color w:val="auto"/>
              </w:rPr>
            </w:pPr>
            <w:r>
              <w:rPr>
                <w:rFonts w:ascii="Arial" w:cs="Arial" w:eastAsia="Arial" w:hAnsi="Arial"/>
                <w:sz w:val="16"/>
                <w:szCs w:val="16"/>
                <w:color w:val="auto"/>
              </w:rPr>
              <w:t>Cost of revenue</w:t>
            </w: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50,752</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1,779</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52,531</w:t>
            </w:r>
          </w:p>
        </w:tc>
      </w:tr>
      <w:tr>
        <w:trPr>
          <w:trHeight w:val="33"/>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0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Sales and marketing</w:t>
            </w:r>
          </w:p>
        </w:tc>
        <w:tc>
          <w:tcPr>
            <w:tcW w:w="24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66,865</w:t>
            </w:r>
          </w:p>
        </w:tc>
        <w:tc>
          <w:tcPr>
            <w:tcW w:w="12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5,097</w:t>
            </w:r>
          </w:p>
        </w:tc>
        <w:tc>
          <w:tcPr>
            <w:tcW w:w="10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FFCC"/>
            </w:tcBorders>
            <w:shd w:val="clear" w:color="auto" w:fill="CCFFCC"/>
          </w:tcPr>
          <w:p>
            <w:pPr>
              <w:spacing w:after="0"/>
              <w:rPr>
                <w:sz w:val="21"/>
                <w:szCs w:val="21"/>
                <w:color w:val="auto"/>
              </w:rPr>
            </w:pPr>
          </w:p>
        </w:tc>
        <w:tc>
          <w:tcPr>
            <w:tcW w:w="108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71,962</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Amortization of purchased intangibles</w:t>
            </w:r>
          </w:p>
        </w:tc>
        <w:tc>
          <w:tcPr>
            <w:tcW w:w="24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3,683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3,683</w:t>
            </w:r>
          </w:p>
        </w:tc>
      </w:tr>
      <w:tr>
        <w:trPr>
          <w:trHeight w:val="33"/>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60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Unallocated corporate expenses</w:t>
            </w:r>
          </w:p>
        </w:tc>
        <w:tc>
          <w:tcPr>
            <w:tcW w:w="240" w:type="dxa"/>
            <w:vAlign w:val="bottom"/>
            <w:tcBorders>
              <w:bottom w:val="single" w:sz="8" w:color="CCFFCC"/>
            </w:tcBorders>
            <w:shd w:val="clear" w:color="auto" w:fill="CCFFCC"/>
          </w:tcPr>
          <w:p>
            <w:pPr>
              <w:spacing w:after="0"/>
              <w:rPr>
                <w:sz w:val="23"/>
                <w:szCs w:val="23"/>
                <w:color w:val="auto"/>
              </w:rPr>
            </w:pPr>
          </w:p>
        </w:tc>
        <w:tc>
          <w:tcPr>
            <w:tcW w:w="116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FFCC"/>
            </w:tcBorders>
            <w:shd w:val="clear" w:color="auto" w:fill="CCFFCC"/>
          </w:tcPr>
          <w:p>
            <w:pPr>
              <w:spacing w:after="0"/>
              <w:rPr>
                <w:sz w:val="23"/>
                <w:szCs w:val="23"/>
                <w:color w:val="auto"/>
              </w:rPr>
            </w:pPr>
          </w:p>
        </w:tc>
        <w:tc>
          <w:tcPr>
            <w:tcW w:w="1140" w:type="dxa"/>
            <w:vAlign w:val="bottom"/>
            <w:tcBorders>
              <w:bottom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FFCC"/>
            </w:tcBorders>
            <w:shd w:val="clear" w:color="auto" w:fill="CCFFCC"/>
          </w:tcPr>
          <w:p>
            <w:pPr>
              <w:spacing w:after="0"/>
              <w:rPr>
                <w:sz w:val="23"/>
                <w:szCs w:val="23"/>
                <w:color w:val="auto"/>
              </w:rPr>
            </w:pPr>
          </w:p>
        </w:tc>
        <w:tc>
          <w:tcPr>
            <w:tcW w:w="102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59,522</w:t>
            </w:r>
          </w:p>
        </w:tc>
        <w:tc>
          <w:tcPr>
            <w:tcW w:w="120" w:type="dxa"/>
            <w:vAlign w:val="bottom"/>
            <w:tcBorders>
              <w:bottom w:val="single" w:sz="8" w:color="CCFFCC"/>
            </w:tcBorders>
            <w:shd w:val="clear" w:color="auto" w:fill="CCFFCC"/>
          </w:tcPr>
          <w:p>
            <w:pPr>
              <w:spacing w:after="0"/>
              <w:rPr>
                <w:sz w:val="23"/>
                <w:szCs w:val="23"/>
                <w:color w:val="auto"/>
              </w:rPr>
            </w:pPr>
          </w:p>
        </w:tc>
        <w:tc>
          <w:tcPr>
            <w:tcW w:w="160" w:type="dxa"/>
            <w:vAlign w:val="bottom"/>
            <w:tcBorders>
              <w:bottom w:val="single" w:sz="8" w:color="CCFFCC"/>
            </w:tcBorders>
            <w:shd w:val="clear" w:color="auto" w:fill="CCFFCC"/>
          </w:tcPr>
          <w:p>
            <w:pPr>
              <w:spacing w:after="0"/>
              <w:rPr>
                <w:sz w:val="23"/>
                <w:szCs w:val="23"/>
                <w:color w:val="auto"/>
              </w:rPr>
            </w:pPr>
          </w:p>
        </w:tc>
        <w:tc>
          <w:tcPr>
            <w:tcW w:w="108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59,522</w:t>
            </w:r>
          </w:p>
        </w:tc>
      </w:tr>
      <w:tr>
        <w:trPr>
          <w:trHeight w:val="244"/>
        </w:trPr>
        <w:tc>
          <w:tcPr>
            <w:tcW w:w="6060" w:type="dxa"/>
            <w:vAlign w:val="bottom"/>
          </w:tcPr>
          <w:p>
            <w:pPr>
              <w:ind w:left="40"/>
              <w:spacing w:after="0"/>
              <w:rPr>
                <w:sz w:val="20"/>
                <w:szCs w:val="20"/>
                <w:color w:val="auto"/>
              </w:rPr>
            </w:pPr>
            <w:r>
              <w:rPr>
                <w:rFonts w:ascii="Arial" w:cs="Arial" w:eastAsia="Arial" w:hAnsi="Arial"/>
                <w:sz w:val="16"/>
                <w:szCs w:val="16"/>
                <w:color w:val="auto"/>
              </w:rPr>
              <w:t>Operating income (loss)</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47,342</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4,343</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(59,522)</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(7,837)</w:t>
            </w:r>
          </w:p>
        </w:tc>
      </w:tr>
      <w:tr>
        <w:trPr>
          <w:trHeight w:val="20"/>
        </w:trPr>
        <w:tc>
          <w:tcPr>
            <w:tcW w:w="6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Geographic Information</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is domiciled in the United States and has international operations in the United Kingdom, Asia-Pacific, Latin America and Western Europe, particularly France and Germany. The following table presents the Company’s revenues attributable to domestic and foreign operations for the periods presented (amounts in thousands):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00" w:type="dxa"/>
            <w:vAlign w:val="bottom"/>
            <w:gridSpan w:val="5"/>
          </w:tcPr>
          <w:p>
            <w:pPr>
              <w:ind w:left="48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6"/>
                <w:szCs w:val="16"/>
                <w:color w:val="auto"/>
              </w:rPr>
            </w:pPr>
          </w:p>
        </w:tc>
        <w:tc>
          <w:tcPr>
            <w:tcW w:w="208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Nine Months Ended</w:t>
            </w:r>
          </w:p>
        </w:tc>
      </w:tr>
      <w:tr>
        <w:trPr>
          <w:trHeight w:val="276"/>
        </w:trPr>
        <w:tc>
          <w:tcPr>
            <w:tcW w:w="60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24"/>
                <w:szCs w:val="24"/>
                <w:color w:val="auto"/>
              </w:rPr>
            </w:pPr>
          </w:p>
        </w:tc>
      </w:tr>
      <w:tr>
        <w:trPr>
          <w:trHeight w:val="264"/>
        </w:trPr>
        <w:tc>
          <w:tcPr>
            <w:tcW w:w="6060" w:type="dxa"/>
            <w:vAlign w:val="bottom"/>
            <w:tcBorders>
              <w:bottom w:val="single" w:sz="8" w:color="CCFFCC"/>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CFFCC"/>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FFCC"/>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FFCC"/>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w w:val="89"/>
              </w:rPr>
              <w:t>2015</w:t>
            </w:r>
          </w:p>
        </w:tc>
      </w:tr>
      <w:tr>
        <w:trPr>
          <w:trHeight w:val="236"/>
        </w:trPr>
        <w:tc>
          <w:tcPr>
            <w:tcW w:w="60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United States</w:t>
            </w:r>
          </w:p>
        </w:tc>
        <w:tc>
          <w:tcPr>
            <w:tcW w:w="320" w:type="dxa"/>
            <w:vAlign w:val="bottom"/>
            <w:tcBorders>
              <w:bottom w:val="single" w:sz="8" w:color="CCFFCC"/>
            </w:tcBorders>
            <w:shd w:val="clear" w:color="auto" w:fill="CCFFCC"/>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FFCC"/>
            </w:tcBorders>
            <w:shd w:val="clear" w:color="auto" w:fill="CCFFCC"/>
          </w:tcPr>
          <w:p>
            <w:pPr>
              <w:jc w:val="right"/>
              <w:ind w:right="42"/>
              <w:spacing w:after="0"/>
              <w:rPr>
                <w:sz w:val="20"/>
                <w:szCs w:val="20"/>
                <w:color w:val="auto"/>
              </w:rPr>
            </w:pPr>
            <w:r>
              <w:rPr>
                <w:rFonts w:ascii="Arial" w:cs="Arial" w:eastAsia="Arial" w:hAnsi="Arial"/>
                <w:sz w:val="16"/>
                <w:szCs w:val="16"/>
                <w:color w:val="auto"/>
              </w:rPr>
              <w:t>35,114</w:t>
            </w:r>
          </w:p>
        </w:tc>
        <w:tc>
          <w:tcPr>
            <w:tcW w:w="140" w:type="dxa"/>
            <w:vAlign w:val="bottom"/>
            <w:tcBorders>
              <w:bottom w:val="single" w:sz="8" w:color="CCFFCC"/>
            </w:tcBorders>
            <w:shd w:val="clear" w:color="auto" w:fill="CCFFCC"/>
          </w:tcPr>
          <w:p>
            <w:pPr>
              <w:spacing w:after="0"/>
              <w:rPr>
                <w:sz w:val="20"/>
                <w:szCs w:val="20"/>
                <w:color w:val="auto"/>
              </w:rPr>
            </w:pPr>
          </w:p>
        </w:tc>
        <w:tc>
          <w:tcPr>
            <w:tcW w:w="460" w:type="dxa"/>
            <w:vAlign w:val="bottom"/>
            <w:tcBorders>
              <w:bottom w:val="single" w:sz="8" w:color="CCFFCC"/>
            </w:tcBorders>
            <w:shd w:val="clear" w:color="auto" w:fill="CCFFCC"/>
          </w:tcPr>
          <w:p>
            <w:pPr>
              <w:jc w:val="right"/>
              <w:ind w:right="2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39,972</w:t>
            </w:r>
          </w:p>
        </w:tc>
        <w:tc>
          <w:tcPr>
            <w:tcW w:w="120" w:type="dxa"/>
            <w:vAlign w:val="bottom"/>
            <w:tcBorders>
              <w:bottom w:val="single" w:sz="8" w:color="CCFFCC"/>
            </w:tcBorders>
            <w:shd w:val="clear" w:color="auto" w:fill="CCFFCC"/>
          </w:tcPr>
          <w:p>
            <w:pPr>
              <w:spacing w:after="0"/>
              <w:rPr>
                <w:sz w:val="20"/>
                <w:szCs w:val="20"/>
                <w:color w:val="auto"/>
              </w:rPr>
            </w:pPr>
          </w:p>
        </w:tc>
        <w:tc>
          <w:tcPr>
            <w:tcW w:w="260" w:type="dxa"/>
            <w:vAlign w:val="bottom"/>
            <w:tcBorders>
              <w:bottom w:val="single" w:sz="8" w:color="CCFFCC"/>
            </w:tcBorders>
            <w:shd w:val="clear" w:color="auto" w:fill="CCFFCC"/>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FFCC"/>
            </w:tcBorders>
            <w:shd w:val="clear" w:color="auto" w:fill="CCFFCC"/>
          </w:tcPr>
          <w:p>
            <w:pPr>
              <w:jc w:val="right"/>
              <w:ind w:right="42"/>
              <w:spacing w:after="0"/>
              <w:rPr>
                <w:sz w:val="20"/>
                <w:szCs w:val="20"/>
                <w:color w:val="auto"/>
              </w:rPr>
            </w:pPr>
            <w:r>
              <w:rPr>
                <w:rFonts w:ascii="Arial" w:cs="Arial" w:eastAsia="Arial" w:hAnsi="Arial"/>
                <w:sz w:val="16"/>
                <w:szCs w:val="16"/>
                <w:color w:val="auto"/>
              </w:rPr>
              <w:t>111,177</w:t>
            </w:r>
          </w:p>
        </w:tc>
        <w:tc>
          <w:tcPr>
            <w:tcW w:w="100" w:type="dxa"/>
            <w:vAlign w:val="bottom"/>
            <w:tcBorders>
              <w:bottom w:val="single" w:sz="8" w:color="CCFFCC"/>
            </w:tcBorders>
            <w:shd w:val="clear" w:color="auto" w:fill="CCFFCC"/>
          </w:tcPr>
          <w:p>
            <w:pPr>
              <w:spacing w:after="0"/>
              <w:rPr>
                <w:sz w:val="20"/>
                <w:szCs w:val="20"/>
                <w:color w:val="auto"/>
              </w:rPr>
            </w:pPr>
          </w:p>
        </w:tc>
        <w:tc>
          <w:tcPr>
            <w:tcW w:w="400" w:type="dxa"/>
            <w:vAlign w:val="bottom"/>
            <w:tcBorders>
              <w:bottom w:val="single" w:sz="8" w:color="CCFFCC"/>
            </w:tcBorders>
            <w:shd w:val="clear" w:color="auto" w:fill="CCFFCC"/>
          </w:tcPr>
          <w:p>
            <w:pPr>
              <w:jc w:val="right"/>
              <w:ind w:right="21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120,409</w:t>
            </w:r>
          </w:p>
        </w:tc>
      </w:tr>
      <w:tr>
        <w:trPr>
          <w:trHeight w:val="270"/>
        </w:trPr>
        <w:tc>
          <w:tcPr>
            <w:tcW w:w="6060" w:type="dxa"/>
            <w:vAlign w:val="bottom"/>
            <w:tcBorders>
              <w:bottom w:val="single" w:sz="8" w:color="CCFFCC"/>
            </w:tcBorders>
          </w:tcPr>
          <w:p>
            <w:pPr>
              <w:ind w:left="40"/>
              <w:spacing w:after="0"/>
              <w:rPr>
                <w:sz w:val="20"/>
                <w:szCs w:val="20"/>
                <w:color w:val="auto"/>
              </w:rPr>
            </w:pPr>
            <w:r>
              <w:rPr>
                <w:rFonts w:ascii="Arial" w:cs="Arial" w:eastAsia="Arial" w:hAnsi="Arial"/>
                <w:sz w:val="16"/>
                <w:szCs w:val="16"/>
                <w:color w:val="auto"/>
              </w:rPr>
              <w:t xml:space="preserve">Other Americas </w:t>
            </w:r>
            <w:r>
              <w:rPr>
                <w:rFonts w:ascii="Arial" w:cs="Arial" w:eastAsia="Arial" w:hAnsi="Arial"/>
                <w:sz w:val="21"/>
                <w:szCs w:val="21"/>
                <w:color w:val="auto"/>
                <w:vertAlign w:val="superscript"/>
              </w:rPr>
              <w:t>(1)</w:t>
            </w: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2,073</w:t>
            </w:r>
          </w:p>
        </w:tc>
        <w:tc>
          <w:tcPr>
            <w:tcW w:w="140" w:type="dxa"/>
            <w:vAlign w:val="bottom"/>
            <w:tcBorders>
              <w:bottom w:val="single" w:sz="8" w:color="CCFFCC"/>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3,589</w:t>
            </w:r>
          </w:p>
        </w:tc>
        <w:tc>
          <w:tcPr>
            <w:tcW w:w="120" w:type="dxa"/>
            <w:vAlign w:val="bottom"/>
            <w:tcBorders>
              <w:bottom w:val="single" w:sz="8" w:color="CCFFCC"/>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5,165</w:t>
            </w:r>
          </w:p>
        </w:tc>
        <w:tc>
          <w:tcPr>
            <w:tcW w:w="100" w:type="dxa"/>
            <w:vAlign w:val="bottom"/>
            <w:tcBorders>
              <w:bottom w:val="single" w:sz="8" w:color="CCFFCC"/>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9,437</w:t>
            </w:r>
          </w:p>
        </w:tc>
      </w:tr>
      <w:tr>
        <w:trPr>
          <w:trHeight w:val="230"/>
        </w:trPr>
        <w:tc>
          <w:tcPr>
            <w:tcW w:w="606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Total Americas</w:t>
            </w:r>
          </w:p>
        </w:tc>
        <w:tc>
          <w:tcPr>
            <w:tcW w:w="320" w:type="dxa"/>
            <w:vAlign w:val="bottom"/>
            <w:tcBorders>
              <w:bottom w:val="single" w:sz="8" w:color="CCFFCC"/>
            </w:tcBorders>
            <w:shd w:val="clear" w:color="auto" w:fill="CCFFCC"/>
          </w:tcPr>
          <w:p>
            <w:pPr>
              <w:spacing w:after="0"/>
              <w:rPr>
                <w:sz w:val="20"/>
                <w:szCs w:val="20"/>
                <w:color w:val="auto"/>
              </w:rPr>
            </w:pPr>
          </w:p>
        </w:tc>
        <w:tc>
          <w:tcPr>
            <w:tcW w:w="1060" w:type="dxa"/>
            <w:vAlign w:val="bottom"/>
            <w:tcBorders>
              <w:bottom w:val="single" w:sz="8" w:color="CCFFCC"/>
            </w:tcBorders>
            <w:shd w:val="clear" w:color="auto" w:fill="CCFFCC"/>
          </w:tcPr>
          <w:p>
            <w:pPr>
              <w:jc w:val="right"/>
              <w:ind w:right="42"/>
              <w:spacing w:after="0"/>
              <w:rPr>
                <w:sz w:val="20"/>
                <w:szCs w:val="20"/>
                <w:color w:val="auto"/>
              </w:rPr>
            </w:pPr>
            <w:r>
              <w:rPr>
                <w:rFonts w:ascii="Arial" w:cs="Arial" w:eastAsia="Arial" w:hAnsi="Arial"/>
                <w:sz w:val="16"/>
                <w:szCs w:val="16"/>
                <w:color w:val="auto"/>
              </w:rPr>
              <w:t>37,187</w:t>
            </w:r>
          </w:p>
        </w:tc>
        <w:tc>
          <w:tcPr>
            <w:tcW w:w="140" w:type="dxa"/>
            <w:vAlign w:val="bottom"/>
            <w:tcBorders>
              <w:bottom w:val="single" w:sz="8" w:color="CCFFCC"/>
            </w:tcBorders>
            <w:shd w:val="clear" w:color="auto" w:fill="CCFFCC"/>
          </w:tcPr>
          <w:p>
            <w:pPr>
              <w:spacing w:after="0"/>
              <w:rPr>
                <w:sz w:val="20"/>
                <w:szCs w:val="20"/>
                <w:color w:val="auto"/>
              </w:rPr>
            </w:pPr>
          </w:p>
        </w:tc>
        <w:tc>
          <w:tcPr>
            <w:tcW w:w="460" w:type="dxa"/>
            <w:vAlign w:val="bottom"/>
            <w:tcBorders>
              <w:bottom w:val="single" w:sz="8" w:color="CCFFCC"/>
            </w:tcBorders>
            <w:shd w:val="clear" w:color="auto" w:fill="CCFFCC"/>
          </w:tcPr>
          <w:p>
            <w:pPr>
              <w:spacing w:after="0"/>
              <w:rPr>
                <w:sz w:val="20"/>
                <w:szCs w:val="20"/>
                <w:color w:val="auto"/>
              </w:rPr>
            </w:pPr>
          </w:p>
        </w:tc>
        <w:tc>
          <w:tcPr>
            <w:tcW w:w="92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43,561</w:t>
            </w:r>
          </w:p>
        </w:tc>
        <w:tc>
          <w:tcPr>
            <w:tcW w:w="120" w:type="dxa"/>
            <w:vAlign w:val="bottom"/>
            <w:tcBorders>
              <w:bottom w:val="single" w:sz="8" w:color="CCFFCC"/>
            </w:tcBorders>
            <w:shd w:val="clear" w:color="auto" w:fill="CCFFCC"/>
          </w:tcPr>
          <w:p>
            <w:pPr>
              <w:spacing w:after="0"/>
              <w:rPr>
                <w:sz w:val="20"/>
                <w:szCs w:val="20"/>
                <w:color w:val="auto"/>
              </w:rPr>
            </w:pPr>
          </w:p>
        </w:tc>
        <w:tc>
          <w:tcPr>
            <w:tcW w:w="260" w:type="dxa"/>
            <w:vAlign w:val="bottom"/>
            <w:tcBorders>
              <w:bottom w:val="single" w:sz="8" w:color="CCFFCC"/>
            </w:tcBorders>
            <w:shd w:val="clear" w:color="auto" w:fill="CCFFCC"/>
          </w:tcPr>
          <w:p>
            <w:pPr>
              <w:spacing w:after="0"/>
              <w:rPr>
                <w:sz w:val="20"/>
                <w:szCs w:val="20"/>
                <w:color w:val="auto"/>
              </w:rPr>
            </w:pPr>
          </w:p>
        </w:tc>
        <w:tc>
          <w:tcPr>
            <w:tcW w:w="860" w:type="dxa"/>
            <w:vAlign w:val="bottom"/>
            <w:tcBorders>
              <w:bottom w:val="single" w:sz="8" w:color="CCFFCC"/>
            </w:tcBorders>
            <w:shd w:val="clear" w:color="auto" w:fill="CCFFCC"/>
          </w:tcPr>
          <w:p>
            <w:pPr>
              <w:jc w:val="right"/>
              <w:ind w:right="42"/>
              <w:spacing w:after="0"/>
              <w:rPr>
                <w:sz w:val="20"/>
                <w:szCs w:val="20"/>
                <w:color w:val="auto"/>
              </w:rPr>
            </w:pPr>
            <w:r>
              <w:rPr>
                <w:rFonts w:ascii="Arial" w:cs="Arial" w:eastAsia="Arial" w:hAnsi="Arial"/>
                <w:sz w:val="16"/>
                <w:szCs w:val="16"/>
                <w:color w:val="auto"/>
              </w:rPr>
              <w:t>116,342</w:t>
            </w:r>
          </w:p>
        </w:tc>
        <w:tc>
          <w:tcPr>
            <w:tcW w:w="100" w:type="dxa"/>
            <w:vAlign w:val="bottom"/>
            <w:tcBorders>
              <w:bottom w:val="single" w:sz="8" w:color="CCFFCC"/>
            </w:tcBorders>
            <w:shd w:val="clear" w:color="auto" w:fill="CCFFCC"/>
          </w:tcPr>
          <w:p>
            <w:pPr>
              <w:spacing w:after="0"/>
              <w:rPr>
                <w:sz w:val="20"/>
                <w:szCs w:val="20"/>
                <w:color w:val="auto"/>
              </w:rPr>
            </w:pPr>
          </w:p>
        </w:tc>
        <w:tc>
          <w:tcPr>
            <w:tcW w:w="400" w:type="dxa"/>
            <w:vAlign w:val="bottom"/>
            <w:tcBorders>
              <w:bottom w:val="single" w:sz="8" w:color="CCFFCC"/>
            </w:tcBorders>
            <w:shd w:val="clear" w:color="auto" w:fill="CCFFCC"/>
          </w:tcPr>
          <w:p>
            <w:pPr>
              <w:spacing w:after="0"/>
              <w:rPr>
                <w:sz w:val="20"/>
                <w:szCs w:val="20"/>
                <w:color w:val="auto"/>
              </w:rPr>
            </w:pPr>
          </w:p>
        </w:tc>
        <w:tc>
          <w:tcPr>
            <w:tcW w:w="72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129,846</w:t>
            </w:r>
          </w:p>
        </w:tc>
      </w:tr>
      <w:tr>
        <w:trPr>
          <w:trHeight w:val="270"/>
        </w:trPr>
        <w:tc>
          <w:tcPr>
            <w:tcW w:w="6060" w:type="dxa"/>
            <w:vAlign w:val="bottom"/>
          </w:tcPr>
          <w:p>
            <w:pPr>
              <w:ind w:left="40"/>
              <w:spacing w:after="0" w:line="269" w:lineRule="exact"/>
              <w:rPr>
                <w:sz w:val="20"/>
                <w:szCs w:val="20"/>
                <w:color w:val="auto"/>
              </w:rPr>
            </w:pPr>
            <w:r>
              <w:rPr>
                <w:rFonts w:ascii="Arial" w:cs="Arial" w:eastAsia="Arial" w:hAnsi="Arial"/>
                <w:sz w:val="31"/>
                <w:szCs w:val="31"/>
                <w:color w:val="auto"/>
                <w:vertAlign w:val="subscript"/>
              </w:rPr>
              <w:t>EMEA</w:t>
            </w:r>
            <w:r>
              <w:rPr>
                <w:rFonts w:ascii="Arial" w:cs="Arial" w:eastAsia="Arial" w:hAnsi="Arial"/>
                <w:sz w:val="11"/>
                <w:szCs w:val="11"/>
                <w:color w:val="auto"/>
              </w:rPr>
              <w:t xml:space="preserve"> (2) (4)</w:t>
            </w:r>
          </w:p>
        </w:tc>
        <w:tc>
          <w:tcPr>
            <w:tcW w:w="320" w:type="dxa"/>
            <w:vAlign w:val="bottom"/>
          </w:tcPr>
          <w:p>
            <w:pPr>
              <w:spacing w:after="0"/>
              <w:rPr>
                <w:sz w:val="23"/>
                <w:szCs w:val="23"/>
                <w:color w:val="auto"/>
              </w:rPr>
            </w:pPr>
          </w:p>
        </w:tc>
        <w:tc>
          <w:tcPr>
            <w:tcW w:w="1060" w:type="dxa"/>
            <w:vAlign w:val="bottom"/>
          </w:tcPr>
          <w:p>
            <w:pPr>
              <w:jc w:val="right"/>
              <w:ind w:right="42"/>
              <w:spacing w:after="0"/>
              <w:rPr>
                <w:sz w:val="20"/>
                <w:szCs w:val="20"/>
                <w:color w:val="auto"/>
              </w:rPr>
            </w:pPr>
            <w:r>
              <w:rPr>
                <w:rFonts w:ascii="Arial" w:cs="Arial" w:eastAsia="Arial" w:hAnsi="Arial"/>
                <w:sz w:val="16"/>
                <w:szCs w:val="16"/>
                <w:color w:val="auto"/>
              </w:rPr>
              <w:t>12,588</w:t>
            </w:r>
          </w:p>
        </w:tc>
        <w:tc>
          <w:tcPr>
            <w:tcW w:w="1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13,237</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42"/>
              <w:spacing w:after="0"/>
              <w:rPr>
                <w:sz w:val="20"/>
                <w:szCs w:val="20"/>
                <w:color w:val="auto"/>
              </w:rPr>
            </w:pPr>
            <w:r>
              <w:rPr>
                <w:rFonts w:ascii="Arial" w:cs="Arial" w:eastAsia="Arial" w:hAnsi="Arial"/>
                <w:sz w:val="16"/>
                <w:szCs w:val="16"/>
                <w:color w:val="auto"/>
              </w:rPr>
              <w:t>36,468</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38,443</w:t>
            </w:r>
          </w:p>
        </w:tc>
      </w:tr>
      <w:tr>
        <w:trPr>
          <w:trHeight w:val="270"/>
        </w:trPr>
        <w:tc>
          <w:tcPr>
            <w:tcW w:w="6060" w:type="dxa"/>
            <w:vAlign w:val="bottom"/>
            <w:shd w:val="clear" w:color="auto" w:fill="CCFFCC"/>
          </w:tcPr>
          <w:p>
            <w:pPr>
              <w:ind w:left="40"/>
              <w:spacing w:after="0"/>
              <w:rPr>
                <w:sz w:val="20"/>
                <w:szCs w:val="20"/>
                <w:color w:val="auto"/>
              </w:rPr>
            </w:pPr>
            <w:r>
              <w:rPr>
                <w:rFonts w:ascii="Arial" w:cs="Arial" w:eastAsia="Arial" w:hAnsi="Arial"/>
                <w:sz w:val="16"/>
                <w:szCs w:val="16"/>
                <w:color w:val="auto"/>
              </w:rPr>
              <w:t xml:space="preserve">APAC </w:t>
            </w:r>
            <w:r>
              <w:rPr>
                <w:rFonts w:ascii="Arial" w:cs="Arial" w:eastAsia="Arial" w:hAnsi="Arial"/>
                <w:sz w:val="21"/>
                <w:szCs w:val="21"/>
                <w:color w:val="auto"/>
                <w:vertAlign w:val="superscript"/>
              </w:rPr>
              <w:t>(3)</w:t>
            </w:r>
          </w:p>
        </w:tc>
        <w:tc>
          <w:tcPr>
            <w:tcW w:w="320" w:type="dxa"/>
            <w:vAlign w:val="bottom"/>
            <w:tcBorders>
              <w:bottom w:val="single" w:sz="8" w:color="auto"/>
            </w:tcBorders>
            <w:shd w:val="clear" w:color="auto" w:fill="CCFFCC"/>
          </w:tcPr>
          <w:p>
            <w:pPr>
              <w:spacing w:after="0"/>
              <w:rPr>
                <w:sz w:val="23"/>
                <w:szCs w:val="23"/>
                <w:color w:val="auto"/>
              </w:rPr>
            </w:pPr>
          </w:p>
        </w:tc>
        <w:tc>
          <w:tcPr>
            <w:tcW w:w="1060" w:type="dxa"/>
            <w:vAlign w:val="bottom"/>
            <w:tcBorders>
              <w:bottom w:val="single" w:sz="8" w:color="auto"/>
            </w:tcBorders>
            <w:shd w:val="clear" w:color="auto" w:fill="CCFFCC"/>
          </w:tcPr>
          <w:p>
            <w:pPr>
              <w:jc w:val="right"/>
              <w:ind w:right="42"/>
              <w:spacing w:after="0"/>
              <w:rPr>
                <w:sz w:val="20"/>
                <w:szCs w:val="20"/>
                <w:color w:val="auto"/>
              </w:rPr>
            </w:pPr>
            <w:r>
              <w:rPr>
                <w:rFonts w:ascii="Arial" w:cs="Arial" w:eastAsia="Arial" w:hAnsi="Arial"/>
                <w:sz w:val="16"/>
                <w:szCs w:val="16"/>
                <w:color w:val="auto"/>
              </w:rPr>
              <w:t>4,743</w:t>
            </w:r>
          </w:p>
        </w:tc>
        <w:tc>
          <w:tcPr>
            <w:tcW w:w="140" w:type="dxa"/>
            <w:vAlign w:val="bottom"/>
            <w:shd w:val="clear" w:color="auto" w:fill="CCFFCC"/>
          </w:tcPr>
          <w:p>
            <w:pPr>
              <w:spacing w:after="0"/>
              <w:rPr>
                <w:sz w:val="23"/>
                <w:szCs w:val="23"/>
                <w:color w:val="auto"/>
              </w:rPr>
            </w:pPr>
          </w:p>
        </w:tc>
        <w:tc>
          <w:tcPr>
            <w:tcW w:w="460" w:type="dxa"/>
            <w:vAlign w:val="bottom"/>
            <w:tcBorders>
              <w:bottom w:val="single" w:sz="8" w:color="auto"/>
            </w:tcBorders>
            <w:shd w:val="clear" w:color="auto" w:fill="CCFFCC"/>
          </w:tcPr>
          <w:p>
            <w:pPr>
              <w:spacing w:after="0"/>
              <w:rPr>
                <w:sz w:val="23"/>
                <w:szCs w:val="23"/>
                <w:color w:val="auto"/>
              </w:rPr>
            </w:pPr>
          </w:p>
        </w:tc>
        <w:tc>
          <w:tcPr>
            <w:tcW w:w="920" w:type="dxa"/>
            <w:vAlign w:val="bottom"/>
            <w:tcBorders>
              <w:bottom w:val="single" w:sz="8" w:color="auto"/>
            </w:tcBorders>
            <w:shd w:val="clear" w:color="auto" w:fill="CCFFCC"/>
          </w:tcPr>
          <w:p>
            <w:pPr>
              <w:jc w:val="right"/>
              <w:ind w:right="40"/>
              <w:spacing w:after="0"/>
              <w:rPr>
                <w:sz w:val="20"/>
                <w:szCs w:val="20"/>
                <w:color w:val="auto"/>
              </w:rPr>
            </w:pPr>
            <w:r>
              <w:rPr>
                <w:rFonts w:ascii="Arial" w:cs="Arial" w:eastAsia="Arial" w:hAnsi="Arial"/>
                <w:sz w:val="16"/>
                <w:szCs w:val="16"/>
                <w:color w:val="auto"/>
              </w:rPr>
              <w:t>3,959</w:t>
            </w:r>
          </w:p>
        </w:tc>
        <w:tc>
          <w:tcPr>
            <w:tcW w:w="120" w:type="dxa"/>
            <w:vAlign w:val="bottom"/>
            <w:shd w:val="clear" w:color="auto" w:fill="CCFFCC"/>
          </w:tcPr>
          <w:p>
            <w:pPr>
              <w:spacing w:after="0"/>
              <w:rPr>
                <w:sz w:val="23"/>
                <w:szCs w:val="23"/>
                <w:color w:val="auto"/>
              </w:rPr>
            </w:pPr>
          </w:p>
        </w:tc>
        <w:tc>
          <w:tcPr>
            <w:tcW w:w="260" w:type="dxa"/>
            <w:vAlign w:val="bottom"/>
            <w:tcBorders>
              <w:bottom w:val="single" w:sz="8" w:color="auto"/>
            </w:tcBorders>
            <w:shd w:val="clear" w:color="auto" w:fill="CCFFCC"/>
          </w:tcPr>
          <w:p>
            <w:pPr>
              <w:spacing w:after="0"/>
              <w:rPr>
                <w:sz w:val="23"/>
                <w:szCs w:val="23"/>
                <w:color w:val="auto"/>
              </w:rPr>
            </w:pPr>
          </w:p>
        </w:tc>
        <w:tc>
          <w:tcPr>
            <w:tcW w:w="860" w:type="dxa"/>
            <w:vAlign w:val="bottom"/>
            <w:tcBorders>
              <w:bottom w:val="single" w:sz="8" w:color="auto"/>
            </w:tcBorders>
            <w:shd w:val="clear" w:color="auto" w:fill="CCFFCC"/>
          </w:tcPr>
          <w:p>
            <w:pPr>
              <w:jc w:val="right"/>
              <w:ind w:right="42"/>
              <w:spacing w:after="0"/>
              <w:rPr>
                <w:sz w:val="20"/>
                <w:szCs w:val="20"/>
                <w:color w:val="auto"/>
              </w:rPr>
            </w:pPr>
            <w:r>
              <w:rPr>
                <w:rFonts w:ascii="Arial" w:cs="Arial" w:eastAsia="Arial" w:hAnsi="Arial"/>
                <w:sz w:val="16"/>
                <w:szCs w:val="16"/>
                <w:color w:val="auto"/>
              </w:rPr>
              <w:t>13,852</w:t>
            </w:r>
          </w:p>
        </w:tc>
        <w:tc>
          <w:tcPr>
            <w:tcW w:w="100" w:type="dxa"/>
            <w:vAlign w:val="bottom"/>
            <w:shd w:val="clear" w:color="auto" w:fill="CCFFCC"/>
          </w:tcPr>
          <w:p>
            <w:pPr>
              <w:spacing w:after="0"/>
              <w:rPr>
                <w:sz w:val="23"/>
                <w:szCs w:val="23"/>
                <w:color w:val="auto"/>
              </w:rPr>
            </w:pPr>
          </w:p>
        </w:tc>
        <w:tc>
          <w:tcPr>
            <w:tcW w:w="400" w:type="dxa"/>
            <w:vAlign w:val="bottom"/>
            <w:tcBorders>
              <w:bottom w:val="single" w:sz="8" w:color="auto"/>
            </w:tcBorders>
            <w:shd w:val="clear" w:color="auto" w:fill="CCFFCC"/>
          </w:tcPr>
          <w:p>
            <w:pPr>
              <w:spacing w:after="0"/>
              <w:rPr>
                <w:sz w:val="23"/>
                <w:szCs w:val="23"/>
                <w:color w:val="auto"/>
              </w:rPr>
            </w:pPr>
          </w:p>
        </w:tc>
        <w:tc>
          <w:tcPr>
            <w:tcW w:w="720" w:type="dxa"/>
            <w:vAlign w:val="bottom"/>
            <w:tcBorders>
              <w:bottom w:val="single" w:sz="8" w:color="auto"/>
            </w:tcBorders>
            <w:shd w:val="clear" w:color="auto" w:fill="CCFFCC"/>
          </w:tcPr>
          <w:p>
            <w:pPr>
              <w:jc w:val="right"/>
              <w:ind w:right="20"/>
              <w:spacing w:after="0"/>
              <w:rPr>
                <w:sz w:val="20"/>
                <w:szCs w:val="20"/>
                <w:color w:val="auto"/>
              </w:rPr>
            </w:pPr>
            <w:r>
              <w:rPr>
                <w:rFonts w:ascii="Arial" w:cs="Arial" w:eastAsia="Arial" w:hAnsi="Arial"/>
                <w:sz w:val="16"/>
                <w:szCs w:val="16"/>
                <w:color w:val="auto"/>
              </w:rPr>
              <w:t>11,572</w:t>
            </w:r>
          </w:p>
        </w:tc>
      </w:tr>
      <w:tr>
        <w:trPr>
          <w:trHeight w:val="244"/>
        </w:trPr>
        <w:tc>
          <w:tcPr>
            <w:tcW w:w="6060" w:type="dxa"/>
            <w:vAlign w:val="bottom"/>
          </w:tcPr>
          <w:p>
            <w:pPr>
              <w:ind w:left="280"/>
              <w:spacing w:after="0"/>
              <w:rPr>
                <w:sz w:val="20"/>
                <w:szCs w:val="20"/>
                <w:color w:val="auto"/>
              </w:rPr>
            </w:pPr>
            <w:r>
              <w:rPr>
                <w:rFonts w:ascii="Arial" w:cs="Arial" w:eastAsia="Arial" w:hAnsi="Arial"/>
                <w:sz w:val="16"/>
                <w:szCs w:val="16"/>
                <w:color w:val="auto"/>
              </w:rPr>
              <w:t>Total revenue</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54,518</w:t>
            </w:r>
          </w:p>
        </w:tc>
        <w:tc>
          <w:tcPr>
            <w:tcW w:w="140" w:type="dxa"/>
            <w:vAlign w:val="bottom"/>
          </w:tcPr>
          <w:p>
            <w:pPr>
              <w:spacing w:after="0"/>
              <w:rPr>
                <w:sz w:val="21"/>
                <w:szCs w:val="21"/>
                <w:color w:val="auto"/>
              </w:rPr>
            </w:pP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60,757</w:t>
            </w:r>
          </w:p>
        </w:tc>
        <w:tc>
          <w:tcPr>
            <w:tcW w:w="120" w:type="dxa"/>
            <w:vAlign w:val="bottom"/>
          </w:tcPr>
          <w:p>
            <w:pPr>
              <w:spacing w:after="0"/>
              <w:rPr>
                <w:sz w:val="21"/>
                <w:szCs w:val="21"/>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166,662</w:t>
            </w:r>
          </w:p>
        </w:tc>
        <w:tc>
          <w:tcPr>
            <w:tcW w:w="100" w:type="dxa"/>
            <w:vAlign w:val="bottom"/>
          </w:tcPr>
          <w:p>
            <w:pPr>
              <w:spacing w:after="0"/>
              <w:rPr>
                <w:sz w:val="21"/>
                <w:szCs w:val="21"/>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179,861</w:t>
            </w:r>
          </w:p>
        </w:tc>
      </w:tr>
      <w:tr>
        <w:trPr>
          <w:trHeight w:val="20"/>
        </w:trPr>
        <w:tc>
          <w:tcPr>
            <w:tcW w:w="60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60" w:lineRule="exact"/>
        <w:rPr>
          <w:sz w:val="20"/>
          <w:szCs w:val="20"/>
          <w:color w:val="auto"/>
        </w:rPr>
      </w:pPr>
    </w:p>
    <w:p>
      <w:pPr>
        <w:ind w:left="180" w:hanging="172"/>
        <w:spacing w:after="0"/>
        <w:tabs>
          <w:tab w:leader="none" w:pos="180" w:val="left"/>
        </w:tabs>
        <w:numPr>
          <w:ilvl w:val="0"/>
          <w:numId w:val="8"/>
        </w:numPr>
        <w:rPr>
          <w:rFonts w:ascii="Arial" w:cs="Arial" w:eastAsia="Arial" w:hAnsi="Arial"/>
          <w:sz w:val="21"/>
          <w:szCs w:val="21"/>
          <w:color w:val="auto"/>
          <w:vertAlign w:val="superscript"/>
        </w:rPr>
      </w:pPr>
      <w:r>
        <w:rPr>
          <w:rFonts w:ascii="Arial" w:cs="Arial" w:eastAsia="Arial" w:hAnsi="Arial"/>
          <w:sz w:val="15"/>
          <w:szCs w:val="15"/>
          <w:color w:val="auto"/>
        </w:rPr>
        <w:t>Canada, Latin America and South America</w:t>
      </w:r>
    </w:p>
    <w:p>
      <w:pPr>
        <w:ind w:left="180" w:hanging="172"/>
        <w:spacing w:after="0" w:line="187" w:lineRule="auto"/>
        <w:tabs>
          <w:tab w:leader="none" w:pos="180" w:val="left"/>
        </w:tabs>
        <w:numPr>
          <w:ilvl w:val="0"/>
          <w:numId w:val="8"/>
        </w:numPr>
        <w:rPr>
          <w:rFonts w:ascii="Arial" w:cs="Arial" w:eastAsia="Arial" w:hAnsi="Arial"/>
          <w:sz w:val="21"/>
          <w:szCs w:val="21"/>
          <w:color w:val="auto"/>
          <w:vertAlign w:val="superscript"/>
        </w:rPr>
      </w:pPr>
      <w:r>
        <w:rPr>
          <w:rFonts w:ascii="Arial" w:cs="Arial" w:eastAsia="Arial" w:hAnsi="Arial"/>
          <w:sz w:val="15"/>
          <w:szCs w:val="15"/>
          <w:color w:val="auto"/>
        </w:rPr>
        <w:t>Europe, the Middle East and Africa (“EMEA”)</w:t>
      </w:r>
    </w:p>
    <w:p>
      <w:pPr>
        <w:ind w:left="180" w:hanging="172"/>
        <w:spacing w:after="0" w:line="187" w:lineRule="auto"/>
        <w:tabs>
          <w:tab w:leader="none" w:pos="180" w:val="left"/>
        </w:tabs>
        <w:numPr>
          <w:ilvl w:val="0"/>
          <w:numId w:val="8"/>
        </w:numPr>
        <w:rPr>
          <w:rFonts w:ascii="Arial" w:cs="Arial" w:eastAsia="Arial" w:hAnsi="Arial"/>
          <w:sz w:val="21"/>
          <w:szCs w:val="21"/>
          <w:color w:val="auto"/>
          <w:vertAlign w:val="superscript"/>
        </w:rPr>
      </w:pPr>
      <w:r>
        <w:rPr>
          <w:rFonts w:ascii="Arial" w:cs="Arial" w:eastAsia="Arial" w:hAnsi="Arial"/>
          <w:sz w:val="15"/>
          <w:szCs w:val="15"/>
          <w:color w:val="auto"/>
        </w:rPr>
        <w:t>Asia-Pacific (“APAC”)</w:t>
      </w:r>
    </w:p>
    <w:p>
      <w:pPr>
        <w:ind w:right="80" w:firstLine="8"/>
        <w:spacing w:after="0" w:line="234" w:lineRule="auto"/>
        <w:tabs>
          <w:tab w:leader="none" w:pos="167" w:val="left"/>
        </w:tabs>
        <w:numPr>
          <w:ilvl w:val="0"/>
          <w:numId w:val="8"/>
        </w:numPr>
        <w:rPr>
          <w:rFonts w:ascii="Arial" w:cs="Arial" w:eastAsia="Arial" w:hAnsi="Arial"/>
          <w:sz w:val="19"/>
          <w:szCs w:val="19"/>
          <w:color w:val="auto"/>
          <w:vertAlign w:val="superscript"/>
        </w:rPr>
      </w:pPr>
      <w:r>
        <w:rPr>
          <w:rFonts w:ascii="Arial" w:cs="Arial" w:eastAsia="Arial" w:hAnsi="Arial"/>
          <w:sz w:val="15"/>
          <w:szCs w:val="15"/>
          <w:color w:val="auto"/>
        </w:rPr>
        <w:t>Includes revenues from the United Kingdom of $8.9 million and $25.7 million for the three and nine months ended September 30, 2016, respectively. For the three and nine months ended September 30, 2015, revenues from the United Kingdom were $9.8 million and $28.1 million, respectively.</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Company’s long-lived assets by geographic region for the periods presented (amounts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6"/>
                <w:szCs w:val="16"/>
                <w:color w:val="auto"/>
              </w:rPr>
            </w:pPr>
          </w:p>
        </w:tc>
        <w:tc>
          <w:tcPr>
            <w:tcW w:w="1240" w:type="dxa"/>
            <w:vAlign w:val="bottom"/>
          </w:tcPr>
          <w:p>
            <w:pPr>
              <w:jc w:val="right"/>
              <w:ind w:right="221"/>
              <w:spacing w:after="0"/>
              <w:rPr>
                <w:sz w:val="20"/>
                <w:szCs w:val="20"/>
                <w:color w:val="auto"/>
              </w:rPr>
            </w:pPr>
            <w:r>
              <w:rPr>
                <w:rFonts w:ascii="Arial" w:cs="Arial" w:eastAsia="Arial" w:hAnsi="Arial"/>
                <w:sz w:val="14"/>
                <w:szCs w:val="14"/>
                <w:b w:val="1"/>
                <w:bCs w:val="1"/>
                <w:color w:val="auto"/>
              </w:rPr>
              <w:t>December 31,</w:t>
            </w:r>
          </w:p>
        </w:tc>
      </w:tr>
      <w:tr>
        <w:trPr>
          <w:trHeight w:val="276"/>
        </w:trPr>
        <w:tc>
          <w:tcPr>
            <w:tcW w:w="8340" w:type="dxa"/>
            <w:vAlign w:val="bottom"/>
            <w:tcBorders>
              <w:bottom w:val="single" w:sz="8" w:color="CCFFCC"/>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FFCC"/>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2015</w:t>
            </w:r>
          </w:p>
        </w:tc>
      </w:tr>
      <w:tr>
        <w:trPr>
          <w:trHeight w:val="236"/>
        </w:trPr>
        <w:tc>
          <w:tcPr>
            <w:tcW w:w="83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United States</w:t>
            </w:r>
          </w:p>
        </w:tc>
        <w:tc>
          <w:tcPr>
            <w:tcW w:w="20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FFCC"/>
            </w:tcBorders>
            <w:shd w:val="clear" w:color="auto" w:fill="CCFFCC"/>
          </w:tcPr>
          <w:p>
            <w:pPr>
              <w:jc w:val="right"/>
              <w:ind w:right="41"/>
              <w:spacing w:after="0"/>
              <w:rPr>
                <w:sz w:val="20"/>
                <w:szCs w:val="20"/>
                <w:color w:val="auto"/>
              </w:rPr>
            </w:pPr>
            <w:r>
              <w:rPr>
                <w:rFonts w:ascii="Arial" w:cs="Arial" w:eastAsia="Arial" w:hAnsi="Arial"/>
                <w:sz w:val="16"/>
                <w:szCs w:val="16"/>
                <w:color w:val="auto"/>
              </w:rPr>
              <w:t>94,716</w:t>
            </w:r>
          </w:p>
        </w:tc>
        <w:tc>
          <w:tcPr>
            <w:tcW w:w="100" w:type="dxa"/>
            <w:vAlign w:val="bottom"/>
            <w:tcBorders>
              <w:bottom w:val="single" w:sz="8" w:color="CCFFCC"/>
            </w:tcBorders>
            <w:shd w:val="clear" w:color="auto" w:fill="CCFFCC"/>
          </w:tcPr>
          <w:p>
            <w:pPr>
              <w:spacing w:after="0"/>
              <w:rPr>
                <w:sz w:val="20"/>
                <w:szCs w:val="20"/>
                <w:color w:val="auto"/>
              </w:rPr>
            </w:pPr>
          </w:p>
        </w:tc>
        <w:tc>
          <w:tcPr>
            <w:tcW w:w="22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FFCC"/>
            </w:tcBorders>
            <w:shd w:val="clear" w:color="auto" w:fill="CCFFCC"/>
          </w:tcPr>
          <w:p>
            <w:pPr>
              <w:jc w:val="right"/>
              <w:ind w:right="21"/>
              <w:spacing w:after="0"/>
              <w:rPr>
                <w:sz w:val="20"/>
                <w:szCs w:val="20"/>
                <w:color w:val="auto"/>
              </w:rPr>
            </w:pPr>
            <w:r>
              <w:rPr>
                <w:rFonts w:ascii="Arial" w:cs="Arial" w:eastAsia="Arial" w:hAnsi="Arial"/>
                <w:sz w:val="16"/>
                <w:szCs w:val="16"/>
                <w:color w:val="auto"/>
              </w:rPr>
              <w:t>96,362</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Israel</w:t>
            </w:r>
          </w:p>
        </w:tc>
        <w:tc>
          <w:tcPr>
            <w:tcW w:w="200" w:type="dxa"/>
            <w:vAlign w:val="bottom"/>
          </w:tcPr>
          <w:p>
            <w:pPr>
              <w:spacing w:after="0"/>
              <w:rPr>
                <w:sz w:val="20"/>
                <w:szCs w:val="20"/>
                <w:color w:val="auto"/>
              </w:rPr>
            </w:pP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14,589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16,393</w:t>
            </w:r>
          </w:p>
        </w:tc>
      </w:tr>
      <w:tr>
        <w:trPr>
          <w:trHeight w:val="33"/>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Australia</w:t>
            </w:r>
          </w:p>
        </w:tc>
        <w:tc>
          <w:tcPr>
            <w:tcW w:w="200" w:type="dxa"/>
            <w:vAlign w:val="bottom"/>
            <w:tcBorders>
              <w:bottom w:val="single" w:sz="8" w:color="CCFFCC"/>
            </w:tcBorders>
            <w:shd w:val="clear" w:color="auto" w:fill="CCFFCC"/>
          </w:tcPr>
          <w:p>
            <w:pPr>
              <w:spacing w:after="0"/>
              <w:rPr>
                <w:sz w:val="21"/>
                <w:szCs w:val="21"/>
                <w:color w:val="auto"/>
              </w:rPr>
            </w:pPr>
          </w:p>
        </w:tc>
        <w:tc>
          <w:tcPr>
            <w:tcW w:w="1300" w:type="dxa"/>
            <w:vAlign w:val="bottom"/>
            <w:tcBorders>
              <w:bottom w:val="single" w:sz="8" w:color="CCFFCC"/>
            </w:tcBorders>
            <w:shd w:val="clear" w:color="auto" w:fill="CCFFCC"/>
          </w:tcPr>
          <w:p>
            <w:pPr>
              <w:jc w:val="right"/>
              <w:ind w:right="41"/>
              <w:spacing w:after="0"/>
              <w:rPr>
                <w:sz w:val="20"/>
                <w:szCs w:val="20"/>
                <w:color w:val="auto"/>
              </w:rPr>
            </w:pPr>
            <w:r>
              <w:rPr>
                <w:rFonts w:ascii="Arial" w:cs="Arial" w:eastAsia="Arial" w:hAnsi="Arial"/>
                <w:sz w:val="16"/>
                <w:szCs w:val="16"/>
                <w:color w:val="auto"/>
              </w:rPr>
              <w:t>9,161</w:t>
            </w:r>
          </w:p>
        </w:tc>
        <w:tc>
          <w:tcPr>
            <w:tcW w:w="10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240" w:type="dxa"/>
            <w:vAlign w:val="bottom"/>
            <w:tcBorders>
              <w:bottom w:val="single" w:sz="8" w:color="CCFFCC"/>
            </w:tcBorders>
            <w:shd w:val="clear" w:color="auto" w:fill="CCFFCC"/>
          </w:tcPr>
          <w:p>
            <w:pPr>
              <w:jc w:val="right"/>
              <w:ind w:right="21"/>
              <w:spacing w:after="0"/>
              <w:rPr>
                <w:sz w:val="20"/>
                <w:szCs w:val="20"/>
                <w:color w:val="auto"/>
              </w:rPr>
            </w:pPr>
            <w:r>
              <w:rPr>
                <w:rFonts w:ascii="Arial" w:cs="Arial" w:eastAsia="Arial" w:hAnsi="Arial"/>
                <w:sz w:val="16"/>
                <w:szCs w:val="16"/>
                <w:color w:val="auto"/>
              </w:rPr>
              <w:t>8,290</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Netherlands</w:t>
            </w:r>
          </w:p>
        </w:tc>
        <w:tc>
          <w:tcPr>
            <w:tcW w:w="200" w:type="dxa"/>
            <w:vAlign w:val="bottom"/>
          </w:tcPr>
          <w:p>
            <w:pPr>
              <w:spacing w:after="0"/>
              <w:rPr>
                <w:sz w:val="20"/>
                <w:szCs w:val="20"/>
                <w:color w:val="auto"/>
              </w:rPr>
            </w:pP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7,358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8,285</w:t>
            </w:r>
          </w:p>
        </w:tc>
      </w:tr>
      <w:tr>
        <w:trPr>
          <w:trHeight w:val="33"/>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8340" w:type="dxa"/>
            <w:vAlign w:val="bottom"/>
            <w:shd w:val="clear" w:color="auto" w:fill="CCFFCC"/>
          </w:tcPr>
          <w:p>
            <w:pPr>
              <w:ind w:left="4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(1)</w:t>
            </w:r>
          </w:p>
        </w:tc>
        <w:tc>
          <w:tcPr>
            <w:tcW w:w="200" w:type="dxa"/>
            <w:vAlign w:val="bottom"/>
            <w:tcBorders>
              <w:bottom w:val="single" w:sz="8" w:color="auto"/>
            </w:tcBorders>
            <w:shd w:val="clear" w:color="auto" w:fill="CCFFCC"/>
          </w:tcPr>
          <w:p>
            <w:pPr>
              <w:spacing w:after="0"/>
              <w:rPr>
                <w:sz w:val="23"/>
                <w:szCs w:val="23"/>
                <w:color w:val="auto"/>
              </w:rPr>
            </w:pPr>
          </w:p>
        </w:tc>
        <w:tc>
          <w:tcPr>
            <w:tcW w:w="1300" w:type="dxa"/>
            <w:vAlign w:val="bottom"/>
            <w:tcBorders>
              <w:bottom w:val="single" w:sz="8" w:color="auto"/>
            </w:tcBorders>
            <w:shd w:val="clear" w:color="auto" w:fill="CCFFCC"/>
          </w:tcPr>
          <w:p>
            <w:pPr>
              <w:jc w:val="right"/>
              <w:ind w:right="41"/>
              <w:spacing w:after="0"/>
              <w:rPr>
                <w:sz w:val="20"/>
                <w:szCs w:val="20"/>
                <w:color w:val="auto"/>
              </w:rPr>
            </w:pPr>
            <w:r>
              <w:rPr>
                <w:rFonts w:ascii="Arial" w:cs="Arial" w:eastAsia="Arial" w:hAnsi="Arial"/>
                <w:sz w:val="16"/>
                <w:szCs w:val="16"/>
                <w:color w:val="auto"/>
              </w:rPr>
              <w:t>2,181</w:t>
            </w:r>
          </w:p>
        </w:tc>
        <w:tc>
          <w:tcPr>
            <w:tcW w:w="100" w:type="dxa"/>
            <w:vAlign w:val="bottom"/>
            <w:shd w:val="clear" w:color="auto" w:fill="CCFFCC"/>
          </w:tcPr>
          <w:p>
            <w:pPr>
              <w:spacing w:after="0"/>
              <w:rPr>
                <w:sz w:val="23"/>
                <w:szCs w:val="23"/>
                <w:color w:val="auto"/>
              </w:rPr>
            </w:pPr>
          </w:p>
        </w:tc>
        <w:tc>
          <w:tcPr>
            <w:tcW w:w="220" w:type="dxa"/>
            <w:vAlign w:val="bottom"/>
            <w:tcBorders>
              <w:bottom w:val="single" w:sz="8" w:color="auto"/>
            </w:tcBorders>
            <w:shd w:val="clear" w:color="auto" w:fill="CCFFCC"/>
          </w:tcPr>
          <w:p>
            <w:pPr>
              <w:spacing w:after="0"/>
              <w:rPr>
                <w:sz w:val="23"/>
                <w:szCs w:val="23"/>
                <w:color w:val="auto"/>
              </w:rPr>
            </w:pPr>
          </w:p>
        </w:tc>
        <w:tc>
          <w:tcPr>
            <w:tcW w:w="1240" w:type="dxa"/>
            <w:vAlign w:val="bottom"/>
            <w:tcBorders>
              <w:bottom w:val="single" w:sz="8" w:color="auto"/>
            </w:tcBorders>
            <w:shd w:val="clear" w:color="auto" w:fill="CCFFCC"/>
          </w:tcPr>
          <w:p>
            <w:pPr>
              <w:jc w:val="right"/>
              <w:ind w:right="21"/>
              <w:spacing w:after="0"/>
              <w:rPr>
                <w:sz w:val="20"/>
                <w:szCs w:val="20"/>
                <w:color w:val="auto"/>
              </w:rPr>
            </w:pPr>
            <w:r>
              <w:rPr>
                <w:rFonts w:ascii="Arial" w:cs="Arial" w:eastAsia="Arial" w:hAnsi="Arial"/>
                <w:sz w:val="16"/>
                <w:szCs w:val="16"/>
                <w:color w:val="auto"/>
              </w:rPr>
              <w:t>2,482</w:t>
            </w:r>
          </w:p>
        </w:tc>
      </w:tr>
      <w:tr>
        <w:trPr>
          <w:trHeight w:val="244"/>
        </w:trPr>
        <w:tc>
          <w:tcPr>
            <w:tcW w:w="8340" w:type="dxa"/>
            <w:vAlign w:val="bottom"/>
          </w:tcPr>
          <w:p>
            <w:pPr>
              <w:ind w:left="280"/>
              <w:spacing w:after="0"/>
              <w:rPr>
                <w:sz w:val="20"/>
                <w:szCs w:val="20"/>
                <w:color w:val="auto"/>
              </w:rPr>
            </w:pPr>
            <w:r>
              <w:rPr>
                <w:rFonts w:ascii="Arial" w:cs="Arial" w:eastAsia="Arial" w:hAnsi="Arial"/>
                <w:sz w:val="16"/>
                <w:szCs w:val="16"/>
                <w:color w:val="auto"/>
              </w:rPr>
              <w:t>Total long-lived assets</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128,005</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131,812</w:t>
            </w:r>
          </w:p>
        </w:tc>
      </w:tr>
      <w:tr>
        <w:trPr>
          <w:trHeight w:val="20"/>
        </w:trPr>
        <w:tc>
          <w:tcPr>
            <w:tcW w:w="8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ind w:left="180" w:hanging="172"/>
        <w:spacing w:after="0"/>
        <w:tabs>
          <w:tab w:leader="none" w:pos="180" w:val="left"/>
        </w:tabs>
        <w:numPr>
          <w:ilvl w:val="0"/>
          <w:numId w:val="9"/>
        </w:numPr>
        <w:rPr>
          <w:rFonts w:ascii="Arial" w:cs="Arial" w:eastAsia="Arial" w:hAnsi="Arial"/>
          <w:sz w:val="21"/>
          <w:szCs w:val="21"/>
          <w:color w:val="auto"/>
          <w:vertAlign w:val="superscript"/>
        </w:rPr>
      </w:pPr>
      <w:r>
        <w:rPr>
          <w:rFonts w:ascii="Arial" w:cs="Arial" w:eastAsia="Arial" w:hAnsi="Arial"/>
          <w:sz w:val="15"/>
          <w:szCs w:val="15"/>
          <w:color w:val="auto"/>
        </w:rPr>
        <w:t>United Kingdom, Germany, Japan, France and Italy</w:t>
      </w:r>
    </w:p>
    <w:p>
      <w:pPr>
        <w:spacing w:after="0" w:line="14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No individual customer accounted for 10% or more of consolidated revenue for any of the periods presented. No individual customer accounted for 10% or more of accounts receivable as of September 30, 2016 and December 31, 2015.</w:t>
      </w:r>
    </w:p>
    <w:p>
      <w:pPr>
        <w:sectPr>
          <w:pgSz w:w="11900" w:h="16838" w:orient="portrait"/>
          <w:cols w:equalWidth="0" w:num="1">
            <w:col w:w="11420"/>
          </w:cols>
          <w:pgMar w:left="240" w:top="584" w:right="239" w:bottom="1440" w:gutter="0" w:footer="0" w:header="0"/>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584" w:right="239" w:bottom="1440" w:gutter="0" w:footer="0" w:header="0"/>
          <w:type w:val="continuous"/>
        </w:sectPr>
      </w:pPr>
    </w:p>
    <w:bookmarkStart w:id="13" w:name="page14"/>
    <w:bookmarkEnd w:id="13"/>
    <w:p>
      <w:pPr>
        <w:ind w:left="340" w:hanging="332"/>
        <w:spacing w:after="0"/>
        <w:tabs>
          <w:tab w:leader="none" w:pos="3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changes in the carrying amount of goodwill for the nine months ended September 30, 2016 are as follows (amounts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gridSpan w:val="2"/>
          </w:tcPr>
          <w:p>
            <w:pPr>
              <w:ind w:left="180"/>
              <w:spacing w:after="0"/>
              <w:rPr>
                <w:sz w:val="20"/>
                <w:szCs w:val="20"/>
                <w:color w:val="auto"/>
              </w:rPr>
            </w:pPr>
            <w:r>
              <w:rPr>
                <w:rFonts w:ascii="Arial" w:cs="Arial" w:eastAsia="Arial" w:hAnsi="Arial"/>
                <w:sz w:val="14"/>
                <w:szCs w:val="14"/>
                <w:b w:val="1"/>
                <w:bCs w:val="1"/>
                <w:color w:val="auto"/>
              </w:rPr>
              <w:t>Business</w:t>
            </w:r>
          </w:p>
        </w:tc>
        <w:tc>
          <w:tcPr>
            <w:tcW w:w="260" w:type="dxa"/>
            <w:vAlign w:val="bottom"/>
          </w:tcPr>
          <w:p>
            <w:pPr>
              <w:spacing w:after="0"/>
              <w:rPr>
                <w:sz w:val="16"/>
                <w:szCs w:val="16"/>
                <w:color w:val="auto"/>
              </w:rPr>
            </w:pPr>
          </w:p>
        </w:tc>
        <w:tc>
          <w:tcPr>
            <w:tcW w:w="1320" w:type="dxa"/>
            <w:vAlign w:val="bottom"/>
            <w:gridSpan w:val="2"/>
          </w:tcPr>
          <w:p>
            <w:pPr>
              <w:ind w:left="160"/>
              <w:spacing w:after="0"/>
              <w:rPr>
                <w:sz w:val="20"/>
                <w:szCs w:val="20"/>
                <w:color w:val="auto"/>
              </w:rPr>
            </w:pPr>
            <w:r>
              <w:rPr>
                <w:rFonts w:ascii="Arial" w:cs="Arial" w:eastAsia="Arial" w:hAnsi="Arial"/>
                <w:sz w:val="14"/>
                <w:szCs w:val="14"/>
                <w:b w:val="1"/>
                <w:bCs w:val="1"/>
                <w:color w:val="auto"/>
              </w:rPr>
              <w:t>Consumer</w:t>
            </w:r>
          </w:p>
        </w:tc>
        <w:tc>
          <w:tcPr>
            <w:tcW w:w="220" w:type="dxa"/>
            <w:vAlign w:val="bottom"/>
          </w:tcPr>
          <w:p>
            <w:pPr>
              <w:spacing w:after="0"/>
              <w:rPr>
                <w:sz w:val="16"/>
                <w:szCs w:val="16"/>
                <w:color w:val="auto"/>
              </w:rPr>
            </w:pPr>
          </w:p>
        </w:tc>
        <w:tc>
          <w:tcPr>
            <w:tcW w:w="1240" w:type="dxa"/>
            <w:vAlign w:val="bottom"/>
          </w:tcPr>
          <w:p>
            <w:pPr>
              <w:jc w:val="right"/>
              <w:ind w:right="241"/>
              <w:spacing w:after="0"/>
              <w:rPr>
                <w:sz w:val="20"/>
                <w:szCs w:val="20"/>
                <w:color w:val="auto"/>
              </w:rPr>
            </w:pPr>
            <w:r>
              <w:rPr>
                <w:rFonts w:ascii="Arial" w:cs="Arial" w:eastAsia="Arial" w:hAnsi="Arial"/>
                <w:sz w:val="14"/>
                <w:szCs w:val="14"/>
                <w:b w:val="1"/>
                <w:bCs w:val="1"/>
                <w:color w:val="auto"/>
              </w:rPr>
              <w:t>Consolidated</w:t>
            </w:r>
          </w:p>
        </w:tc>
      </w:tr>
      <w:tr>
        <w:trPr>
          <w:trHeight w:val="236"/>
        </w:trPr>
        <w:tc>
          <w:tcPr>
            <w:tcW w:w="6740" w:type="dxa"/>
            <w:vAlign w:val="bottom"/>
            <w:tcBorders>
              <w:top w:val="single" w:sz="8" w:color="CCFFCC"/>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Balance as of December 31, 2015</w:t>
            </w:r>
          </w:p>
        </w:tc>
        <w:tc>
          <w:tcPr>
            <w:tcW w:w="300" w:type="dxa"/>
            <w:vAlign w:val="bottom"/>
            <w:tcBorders>
              <w:top w:val="single" w:sz="8" w:color="auto"/>
              <w:bottom w:val="single" w:sz="8" w:color="CCFFCC"/>
            </w:tcBorders>
            <w:shd w:val="clear" w:color="auto" w:fill="CCFFCC"/>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CCFFCC"/>
            </w:tcBorders>
            <w:shd w:val="clear" w:color="auto" w:fill="CCFFCC"/>
          </w:tcPr>
          <w:p>
            <w:pPr>
              <w:jc w:val="right"/>
              <w:ind w:right="41"/>
              <w:spacing w:after="0"/>
              <w:rPr>
                <w:sz w:val="20"/>
                <w:szCs w:val="20"/>
                <w:color w:val="auto"/>
              </w:rPr>
            </w:pPr>
            <w:r>
              <w:rPr>
                <w:rFonts w:ascii="Arial" w:cs="Arial" w:eastAsia="Arial" w:hAnsi="Arial"/>
                <w:sz w:val="16"/>
                <w:szCs w:val="16"/>
                <w:color w:val="auto"/>
              </w:rPr>
              <w:t>72,298</w:t>
            </w:r>
          </w:p>
        </w:tc>
        <w:tc>
          <w:tcPr>
            <w:tcW w:w="120" w:type="dxa"/>
            <w:vAlign w:val="bottom"/>
            <w:tcBorders>
              <w:top w:val="single" w:sz="8" w:color="CCFFCC"/>
              <w:bottom w:val="single" w:sz="8" w:color="CCFFCC"/>
            </w:tcBorders>
            <w:shd w:val="clear" w:color="auto" w:fill="CCFFCC"/>
          </w:tcPr>
          <w:p>
            <w:pPr>
              <w:spacing w:after="0"/>
              <w:rPr>
                <w:sz w:val="20"/>
                <w:szCs w:val="20"/>
                <w:color w:val="auto"/>
              </w:rPr>
            </w:pPr>
          </w:p>
        </w:tc>
        <w:tc>
          <w:tcPr>
            <w:tcW w:w="260" w:type="dxa"/>
            <w:vAlign w:val="bottom"/>
            <w:tcBorders>
              <w:top w:val="single" w:sz="8" w:color="auto"/>
              <w:bottom w:val="single" w:sz="8" w:color="CCFFCC"/>
            </w:tcBorders>
            <w:shd w:val="clear" w:color="auto" w:fill="CCFFCC"/>
          </w:tcPr>
          <w:p>
            <w:pPr>
              <w:jc w:val="right"/>
              <w:ind w:right="7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CCFFCC"/>
            </w:tcBorders>
            <w:shd w:val="clear" w:color="auto" w:fill="CCFFCC"/>
          </w:tcPr>
          <w:p>
            <w:pPr>
              <w:jc w:val="right"/>
              <w:ind w:right="21"/>
              <w:spacing w:after="0"/>
              <w:rPr>
                <w:sz w:val="20"/>
                <w:szCs w:val="20"/>
                <w:color w:val="auto"/>
              </w:rPr>
            </w:pPr>
            <w:r>
              <w:rPr>
                <w:rFonts w:ascii="Arial" w:cs="Arial" w:eastAsia="Arial" w:hAnsi="Arial"/>
                <w:sz w:val="16"/>
                <w:szCs w:val="16"/>
                <w:color w:val="auto"/>
              </w:rPr>
              <w:t>8,024</w:t>
            </w:r>
          </w:p>
        </w:tc>
        <w:tc>
          <w:tcPr>
            <w:tcW w:w="100" w:type="dxa"/>
            <w:vAlign w:val="bottom"/>
            <w:tcBorders>
              <w:top w:val="single" w:sz="8" w:color="CCFFCC"/>
              <w:bottom w:val="single" w:sz="8" w:color="CCFFCC"/>
            </w:tcBorders>
            <w:shd w:val="clear" w:color="auto" w:fill="CCFFCC"/>
          </w:tcPr>
          <w:p>
            <w:pPr>
              <w:spacing w:after="0"/>
              <w:rPr>
                <w:sz w:val="20"/>
                <w:szCs w:val="20"/>
                <w:color w:val="auto"/>
              </w:rPr>
            </w:pPr>
          </w:p>
        </w:tc>
        <w:tc>
          <w:tcPr>
            <w:tcW w:w="220" w:type="dxa"/>
            <w:vAlign w:val="bottom"/>
            <w:tcBorders>
              <w:top w:val="single" w:sz="8" w:color="auto"/>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CCFFCC"/>
            </w:tcBorders>
            <w:shd w:val="clear" w:color="auto" w:fill="CCFFCC"/>
          </w:tcPr>
          <w:p>
            <w:pPr>
              <w:jc w:val="right"/>
              <w:ind w:right="21"/>
              <w:spacing w:after="0"/>
              <w:rPr>
                <w:sz w:val="20"/>
                <w:szCs w:val="20"/>
                <w:color w:val="auto"/>
              </w:rPr>
            </w:pPr>
            <w:r>
              <w:rPr>
                <w:rFonts w:ascii="Arial" w:cs="Arial" w:eastAsia="Arial" w:hAnsi="Arial"/>
                <w:sz w:val="16"/>
                <w:szCs w:val="16"/>
                <w:color w:val="auto"/>
              </w:rPr>
              <w:t>80,322</w:t>
            </w: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Adjustments to goodwill:</w:t>
            </w: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674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Foreign exchange adjustment</w:t>
            </w:r>
          </w:p>
        </w:tc>
        <w:tc>
          <w:tcPr>
            <w:tcW w:w="300" w:type="dxa"/>
            <w:vAlign w:val="bottom"/>
            <w:tcBorders>
              <w:bottom w:val="single" w:sz="8" w:color="CCFFCC"/>
            </w:tcBorders>
            <w:shd w:val="clear" w:color="auto" w:fill="CCFFCC"/>
          </w:tcPr>
          <w:p>
            <w:pPr>
              <w:spacing w:after="0"/>
              <w:rPr>
                <w:sz w:val="23"/>
                <w:szCs w:val="23"/>
                <w:color w:val="auto"/>
              </w:rPr>
            </w:pPr>
          </w:p>
        </w:tc>
        <w:tc>
          <w:tcPr>
            <w:tcW w:w="1200" w:type="dxa"/>
            <w:vAlign w:val="bottom"/>
            <w:tcBorders>
              <w:bottom w:val="single" w:sz="8" w:color="CCFFCC"/>
            </w:tcBorders>
            <w:shd w:val="clear" w:color="auto" w:fill="CCFFCC"/>
          </w:tcPr>
          <w:p>
            <w:pPr>
              <w:jc w:val="right"/>
              <w:ind w:right="41"/>
              <w:spacing w:after="0"/>
              <w:rPr>
                <w:sz w:val="20"/>
                <w:szCs w:val="20"/>
                <w:color w:val="auto"/>
              </w:rPr>
            </w:pPr>
            <w:r>
              <w:rPr>
                <w:rFonts w:ascii="Arial" w:cs="Arial" w:eastAsia="Arial" w:hAnsi="Arial"/>
                <w:sz w:val="16"/>
                <w:szCs w:val="16"/>
                <w:color w:val="auto"/>
              </w:rPr>
              <w:t>59</w:t>
            </w:r>
          </w:p>
        </w:tc>
        <w:tc>
          <w:tcPr>
            <w:tcW w:w="120" w:type="dxa"/>
            <w:vAlign w:val="bottom"/>
            <w:tcBorders>
              <w:bottom w:val="single" w:sz="8" w:color="CCFFCC"/>
            </w:tcBorders>
            <w:shd w:val="clear" w:color="auto" w:fill="CCFFCC"/>
          </w:tcPr>
          <w:p>
            <w:pPr>
              <w:spacing w:after="0"/>
              <w:rPr>
                <w:sz w:val="23"/>
                <w:szCs w:val="23"/>
                <w:color w:val="auto"/>
              </w:rPr>
            </w:pPr>
          </w:p>
        </w:tc>
        <w:tc>
          <w:tcPr>
            <w:tcW w:w="260" w:type="dxa"/>
            <w:vAlign w:val="bottom"/>
            <w:tcBorders>
              <w:bottom w:val="single" w:sz="8" w:color="CCFFCC"/>
            </w:tcBorders>
            <w:shd w:val="clear" w:color="auto" w:fill="CCFFCC"/>
          </w:tcPr>
          <w:p>
            <w:pPr>
              <w:spacing w:after="0"/>
              <w:rPr>
                <w:sz w:val="23"/>
                <w:szCs w:val="23"/>
                <w:color w:val="auto"/>
              </w:rPr>
            </w:pPr>
          </w:p>
        </w:tc>
        <w:tc>
          <w:tcPr>
            <w:tcW w:w="1320" w:type="dxa"/>
            <w:vAlign w:val="bottom"/>
            <w:tcBorders>
              <w:bottom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FFCC"/>
            </w:tcBorders>
            <w:shd w:val="clear" w:color="auto" w:fill="CCFFCC"/>
          </w:tcPr>
          <w:p>
            <w:pPr>
              <w:spacing w:after="0"/>
              <w:rPr>
                <w:sz w:val="23"/>
                <w:szCs w:val="23"/>
                <w:color w:val="auto"/>
              </w:rPr>
            </w:pPr>
          </w:p>
        </w:tc>
        <w:tc>
          <w:tcPr>
            <w:tcW w:w="1240" w:type="dxa"/>
            <w:vAlign w:val="bottom"/>
            <w:tcBorders>
              <w:bottom w:val="single" w:sz="8" w:color="CCFFCC"/>
            </w:tcBorders>
            <w:shd w:val="clear" w:color="auto" w:fill="CCFFCC"/>
          </w:tcPr>
          <w:p>
            <w:pPr>
              <w:jc w:val="right"/>
              <w:ind w:right="21"/>
              <w:spacing w:after="0"/>
              <w:rPr>
                <w:sz w:val="20"/>
                <w:szCs w:val="20"/>
                <w:color w:val="auto"/>
              </w:rPr>
            </w:pPr>
            <w:r>
              <w:rPr>
                <w:rFonts w:ascii="Arial" w:cs="Arial" w:eastAsia="Arial" w:hAnsi="Arial"/>
                <w:sz w:val="16"/>
                <w:szCs w:val="16"/>
                <w:color w:val="auto"/>
              </w:rPr>
              <w:t>59</w:t>
            </w:r>
          </w:p>
        </w:tc>
      </w:tr>
      <w:tr>
        <w:trPr>
          <w:trHeight w:val="244"/>
        </w:trPr>
        <w:tc>
          <w:tcPr>
            <w:tcW w:w="6740" w:type="dxa"/>
            <w:vAlign w:val="bottom"/>
          </w:tcPr>
          <w:p>
            <w:pPr>
              <w:ind w:left="40"/>
              <w:spacing w:after="0"/>
              <w:rPr>
                <w:sz w:val="20"/>
                <w:szCs w:val="20"/>
                <w:color w:val="auto"/>
              </w:rPr>
            </w:pPr>
            <w:r>
              <w:rPr>
                <w:rFonts w:ascii="Arial" w:cs="Arial" w:eastAsia="Arial" w:hAnsi="Arial"/>
                <w:sz w:val="16"/>
                <w:szCs w:val="16"/>
                <w:color w:val="auto"/>
              </w:rPr>
              <w:t>Balance as of September 30, 2016</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72,357</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8,024</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80,381</w:t>
            </w:r>
          </w:p>
        </w:tc>
      </w:tr>
      <w:tr>
        <w:trPr>
          <w:trHeight w:val="20"/>
        </w:trPr>
        <w:tc>
          <w:tcPr>
            <w:tcW w:w="6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Intangible assets are summarized as follows (see Note 8) (amounts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rPr>
              <w:t>As of September 30, 2016</w:t>
            </w: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49"/>
        </w:trPr>
        <w:tc>
          <w:tcPr>
            <w:tcW w:w="6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9"/>
              </w:rPr>
              <w:t>Net Carrying</w:t>
            </w:r>
          </w:p>
        </w:tc>
        <w:tc>
          <w:tcPr>
            <w:tcW w:w="1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6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Carrying</w:t>
            </w:r>
          </w:p>
        </w:tc>
        <w:tc>
          <w:tcPr>
            <w:tcW w:w="1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Amortization</w:t>
            </w:r>
          </w:p>
        </w:tc>
        <w:tc>
          <w:tcPr>
            <w:tcW w:w="0" w:type="dxa"/>
            <w:vAlign w:val="bottom"/>
          </w:tcPr>
          <w:p>
            <w:pPr>
              <w:spacing w:after="0"/>
              <w:rPr>
                <w:sz w:val="1"/>
                <w:szCs w:val="1"/>
                <w:color w:val="auto"/>
              </w:rPr>
            </w:pPr>
          </w:p>
        </w:tc>
      </w:tr>
      <w:tr>
        <w:trPr>
          <w:trHeight w:val="192"/>
        </w:trPr>
        <w:tc>
          <w:tcPr>
            <w:tcW w:w="6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Amount</w:t>
            </w:r>
          </w:p>
        </w:tc>
        <w:tc>
          <w:tcPr>
            <w:tcW w:w="180" w:type="dxa"/>
            <w:vAlign w:val="bottom"/>
          </w:tcPr>
          <w:p>
            <w:pPr>
              <w:spacing w:after="0"/>
              <w:rPr>
                <w:sz w:val="16"/>
                <w:szCs w:val="16"/>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6"/>
                <w:szCs w:val="16"/>
                <w:color w:val="auto"/>
              </w:rPr>
            </w:pPr>
          </w:p>
        </w:tc>
        <w:tc>
          <w:tcPr>
            <w:tcW w:w="740" w:type="dxa"/>
            <w:vAlign w:val="bottom"/>
          </w:tcPr>
          <w:p>
            <w:pPr>
              <w:jc w:val="right"/>
              <w:ind w:right="10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250"/>
        </w:trPr>
        <w:tc>
          <w:tcPr>
            <w:tcW w:w="6860" w:type="dxa"/>
            <w:vAlign w:val="bottom"/>
            <w:tcBorders>
              <w:top w:val="single" w:sz="8" w:color="CCFFCC"/>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Amortizing intangible assets:</w:t>
            </w:r>
          </w:p>
        </w:tc>
        <w:tc>
          <w:tcPr>
            <w:tcW w:w="140" w:type="dxa"/>
            <w:vAlign w:val="bottom"/>
            <w:tcBorders>
              <w:top w:val="single" w:sz="8" w:color="auto"/>
              <w:bottom w:val="single" w:sz="8" w:color="CCFFCC"/>
            </w:tcBorders>
            <w:shd w:val="clear" w:color="auto" w:fill="CCFFCC"/>
          </w:tcPr>
          <w:p>
            <w:pPr>
              <w:spacing w:after="0"/>
              <w:rPr>
                <w:sz w:val="21"/>
                <w:szCs w:val="21"/>
                <w:color w:val="auto"/>
              </w:rPr>
            </w:pPr>
          </w:p>
        </w:tc>
        <w:tc>
          <w:tcPr>
            <w:tcW w:w="780" w:type="dxa"/>
            <w:vAlign w:val="bottom"/>
            <w:tcBorders>
              <w:top w:val="single" w:sz="8" w:color="auto"/>
              <w:bottom w:val="single" w:sz="8" w:color="CCFFCC"/>
            </w:tcBorders>
            <w:shd w:val="clear" w:color="auto" w:fill="CCFFCC"/>
          </w:tcPr>
          <w:p>
            <w:pPr>
              <w:spacing w:after="0"/>
              <w:rPr>
                <w:sz w:val="21"/>
                <w:szCs w:val="21"/>
                <w:color w:val="auto"/>
              </w:rPr>
            </w:pP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180" w:type="dxa"/>
            <w:vAlign w:val="bottom"/>
            <w:tcBorders>
              <w:top w:val="single" w:sz="8" w:color="auto"/>
              <w:bottom w:val="single" w:sz="8" w:color="CCFFCC"/>
            </w:tcBorders>
            <w:shd w:val="clear" w:color="auto" w:fill="CCFFCC"/>
          </w:tcPr>
          <w:p>
            <w:pPr>
              <w:spacing w:after="0"/>
              <w:rPr>
                <w:sz w:val="21"/>
                <w:szCs w:val="21"/>
                <w:color w:val="auto"/>
              </w:rPr>
            </w:pPr>
          </w:p>
        </w:tc>
        <w:tc>
          <w:tcPr>
            <w:tcW w:w="1080" w:type="dxa"/>
            <w:vAlign w:val="bottom"/>
            <w:tcBorders>
              <w:top w:val="single" w:sz="8" w:color="auto"/>
              <w:bottom w:val="single" w:sz="8" w:color="CCFFCC"/>
            </w:tcBorders>
            <w:shd w:val="clear" w:color="auto" w:fill="CCFFCC"/>
          </w:tcPr>
          <w:p>
            <w:pPr>
              <w:spacing w:after="0"/>
              <w:rPr>
                <w:sz w:val="21"/>
                <w:szCs w:val="21"/>
                <w:color w:val="auto"/>
              </w:rPr>
            </w:pP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140" w:type="dxa"/>
            <w:vAlign w:val="bottom"/>
            <w:tcBorders>
              <w:top w:val="single" w:sz="8" w:color="auto"/>
              <w:bottom w:val="single" w:sz="8" w:color="CCFFCC"/>
            </w:tcBorders>
            <w:shd w:val="clear" w:color="auto" w:fill="CCFFCC"/>
          </w:tcPr>
          <w:p>
            <w:pPr>
              <w:spacing w:after="0"/>
              <w:rPr>
                <w:sz w:val="21"/>
                <w:szCs w:val="21"/>
                <w:color w:val="auto"/>
              </w:rPr>
            </w:pPr>
          </w:p>
        </w:tc>
        <w:tc>
          <w:tcPr>
            <w:tcW w:w="740" w:type="dxa"/>
            <w:vAlign w:val="bottom"/>
            <w:tcBorders>
              <w:top w:val="single" w:sz="8" w:color="auto"/>
              <w:bottom w:val="single" w:sz="8" w:color="CCFFCC"/>
            </w:tcBorders>
            <w:shd w:val="clear" w:color="auto" w:fill="CCFFCC"/>
          </w:tcPr>
          <w:p>
            <w:pPr>
              <w:spacing w:after="0"/>
              <w:rPr>
                <w:sz w:val="21"/>
                <w:szCs w:val="21"/>
                <w:color w:val="auto"/>
              </w:rPr>
            </w:pP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1120" w:type="dxa"/>
            <w:vAlign w:val="bottom"/>
            <w:tcBorders>
              <w:top w:val="single" w:sz="8" w:color="auto"/>
              <w:bottom w:val="single" w:sz="8" w:color="CCFFCC"/>
            </w:tcBorders>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860" w:type="dxa"/>
            <w:vAlign w:val="bottom"/>
          </w:tcPr>
          <w:p>
            <w:pPr>
              <w:ind w:left="180"/>
              <w:spacing w:after="0"/>
              <w:rPr>
                <w:sz w:val="20"/>
                <w:szCs w:val="20"/>
                <w:color w:val="auto"/>
              </w:rPr>
            </w:pPr>
            <w:r>
              <w:rPr>
                <w:rFonts w:ascii="Arial" w:cs="Arial" w:eastAsia="Arial" w:hAnsi="Arial"/>
                <w:sz w:val="16"/>
                <w:szCs w:val="16"/>
                <w:color w:val="auto"/>
              </w:rPr>
              <w:t>Technology</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28,059</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(18,777)</w:t>
            </w:r>
          </w:p>
        </w:tc>
        <w:tc>
          <w:tcPr>
            <w:tcW w:w="12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9,282</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4.7 years</w:t>
            </w: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Customer relationships</w:t>
            </w:r>
          </w:p>
        </w:tc>
        <w:tc>
          <w:tcPr>
            <w:tcW w:w="140" w:type="dxa"/>
            <w:vAlign w:val="bottom"/>
            <w:tcBorders>
              <w:bottom w:val="single" w:sz="8" w:color="CCFFCC"/>
            </w:tcBorders>
            <w:shd w:val="clear" w:color="auto" w:fill="CCFFCC"/>
          </w:tcPr>
          <w:p>
            <w:pPr>
              <w:spacing w:after="0"/>
              <w:rPr>
                <w:sz w:val="21"/>
                <w:szCs w:val="21"/>
                <w:color w:val="auto"/>
              </w:rPr>
            </w:pPr>
          </w:p>
        </w:tc>
        <w:tc>
          <w:tcPr>
            <w:tcW w:w="780" w:type="dxa"/>
            <w:vAlign w:val="bottom"/>
            <w:tcBorders>
              <w:bottom w:val="single" w:sz="8" w:color="CCFFCC"/>
            </w:tcBorders>
            <w:shd w:val="clear" w:color="auto" w:fill="CCFFCC"/>
          </w:tcPr>
          <w:p>
            <w:pPr>
              <w:jc w:val="right"/>
              <w:ind w:right="42"/>
              <w:spacing w:after="0"/>
              <w:rPr>
                <w:sz w:val="20"/>
                <w:szCs w:val="20"/>
                <w:color w:val="auto"/>
              </w:rPr>
            </w:pPr>
            <w:r>
              <w:rPr>
                <w:rFonts w:ascii="Arial" w:cs="Arial" w:eastAsia="Arial" w:hAnsi="Arial"/>
                <w:sz w:val="16"/>
                <w:szCs w:val="16"/>
                <w:color w:val="auto"/>
              </w:rPr>
              <w:t>16,018</w:t>
            </w:r>
          </w:p>
        </w:tc>
        <w:tc>
          <w:tcPr>
            <w:tcW w:w="12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spacing w:after="0"/>
              <w:rPr>
                <w:sz w:val="21"/>
                <w:szCs w:val="21"/>
                <w:color w:val="auto"/>
              </w:rPr>
            </w:pPr>
          </w:p>
        </w:tc>
        <w:tc>
          <w:tcPr>
            <w:tcW w:w="10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(8,359)</w:t>
            </w: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74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7,659</w:t>
            </w:r>
          </w:p>
        </w:tc>
        <w:tc>
          <w:tcPr>
            <w:tcW w:w="120" w:type="dxa"/>
            <w:vAlign w:val="bottom"/>
            <w:tcBorders>
              <w:bottom w:val="single" w:sz="8" w:color="CCFFCC"/>
            </w:tcBorders>
            <w:shd w:val="clear" w:color="auto" w:fill="CCFFCC"/>
          </w:tcPr>
          <w:p>
            <w:pPr>
              <w:spacing w:after="0"/>
              <w:rPr>
                <w:sz w:val="21"/>
                <w:szCs w:val="21"/>
                <w:color w:val="auto"/>
              </w:rPr>
            </w:pPr>
          </w:p>
        </w:tc>
        <w:tc>
          <w:tcPr>
            <w:tcW w:w="11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5.8 years</w:t>
            </w:r>
          </w:p>
        </w:tc>
        <w:tc>
          <w:tcPr>
            <w:tcW w:w="0" w:type="dxa"/>
            <w:vAlign w:val="bottom"/>
          </w:tcPr>
          <w:p>
            <w:pPr>
              <w:spacing w:after="0"/>
              <w:rPr>
                <w:sz w:val="1"/>
                <w:szCs w:val="1"/>
                <w:color w:val="auto"/>
              </w:rPr>
            </w:pPr>
          </w:p>
        </w:tc>
      </w:tr>
      <w:tr>
        <w:trPr>
          <w:trHeight w:val="237"/>
        </w:trPr>
        <w:tc>
          <w:tcPr>
            <w:tcW w:w="6860" w:type="dxa"/>
            <w:vAlign w:val="bottom"/>
          </w:tcPr>
          <w:p>
            <w:pPr>
              <w:ind w:left="180"/>
              <w:spacing w:after="0"/>
              <w:rPr>
                <w:sz w:val="20"/>
                <w:szCs w:val="20"/>
                <w:color w:val="auto"/>
              </w:rPr>
            </w:pPr>
            <w:r>
              <w:rPr>
                <w:rFonts w:ascii="Arial" w:cs="Arial" w:eastAsia="Arial" w:hAnsi="Arial"/>
                <w:sz w:val="16"/>
                <w:szCs w:val="16"/>
                <w:color w:val="auto"/>
              </w:rPr>
              <w:t>Trade names</w:t>
            </w:r>
          </w:p>
        </w:tc>
        <w:tc>
          <w:tcPr>
            <w:tcW w:w="140" w:type="dxa"/>
            <w:vAlign w:val="bottom"/>
          </w:tcPr>
          <w:p>
            <w:pPr>
              <w:spacing w:after="0"/>
              <w:rPr>
                <w:sz w:val="20"/>
                <w:szCs w:val="20"/>
                <w:color w:val="auto"/>
              </w:rPr>
            </w:pP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1,298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(1,275)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2.6 years</w:t>
            </w: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Non-compete agreements</w:t>
            </w:r>
          </w:p>
        </w:tc>
        <w:tc>
          <w:tcPr>
            <w:tcW w:w="140" w:type="dxa"/>
            <w:vAlign w:val="bottom"/>
            <w:tcBorders>
              <w:bottom w:val="single" w:sz="8" w:color="CCFFCC"/>
            </w:tcBorders>
            <w:shd w:val="clear" w:color="auto" w:fill="CCFFCC"/>
          </w:tcPr>
          <w:p>
            <w:pPr>
              <w:spacing w:after="0"/>
              <w:rPr>
                <w:sz w:val="21"/>
                <w:szCs w:val="21"/>
                <w:color w:val="auto"/>
              </w:rPr>
            </w:pPr>
          </w:p>
        </w:tc>
        <w:tc>
          <w:tcPr>
            <w:tcW w:w="780" w:type="dxa"/>
            <w:vAlign w:val="bottom"/>
            <w:tcBorders>
              <w:bottom w:val="single" w:sz="8" w:color="CCFFCC"/>
            </w:tcBorders>
            <w:shd w:val="clear" w:color="auto" w:fill="CCFFCC"/>
          </w:tcPr>
          <w:p>
            <w:pPr>
              <w:jc w:val="right"/>
              <w:ind w:right="42"/>
              <w:spacing w:after="0"/>
              <w:rPr>
                <w:sz w:val="20"/>
                <w:szCs w:val="20"/>
                <w:color w:val="auto"/>
              </w:rPr>
            </w:pPr>
            <w:r>
              <w:rPr>
                <w:rFonts w:ascii="Arial" w:cs="Arial" w:eastAsia="Arial" w:hAnsi="Arial"/>
                <w:sz w:val="16"/>
                <w:szCs w:val="16"/>
                <w:color w:val="auto"/>
              </w:rPr>
              <w:t>1,448</w:t>
            </w:r>
          </w:p>
        </w:tc>
        <w:tc>
          <w:tcPr>
            <w:tcW w:w="12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spacing w:after="0"/>
              <w:rPr>
                <w:sz w:val="21"/>
                <w:szCs w:val="21"/>
                <w:color w:val="auto"/>
              </w:rPr>
            </w:pPr>
          </w:p>
        </w:tc>
        <w:tc>
          <w:tcPr>
            <w:tcW w:w="10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(1,149)</w:t>
            </w: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74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299</w:t>
            </w:r>
          </w:p>
        </w:tc>
        <w:tc>
          <w:tcPr>
            <w:tcW w:w="120" w:type="dxa"/>
            <w:vAlign w:val="bottom"/>
            <w:tcBorders>
              <w:bottom w:val="single" w:sz="8" w:color="CCFFCC"/>
            </w:tcBorders>
            <w:shd w:val="clear" w:color="auto" w:fill="CCFFCC"/>
          </w:tcPr>
          <w:p>
            <w:pPr>
              <w:spacing w:after="0"/>
              <w:rPr>
                <w:sz w:val="21"/>
                <w:szCs w:val="21"/>
                <w:color w:val="auto"/>
              </w:rPr>
            </w:pPr>
          </w:p>
        </w:tc>
        <w:tc>
          <w:tcPr>
            <w:tcW w:w="11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1.7 years</w:t>
            </w:r>
          </w:p>
        </w:tc>
        <w:tc>
          <w:tcPr>
            <w:tcW w:w="0" w:type="dxa"/>
            <w:vAlign w:val="bottom"/>
          </w:tcPr>
          <w:p>
            <w:pPr>
              <w:spacing w:after="0"/>
              <w:rPr>
                <w:sz w:val="1"/>
                <w:szCs w:val="1"/>
                <w:color w:val="auto"/>
              </w:rPr>
            </w:pPr>
          </w:p>
        </w:tc>
      </w:tr>
      <w:tr>
        <w:trPr>
          <w:trHeight w:val="237"/>
        </w:trPr>
        <w:tc>
          <w:tcPr>
            <w:tcW w:w="6860" w:type="dxa"/>
            <w:vAlign w:val="bottom"/>
          </w:tcPr>
          <w:p>
            <w:pPr>
              <w:ind w:left="180"/>
              <w:spacing w:after="0"/>
              <w:rPr>
                <w:sz w:val="20"/>
                <w:szCs w:val="20"/>
                <w:color w:val="auto"/>
              </w:rPr>
            </w:pPr>
            <w:r>
              <w:rPr>
                <w:rFonts w:ascii="Arial" w:cs="Arial" w:eastAsia="Arial" w:hAnsi="Arial"/>
                <w:sz w:val="16"/>
                <w:szCs w:val="16"/>
                <w:color w:val="auto"/>
              </w:rPr>
              <w:t>Patents</w:t>
            </w:r>
          </w:p>
        </w:tc>
        <w:tc>
          <w:tcPr>
            <w:tcW w:w="140" w:type="dxa"/>
            <w:vAlign w:val="bottom"/>
          </w:tcPr>
          <w:p>
            <w:pPr>
              <w:spacing w:after="0"/>
              <w:rPr>
                <w:sz w:val="20"/>
                <w:szCs w:val="20"/>
                <w:color w:val="auto"/>
              </w:rPr>
            </w:pP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3,851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(1,129)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2,722</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10.4 years</w:t>
            </w: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Other</w:t>
            </w:r>
          </w:p>
        </w:tc>
        <w:tc>
          <w:tcPr>
            <w:tcW w:w="140" w:type="dxa"/>
            <w:vAlign w:val="bottom"/>
            <w:tcBorders>
              <w:bottom w:val="single" w:sz="8" w:color="CCFFCC"/>
            </w:tcBorders>
            <w:shd w:val="clear" w:color="auto" w:fill="CCFFCC"/>
          </w:tcPr>
          <w:p>
            <w:pPr>
              <w:spacing w:after="0"/>
              <w:rPr>
                <w:sz w:val="23"/>
                <w:szCs w:val="23"/>
                <w:color w:val="auto"/>
              </w:rPr>
            </w:pPr>
          </w:p>
        </w:tc>
        <w:tc>
          <w:tcPr>
            <w:tcW w:w="780" w:type="dxa"/>
            <w:vAlign w:val="bottom"/>
            <w:tcBorders>
              <w:bottom w:val="single" w:sz="8" w:color="CCFFCC"/>
            </w:tcBorders>
            <w:shd w:val="clear" w:color="auto" w:fill="CCFFCC"/>
          </w:tcPr>
          <w:p>
            <w:pPr>
              <w:jc w:val="right"/>
              <w:ind w:right="42"/>
              <w:spacing w:after="0"/>
              <w:rPr>
                <w:sz w:val="20"/>
                <w:szCs w:val="20"/>
                <w:color w:val="auto"/>
              </w:rPr>
            </w:pPr>
            <w:r>
              <w:rPr>
                <w:rFonts w:ascii="Arial" w:cs="Arial" w:eastAsia="Arial" w:hAnsi="Arial"/>
                <w:sz w:val="16"/>
                <w:szCs w:val="16"/>
                <w:color w:val="auto"/>
              </w:rPr>
              <w:t>262</w:t>
            </w:r>
          </w:p>
        </w:tc>
        <w:tc>
          <w:tcPr>
            <w:tcW w:w="120" w:type="dxa"/>
            <w:vAlign w:val="bottom"/>
            <w:tcBorders>
              <w:bottom w:val="single" w:sz="8" w:color="CCFFCC"/>
            </w:tcBorders>
            <w:shd w:val="clear" w:color="auto" w:fill="CCFFCC"/>
          </w:tcPr>
          <w:p>
            <w:pPr>
              <w:spacing w:after="0"/>
              <w:rPr>
                <w:sz w:val="23"/>
                <w:szCs w:val="23"/>
                <w:color w:val="auto"/>
              </w:rPr>
            </w:pPr>
          </w:p>
        </w:tc>
        <w:tc>
          <w:tcPr>
            <w:tcW w:w="180" w:type="dxa"/>
            <w:vAlign w:val="bottom"/>
            <w:tcBorders>
              <w:bottom w:val="single" w:sz="8" w:color="CCFFCC"/>
            </w:tcBorders>
            <w:shd w:val="clear" w:color="auto" w:fill="CCFFCC"/>
          </w:tcPr>
          <w:p>
            <w:pPr>
              <w:spacing w:after="0"/>
              <w:rPr>
                <w:sz w:val="23"/>
                <w:szCs w:val="23"/>
                <w:color w:val="auto"/>
              </w:rPr>
            </w:pPr>
          </w:p>
        </w:tc>
        <w:tc>
          <w:tcPr>
            <w:tcW w:w="10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(235)</w:t>
            </w:r>
          </w:p>
        </w:tc>
        <w:tc>
          <w:tcPr>
            <w:tcW w:w="120" w:type="dxa"/>
            <w:vAlign w:val="bottom"/>
            <w:tcBorders>
              <w:bottom w:val="single" w:sz="8" w:color="CCFFCC"/>
            </w:tcBorders>
            <w:shd w:val="clear" w:color="auto" w:fill="CCFFCC"/>
          </w:tcPr>
          <w:p>
            <w:pPr>
              <w:spacing w:after="0"/>
              <w:rPr>
                <w:sz w:val="23"/>
                <w:szCs w:val="23"/>
                <w:color w:val="auto"/>
              </w:rPr>
            </w:pPr>
          </w:p>
        </w:tc>
        <w:tc>
          <w:tcPr>
            <w:tcW w:w="140" w:type="dxa"/>
            <w:vAlign w:val="bottom"/>
            <w:tcBorders>
              <w:bottom w:val="single" w:sz="8" w:color="CCFFCC"/>
            </w:tcBorders>
            <w:shd w:val="clear" w:color="auto" w:fill="CCFFCC"/>
          </w:tcPr>
          <w:p>
            <w:pPr>
              <w:spacing w:after="0"/>
              <w:rPr>
                <w:sz w:val="23"/>
                <w:szCs w:val="23"/>
                <w:color w:val="auto"/>
              </w:rPr>
            </w:pPr>
          </w:p>
        </w:tc>
        <w:tc>
          <w:tcPr>
            <w:tcW w:w="74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27</w:t>
            </w:r>
          </w:p>
        </w:tc>
        <w:tc>
          <w:tcPr>
            <w:tcW w:w="120" w:type="dxa"/>
            <w:vAlign w:val="bottom"/>
            <w:tcBorders>
              <w:bottom w:val="single" w:sz="8" w:color="CCFFCC"/>
            </w:tcBorders>
            <w:shd w:val="clear" w:color="auto" w:fill="CCFFCC"/>
          </w:tcPr>
          <w:p>
            <w:pPr>
              <w:spacing w:after="0"/>
              <w:rPr>
                <w:sz w:val="23"/>
                <w:szCs w:val="23"/>
                <w:color w:val="auto"/>
              </w:rPr>
            </w:pPr>
          </w:p>
        </w:tc>
        <w:tc>
          <w:tcPr>
            <w:tcW w:w="11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3.0 years</w:t>
            </w:r>
          </w:p>
        </w:tc>
        <w:tc>
          <w:tcPr>
            <w:tcW w:w="0" w:type="dxa"/>
            <w:vAlign w:val="bottom"/>
          </w:tcPr>
          <w:p>
            <w:pPr>
              <w:spacing w:after="0"/>
              <w:rPr>
                <w:sz w:val="1"/>
                <w:szCs w:val="1"/>
                <w:color w:val="auto"/>
              </w:rPr>
            </w:pPr>
          </w:p>
        </w:tc>
      </w:tr>
      <w:tr>
        <w:trPr>
          <w:trHeight w:val="244"/>
        </w:trPr>
        <w:tc>
          <w:tcPr>
            <w:tcW w:w="6860" w:type="dxa"/>
            <w:vAlign w:val="bottom"/>
          </w:tcPr>
          <w:p>
            <w:pPr>
              <w:ind w:left="280"/>
              <w:spacing w:after="0"/>
              <w:rPr>
                <w:sz w:val="20"/>
                <w:szCs w:val="20"/>
                <w:color w:val="auto"/>
              </w:rPr>
            </w:pPr>
            <w:r>
              <w:rPr>
                <w:rFonts w:ascii="Arial" w:cs="Arial" w:eastAsia="Arial" w:hAnsi="Arial"/>
                <w:sz w:val="16"/>
                <w:szCs w:val="16"/>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50,936</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(30,924)</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20,012</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68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b w:val="1"/>
                <w:bCs w:val="1"/>
                <w:color w:val="auto"/>
              </w:rPr>
              <w:t>As of December 31, 2015</w:t>
            </w: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6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49"/>
        </w:trPr>
        <w:tc>
          <w:tcPr>
            <w:tcW w:w="6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9"/>
              </w:rPr>
              <w:t>Net Carrying</w:t>
            </w:r>
          </w:p>
        </w:tc>
        <w:tc>
          <w:tcPr>
            <w:tcW w:w="1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6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Carrying</w:t>
            </w:r>
          </w:p>
        </w:tc>
        <w:tc>
          <w:tcPr>
            <w:tcW w:w="1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Amortization</w:t>
            </w:r>
          </w:p>
        </w:tc>
        <w:tc>
          <w:tcPr>
            <w:tcW w:w="0" w:type="dxa"/>
            <w:vAlign w:val="bottom"/>
          </w:tcPr>
          <w:p>
            <w:pPr>
              <w:spacing w:after="0"/>
              <w:rPr>
                <w:sz w:val="1"/>
                <w:szCs w:val="1"/>
                <w:color w:val="auto"/>
              </w:rPr>
            </w:pPr>
          </w:p>
        </w:tc>
      </w:tr>
      <w:tr>
        <w:trPr>
          <w:trHeight w:val="192"/>
        </w:trPr>
        <w:tc>
          <w:tcPr>
            <w:tcW w:w="6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Amount</w:t>
            </w:r>
          </w:p>
        </w:tc>
        <w:tc>
          <w:tcPr>
            <w:tcW w:w="180" w:type="dxa"/>
            <w:vAlign w:val="bottom"/>
          </w:tcPr>
          <w:p>
            <w:pPr>
              <w:spacing w:after="0"/>
              <w:rPr>
                <w:sz w:val="16"/>
                <w:szCs w:val="16"/>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6"/>
                <w:szCs w:val="16"/>
                <w:color w:val="auto"/>
              </w:rPr>
            </w:pPr>
          </w:p>
        </w:tc>
        <w:tc>
          <w:tcPr>
            <w:tcW w:w="740" w:type="dxa"/>
            <w:vAlign w:val="bottom"/>
          </w:tcPr>
          <w:p>
            <w:pPr>
              <w:jc w:val="right"/>
              <w:ind w:right="10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250"/>
        </w:trPr>
        <w:tc>
          <w:tcPr>
            <w:tcW w:w="6860" w:type="dxa"/>
            <w:vAlign w:val="bottom"/>
            <w:tcBorders>
              <w:top w:val="single" w:sz="8" w:color="CCFFCC"/>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Amortizing intangible assets:</w:t>
            </w:r>
          </w:p>
        </w:tc>
        <w:tc>
          <w:tcPr>
            <w:tcW w:w="140" w:type="dxa"/>
            <w:vAlign w:val="bottom"/>
            <w:tcBorders>
              <w:top w:val="single" w:sz="8" w:color="auto"/>
              <w:bottom w:val="single" w:sz="8" w:color="CCFFCC"/>
            </w:tcBorders>
            <w:shd w:val="clear" w:color="auto" w:fill="CCFFCC"/>
          </w:tcPr>
          <w:p>
            <w:pPr>
              <w:spacing w:after="0"/>
              <w:rPr>
                <w:sz w:val="21"/>
                <w:szCs w:val="21"/>
                <w:color w:val="auto"/>
              </w:rPr>
            </w:pPr>
          </w:p>
        </w:tc>
        <w:tc>
          <w:tcPr>
            <w:tcW w:w="780" w:type="dxa"/>
            <w:vAlign w:val="bottom"/>
            <w:tcBorders>
              <w:top w:val="single" w:sz="8" w:color="auto"/>
              <w:bottom w:val="single" w:sz="8" w:color="CCFFCC"/>
            </w:tcBorders>
            <w:shd w:val="clear" w:color="auto" w:fill="CCFFCC"/>
          </w:tcPr>
          <w:p>
            <w:pPr>
              <w:spacing w:after="0"/>
              <w:rPr>
                <w:sz w:val="21"/>
                <w:szCs w:val="21"/>
                <w:color w:val="auto"/>
              </w:rPr>
            </w:pP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180" w:type="dxa"/>
            <w:vAlign w:val="bottom"/>
            <w:tcBorders>
              <w:top w:val="single" w:sz="8" w:color="auto"/>
              <w:bottom w:val="single" w:sz="8" w:color="CCFFCC"/>
            </w:tcBorders>
            <w:shd w:val="clear" w:color="auto" w:fill="CCFFCC"/>
          </w:tcPr>
          <w:p>
            <w:pPr>
              <w:spacing w:after="0"/>
              <w:rPr>
                <w:sz w:val="21"/>
                <w:szCs w:val="21"/>
                <w:color w:val="auto"/>
              </w:rPr>
            </w:pPr>
          </w:p>
        </w:tc>
        <w:tc>
          <w:tcPr>
            <w:tcW w:w="1080" w:type="dxa"/>
            <w:vAlign w:val="bottom"/>
            <w:tcBorders>
              <w:top w:val="single" w:sz="8" w:color="auto"/>
              <w:bottom w:val="single" w:sz="8" w:color="CCFFCC"/>
            </w:tcBorders>
            <w:shd w:val="clear" w:color="auto" w:fill="CCFFCC"/>
          </w:tcPr>
          <w:p>
            <w:pPr>
              <w:spacing w:after="0"/>
              <w:rPr>
                <w:sz w:val="21"/>
                <w:szCs w:val="21"/>
                <w:color w:val="auto"/>
              </w:rPr>
            </w:pP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140" w:type="dxa"/>
            <w:vAlign w:val="bottom"/>
            <w:tcBorders>
              <w:top w:val="single" w:sz="8" w:color="auto"/>
              <w:bottom w:val="single" w:sz="8" w:color="CCFFCC"/>
            </w:tcBorders>
            <w:shd w:val="clear" w:color="auto" w:fill="CCFFCC"/>
          </w:tcPr>
          <w:p>
            <w:pPr>
              <w:spacing w:after="0"/>
              <w:rPr>
                <w:sz w:val="21"/>
                <w:szCs w:val="21"/>
                <w:color w:val="auto"/>
              </w:rPr>
            </w:pPr>
          </w:p>
        </w:tc>
        <w:tc>
          <w:tcPr>
            <w:tcW w:w="740" w:type="dxa"/>
            <w:vAlign w:val="bottom"/>
            <w:tcBorders>
              <w:top w:val="single" w:sz="8" w:color="auto"/>
              <w:bottom w:val="single" w:sz="8" w:color="CCFFCC"/>
            </w:tcBorders>
            <w:shd w:val="clear" w:color="auto" w:fill="CCFFCC"/>
          </w:tcPr>
          <w:p>
            <w:pPr>
              <w:spacing w:after="0"/>
              <w:rPr>
                <w:sz w:val="21"/>
                <w:szCs w:val="21"/>
                <w:color w:val="auto"/>
              </w:rPr>
            </w:pP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1120" w:type="dxa"/>
            <w:vAlign w:val="bottom"/>
            <w:tcBorders>
              <w:top w:val="single" w:sz="8" w:color="auto"/>
              <w:bottom w:val="single" w:sz="8" w:color="CCFFCC"/>
            </w:tcBorders>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860" w:type="dxa"/>
            <w:vAlign w:val="bottom"/>
          </w:tcPr>
          <w:p>
            <w:pPr>
              <w:ind w:left="180"/>
              <w:spacing w:after="0"/>
              <w:rPr>
                <w:sz w:val="20"/>
                <w:szCs w:val="20"/>
                <w:color w:val="auto"/>
              </w:rPr>
            </w:pPr>
            <w:r>
              <w:rPr>
                <w:rFonts w:ascii="Arial" w:cs="Arial" w:eastAsia="Arial" w:hAnsi="Arial"/>
                <w:sz w:val="16"/>
                <w:szCs w:val="16"/>
                <w:color w:val="auto"/>
              </w:rPr>
              <w:t>Technology</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28,005</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(15,723)</w:t>
            </w:r>
          </w:p>
        </w:tc>
        <w:tc>
          <w:tcPr>
            <w:tcW w:w="12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12,282</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4.7 years</w:t>
            </w: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Customer relationships</w:t>
            </w:r>
          </w:p>
        </w:tc>
        <w:tc>
          <w:tcPr>
            <w:tcW w:w="140" w:type="dxa"/>
            <w:vAlign w:val="bottom"/>
            <w:tcBorders>
              <w:bottom w:val="single" w:sz="8" w:color="CCFFCC"/>
            </w:tcBorders>
            <w:shd w:val="clear" w:color="auto" w:fill="CCFFCC"/>
          </w:tcPr>
          <w:p>
            <w:pPr>
              <w:spacing w:after="0"/>
              <w:rPr>
                <w:sz w:val="21"/>
                <w:szCs w:val="21"/>
                <w:color w:val="auto"/>
              </w:rPr>
            </w:pPr>
          </w:p>
        </w:tc>
        <w:tc>
          <w:tcPr>
            <w:tcW w:w="780" w:type="dxa"/>
            <w:vAlign w:val="bottom"/>
            <w:tcBorders>
              <w:bottom w:val="single" w:sz="8" w:color="CCFFCC"/>
            </w:tcBorders>
            <w:shd w:val="clear" w:color="auto" w:fill="CCFFCC"/>
          </w:tcPr>
          <w:p>
            <w:pPr>
              <w:jc w:val="right"/>
              <w:ind w:right="42"/>
              <w:spacing w:after="0"/>
              <w:rPr>
                <w:sz w:val="20"/>
                <w:szCs w:val="20"/>
                <w:color w:val="auto"/>
              </w:rPr>
            </w:pPr>
            <w:r>
              <w:rPr>
                <w:rFonts w:ascii="Arial" w:cs="Arial" w:eastAsia="Arial" w:hAnsi="Arial"/>
                <w:sz w:val="16"/>
                <w:szCs w:val="16"/>
                <w:color w:val="auto"/>
              </w:rPr>
              <w:t>16,008</w:t>
            </w:r>
          </w:p>
        </w:tc>
        <w:tc>
          <w:tcPr>
            <w:tcW w:w="12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spacing w:after="0"/>
              <w:rPr>
                <w:sz w:val="21"/>
                <w:szCs w:val="21"/>
                <w:color w:val="auto"/>
              </w:rPr>
            </w:pPr>
          </w:p>
        </w:tc>
        <w:tc>
          <w:tcPr>
            <w:tcW w:w="10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(6,873)</w:t>
            </w: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74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9,135</w:t>
            </w:r>
          </w:p>
        </w:tc>
        <w:tc>
          <w:tcPr>
            <w:tcW w:w="120" w:type="dxa"/>
            <w:vAlign w:val="bottom"/>
            <w:tcBorders>
              <w:bottom w:val="single" w:sz="8" w:color="CCFFCC"/>
            </w:tcBorders>
            <w:shd w:val="clear" w:color="auto" w:fill="CCFFCC"/>
          </w:tcPr>
          <w:p>
            <w:pPr>
              <w:spacing w:after="0"/>
              <w:rPr>
                <w:sz w:val="21"/>
                <w:szCs w:val="21"/>
                <w:color w:val="auto"/>
              </w:rPr>
            </w:pPr>
          </w:p>
        </w:tc>
        <w:tc>
          <w:tcPr>
            <w:tcW w:w="11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5.8 years</w:t>
            </w:r>
          </w:p>
        </w:tc>
        <w:tc>
          <w:tcPr>
            <w:tcW w:w="0" w:type="dxa"/>
            <w:vAlign w:val="bottom"/>
          </w:tcPr>
          <w:p>
            <w:pPr>
              <w:spacing w:after="0"/>
              <w:rPr>
                <w:sz w:val="1"/>
                <w:szCs w:val="1"/>
                <w:color w:val="auto"/>
              </w:rPr>
            </w:pPr>
          </w:p>
        </w:tc>
      </w:tr>
      <w:tr>
        <w:trPr>
          <w:trHeight w:val="237"/>
        </w:trPr>
        <w:tc>
          <w:tcPr>
            <w:tcW w:w="6860" w:type="dxa"/>
            <w:vAlign w:val="bottom"/>
          </w:tcPr>
          <w:p>
            <w:pPr>
              <w:ind w:left="180"/>
              <w:spacing w:after="0"/>
              <w:rPr>
                <w:sz w:val="20"/>
                <w:szCs w:val="20"/>
                <w:color w:val="auto"/>
              </w:rPr>
            </w:pPr>
            <w:r>
              <w:rPr>
                <w:rFonts w:ascii="Arial" w:cs="Arial" w:eastAsia="Arial" w:hAnsi="Arial"/>
                <w:sz w:val="16"/>
                <w:szCs w:val="16"/>
                <w:color w:val="auto"/>
              </w:rPr>
              <w:t>Trade names</w:t>
            </w:r>
          </w:p>
        </w:tc>
        <w:tc>
          <w:tcPr>
            <w:tcW w:w="140" w:type="dxa"/>
            <w:vAlign w:val="bottom"/>
          </w:tcPr>
          <w:p>
            <w:pPr>
              <w:spacing w:after="0"/>
              <w:rPr>
                <w:sz w:val="20"/>
                <w:szCs w:val="20"/>
                <w:color w:val="auto"/>
              </w:rPr>
            </w:pP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1,287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(1,250)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2.6 years</w:t>
            </w: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Non-compete agreements</w:t>
            </w:r>
          </w:p>
        </w:tc>
        <w:tc>
          <w:tcPr>
            <w:tcW w:w="140" w:type="dxa"/>
            <w:vAlign w:val="bottom"/>
            <w:tcBorders>
              <w:bottom w:val="single" w:sz="8" w:color="CCFFCC"/>
            </w:tcBorders>
            <w:shd w:val="clear" w:color="auto" w:fill="CCFFCC"/>
          </w:tcPr>
          <w:p>
            <w:pPr>
              <w:spacing w:after="0"/>
              <w:rPr>
                <w:sz w:val="21"/>
                <w:szCs w:val="21"/>
                <w:color w:val="auto"/>
              </w:rPr>
            </w:pPr>
          </w:p>
        </w:tc>
        <w:tc>
          <w:tcPr>
            <w:tcW w:w="780" w:type="dxa"/>
            <w:vAlign w:val="bottom"/>
            <w:tcBorders>
              <w:bottom w:val="single" w:sz="8" w:color="CCFFCC"/>
            </w:tcBorders>
            <w:shd w:val="clear" w:color="auto" w:fill="CCFFCC"/>
          </w:tcPr>
          <w:p>
            <w:pPr>
              <w:jc w:val="right"/>
              <w:ind w:right="42"/>
              <w:spacing w:after="0"/>
              <w:rPr>
                <w:sz w:val="20"/>
                <w:szCs w:val="20"/>
                <w:color w:val="auto"/>
              </w:rPr>
            </w:pPr>
            <w:r>
              <w:rPr>
                <w:rFonts w:ascii="Arial" w:cs="Arial" w:eastAsia="Arial" w:hAnsi="Arial"/>
                <w:sz w:val="16"/>
                <w:szCs w:val="16"/>
                <w:color w:val="auto"/>
              </w:rPr>
              <w:t>1,446</w:t>
            </w:r>
          </w:p>
        </w:tc>
        <w:tc>
          <w:tcPr>
            <w:tcW w:w="12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spacing w:after="0"/>
              <w:rPr>
                <w:sz w:val="21"/>
                <w:szCs w:val="21"/>
                <w:color w:val="auto"/>
              </w:rPr>
            </w:pPr>
          </w:p>
        </w:tc>
        <w:tc>
          <w:tcPr>
            <w:tcW w:w="10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(936)</w:t>
            </w: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74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510</w:t>
            </w:r>
          </w:p>
        </w:tc>
        <w:tc>
          <w:tcPr>
            <w:tcW w:w="120" w:type="dxa"/>
            <w:vAlign w:val="bottom"/>
            <w:tcBorders>
              <w:bottom w:val="single" w:sz="8" w:color="CCFFCC"/>
            </w:tcBorders>
            <w:shd w:val="clear" w:color="auto" w:fill="CCFFCC"/>
          </w:tcPr>
          <w:p>
            <w:pPr>
              <w:spacing w:after="0"/>
              <w:rPr>
                <w:sz w:val="21"/>
                <w:szCs w:val="21"/>
                <w:color w:val="auto"/>
              </w:rPr>
            </w:pPr>
          </w:p>
        </w:tc>
        <w:tc>
          <w:tcPr>
            <w:tcW w:w="11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1.7 years</w:t>
            </w:r>
          </w:p>
        </w:tc>
        <w:tc>
          <w:tcPr>
            <w:tcW w:w="0" w:type="dxa"/>
            <w:vAlign w:val="bottom"/>
          </w:tcPr>
          <w:p>
            <w:pPr>
              <w:spacing w:after="0"/>
              <w:rPr>
                <w:sz w:val="1"/>
                <w:szCs w:val="1"/>
                <w:color w:val="auto"/>
              </w:rPr>
            </w:pPr>
          </w:p>
        </w:tc>
      </w:tr>
      <w:tr>
        <w:trPr>
          <w:trHeight w:val="237"/>
        </w:trPr>
        <w:tc>
          <w:tcPr>
            <w:tcW w:w="6860" w:type="dxa"/>
            <w:vAlign w:val="bottom"/>
          </w:tcPr>
          <w:p>
            <w:pPr>
              <w:ind w:left="180"/>
              <w:spacing w:after="0"/>
              <w:rPr>
                <w:sz w:val="20"/>
                <w:szCs w:val="20"/>
                <w:color w:val="auto"/>
              </w:rPr>
            </w:pPr>
            <w:r>
              <w:rPr>
                <w:rFonts w:ascii="Arial" w:cs="Arial" w:eastAsia="Arial" w:hAnsi="Arial"/>
                <w:sz w:val="16"/>
                <w:szCs w:val="16"/>
                <w:color w:val="auto"/>
              </w:rPr>
              <w:t>Patents</w:t>
            </w:r>
          </w:p>
        </w:tc>
        <w:tc>
          <w:tcPr>
            <w:tcW w:w="140" w:type="dxa"/>
            <w:vAlign w:val="bottom"/>
          </w:tcPr>
          <w:p>
            <w:pPr>
              <w:spacing w:after="0"/>
              <w:rPr>
                <w:sz w:val="20"/>
                <w:szCs w:val="20"/>
                <w:color w:val="auto"/>
              </w:rPr>
            </w:pP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3,440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(848)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2,592</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9.3 years</w:t>
            </w: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Other</w:t>
            </w:r>
          </w:p>
        </w:tc>
        <w:tc>
          <w:tcPr>
            <w:tcW w:w="140" w:type="dxa"/>
            <w:vAlign w:val="bottom"/>
            <w:tcBorders>
              <w:bottom w:val="single" w:sz="8" w:color="CCFFCC"/>
            </w:tcBorders>
            <w:shd w:val="clear" w:color="auto" w:fill="CCFFCC"/>
          </w:tcPr>
          <w:p>
            <w:pPr>
              <w:spacing w:after="0"/>
              <w:rPr>
                <w:sz w:val="23"/>
                <w:szCs w:val="23"/>
                <w:color w:val="auto"/>
              </w:rPr>
            </w:pPr>
          </w:p>
        </w:tc>
        <w:tc>
          <w:tcPr>
            <w:tcW w:w="780" w:type="dxa"/>
            <w:vAlign w:val="bottom"/>
            <w:tcBorders>
              <w:bottom w:val="single" w:sz="8" w:color="CCFFCC"/>
            </w:tcBorders>
            <w:shd w:val="clear" w:color="auto" w:fill="CCFFCC"/>
          </w:tcPr>
          <w:p>
            <w:pPr>
              <w:jc w:val="right"/>
              <w:ind w:right="42"/>
              <w:spacing w:after="0"/>
              <w:rPr>
                <w:sz w:val="20"/>
                <w:szCs w:val="20"/>
                <w:color w:val="auto"/>
              </w:rPr>
            </w:pPr>
            <w:r>
              <w:rPr>
                <w:rFonts w:ascii="Arial" w:cs="Arial" w:eastAsia="Arial" w:hAnsi="Arial"/>
                <w:sz w:val="16"/>
                <w:szCs w:val="16"/>
                <w:color w:val="auto"/>
              </w:rPr>
              <w:t>312</w:t>
            </w:r>
          </w:p>
        </w:tc>
        <w:tc>
          <w:tcPr>
            <w:tcW w:w="120" w:type="dxa"/>
            <w:vAlign w:val="bottom"/>
            <w:tcBorders>
              <w:bottom w:val="single" w:sz="8" w:color="CCFFCC"/>
            </w:tcBorders>
            <w:shd w:val="clear" w:color="auto" w:fill="CCFFCC"/>
          </w:tcPr>
          <w:p>
            <w:pPr>
              <w:spacing w:after="0"/>
              <w:rPr>
                <w:sz w:val="23"/>
                <w:szCs w:val="23"/>
                <w:color w:val="auto"/>
              </w:rPr>
            </w:pPr>
          </w:p>
        </w:tc>
        <w:tc>
          <w:tcPr>
            <w:tcW w:w="180" w:type="dxa"/>
            <w:vAlign w:val="bottom"/>
            <w:tcBorders>
              <w:bottom w:val="single" w:sz="8" w:color="CCFFCC"/>
            </w:tcBorders>
            <w:shd w:val="clear" w:color="auto" w:fill="CCFFCC"/>
          </w:tcPr>
          <w:p>
            <w:pPr>
              <w:spacing w:after="0"/>
              <w:rPr>
                <w:sz w:val="23"/>
                <w:szCs w:val="23"/>
                <w:color w:val="auto"/>
              </w:rPr>
            </w:pPr>
          </w:p>
        </w:tc>
        <w:tc>
          <w:tcPr>
            <w:tcW w:w="10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(249)</w:t>
            </w:r>
          </w:p>
        </w:tc>
        <w:tc>
          <w:tcPr>
            <w:tcW w:w="120" w:type="dxa"/>
            <w:vAlign w:val="bottom"/>
            <w:tcBorders>
              <w:bottom w:val="single" w:sz="8" w:color="CCFFCC"/>
            </w:tcBorders>
            <w:shd w:val="clear" w:color="auto" w:fill="CCFFCC"/>
          </w:tcPr>
          <w:p>
            <w:pPr>
              <w:spacing w:after="0"/>
              <w:rPr>
                <w:sz w:val="23"/>
                <w:szCs w:val="23"/>
                <w:color w:val="auto"/>
              </w:rPr>
            </w:pPr>
          </w:p>
        </w:tc>
        <w:tc>
          <w:tcPr>
            <w:tcW w:w="140" w:type="dxa"/>
            <w:vAlign w:val="bottom"/>
            <w:tcBorders>
              <w:bottom w:val="single" w:sz="8" w:color="CCFFCC"/>
            </w:tcBorders>
            <w:shd w:val="clear" w:color="auto" w:fill="CCFFCC"/>
          </w:tcPr>
          <w:p>
            <w:pPr>
              <w:spacing w:after="0"/>
              <w:rPr>
                <w:sz w:val="23"/>
                <w:szCs w:val="23"/>
                <w:color w:val="auto"/>
              </w:rPr>
            </w:pPr>
          </w:p>
        </w:tc>
        <w:tc>
          <w:tcPr>
            <w:tcW w:w="74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63</w:t>
            </w:r>
          </w:p>
        </w:tc>
        <w:tc>
          <w:tcPr>
            <w:tcW w:w="120" w:type="dxa"/>
            <w:vAlign w:val="bottom"/>
            <w:tcBorders>
              <w:bottom w:val="single" w:sz="8" w:color="CCFFCC"/>
            </w:tcBorders>
            <w:shd w:val="clear" w:color="auto" w:fill="CCFFCC"/>
          </w:tcPr>
          <w:p>
            <w:pPr>
              <w:spacing w:after="0"/>
              <w:rPr>
                <w:sz w:val="23"/>
                <w:szCs w:val="23"/>
                <w:color w:val="auto"/>
              </w:rPr>
            </w:pPr>
          </w:p>
        </w:tc>
        <w:tc>
          <w:tcPr>
            <w:tcW w:w="11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3.0 years</w:t>
            </w:r>
          </w:p>
        </w:tc>
        <w:tc>
          <w:tcPr>
            <w:tcW w:w="0" w:type="dxa"/>
            <w:vAlign w:val="bottom"/>
          </w:tcPr>
          <w:p>
            <w:pPr>
              <w:spacing w:after="0"/>
              <w:rPr>
                <w:sz w:val="1"/>
                <w:szCs w:val="1"/>
                <w:color w:val="auto"/>
              </w:rPr>
            </w:pPr>
          </w:p>
        </w:tc>
      </w:tr>
      <w:tr>
        <w:trPr>
          <w:trHeight w:val="244"/>
        </w:trPr>
        <w:tc>
          <w:tcPr>
            <w:tcW w:w="6860" w:type="dxa"/>
            <w:vAlign w:val="bottom"/>
          </w:tcPr>
          <w:p>
            <w:pPr>
              <w:ind w:left="280"/>
              <w:spacing w:after="0"/>
              <w:rPr>
                <w:sz w:val="20"/>
                <w:szCs w:val="20"/>
                <w:color w:val="auto"/>
              </w:rPr>
            </w:pPr>
            <w:r>
              <w:rPr>
                <w:rFonts w:ascii="Arial" w:cs="Arial" w:eastAsia="Arial" w:hAnsi="Arial"/>
                <w:sz w:val="16"/>
                <w:szCs w:val="16"/>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50,498</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(25,879)</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24,619</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796" w:right="259" w:bottom="1440" w:gutter="0" w:footer="0" w:header="0"/>
        </w:sectPr>
      </w:pPr>
    </w:p>
    <w:bookmarkStart w:id="14" w:name="page15"/>
    <w:bookmarkEnd w:id="14"/>
    <w:p>
      <w:pPr>
        <w:jc w:val="both"/>
        <w:ind w:firstLine="648"/>
        <w:spacing w:after="0" w:line="257" w:lineRule="auto"/>
        <w:rPr>
          <w:sz w:val="20"/>
          <w:szCs w:val="20"/>
          <w:color w:val="auto"/>
        </w:rPr>
      </w:pPr>
      <w:r>
        <w:rPr>
          <w:rFonts w:ascii="Arial" w:cs="Arial" w:eastAsia="Arial" w:hAnsi="Arial"/>
          <w:sz w:val="18"/>
          <w:szCs w:val="18"/>
          <w:color w:val="auto"/>
        </w:rPr>
        <w:t>Amortization expense is calculated over the estimated useful life of the asset. Aggregate amortization expense for intangible assets was $1.7 million and $2.0 million for the three months ended September 30, 2016 and 2015, respectively. Aggregate amortization expense for intangible assets was $5.0 million and $6.1 million for the nine months ended September 30, 2016 and 2015, respectively. For the three and nine months ended September 30, 2016 and 2015, respectively, a portion of this amortization is included in cost of revenue. Estimated amortization expense for the next five years is as follows (amounts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tcPr>
          <w:p>
            <w:pPr>
              <w:jc w:val="right"/>
              <w:ind w:right="201"/>
              <w:spacing w:after="0"/>
              <w:rPr>
                <w:sz w:val="20"/>
                <w:szCs w:val="20"/>
                <w:color w:val="auto"/>
              </w:rPr>
            </w:pPr>
            <w:r>
              <w:rPr>
                <w:rFonts w:ascii="Arial" w:cs="Arial" w:eastAsia="Arial" w:hAnsi="Arial"/>
                <w:sz w:val="14"/>
                <w:szCs w:val="14"/>
                <w:b w:val="1"/>
                <w:bCs w:val="1"/>
                <w:color w:val="auto"/>
                <w:w w:val="99"/>
              </w:rPr>
              <w:t>Estimated Amortization</w:t>
            </w:r>
          </w:p>
        </w:tc>
      </w:tr>
      <w:tr>
        <w:trPr>
          <w:trHeight w:val="192"/>
        </w:trPr>
        <w:tc>
          <w:tcPr>
            <w:tcW w:w="9360" w:type="dxa"/>
            <w:vAlign w:val="bottom"/>
            <w:tcBorders>
              <w:bottom w:val="single" w:sz="8" w:color="CCFFCC"/>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jc w:val="right"/>
              <w:ind w:right="701"/>
              <w:spacing w:after="0"/>
              <w:rPr>
                <w:sz w:val="20"/>
                <w:szCs w:val="20"/>
                <w:color w:val="auto"/>
              </w:rPr>
            </w:pPr>
            <w:r>
              <w:rPr>
                <w:rFonts w:ascii="Arial" w:cs="Arial" w:eastAsia="Arial" w:hAnsi="Arial"/>
                <w:sz w:val="14"/>
                <w:szCs w:val="14"/>
                <w:b w:val="1"/>
                <w:bCs w:val="1"/>
                <w:color w:val="auto"/>
              </w:rPr>
              <w:t>Expense</w:t>
            </w:r>
          </w:p>
        </w:tc>
      </w:tr>
      <w:tr>
        <w:trPr>
          <w:trHeight w:val="236"/>
        </w:trPr>
        <w:tc>
          <w:tcPr>
            <w:tcW w:w="93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2016</w:t>
            </w:r>
          </w:p>
        </w:tc>
        <w:tc>
          <w:tcPr>
            <w:tcW w:w="2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1860" w:type="dxa"/>
            <w:vAlign w:val="bottom"/>
            <w:tcBorders>
              <w:bottom w:val="single" w:sz="8" w:color="CCFFCC"/>
            </w:tcBorders>
            <w:shd w:val="clear" w:color="auto" w:fill="CCFFCC"/>
          </w:tcPr>
          <w:p>
            <w:pPr>
              <w:jc w:val="right"/>
              <w:ind w:right="21"/>
              <w:spacing w:after="0"/>
              <w:rPr>
                <w:sz w:val="20"/>
                <w:szCs w:val="20"/>
                <w:color w:val="auto"/>
              </w:rPr>
            </w:pPr>
            <w:r>
              <w:rPr>
                <w:rFonts w:ascii="Arial" w:cs="Arial" w:eastAsia="Arial" w:hAnsi="Arial"/>
                <w:sz w:val="16"/>
                <w:szCs w:val="16"/>
                <w:color w:val="auto"/>
              </w:rPr>
              <w:t>1,634</w:t>
            </w:r>
          </w:p>
        </w:tc>
      </w:tr>
      <w:tr>
        <w:trPr>
          <w:trHeight w:val="224"/>
        </w:trPr>
        <w:tc>
          <w:tcPr>
            <w:tcW w:w="9360" w:type="dxa"/>
            <w:vAlign w:val="bottom"/>
          </w:tcPr>
          <w:p>
            <w:pPr>
              <w:ind w:left="40"/>
              <w:spacing w:after="0"/>
              <w:rPr>
                <w:sz w:val="20"/>
                <w:szCs w:val="20"/>
                <w:color w:val="auto"/>
              </w:rPr>
            </w:pPr>
            <w:r>
              <w:rPr>
                <w:rFonts w:ascii="Arial" w:cs="Arial" w:eastAsia="Arial" w:hAnsi="Arial"/>
                <w:sz w:val="16"/>
                <w:szCs w:val="16"/>
                <w:color w:val="auto"/>
              </w:rPr>
              <w:t>2017</w:t>
            </w:r>
          </w:p>
        </w:tc>
        <w:tc>
          <w:tcPr>
            <w:tcW w:w="200" w:type="dxa"/>
            <w:vAlign w:val="bottom"/>
          </w:tcPr>
          <w:p>
            <w:pPr>
              <w:spacing w:after="0"/>
              <w:rPr>
                <w:sz w:val="19"/>
                <w:szCs w:val="19"/>
                <w:color w:val="auto"/>
              </w:rPr>
            </w:pPr>
          </w:p>
        </w:tc>
        <w:tc>
          <w:tcPr>
            <w:tcW w:w="1860" w:type="dxa"/>
            <w:vAlign w:val="bottom"/>
          </w:tcPr>
          <w:p>
            <w:pPr>
              <w:jc w:val="right"/>
              <w:ind w:right="21"/>
              <w:spacing w:after="0"/>
              <w:rPr>
                <w:sz w:val="20"/>
                <w:szCs w:val="20"/>
                <w:color w:val="auto"/>
              </w:rPr>
            </w:pPr>
            <w:r>
              <w:rPr>
                <w:rFonts w:ascii="Arial" w:cs="Arial" w:eastAsia="Arial" w:hAnsi="Arial"/>
                <w:sz w:val="16"/>
                <w:szCs w:val="16"/>
                <w:color w:val="auto"/>
              </w:rPr>
              <w:t>4,933</w:t>
            </w:r>
          </w:p>
        </w:tc>
      </w:tr>
      <w:tr>
        <w:trPr>
          <w:trHeight w:val="33"/>
        </w:trPr>
        <w:tc>
          <w:tcPr>
            <w:tcW w:w="9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37"/>
        </w:trPr>
        <w:tc>
          <w:tcPr>
            <w:tcW w:w="93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2018</w:t>
            </w:r>
          </w:p>
        </w:tc>
        <w:tc>
          <w:tcPr>
            <w:tcW w:w="200" w:type="dxa"/>
            <w:vAlign w:val="bottom"/>
            <w:tcBorders>
              <w:bottom w:val="single" w:sz="8" w:color="CCFFCC"/>
            </w:tcBorders>
            <w:shd w:val="clear" w:color="auto" w:fill="CCFFCC"/>
          </w:tcPr>
          <w:p>
            <w:pPr>
              <w:spacing w:after="0"/>
              <w:rPr>
                <w:sz w:val="20"/>
                <w:szCs w:val="20"/>
                <w:color w:val="auto"/>
              </w:rPr>
            </w:pPr>
          </w:p>
        </w:tc>
        <w:tc>
          <w:tcPr>
            <w:tcW w:w="1860" w:type="dxa"/>
            <w:vAlign w:val="bottom"/>
            <w:tcBorders>
              <w:bottom w:val="single" w:sz="8" w:color="CCFFCC"/>
            </w:tcBorders>
            <w:shd w:val="clear" w:color="auto" w:fill="CCFFCC"/>
          </w:tcPr>
          <w:p>
            <w:pPr>
              <w:jc w:val="right"/>
              <w:ind w:right="21"/>
              <w:spacing w:after="0"/>
              <w:rPr>
                <w:sz w:val="20"/>
                <w:szCs w:val="20"/>
                <w:color w:val="auto"/>
              </w:rPr>
            </w:pPr>
            <w:r>
              <w:rPr>
                <w:rFonts w:ascii="Arial" w:cs="Arial" w:eastAsia="Arial" w:hAnsi="Arial"/>
                <w:sz w:val="16"/>
                <w:szCs w:val="16"/>
                <w:color w:val="auto"/>
              </w:rPr>
              <w:t>2,834</w:t>
            </w:r>
          </w:p>
        </w:tc>
      </w:tr>
      <w:tr>
        <w:trPr>
          <w:trHeight w:val="224"/>
        </w:trPr>
        <w:tc>
          <w:tcPr>
            <w:tcW w:w="9360" w:type="dxa"/>
            <w:vAlign w:val="bottom"/>
          </w:tcPr>
          <w:p>
            <w:pPr>
              <w:ind w:left="40"/>
              <w:spacing w:after="0"/>
              <w:rPr>
                <w:sz w:val="20"/>
                <w:szCs w:val="20"/>
                <w:color w:val="auto"/>
              </w:rPr>
            </w:pPr>
            <w:r>
              <w:rPr>
                <w:rFonts w:ascii="Arial" w:cs="Arial" w:eastAsia="Arial" w:hAnsi="Arial"/>
                <w:sz w:val="16"/>
                <w:szCs w:val="16"/>
                <w:color w:val="auto"/>
              </w:rPr>
              <w:t>2019</w:t>
            </w:r>
          </w:p>
        </w:tc>
        <w:tc>
          <w:tcPr>
            <w:tcW w:w="200" w:type="dxa"/>
            <w:vAlign w:val="bottom"/>
          </w:tcPr>
          <w:p>
            <w:pPr>
              <w:spacing w:after="0"/>
              <w:rPr>
                <w:sz w:val="19"/>
                <w:szCs w:val="19"/>
                <w:color w:val="auto"/>
              </w:rPr>
            </w:pPr>
          </w:p>
        </w:tc>
        <w:tc>
          <w:tcPr>
            <w:tcW w:w="1860" w:type="dxa"/>
            <w:vAlign w:val="bottom"/>
          </w:tcPr>
          <w:p>
            <w:pPr>
              <w:jc w:val="right"/>
              <w:ind w:right="21"/>
              <w:spacing w:after="0"/>
              <w:rPr>
                <w:sz w:val="20"/>
                <w:szCs w:val="20"/>
                <w:color w:val="auto"/>
              </w:rPr>
            </w:pPr>
            <w:r>
              <w:rPr>
                <w:rFonts w:ascii="Arial" w:cs="Arial" w:eastAsia="Arial" w:hAnsi="Arial"/>
                <w:sz w:val="16"/>
                <w:szCs w:val="16"/>
                <w:color w:val="auto"/>
              </w:rPr>
              <w:t>2,620</w:t>
            </w:r>
          </w:p>
        </w:tc>
      </w:tr>
      <w:tr>
        <w:trPr>
          <w:trHeight w:val="33"/>
        </w:trPr>
        <w:tc>
          <w:tcPr>
            <w:tcW w:w="9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37"/>
        </w:trPr>
        <w:tc>
          <w:tcPr>
            <w:tcW w:w="93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2020</w:t>
            </w:r>
          </w:p>
        </w:tc>
        <w:tc>
          <w:tcPr>
            <w:tcW w:w="200" w:type="dxa"/>
            <w:vAlign w:val="bottom"/>
            <w:tcBorders>
              <w:bottom w:val="single" w:sz="8" w:color="CCFFCC"/>
            </w:tcBorders>
            <w:shd w:val="clear" w:color="auto" w:fill="CCFFCC"/>
          </w:tcPr>
          <w:p>
            <w:pPr>
              <w:spacing w:after="0"/>
              <w:rPr>
                <w:sz w:val="20"/>
                <w:szCs w:val="20"/>
                <w:color w:val="auto"/>
              </w:rPr>
            </w:pPr>
          </w:p>
        </w:tc>
        <w:tc>
          <w:tcPr>
            <w:tcW w:w="1860" w:type="dxa"/>
            <w:vAlign w:val="bottom"/>
            <w:tcBorders>
              <w:bottom w:val="single" w:sz="8" w:color="CCFFCC"/>
            </w:tcBorders>
            <w:shd w:val="clear" w:color="auto" w:fill="CCFFCC"/>
          </w:tcPr>
          <w:p>
            <w:pPr>
              <w:jc w:val="right"/>
              <w:ind w:right="21"/>
              <w:spacing w:after="0"/>
              <w:rPr>
                <w:sz w:val="20"/>
                <w:szCs w:val="20"/>
                <w:color w:val="auto"/>
              </w:rPr>
            </w:pPr>
            <w:r>
              <w:rPr>
                <w:rFonts w:ascii="Arial" w:cs="Arial" w:eastAsia="Arial" w:hAnsi="Arial"/>
                <w:sz w:val="16"/>
                <w:szCs w:val="16"/>
                <w:color w:val="auto"/>
              </w:rPr>
              <w:t>2,425</w:t>
            </w:r>
          </w:p>
        </w:tc>
      </w:tr>
      <w:tr>
        <w:trPr>
          <w:trHeight w:val="224"/>
        </w:trPr>
        <w:tc>
          <w:tcPr>
            <w:tcW w:w="9360" w:type="dxa"/>
            <w:vAlign w:val="bottom"/>
          </w:tcPr>
          <w:p>
            <w:pPr>
              <w:ind w:left="40"/>
              <w:spacing w:after="0"/>
              <w:rPr>
                <w:sz w:val="20"/>
                <w:szCs w:val="20"/>
                <w:color w:val="auto"/>
              </w:rPr>
            </w:pPr>
            <w:r>
              <w:rPr>
                <w:rFonts w:ascii="Arial" w:cs="Arial" w:eastAsia="Arial" w:hAnsi="Arial"/>
                <w:sz w:val="16"/>
                <w:szCs w:val="16"/>
                <w:color w:val="auto"/>
              </w:rPr>
              <w:t>Thereafter</w:t>
            </w:r>
          </w:p>
        </w:tc>
        <w:tc>
          <w:tcPr>
            <w:tcW w:w="200" w:type="dxa"/>
            <w:vAlign w:val="bottom"/>
          </w:tcPr>
          <w:p>
            <w:pPr>
              <w:spacing w:after="0"/>
              <w:rPr>
                <w:sz w:val="19"/>
                <w:szCs w:val="19"/>
                <w:color w:val="auto"/>
              </w:rPr>
            </w:pPr>
          </w:p>
        </w:tc>
        <w:tc>
          <w:tcPr>
            <w:tcW w:w="1860" w:type="dxa"/>
            <w:vAlign w:val="bottom"/>
          </w:tcPr>
          <w:p>
            <w:pPr>
              <w:jc w:val="right"/>
              <w:ind w:right="21"/>
              <w:spacing w:after="0"/>
              <w:rPr>
                <w:sz w:val="20"/>
                <w:szCs w:val="20"/>
                <w:color w:val="auto"/>
              </w:rPr>
            </w:pPr>
            <w:r>
              <w:rPr>
                <w:rFonts w:ascii="Arial" w:cs="Arial" w:eastAsia="Arial" w:hAnsi="Arial"/>
                <w:sz w:val="16"/>
                <w:szCs w:val="16"/>
                <w:color w:val="auto"/>
              </w:rPr>
              <w:t>5,566</w:t>
            </w:r>
          </w:p>
        </w:tc>
      </w:tr>
      <w:tr>
        <w:trPr>
          <w:trHeight w:val="33"/>
        </w:trPr>
        <w:tc>
          <w:tcPr>
            <w:tcW w:w="936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44"/>
        </w:trPr>
        <w:tc>
          <w:tcPr>
            <w:tcW w:w="936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Total</w:t>
            </w:r>
          </w:p>
        </w:tc>
        <w:tc>
          <w:tcPr>
            <w:tcW w:w="2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1860" w:type="dxa"/>
            <w:vAlign w:val="bottom"/>
            <w:tcBorders>
              <w:bottom w:val="single" w:sz="8" w:color="auto"/>
            </w:tcBorders>
            <w:shd w:val="clear" w:color="auto" w:fill="CCFFCC"/>
          </w:tcPr>
          <w:p>
            <w:pPr>
              <w:jc w:val="right"/>
              <w:ind w:right="21"/>
              <w:spacing w:after="0"/>
              <w:rPr>
                <w:sz w:val="20"/>
                <w:szCs w:val="20"/>
                <w:color w:val="auto"/>
              </w:rPr>
            </w:pPr>
            <w:r>
              <w:rPr>
                <w:rFonts w:ascii="Arial" w:cs="Arial" w:eastAsia="Arial" w:hAnsi="Arial"/>
                <w:sz w:val="16"/>
                <w:szCs w:val="16"/>
                <w:color w:val="auto"/>
              </w:rPr>
              <w:t>20,012</w:t>
            </w:r>
          </w:p>
        </w:tc>
      </w:tr>
      <w:tr>
        <w:trPr>
          <w:trHeight w:val="20"/>
        </w:trPr>
        <w:tc>
          <w:tcPr>
            <w:tcW w:w="9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detail of property and equipment for the periods presented (amounts in thousands):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260" w:type="dxa"/>
            <w:vAlign w:val="bottom"/>
          </w:tcPr>
          <w:p>
            <w:pPr>
              <w:jc w:val="right"/>
              <w:ind w:right="255"/>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8340" w:type="dxa"/>
            <w:vAlign w:val="bottom"/>
            <w:tcBorders>
              <w:bottom w:val="single" w:sz="8" w:color="CCFFCC"/>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FFCC"/>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2015</w:t>
            </w:r>
          </w:p>
        </w:tc>
      </w:tr>
      <w:tr>
        <w:trPr>
          <w:trHeight w:val="250"/>
        </w:trPr>
        <w:tc>
          <w:tcPr>
            <w:tcW w:w="83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Computer equipment and software</w:t>
            </w:r>
          </w:p>
        </w:tc>
        <w:tc>
          <w:tcPr>
            <w:tcW w:w="2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FFCC"/>
            </w:tcBorders>
            <w:shd w:val="clear" w:color="auto" w:fill="CCFFCC"/>
          </w:tcPr>
          <w:p>
            <w:pPr>
              <w:jc w:val="right"/>
              <w:ind w:right="15"/>
              <w:spacing w:after="0"/>
              <w:rPr>
                <w:sz w:val="20"/>
                <w:szCs w:val="20"/>
                <w:color w:val="auto"/>
              </w:rPr>
            </w:pPr>
            <w:r>
              <w:rPr>
                <w:rFonts w:ascii="Arial" w:cs="Arial" w:eastAsia="Arial" w:hAnsi="Arial"/>
                <w:sz w:val="18"/>
                <w:szCs w:val="18"/>
                <w:color w:val="auto"/>
              </w:rPr>
              <w:t>76,838</w:t>
            </w:r>
          </w:p>
        </w:tc>
        <w:tc>
          <w:tcPr>
            <w:tcW w:w="10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FFCC"/>
            </w:tcBorders>
            <w:shd w:val="clear" w:color="auto" w:fill="CCFFCC"/>
          </w:tcPr>
          <w:p>
            <w:pPr>
              <w:jc w:val="right"/>
              <w:ind w:right="15"/>
              <w:spacing w:after="0"/>
              <w:rPr>
                <w:sz w:val="20"/>
                <w:szCs w:val="20"/>
                <w:color w:val="auto"/>
              </w:rPr>
            </w:pPr>
            <w:r>
              <w:rPr>
                <w:rFonts w:ascii="Arial" w:cs="Arial" w:eastAsia="Arial" w:hAnsi="Arial"/>
                <w:sz w:val="18"/>
                <w:szCs w:val="18"/>
                <w:color w:val="auto"/>
              </w:rPr>
              <w:t>67,631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Furniture, equipment and building improvements</w:t>
            </w:r>
          </w:p>
        </w:tc>
        <w:tc>
          <w:tcPr>
            <w:tcW w:w="20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13,981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13,761</w:t>
            </w:r>
          </w:p>
        </w:tc>
      </w:tr>
      <w:tr>
        <w:trPr>
          <w:trHeight w:val="27"/>
        </w:trPr>
        <w:tc>
          <w:tcPr>
            <w:tcW w:w="834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300" w:type="dxa"/>
            <w:vAlign w:val="bottom"/>
            <w:tcBorders>
              <w:bottom w:val="single" w:sz="8" w:color="CCFFCC"/>
            </w:tcBorders>
            <w:shd w:val="clear" w:color="auto" w:fill="CCFFCC"/>
          </w:tcPr>
          <w:p>
            <w:pPr>
              <w:jc w:val="right"/>
              <w:ind w:right="15"/>
              <w:spacing w:after="0"/>
              <w:rPr>
                <w:sz w:val="20"/>
                <w:szCs w:val="20"/>
                <w:color w:val="auto"/>
              </w:rPr>
            </w:pPr>
            <w:r>
              <w:rPr>
                <w:rFonts w:ascii="Arial" w:cs="Arial" w:eastAsia="Arial" w:hAnsi="Arial"/>
                <w:sz w:val="18"/>
                <w:szCs w:val="18"/>
                <w:color w:val="auto"/>
              </w:rPr>
              <w:t>90,819</w:t>
            </w:r>
          </w:p>
        </w:tc>
        <w:tc>
          <w:tcPr>
            <w:tcW w:w="10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jc w:val="right"/>
              <w:ind w:right="15"/>
              <w:spacing w:after="0"/>
              <w:rPr>
                <w:sz w:val="20"/>
                <w:szCs w:val="20"/>
                <w:color w:val="auto"/>
              </w:rPr>
            </w:pPr>
            <w:r>
              <w:rPr>
                <w:rFonts w:ascii="Arial" w:cs="Arial" w:eastAsia="Arial" w:hAnsi="Arial"/>
                <w:sz w:val="18"/>
                <w:szCs w:val="18"/>
                <w:color w:val="auto"/>
              </w:rPr>
              <w:t>81,392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Less: accumulated depreciation</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(66,708)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(57,263)</w:t>
            </w:r>
          </w:p>
        </w:tc>
      </w:tr>
      <w:tr>
        <w:trPr>
          <w:trHeight w:val="27"/>
        </w:trPr>
        <w:tc>
          <w:tcPr>
            <w:tcW w:w="834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FFCC"/>
          </w:tcPr>
          <w:p>
            <w:pPr>
              <w:jc w:val="right"/>
              <w:ind w:right="15"/>
              <w:spacing w:after="0"/>
              <w:rPr>
                <w:sz w:val="20"/>
                <w:szCs w:val="20"/>
                <w:color w:val="auto"/>
              </w:rPr>
            </w:pPr>
            <w:r>
              <w:rPr>
                <w:rFonts w:ascii="Arial" w:cs="Arial" w:eastAsia="Arial" w:hAnsi="Arial"/>
                <w:sz w:val="18"/>
                <w:szCs w:val="18"/>
                <w:color w:val="auto"/>
              </w:rPr>
              <w:t>24,111</w:t>
            </w:r>
          </w:p>
        </w:tc>
        <w:tc>
          <w:tcPr>
            <w:tcW w:w="100" w:type="dxa"/>
            <w:vAlign w:val="bottom"/>
            <w:tcBorders>
              <w:bottom w:val="single" w:sz="8" w:color="CCFFCC"/>
            </w:tcBorders>
            <w:shd w:val="clear" w:color="auto" w:fill="CCFFCC"/>
          </w:tcPr>
          <w:p>
            <w:pPr>
              <w:spacing w:after="0"/>
              <w:rPr>
                <w:sz w:val="22"/>
                <w:szCs w:val="22"/>
                <w:color w:val="auto"/>
              </w:rPr>
            </w:pPr>
          </w:p>
        </w:tc>
        <w:tc>
          <w:tcPr>
            <w:tcW w:w="220" w:type="dxa"/>
            <w:vAlign w:val="bottom"/>
            <w:tcBorders>
              <w:bottom w:val="single" w:sz="8" w:color="auto"/>
            </w:tcBorders>
            <w:shd w:val="clear" w:color="auto" w:fill="CCFFCC"/>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FFCC"/>
          </w:tcPr>
          <w:p>
            <w:pPr>
              <w:jc w:val="right"/>
              <w:ind w:right="15"/>
              <w:spacing w:after="0"/>
              <w:rPr>
                <w:sz w:val="20"/>
                <w:szCs w:val="20"/>
                <w:color w:val="auto"/>
              </w:rPr>
            </w:pPr>
            <w:r>
              <w:rPr>
                <w:rFonts w:ascii="Arial" w:cs="Arial" w:eastAsia="Arial" w:hAnsi="Arial"/>
                <w:sz w:val="18"/>
                <w:szCs w:val="18"/>
                <w:color w:val="auto"/>
              </w:rPr>
              <w:t>24,129</w:t>
            </w:r>
          </w:p>
        </w:tc>
      </w:tr>
      <w:tr>
        <w:trPr>
          <w:trHeight w:val="20"/>
        </w:trPr>
        <w:tc>
          <w:tcPr>
            <w:tcW w:w="8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accordance with its policy, the Company reviews the estimated useful lives of its fixed assets on an ongoing basis. This review indicated that the actual lives of certain co-location assets were longer than the estimated useful lives used for depreciation purposes in the Company’s financial statements. As a result, effective August 1, 2016, the Company changed its estimates of the useful lives of its co-location assets to better reflect the estimated periods during which these assets will remain in service. The estimated useful lives of the co-location assets that previously averaged three years were increased to an average of four years. The effect of this change in estimate was to reduce depreciation expense for the three and nine months ended September 30, 2016 by $0.4 million, decrease net loss by $0.4 million, and decrease basic and diluted loss per share by $0.01.</w:t>
      </w:r>
    </w:p>
    <w:p>
      <w:pPr>
        <w:spacing w:after="0" w:line="200" w:lineRule="exact"/>
        <w:rPr>
          <w:sz w:val="20"/>
          <w:szCs w:val="20"/>
          <w:color w:val="auto"/>
        </w:rPr>
      </w:pPr>
    </w:p>
    <w:p>
      <w:pPr>
        <w:spacing w:after="0" w:line="299"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 and Other Current Liabilities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presents the detail of accrued expenses and other current liabilities for the periods presented (amounts in thousands):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260" w:type="dxa"/>
            <w:vAlign w:val="bottom"/>
          </w:tcPr>
          <w:p>
            <w:pPr>
              <w:jc w:val="right"/>
              <w:ind w:right="254"/>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92"/>
        </w:trPr>
        <w:tc>
          <w:tcPr>
            <w:tcW w:w="4940" w:type="dxa"/>
            <w:vAlign w:val="bottom"/>
            <w:tcBorders>
              <w:bottom w:val="single" w:sz="8" w:color="CCFFCC"/>
            </w:tcBorders>
          </w:tcPr>
          <w:p>
            <w:pPr>
              <w:spacing w:after="0"/>
              <w:rPr>
                <w:sz w:val="16"/>
                <w:szCs w:val="16"/>
                <w:color w:val="auto"/>
              </w:rPr>
            </w:pPr>
          </w:p>
        </w:tc>
        <w:tc>
          <w:tcPr>
            <w:tcW w:w="3400" w:type="dxa"/>
            <w:vAlign w:val="bottom"/>
            <w:tcBorders>
              <w:bottom w:val="single" w:sz="8" w:color="CCFFCC"/>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FFCC"/>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49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Payroll and other employee related costs</w:t>
            </w:r>
          </w:p>
        </w:tc>
        <w:tc>
          <w:tcPr>
            <w:tcW w:w="360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FFCC"/>
            </w:tcBorders>
            <w:shd w:val="clear" w:color="auto" w:fill="CCFFCC"/>
          </w:tcPr>
          <w:p>
            <w:pPr>
              <w:jc w:val="right"/>
              <w:ind w:right="14"/>
              <w:spacing w:after="0"/>
              <w:rPr>
                <w:sz w:val="20"/>
                <w:szCs w:val="20"/>
                <w:color w:val="auto"/>
              </w:rPr>
            </w:pPr>
            <w:r>
              <w:rPr>
                <w:rFonts w:ascii="Arial" w:cs="Arial" w:eastAsia="Arial" w:hAnsi="Arial"/>
                <w:sz w:val="18"/>
                <w:szCs w:val="18"/>
                <w:color w:val="auto"/>
              </w:rPr>
              <w:t>14,935</w:t>
            </w:r>
          </w:p>
        </w:tc>
        <w:tc>
          <w:tcPr>
            <w:tcW w:w="10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FFCC"/>
            </w:tcBorders>
            <w:shd w:val="clear" w:color="auto" w:fill="CCFFCC"/>
          </w:tcPr>
          <w:p>
            <w:pPr>
              <w:jc w:val="right"/>
              <w:ind w:right="14"/>
              <w:spacing w:after="0"/>
              <w:rPr>
                <w:sz w:val="20"/>
                <w:szCs w:val="20"/>
                <w:color w:val="auto"/>
              </w:rPr>
            </w:pPr>
            <w:r>
              <w:rPr>
                <w:rFonts w:ascii="Arial" w:cs="Arial" w:eastAsia="Arial" w:hAnsi="Arial"/>
                <w:sz w:val="18"/>
                <w:szCs w:val="18"/>
                <w:color w:val="auto"/>
              </w:rPr>
              <w:t>14,107</w:t>
            </w:r>
          </w:p>
        </w:tc>
        <w:tc>
          <w:tcPr>
            <w:tcW w:w="0" w:type="dxa"/>
            <w:vAlign w:val="bottom"/>
          </w:tcPr>
          <w:p>
            <w:pPr>
              <w:spacing w:after="0"/>
              <w:rPr>
                <w:sz w:val="1"/>
                <w:szCs w:val="1"/>
                <w:color w:val="auto"/>
              </w:rPr>
            </w:pPr>
          </w:p>
        </w:tc>
      </w:tr>
      <w:tr>
        <w:trPr>
          <w:trHeight w:val="243"/>
        </w:trPr>
        <w:tc>
          <w:tcPr>
            <w:tcW w:w="4940" w:type="dxa"/>
            <w:vAlign w:val="bottom"/>
          </w:tcPr>
          <w:p>
            <w:pPr>
              <w:ind w:left="40"/>
              <w:spacing w:after="0"/>
              <w:rPr>
                <w:sz w:val="20"/>
                <w:szCs w:val="20"/>
                <w:color w:val="auto"/>
              </w:rPr>
            </w:pPr>
            <w:r>
              <w:rPr>
                <w:rFonts w:ascii="Arial" w:cs="Arial" w:eastAsia="Arial" w:hAnsi="Arial"/>
                <w:sz w:val="18"/>
                <w:szCs w:val="18"/>
                <w:color w:val="auto"/>
              </w:rPr>
              <w:t>Professional services and consulting and other vendor fees</w:t>
            </w:r>
          </w:p>
        </w:tc>
        <w:tc>
          <w:tcPr>
            <w:tcW w:w="3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11,068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12,372</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3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Sales commissions</w:t>
            </w:r>
          </w:p>
        </w:tc>
        <w:tc>
          <w:tcPr>
            <w:tcW w:w="340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300" w:type="dxa"/>
            <w:vAlign w:val="bottom"/>
            <w:tcBorders>
              <w:bottom w:val="single" w:sz="8" w:color="CCFFCC"/>
            </w:tcBorders>
            <w:shd w:val="clear" w:color="auto" w:fill="CCFFCC"/>
          </w:tcPr>
          <w:p>
            <w:pPr>
              <w:jc w:val="right"/>
              <w:ind w:right="14"/>
              <w:spacing w:after="0"/>
              <w:rPr>
                <w:sz w:val="20"/>
                <w:szCs w:val="20"/>
                <w:color w:val="auto"/>
              </w:rPr>
            </w:pPr>
            <w:r>
              <w:rPr>
                <w:rFonts w:ascii="Arial" w:cs="Arial" w:eastAsia="Arial" w:hAnsi="Arial"/>
                <w:sz w:val="18"/>
                <w:szCs w:val="18"/>
                <w:color w:val="auto"/>
              </w:rPr>
              <w:t>2,466</w:t>
            </w:r>
          </w:p>
        </w:tc>
        <w:tc>
          <w:tcPr>
            <w:tcW w:w="10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jc w:val="right"/>
              <w:ind w:right="14"/>
              <w:spacing w:after="0"/>
              <w:rPr>
                <w:sz w:val="20"/>
                <w:szCs w:val="20"/>
                <w:color w:val="auto"/>
              </w:rPr>
            </w:pPr>
            <w:r>
              <w:rPr>
                <w:rFonts w:ascii="Arial" w:cs="Arial" w:eastAsia="Arial" w:hAnsi="Arial"/>
                <w:sz w:val="18"/>
                <w:szCs w:val="18"/>
                <w:color w:val="auto"/>
              </w:rPr>
              <w:t>4,522</w:t>
            </w:r>
          </w:p>
        </w:tc>
        <w:tc>
          <w:tcPr>
            <w:tcW w:w="0" w:type="dxa"/>
            <w:vAlign w:val="bottom"/>
          </w:tcPr>
          <w:p>
            <w:pPr>
              <w:spacing w:after="0"/>
              <w:rPr>
                <w:sz w:val="1"/>
                <w:szCs w:val="1"/>
                <w:color w:val="auto"/>
              </w:rPr>
            </w:pPr>
          </w:p>
        </w:tc>
      </w:tr>
      <w:tr>
        <w:trPr>
          <w:trHeight w:val="243"/>
        </w:trPr>
        <w:tc>
          <w:tcPr>
            <w:tcW w:w="4940" w:type="dxa"/>
            <w:vAlign w:val="bottom"/>
          </w:tcPr>
          <w:p>
            <w:pPr>
              <w:ind w:left="40"/>
              <w:spacing w:after="0"/>
              <w:rPr>
                <w:sz w:val="20"/>
                <w:szCs w:val="20"/>
                <w:color w:val="auto"/>
              </w:rPr>
            </w:pPr>
            <w:r>
              <w:rPr>
                <w:rFonts w:ascii="Arial" w:cs="Arial" w:eastAsia="Arial" w:hAnsi="Arial"/>
                <w:sz w:val="18"/>
                <w:szCs w:val="18"/>
                <w:color w:val="auto"/>
              </w:rPr>
              <w:t>Contingent earnout (see Notes 8 and 9)</w:t>
            </w:r>
          </w:p>
        </w:tc>
        <w:tc>
          <w:tcPr>
            <w:tcW w:w="3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3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Other</w:t>
            </w:r>
          </w:p>
        </w:tc>
        <w:tc>
          <w:tcPr>
            <w:tcW w:w="3400" w:type="dxa"/>
            <w:vAlign w:val="bottom"/>
            <w:tcBorders>
              <w:bottom w:val="single" w:sz="8" w:color="CCFFCC"/>
            </w:tcBorders>
            <w:shd w:val="clear" w:color="auto" w:fill="CCFFCC"/>
          </w:tcPr>
          <w:p>
            <w:pPr>
              <w:spacing w:after="0"/>
              <w:rPr>
                <w:sz w:val="23"/>
                <w:szCs w:val="23"/>
                <w:color w:val="auto"/>
              </w:rPr>
            </w:pPr>
          </w:p>
        </w:tc>
        <w:tc>
          <w:tcPr>
            <w:tcW w:w="200" w:type="dxa"/>
            <w:vAlign w:val="bottom"/>
            <w:tcBorders>
              <w:bottom w:val="single" w:sz="8" w:color="CCFFCC"/>
            </w:tcBorders>
            <w:shd w:val="clear" w:color="auto" w:fill="CCFFCC"/>
          </w:tcPr>
          <w:p>
            <w:pPr>
              <w:spacing w:after="0"/>
              <w:rPr>
                <w:sz w:val="23"/>
                <w:szCs w:val="23"/>
                <w:color w:val="auto"/>
              </w:rPr>
            </w:pPr>
          </w:p>
        </w:tc>
        <w:tc>
          <w:tcPr>
            <w:tcW w:w="1300" w:type="dxa"/>
            <w:vAlign w:val="bottom"/>
            <w:tcBorders>
              <w:bottom w:val="single" w:sz="8" w:color="CCFFCC"/>
            </w:tcBorders>
            <w:shd w:val="clear" w:color="auto" w:fill="CCFFCC"/>
          </w:tcPr>
          <w:p>
            <w:pPr>
              <w:jc w:val="right"/>
              <w:ind w:right="14"/>
              <w:spacing w:after="0"/>
              <w:rPr>
                <w:sz w:val="20"/>
                <w:szCs w:val="20"/>
                <w:color w:val="auto"/>
              </w:rPr>
            </w:pPr>
            <w:r>
              <w:rPr>
                <w:rFonts w:ascii="Arial" w:cs="Arial" w:eastAsia="Arial" w:hAnsi="Arial"/>
                <w:sz w:val="18"/>
                <w:szCs w:val="18"/>
                <w:color w:val="auto"/>
              </w:rPr>
              <w:t>3,922</w:t>
            </w:r>
          </w:p>
        </w:tc>
        <w:tc>
          <w:tcPr>
            <w:tcW w:w="100" w:type="dxa"/>
            <w:vAlign w:val="bottom"/>
            <w:tcBorders>
              <w:bottom w:val="single" w:sz="8" w:color="CCFFCC"/>
            </w:tcBorders>
            <w:shd w:val="clear" w:color="auto" w:fill="CCFFCC"/>
          </w:tcPr>
          <w:p>
            <w:pPr>
              <w:spacing w:after="0"/>
              <w:rPr>
                <w:sz w:val="23"/>
                <w:szCs w:val="23"/>
                <w:color w:val="auto"/>
              </w:rPr>
            </w:pPr>
          </w:p>
        </w:tc>
        <w:tc>
          <w:tcPr>
            <w:tcW w:w="220" w:type="dxa"/>
            <w:vAlign w:val="bottom"/>
            <w:tcBorders>
              <w:bottom w:val="single" w:sz="8" w:color="CCFFCC"/>
            </w:tcBorders>
            <w:shd w:val="clear" w:color="auto" w:fill="CCFFCC"/>
          </w:tcPr>
          <w:p>
            <w:pPr>
              <w:spacing w:after="0"/>
              <w:rPr>
                <w:sz w:val="23"/>
                <w:szCs w:val="23"/>
                <w:color w:val="auto"/>
              </w:rPr>
            </w:pPr>
          </w:p>
        </w:tc>
        <w:tc>
          <w:tcPr>
            <w:tcW w:w="1260" w:type="dxa"/>
            <w:vAlign w:val="bottom"/>
            <w:tcBorders>
              <w:bottom w:val="single" w:sz="8" w:color="CCFFCC"/>
            </w:tcBorders>
            <w:shd w:val="clear" w:color="auto" w:fill="CCFFCC"/>
          </w:tcPr>
          <w:p>
            <w:pPr>
              <w:jc w:val="right"/>
              <w:ind w:right="14"/>
              <w:spacing w:after="0"/>
              <w:rPr>
                <w:sz w:val="20"/>
                <w:szCs w:val="20"/>
                <w:color w:val="auto"/>
              </w:rPr>
            </w:pPr>
            <w:r>
              <w:rPr>
                <w:rFonts w:ascii="Arial" w:cs="Arial" w:eastAsia="Arial" w:hAnsi="Arial"/>
                <w:sz w:val="18"/>
                <w:szCs w:val="18"/>
                <w:color w:val="auto"/>
              </w:rPr>
              <w:t>2,918</w:t>
            </w:r>
          </w:p>
        </w:tc>
        <w:tc>
          <w:tcPr>
            <w:tcW w:w="0" w:type="dxa"/>
            <w:vAlign w:val="bottom"/>
          </w:tcPr>
          <w:p>
            <w:pPr>
              <w:spacing w:after="0"/>
              <w:rPr>
                <w:sz w:val="1"/>
                <w:szCs w:val="1"/>
                <w:color w:val="auto"/>
              </w:rPr>
            </w:pPr>
          </w:p>
        </w:tc>
      </w:tr>
      <w:tr>
        <w:trPr>
          <w:trHeight w:val="257"/>
        </w:trPr>
        <w:tc>
          <w:tcPr>
            <w:tcW w:w="4940" w:type="dxa"/>
            <w:vAlign w:val="bottom"/>
          </w:tcPr>
          <w:p>
            <w:pPr>
              <w:ind w:left="280"/>
              <w:spacing w:after="0"/>
              <w:rPr>
                <w:sz w:val="20"/>
                <w:szCs w:val="20"/>
                <w:color w:val="auto"/>
              </w:rPr>
            </w:pPr>
            <w:r>
              <w:rPr>
                <w:rFonts w:ascii="Arial" w:cs="Arial" w:eastAsia="Arial" w:hAnsi="Arial"/>
                <w:sz w:val="18"/>
                <w:szCs w:val="18"/>
                <w:color w:val="auto"/>
              </w:rPr>
              <w:t>Total</w:t>
            </w:r>
          </w:p>
        </w:tc>
        <w:tc>
          <w:tcPr>
            <w:tcW w:w="34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32,601</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34,296</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3400" w:type="dxa"/>
            <w:vAlign w:val="bottom"/>
            <w:vMerge w:val="restart"/>
          </w:tcPr>
          <w:p>
            <w:pPr>
              <w:jc w:val="right"/>
              <w:ind w:right="2450"/>
              <w:spacing w:after="0"/>
              <w:rPr>
                <w:sz w:val="20"/>
                <w:szCs w:val="20"/>
                <w:color w:val="auto"/>
              </w:rPr>
            </w:pPr>
            <w:r>
              <w:rPr>
                <w:rFonts w:ascii="Arial" w:cs="Arial" w:eastAsia="Arial" w:hAnsi="Arial"/>
                <w:sz w:val="18"/>
                <w:szCs w:val="18"/>
                <w:color w:val="auto"/>
              </w:rPr>
              <w:t>15</w:t>
            </w: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4940" w:type="dxa"/>
            <w:vAlign w:val="bottom"/>
          </w:tcPr>
          <w:p>
            <w:pPr>
              <w:spacing w:after="0"/>
              <w:rPr>
                <w:sz w:val="24"/>
                <w:szCs w:val="24"/>
                <w:color w:val="auto"/>
              </w:rPr>
            </w:pPr>
          </w:p>
        </w:tc>
        <w:tc>
          <w:tcPr>
            <w:tcW w:w="34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15" w:name="page16"/>
    <w:bookmarkEnd w:id="15"/>
    <w:p>
      <w:pPr>
        <w:ind w:left="340" w:hanging="332"/>
        <w:spacing w:after="0"/>
        <w:tabs>
          <w:tab w:leader="none" w:pos="3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Engage Pty Ltd.</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November 9, 2012, the Company acquired all of the outstanding shares of Engage Pty Ltd. (“Engage”), an Australian provider of cloud-based customer contact solutions. The transaction was accounted for under the purchase method of accounting and, accordingly, the operating results of Engage were included in the Company’s consolidated results of operations from the date of acquisition.</w:t>
      </w:r>
    </w:p>
    <w:p>
      <w:pPr>
        <w:spacing w:after="0" w:line="73"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purchase price was approximately $10.6 million. The total acquisition costs incurred in the year ended December 31, 2012 were approximately $0.5 million and are included in general and administrative expenses in the Company’s condensed consolidated statements of operations for the same period. The acquisition enhances the Company’s ability to offer intelligent engagement solutions to businesses in the Asia Pacific region. Of the total purchase price, $0.8 million was allocated to the net book values of the acquired assets and assumed liabilities. The historical carrying amounts of such assets and liabilities approximated their fair values. All receivables acquired are expected to be collectible. The purchase price in excess of the fair value of the net book values of the assets acquired and liabilities assumed was allocated to intangible assets based on management’s best estimate of fair values, taking into account all relevant information available at the time of acquisition, and the excess was allocated to goodwill. The goodwill is not deductible for tax purposes. The intangible assets are being amortized over their expected period of benefit. The purchase price includes approximately $1.7 million of potential earn-out consideration for the shareholders if certain revenue targets are achieved. The earn-out is payable in shares of LivePerson common stock and cash. The Company recorded the contingent earn-out as part of the purchase price. In accordance with ASC 480, the Company had classified this amount as a liability with the amount included in accrued expenses. At June 30, 2015, the Company assessed this earn-out and recorded a $0.7 million fair value re-measurement adjustment, which was recorded in operating income as a decrease to general and administrative expenses. As of September 30, 2016, there was no remaining liability included in accrued expenses relating to this earn-out.</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Synchronite, LLC</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June 2, 2014, the Company acquired Synchronite, LLC (“Synchronite”), a German-based start-up that provides co-browsing technology. The transaction was accounted for under the purchase method of accounting and, accordingly, the operating results of Synchronite were included in the Company’s consolidated results of operations from the date of acquisition.</w:t>
      </w:r>
    </w:p>
    <w:p>
      <w:pPr>
        <w:spacing w:after="0" w:line="7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The allocation of the total purchase price of approximately $4.1 million was based upon the estimated fair value of Synchronite’s net tangible and identifiable intangible assets as of the date of acquisition. The total acquisition costs incurred were approximately $0.4 million and are included in general and administrative expenses in the Company’s condensed consolidated statements of operations. Of the total purchase price, $45,000 was allocated to the net book values of the acquired assets and assumed liabilities. The historical carrying amounts of such assets and liabilities approximated their fair values. All receivables acquired are expected to be collectible. The purchase price includes approximately $2.7 million of goodwill and approximately $1.5 million of intangible assets. The goodwill is deductible for tax purposes. The intangible assets are being amortized over their expected period of benefit. The purchase price includes $1.8 million of potential earn-out consideration for the shareholders if complete product integration is achieved. The earn-out is payable in shares of LivePerson common stock and cash. The Company recorded the contingent earn-out as part of the purchase price. In accordance with ASC 480, the Company has classified this amount as a liability and the amount is included in accrued expenses in the September 30, 2016 condensed consolidated balance sheet, due to the variable number of shares that will be issued if and when the targets are achieved. For the year ended December 31, 2015, the Company made $1.6 million of earn-out payments. The remaining potential earn-out consideration at September 30, 2016 was $0.2 million. The Company will continue to assess the earn-out calculation in future periods and any future adjustments will affect operating income.</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Contact At Once!, LLC</w:t>
      </w:r>
    </w:p>
    <w:p>
      <w:pPr>
        <w:spacing w:after="0" w:line="11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November 7, 2014, the Company acquired Contact At Once!, LLC (“CAO!”), a software company with a cloud-based platform that instantly connects consumers with businesses through instant messaging, text messaging, chat, social media and video over the internet for consumer-to-business sales conversions. The transaction was accounted for under the purchase method of accounting and, accordingly, the operating results of CAO! were included in the Company’s consolidated results of operations from the date of acquisition.</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796" w:right="239" w:bottom="1440" w:gutter="0" w:footer="0" w:header="0"/>
        </w:sectPr>
      </w:pPr>
    </w:p>
    <w:bookmarkStart w:id="16" w:name="page17"/>
    <w:bookmarkEnd w:id="16"/>
    <w:p>
      <w:pPr>
        <w:jc w:val="both"/>
        <w:ind w:firstLine="648"/>
        <w:spacing w:after="0" w:line="287" w:lineRule="auto"/>
        <w:rPr>
          <w:sz w:val="20"/>
          <w:szCs w:val="20"/>
          <w:color w:val="auto"/>
        </w:rPr>
      </w:pPr>
      <w:r>
        <w:rPr>
          <w:rFonts w:ascii="Arial" w:cs="Arial" w:eastAsia="Arial" w:hAnsi="Arial"/>
          <w:sz w:val="16"/>
          <w:szCs w:val="16"/>
          <w:color w:val="auto"/>
        </w:rPr>
        <w:t>The allocation of the total purchase price of approximately $67.0 million, which includes approximately $42.8 million in cash, approximately $20.0 million in shares of common stock and approximately $4.2 million of potential earn-out consideration in cash, was based upon the estimated fair value of CAO!’s net tangible and identifiable intangible assets as of the date of acquisition. The historical carrying amounts of such assets and liabilities approximated their fair values. All receivables acquired are expected to be collectible. The purchase price includes approximately $45.1 million of goodwill and approximately $20.4 million of intangible assets. The goodwill will be deductible for tax purposes. The intangible assets are being amortized over their expected period of benefit. The purchase price includes $4.2 million of potential earn-out consideration for the shareholders if certain targeted financial, strategic and integration objectives is achieved. The earn-out is payable in cash. The Company recorded the contingent earn-out as part of the purchase price. In accordance with ASC 480, the Company had classified this amount as a liability included in accrued expenses in the consolidated balance sheet. During the year ended December 31, 2015, the Company assessed this earn-out and recorded a $3.2 million fair value re-measurement adjustment, which was recorded in loss from operations as a decrease to general and administrative expenses. During the nine months ended September 30, 2016, the Company made cash payments of $0.2 million. There is no remaining liability included in accrued expenses relating to this contingent earn-out as of September 30, 2016.</w:t>
      </w:r>
    </w:p>
    <w:p>
      <w:pPr>
        <w:spacing w:after="0" w:line="277"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Company measures its cash equivalents at fair value based on an expected exit price as defined by the authoritative guidance on fair value measurements, which represents the amount that would be received on the sale of an asset or paid to transfer a liability, as the case may be, in an orderly transaction between market participants. As such, fair value may be based on assumptions that market participants would use in pricing an asset or liability. The authoritative guidance on fair value measurements establishes a consistent framework for measuring fair value on either a recurring or nonrecurring basis whereby inputs, used in valuation techniques, are assigned a hierarchical level. The following are the hierarchical levels of inputs to measure fair value:</w:t>
      </w:r>
    </w:p>
    <w:p>
      <w:pPr>
        <w:spacing w:after="0" w:line="50" w:lineRule="exact"/>
        <w:rPr>
          <w:sz w:val="20"/>
          <w:szCs w:val="20"/>
          <w:color w:val="auto"/>
        </w:rPr>
      </w:pPr>
    </w:p>
    <w:p>
      <w:pPr>
        <w:ind w:left="1140" w:hanging="322"/>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Level 1: Observable inputs that reflect quoted prices (unadjusted) for identical assets or liabilities in active markets.</w:t>
      </w:r>
    </w:p>
    <w:p>
      <w:pPr>
        <w:spacing w:after="0" w:line="117" w:lineRule="exact"/>
        <w:rPr>
          <w:rFonts w:ascii="Arial" w:cs="Arial" w:eastAsia="Arial" w:hAnsi="Arial"/>
          <w:sz w:val="18"/>
          <w:szCs w:val="18"/>
          <w:color w:val="auto"/>
        </w:rPr>
      </w:pPr>
    </w:p>
    <w:p>
      <w:pPr>
        <w:jc w:val="both"/>
        <w:ind w:left="1140" w:hanging="322"/>
        <w:spacing w:after="0" w:line="264" w:lineRule="auto"/>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Level 2: Inputs reflect: quoted prices for identical assets or liabilities in markets that are not active; quoted prices for similar assets or liabilities in active markets; inputs other than quoted prices that are observable for the assets or liabilities; or inputs that are derived principally from or corroborated by observable market data by correlation or other means.</w:t>
      </w:r>
    </w:p>
    <w:p>
      <w:pPr>
        <w:spacing w:after="0" w:line="73" w:lineRule="exact"/>
        <w:rPr>
          <w:rFonts w:ascii="Arial" w:cs="Arial" w:eastAsia="Arial" w:hAnsi="Arial"/>
          <w:sz w:val="18"/>
          <w:szCs w:val="18"/>
          <w:color w:val="auto"/>
        </w:rPr>
      </w:pPr>
    </w:p>
    <w:p>
      <w:pPr>
        <w:ind w:left="1140" w:hanging="322"/>
        <w:spacing w:after="0" w:line="277" w:lineRule="auto"/>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Level 3: Unobservable inputs reflecting the Company’s assumptions incorporated in valuation techniques used to determine fair value. These assumptions are required to be consistent with market participant assumptions that are reasonably available.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Assets and Liabilities</w:t>
      </w:r>
    </w:p>
    <w:p>
      <w:pPr>
        <w:spacing w:after="0" w:line="117"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The carrying amount of cash, accounts receivable, and accounts payable approximate their fair value due to their short-term nature. The Company’s assets and liabilities that are measured at fair value on a recurring basis, by level, within the fair value hierarchy as of September 30, 2016 and December 31, 2015, are summarized as follows (amounts in thousands). The Company’s restricted cash balance of $4.0 million at September 30, 2016 and $5.4 million at December 31, 2015 is not held in a money market account and is not included in the following table.</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gridSpan w:val="5"/>
          </w:tcPr>
          <w:p>
            <w:pPr>
              <w:ind w:left="80"/>
              <w:spacing w:after="0"/>
              <w:rPr>
                <w:sz w:val="20"/>
                <w:szCs w:val="20"/>
                <w:color w:val="auto"/>
              </w:rPr>
            </w:pPr>
            <w:r>
              <w:rPr>
                <w:rFonts w:ascii="Arial" w:cs="Arial" w:eastAsia="Arial" w:hAnsi="Arial"/>
                <w:sz w:val="16"/>
                <w:szCs w:val="16"/>
                <w:b w:val="1"/>
                <w:bCs w:val="1"/>
                <w:color w:val="auto"/>
              </w:rPr>
              <w:t>September 30, 2016</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5"/>
          </w:tcPr>
          <w:p>
            <w:pPr>
              <w:ind w:left="80"/>
              <w:spacing w:after="0"/>
              <w:rPr>
                <w:sz w:val="20"/>
                <w:szCs w:val="20"/>
                <w:color w:val="auto"/>
              </w:rPr>
            </w:pPr>
            <w:r>
              <w:rPr>
                <w:rFonts w:ascii="Arial" w:cs="Arial" w:eastAsia="Arial" w:hAnsi="Arial"/>
                <w:sz w:val="16"/>
                <w:szCs w:val="16"/>
                <w:b w:val="1"/>
                <w:bCs w:val="1"/>
                <w:color w:val="auto"/>
              </w:rPr>
              <w:t>December 31, 2015</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33"/>
        </w:trPr>
        <w:tc>
          <w:tcPr>
            <w:tcW w:w="4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31"/>
        </w:trPr>
        <w:tc>
          <w:tcPr>
            <w:tcW w:w="4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ind w:left="20"/>
              <w:spacing w:after="0"/>
              <w:rPr>
                <w:sz w:val="20"/>
                <w:szCs w:val="20"/>
                <w:color w:val="auto"/>
              </w:rPr>
            </w:pPr>
            <w:r>
              <w:rPr>
                <w:rFonts w:ascii="Arial" w:cs="Arial" w:eastAsia="Arial" w:hAnsi="Arial"/>
                <w:sz w:val="16"/>
                <w:szCs w:val="16"/>
                <w:b w:val="1"/>
                <w:bCs w:val="1"/>
                <w:color w:val="auto"/>
              </w:rPr>
              <w:t>Level 1</w:t>
            </w:r>
          </w:p>
        </w:tc>
        <w:tc>
          <w:tcPr>
            <w:tcW w:w="120" w:type="dxa"/>
            <w:vAlign w:val="bottom"/>
          </w:tcPr>
          <w:p>
            <w:pPr>
              <w:spacing w:after="0"/>
              <w:rPr>
                <w:sz w:val="20"/>
                <w:szCs w:val="20"/>
                <w:color w:val="auto"/>
              </w:rPr>
            </w:pPr>
          </w:p>
        </w:tc>
        <w:tc>
          <w:tcPr>
            <w:tcW w:w="820" w:type="dxa"/>
            <w:vAlign w:val="bottom"/>
            <w:gridSpan w:val="2"/>
          </w:tcPr>
          <w:p>
            <w:pPr>
              <w:ind w:left="40"/>
              <w:spacing w:after="0"/>
              <w:rPr>
                <w:sz w:val="20"/>
                <w:szCs w:val="20"/>
                <w:color w:val="auto"/>
              </w:rPr>
            </w:pPr>
            <w:r>
              <w:rPr>
                <w:rFonts w:ascii="Arial" w:cs="Arial" w:eastAsia="Arial" w:hAnsi="Arial"/>
                <w:sz w:val="16"/>
                <w:szCs w:val="16"/>
                <w:b w:val="1"/>
                <w:bCs w:val="1"/>
                <w:color w:val="auto"/>
              </w:rPr>
              <w:t>Level 2</w:t>
            </w:r>
          </w:p>
        </w:tc>
        <w:tc>
          <w:tcPr>
            <w:tcW w:w="140" w:type="dxa"/>
            <w:vAlign w:val="bottom"/>
          </w:tcPr>
          <w:p>
            <w:pPr>
              <w:spacing w:after="0"/>
              <w:rPr>
                <w:sz w:val="20"/>
                <w:szCs w:val="20"/>
                <w:color w:val="auto"/>
              </w:rPr>
            </w:pPr>
          </w:p>
        </w:tc>
        <w:tc>
          <w:tcPr>
            <w:tcW w:w="800" w:type="dxa"/>
            <w:vAlign w:val="bottom"/>
            <w:gridSpan w:val="2"/>
          </w:tcPr>
          <w:p>
            <w:pPr>
              <w:ind w:left="20"/>
              <w:spacing w:after="0"/>
              <w:rPr>
                <w:sz w:val="20"/>
                <w:szCs w:val="20"/>
                <w:color w:val="auto"/>
              </w:rPr>
            </w:pPr>
            <w:r>
              <w:rPr>
                <w:rFonts w:ascii="Arial" w:cs="Arial" w:eastAsia="Arial" w:hAnsi="Arial"/>
                <w:sz w:val="16"/>
                <w:szCs w:val="16"/>
                <w:b w:val="1"/>
                <w:bCs w:val="1"/>
                <w:color w:val="auto"/>
              </w:rPr>
              <w:t>Level 3</w:t>
            </w:r>
          </w:p>
        </w:tc>
        <w:tc>
          <w:tcPr>
            <w:tcW w:w="160" w:type="dxa"/>
            <w:vAlign w:val="bottom"/>
          </w:tcPr>
          <w:p>
            <w:pPr>
              <w:spacing w:after="0"/>
              <w:rPr>
                <w:sz w:val="20"/>
                <w:szCs w:val="20"/>
                <w:color w:val="auto"/>
              </w:rPr>
            </w:pPr>
          </w:p>
        </w:tc>
        <w:tc>
          <w:tcPr>
            <w:tcW w:w="840" w:type="dxa"/>
            <w:vAlign w:val="bottom"/>
            <w:gridSpan w:val="2"/>
          </w:tcPr>
          <w:p>
            <w:pPr>
              <w:ind w:left="60"/>
              <w:spacing w:after="0"/>
              <w:rPr>
                <w:sz w:val="20"/>
                <w:szCs w:val="20"/>
                <w:color w:val="auto"/>
              </w:rPr>
            </w:pPr>
            <w:r>
              <w:rPr>
                <w:rFonts w:ascii="Arial" w:cs="Arial" w:eastAsia="Arial" w:hAnsi="Arial"/>
                <w:sz w:val="16"/>
                <w:szCs w:val="16"/>
                <w:b w:val="1"/>
                <w:bCs w:val="1"/>
                <w:color w:val="auto"/>
              </w:rPr>
              <w:t>Total</w:t>
            </w:r>
          </w:p>
        </w:tc>
        <w:tc>
          <w:tcPr>
            <w:tcW w:w="120" w:type="dxa"/>
            <w:vAlign w:val="bottom"/>
          </w:tcPr>
          <w:p>
            <w:pPr>
              <w:spacing w:after="0"/>
              <w:rPr>
                <w:sz w:val="20"/>
                <w:szCs w:val="20"/>
                <w:color w:val="auto"/>
              </w:rPr>
            </w:pPr>
          </w:p>
        </w:tc>
        <w:tc>
          <w:tcPr>
            <w:tcW w:w="780" w:type="dxa"/>
            <w:vAlign w:val="bottom"/>
            <w:gridSpan w:val="2"/>
          </w:tcPr>
          <w:p>
            <w:pPr>
              <w:ind w:left="20"/>
              <w:spacing w:after="0"/>
              <w:rPr>
                <w:sz w:val="20"/>
                <w:szCs w:val="20"/>
                <w:color w:val="auto"/>
              </w:rPr>
            </w:pPr>
            <w:r>
              <w:rPr>
                <w:rFonts w:ascii="Arial" w:cs="Arial" w:eastAsia="Arial" w:hAnsi="Arial"/>
                <w:sz w:val="16"/>
                <w:szCs w:val="16"/>
                <w:b w:val="1"/>
                <w:bCs w:val="1"/>
                <w:color w:val="auto"/>
              </w:rPr>
              <w:t>Level 1</w:t>
            </w:r>
          </w:p>
        </w:tc>
        <w:tc>
          <w:tcPr>
            <w:tcW w:w="120" w:type="dxa"/>
            <w:vAlign w:val="bottom"/>
          </w:tcPr>
          <w:p>
            <w:pPr>
              <w:spacing w:after="0"/>
              <w:rPr>
                <w:sz w:val="20"/>
                <w:szCs w:val="20"/>
                <w:color w:val="auto"/>
              </w:rPr>
            </w:pPr>
          </w:p>
        </w:tc>
        <w:tc>
          <w:tcPr>
            <w:tcW w:w="760" w:type="dxa"/>
            <w:vAlign w:val="bottom"/>
            <w:gridSpan w:val="2"/>
          </w:tcPr>
          <w:p>
            <w:pPr>
              <w:ind w:left="20"/>
              <w:spacing w:after="0"/>
              <w:rPr>
                <w:sz w:val="20"/>
                <w:szCs w:val="20"/>
                <w:color w:val="auto"/>
              </w:rPr>
            </w:pPr>
            <w:r>
              <w:rPr>
                <w:rFonts w:ascii="Arial" w:cs="Arial" w:eastAsia="Arial" w:hAnsi="Arial"/>
                <w:sz w:val="16"/>
                <w:szCs w:val="16"/>
                <w:b w:val="1"/>
                <w:bCs w:val="1"/>
                <w:color w:val="auto"/>
              </w:rPr>
              <w:t>Level 2</w:t>
            </w:r>
          </w:p>
        </w:tc>
        <w:tc>
          <w:tcPr>
            <w:tcW w:w="140" w:type="dxa"/>
            <w:vAlign w:val="bottom"/>
          </w:tcPr>
          <w:p>
            <w:pPr>
              <w:spacing w:after="0"/>
              <w:rPr>
                <w:sz w:val="20"/>
                <w:szCs w:val="20"/>
                <w:color w:val="auto"/>
              </w:rPr>
            </w:pPr>
          </w:p>
        </w:tc>
        <w:tc>
          <w:tcPr>
            <w:tcW w:w="760" w:type="dxa"/>
            <w:vAlign w:val="bottom"/>
            <w:gridSpan w:val="2"/>
          </w:tcPr>
          <w:p>
            <w:pPr>
              <w:spacing w:after="0"/>
              <w:rPr>
                <w:sz w:val="20"/>
                <w:szCs w:val="20"/>
                <w:color w:val="auto"/>
              </w:rPr>
            </w:pPr>
            <w:r>
              <w:rPr>
                <w:rFonts w:ascii="Arial" w:cs="Arial" w:eastAsia="Arial" w:hAnsi="Arial"/>
                <w:sz w:val="16"/>
                <w:szCs w:val="16"/>
                <w:b w:val="1"/>
                <w:bCs w:val="1"/>
                <w:color w:val="auto"/>
              </w:rPr>
              <w:t>Level 3</w:t>
            </w:r>
          </w:p>
        </w:tc>
        <w:tc>
          <w:tcPr>
            <w:tcW w:w="160" w:type="dxa"/>
            <w:vAlign w:val="bottom"/>
          </w:tcPr>
          <w:p>
            <w:pPr>
              <w:spacing w:after="0"/>
              <w:rPr>
                <w:sz w:val="20"/>
                <w:szCs w:val="20"/>
                <w:color w:val="auto"/>
              </w:rPr>
            </w:pPr>
          </w:p>
        </w:tc>
        <w:tc>
          <w:tcPr>
            <w:tcW w:w="620" w:type="dxa"/>
            <w:vAlign w:val="bottom"/>
          </w:tcPr>
          <w:p>
            <w:pPr>
              <w:jc w:val="right"/>
              <w:ind w:right="139"/>
              <w:spacing w:after="0"/>
              <w:rPr>
                <w:sz w:val="20"/>
                <w:szCs w:val="20"/>
                <w:color w:val="auto"/>
              </w:rPr>
            </w:pPr>
            <w:r>
              <w:rPr>
                <w:rFonts w:ascii="Arial" w:cs="Arial" w:eastAsia="Arial" w:hAnsi="Arial"/>
                <w:sz w:val="16"/>
                <w:szCs w:val="16"/>
                <w:b w:val="1"/>
                <w:bCs w:val="1"/>
                <w:color w:val="auto"/>
                <w:w w:val="99"/>
              </w:rPr>
              <w:t>Total</w:t>
            </w:r>
          </w:p>
        </w:tc>
      </w:tr>
      <w:tr>
        <w:trPr>
          <w:trHeight w:val="33"/>
        </w:trPr>
        <w:tc>
          <w:tcPr>
            <w:tcW w:w="412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Borders>
              <w:bottom w:val="single" w:sz="8" w:color="CCFFC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Assets:</w:t>
            </w:r>
          </w:p>
        </w:tc>
        <w:tc>
          <w:tcPr>
            <w:tcW w:w="140" w:type="dxa"/>
            <w:vAlign w:val="bottom"/>
            <w:tcBorders>
              <w:bottom w:val="single" w:sz="8" w:color="CCFFCC"/>
            </w:tcBorders>
            <w:shd w:val="clear" w:color="auto" w:fill="CCFFCC"/>
          </w:tcPr>
          <w:p>
            <w:pPr>
              <w:spacing w:after="0"/>
              <w:rPr>
                <w:sz w:val="21"/>
                <w:szCs w:val="21"/>
                <w:color w:val="auto"/>
              </w:rPr>
            </w:pPr>
          </w:p>
        </w:tc>
        <w:tc>
          <w:tcPr>
            <w:tcW w:w="70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70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68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62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66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66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64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620" w:type="dxa"/>
            <w:vAlign w:val="bottom"/>
            <w:tcBorders>
              <w:bottom w:val="single" w:sz="8" w:color="CCFFCC"/>
            </w:tcBorders>
            <w:shd w:val="clear" w:color="auto" w:fill="CCFFCC"/>
          </w:tcPr>
          <w:p>
            <w:pPr>
              <w:spacing w:after="0"/>
              <w:rPr>
                <w:sz w:val="21"/>
                <w:szCs w:val="2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Cash equivalents:</w:t>
            </w: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33"/>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412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Money market funds</w:t>
            </w:r>
          </w:p>
        </w:tc>
        <w:tc>
          <w:tcPr>
            <w:tcW w:w="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FFCC"/>
            </w:tcBorders>
            <w:shd w:val="clear" w:color="auto" w:fill="CCFFCC"/>
          </w:tcPr>
          <w:p>
            <w:pPr>
              <w:jc w:val="right"/>
              <w:ind w:right="59"/>
              <w:spacing w:after="0"/>
              <w:rPr>
                <w:sz w:val="20"/>
                <w:szCs w:val="20"/>
                <w:color w:val="auto"/>
              </w:rPr>
            </w:pPr>
            <w:r>
              <w:rPr>
                <w:rFonts w:ascii="Arial" w:cs="Arial" w:eastAsia="Arial" w:hAnsi="Arial"/>
                <w:sz w:val="16"/>
                <w:szCs w:val="16"/>
                <w:color w:val="auto"/>
              </w:rPr>
              <w:t>3,073</w:t>
            </w:r>
          </w:p>
        </w:tc>
        <w:tc>
          <w:tcPr>
            <w:tcW w:w="12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3,073</w:t>
            </w:r>
          </w:p>
        </w:tc>
        <w:tc>
          <w:tcPr>
            <w:tcW w:w="22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4,059</w:t>
            </w:r>
          </w:p>
        </w:tc>
        <w:tc>
          <w:tcPr>
            <w:tcW w:w="12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4,059</w:t>
            </w:r>
          </w:p>
        </w:tc>
      </w:tr>
      <w:tr>
        <w:trPr>
          <w:trHeight w:val="237"/>
        </w:trPr>
        <w:tc>
          <w:tcPr>
            <w:tcW w:w="4120" w:type="dxa"/>
            <w:vAlign w:val="bottom"/>
          </w:tcPr>
          <w:p>
            <w:pPr>
              <w:ind w:left="280"/>
              <w:spacing w:after="0"/>
              <w:rPr>
                <w:sz w:val="20"/>
                <w:szCs w:val="20"/>
                <w:color w:val="auto"/>
              </w:rPr>
            </w:pPr>
            <w:r>
              <w:rPr>
                <w:rFonts w:ascii="Arial" w:cs="Arial" w:eastAsia="Arial" w:hAnsi="Arial"/>
                <w:sz w:val="16"/>
                <w:szCs w:val="16"/>
                <w:color w:val="auto"/>
              </w:rPr>
              <w:t>Foreign currency derivative contracts</w:t>
            </w:r>
          </w:p>
        </w:tc>
        <w:tc>
          <w:tcPr>
            <w:tcW w:w="140" w:type="dxa"/>
            <w:vAlign w:val="bottom"/>
          </w:tcPr>
          <w:p>
            <w:pPr>
              <w:spacing w:after="0"/>
              <w:rPr>
                <w:sz w:val="20"/>
                <w:szCs w:val="20"/>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965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965</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102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102</w:t>
            </w:r>
          </w:p>
        </w:tc>
      </w:tr>
      <w:tr>
        <w:trPr>
          <w:trHeight w:val="33"/>
        </w:trPr>
        <w:tc>
          <w:tcPr>
            <w:tcW w:w="412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Borders>
              <w:bottom w:val="single" w:sz="8" w:color="CCFFC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57"/>
        </w:trPr>
        <w:tc>
          <w:tcPr>
            <w:tcW w:w="4120" w:type="dxa"/>
            <w:vAlign w:val="bottom"/>
            <w:shd w:val="clear" w:color="auto" w:fill="CCFFCC"/>
          </w:tcPr>
          <w:p>
            <w:pPr>
              <w:ind w:left="280"/>
              <w:spacing w:after="0"/>
              <w:rPr>
                <w:sz w:val="20"/>
                <w:szCs w:val="20"/>
                <w:color w:val="auto"/>
              </w:rPr>
            </w:pPr>
            <w:r>
              <w:rPr>
                <w:rFonts w:ascii="Arial" w:cs="Arial" w:eastAsia="Arial" w:hAnsi="Arial"/>
                <w:sz w:val="16"/>
                <w:szCs w:val="16"/>
                <w:color w:val="auto"/>
              </w:rPr>
              <w:t>Total assets</w:t>
            </w:r>
          </w:p>
        </w:tc>
        <w:tc>
          <w:tcPr>
            <w:tcW w:w="1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FFCC"/>
          </w:tcPr>
          <w:p>
            <w:pPr>
              <w:jc w:val="right"/>
              <w:ind w:right="59"/>
              <w:spacing w:after="0"/>
              <w:rPr>
                <w:sz w:val="20"/>
                <w:szCs w:val="20"/>
                <w:color w:val="auto"/>
              </w:rPr>
            </w:pPr>
            <w:r>
              <w:rPr>
                <w:rFonts w:ascii="Arial" w:cs="Arial" w:eastAsia="Arial" w:hAnsi="Arial"/>
                <w:sz w:val="16"/>
                <w:szCs w:val="16"/>
                <w:color w:val="auto"/>
              </w:rPr>
              <w:t>3,073</w:t>
            </w:r>
          </w:p>
        </w:tc>
        <w:tc>
          <w:tcPr>
            <w:tcW w:w="120" w:type="dxa"/>
            <w:vAlign w:val="bottom"/>
            <w:shd w:val="clear" w:color="auto" w:fill="CCFFCC"/>
          </w:tcPr>
          <w:p>
            <w:pPr>
              <w:spacing w:after="0"/>
              <w:rPr>
                <w:sz w:val="22"/>
                <w:szCs w:val="22"/>
                <w:color w:val="auto"/>
              </w:rPr>
            </w:pPr>
          </w:p>
        </w:tc>
        <w:tc>
          <w:tcPr>
            <w:tcW w:w="120" w:type="dxa"/>
            <w:vAlign w:val="bottom"/>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FFCC"/>
          </w:tcPr>
          <w:p>
            <w:pPr>
              <w:jc w:val="right"/>
              <w:ind w:right="39"/>
              <w:spacing w:after="0"/>
              <w:rPr>
                <w:sz w:val="20"/>
                <w:szCs w:val="20"/>
                <w:color w:val="auto"/>
              </w:rPr>
            </w:pPr>
            <w:r>
              <w:rPr>
                <w:rFonts w:ascii="Arial" w:cs="Arial" w:eastAsia="Arial" w:hAnsi="Arial"/>
                <w:sz w:val="16"/>
                <w:szCs w:val="16"/>
                <w:color w:val="auto"/>
              </w:rPr>
              <w:t>965</w:t>
            </w:r>
          </w:p>
        </w:tc>
        <w:tc>
          <w:tcPr>
            <w:tcW w:w="120" w:type="dxa"/>
            <w:vAlign w:val="bottom"/>
            <w:shd w:val="clear" w:color="auto" w:fill="CCFFCC"/>
          </w:tcPr>
          <w:p>
            <w:pPr>
              <w:spacing w:after="0"/>
              <w:rPr>
                <w:sz w:val="22"/>
                <w:szCs w:val="22"/>
                <w:color w:val="auto"/>
              </w:rPr>
            </w:pPr>
          </w:p>
        </w:tc>
        <w:tc>
          <w:tcPr>
            <w:tcW w:w="140" w:type="dxa"/>
            <w:vAlign w:val="bottom"/>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FFCC"/>
          </w:tcPr>
          <w:p>
            <w:pPr>
              <w:jc w:val="right"/>
              <w:ind w:right="19"/>
              <w:spacing w:after="0"/>
              <w:rPr>
                <w:sz w:val="20"/>
                <w:szCs w:val="20"/>
                <w:color w:val="auto"/>
              </w:rPr>
            </w:pPr>
            <w:r>
              <w:rPr>
                <w:rFonts w:ascii="Arial" w:cs="Arial" w:eastAsia="Arial" w:hAnsi="Arial"/>
                <w:sz w:val="16"/>
                <w:szCs w:val="16"/>
                <w:color w:val="auto"/>
              </w:rPr>
              <w:t>4,038</w:t>
            </w:r>
          </w:p>
        </w:tc>
        <w:tc>
          <w:tcPr>
            <w:tcW w:w="220" w:type="dxa"/>
            <w:vAlign w:val="bottom"/>
            <w:shd w:val="clear" w:color="auto" w:fill="CCFFCC"/>
          </w:tcPr>
          <w:p>
            <w:pPr>
              <w:spacing w:after="0"/>
              <w:rPr>
                <w:sz w:val="22"/>
                <w:szCs w:val="22"/>
                <w:color w:val="auto"/>
              </w:rPr>
            </w:pPr>
          </w:p>
        </w:tc>
        <w:tc>
          <w:tcPr>
            <w:tcW w:w="1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FFCC"/>
          </w:tcPr>
          <w:p>
            <w:pPr>
              <w:jc w:val="right"/>
              <w:ind w:right="19"/>
              <w:spacing w:after="0"/>
              <w:rPr>
                <w:sz w:val="20"/>
                <w:szCs w:val="20"/>
                <w:color w:val="auto"/>
              </w:rPr>
            </w:pPr>
            <w:r>
              <w:rPr>
                <w:rFonts w:ascii="Arial" w:cs="Arial" w:eastAsia="Arial" w:hAnsi="Arial"/>
                <w:sz w:val="16"/>
                <w:szCs w:val="16"/>
                <w:color w:val="auto"/>
              </w:rPr>
              <w:t>4,059</w:t>
            </w:r>
          </w:p>
        </w:tc>
        <w:tc>
          <w:tcPr>
            <w:tcW w:w="120" w:type="dxa"/>
            <w:vAlign w:val="bottom"/>
            <w:shd w:val="clear" w:color="auto" w:fill="CCFFCC"/>
          </w:tcPr>
          <w:p>
            <w:pPr>
              <w:spacing w:after="0"/>
              <w:rPr>
                <w:sz w:val="22"/>
                <w:szCs w:val="22"/>
                <w:color w:val="auto"/>
              </w:rPr>
            </w:pPr>
          </w:p>
        </w:tc>
        <w:tc>
          <w:tcPr>
            <w:tcW w:w="120" w:type="dxa"/>
            <w:vAlign w:val="bottom"/>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FFCC"/>
          </w:tcPr>
          <w:p>
            <w:pPr>
              <w:jc w:val="right"/>
              <w:ind w:right="39"/>
              <w:spacing w:after="0"/>
              <w:rPr>
                <w:sz w:val="20"/>
                <w:szCs w:val="20"/>
                <w:color w:val="auto"/>
              </w:rPr>
            </w:pPr>
            <w:r>
              <w:rPr>
                <w:rFonts w:ascii="Arial" w:cs="Arial" w:eastAsia="Arial" w:hAnsi="Arial"/>
                <w:sz w:val="16"/>
                <w:szCs w:val="16"/>
                <w:color w:val="auto"/>
              </w:rPr>
              <w:t>102</w:t>
            </w:r>
          </w:p>
        </w:tc>
        <w:tc>
          <w:tcPr>
            <w:tcW w:w="100" w:type="dxa"/>
            <w:vAlign w:val="bottom"/>
            <w:shd w:val="clear" w:color="auto" w:fill="CCFFCC"/>
          </w:tcPr>
          <w:p>
            <w:pPr>
              <w:spacing w:after="0"/>
              <w:rPr>
                <w:sz w:val="22"/>
                <w:szCs w:val="22"/>
                <w:color w:val="auto"/>
              </w:rPr>
            </w:pPr>
          </w:p>
        </w:tc>
        <w:tc>
          <w:tcPr>
            <w:tcW w:w="1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FFCC"/>
          </w:tcPr>
          <w:p>
            <w:pPr>
              <w:jc w:val="right"/>
              <w:ind w:right="19"/>
              <w:spacing w:after="0"/>
              <w:rPr>
                <w:sz w:val="20"/>
                <w:szCs w:val="20"/>
                <w:color w:val="auto"/>
              </w:rPr>
            </w:pPr>
            <w:r>
              <w:rPr>
                <w:rFonts w:ascii="Arial" w:cs="Arial" w:eastAsia="Arial" w:hAnsi="Arial"/>
                <w:sz w:val="16"/>
                <w:szCs w:val="16"/>
                <w:color w:val="auto"/>
              </w:rPr>
              <w:t>4,161</w:t>
            </w:r>
          </w:p>
        </w:tc>
      </w:tr>
      <w:tr>
        <w:trPr>
          <w:trHeight w:val="20"/>
        </w:trPr>
        <w:tc>
          <w:tcPr>
            <w:tcW w:w="412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4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50"/>
        </w:trPr>
        <w:tc>
          <w:tcPr>
            <w:tcW w:w="412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Liabilities:</w:t>
            </w:r>
          </w:p>
        </w:tc>
        <w:tc>
          <w:tcPr>
            <w:tcW w:w="140" w:type="dxa"/>
            <w:vAlign w:val="bottom"/>
            <w:tcBorders>
              <w:bottom w:val="single" w:sz="8" w:color="CCFFCC"/>
            </w:tcBorders>
            <w:shd w:val="clear" w:color="auto" w:fill="CCFFCC"/>
          </w:tcPr>
          <w:p>
            <w:pPr>
              <w:spacing w:after="0"/>
              <w:rPr>
                <w:sz w:val="21"/>
                <w:szCs w:val="21"/>
                <w:color w:val="auto"/>
              </w:rPr>
            </w:pPr>
          </w:p>
        </w:tc>
        <w:tc>
          <w:tcPr>
            <w:tcW w:w="70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70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68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62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66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66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64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620" w:type="dxa"/>
            <w:vAlign w:val="bottom"/>
            <w:tcBorders>
              <w:bottom w:val="single" w:sz="8" w:color="CCFFCC"/>
            </w:tcBorders>
            <w:shd w:val="clear" w:color="auto" w:fill="CCFFCC"/>
          </w:tcPr>
          <w:p>
            <w:pPr>
              <w:spacing w:after="0"/>
              <w:rPr>
                <w:sz w:val="21"/>
                <w:szCs w:val="21"/>
                <w:color w:val="auto"/>
              </w:rPr>
            </w:pPr>
          </w:p>
        </w:tc>
      </w:tr>
      <w:tr>
        <w:trPr>
          <w:trHeight w:val="237"/>
        </w:trPr>
        <w:tc>
          <w:tcPr>
            <w:tcW w:w="4120" w:type="dxa"/>
            <w:vAlign w:val="bottom"/>
          </w:tcPr>
          <w:p>
            <w:pPr>
              <w:ind w:left="280"/>
              <w:spacing w:after="0"/>
              <w:rPr>
                <w:sz w:val="20"/>
                <w:szCs w:val="20"/>
                <w:color w:val="auto"/>
              </w:rPr>
            </w:pPr>
            <w:r>
              <w:rPr>
                <w:rFonts w:ascii="Arial" w:cs="Arial" w:eastAsia="Arial" w:hAnsi="Arial"/>
                <w:sz w:val="16"/>
                <w:szCs w:val="16"/>
                <w:color w:val="auto"/>
              </w:rPr>
              <w:t>Contingent earn-outs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210</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210</w:t>
            </w:r>
          </w:p>
        </w:tc>
        <w:tc>
          <w:tcPr>
            <w:tcW w:w="2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377</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377</w:t>
            </w:r>
          </w:p>
        </w:tc>
      </w:tr>
      <w:tr>
        <w:trPr>
          <w:trHeight w:val="33"/>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70"/>
        </w:trPr>
        <w:tc>
          <w:tcPr>
            <w:tcW w:w="412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Foreign currency derivative contracts</w:t>
            </w:r>
          </w:p>
        </w:tc>
        <w:tc>
          <w:tcPr>
            <w:tcW w:w="140" w:type="dxa"/>
            <w:vAlign w:val="bottom"/>
            <w:tcBorders>
              <w:bottom w:val="single" w:sz="8" w:color="CCFFCC"/>
            </w:tcBorders>
            <w:shd w:val="clear" w:color="auto" w:fill="CCFFCC"/>
          </w:tcPr>
          <w:p>
            <w:pPr>
              <w:spacing w:after="0"/>
              <w:rPr>
                <w:sz w:val="23"/>
                <w:szCs w:val="23"/>
                <w:color w:val="auto"/>
              </w:rPr>
            </w:pPr>
          </w:p>
        </w:tc>
        <w:tc>
          <w:tcPr>
            <w:tcW w:w="820" w:type="dxa"/>
            <w:vAlign w:val="bottom"/>
            <w:tcBorders>
              <w:bottom w:val="single" w:sz="8" w:color="CCFFCC"/>
            </w:tcBorders>
            <w:gridSpan w:val="2"/>
            <w:shd w:val="clear" w:color="auto" w:fill="CCFFCC"/>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FFCC"/>
            </w:tcBorders>
            <w:shd w:val="clear" w:color="auto" w:fill="CCFFCC"/>
          </w:tcPr>
          <w:p>
            <w:pPr>
              <w:spacing w:after="0"/>
              <w:rPr>
                <w:sz w:val="23"/>
                <w:szCs w:val="23"/>
                <w:color w:val="auto"/>
              </w:rPr>
            </w:pPr>
          </w:p>
        </w:tc>
        <w:tc>
          <w:tcPr>
            <w:tcW w:w="70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FFCC"/>
            </w:tcBorders>
            <w:shd w:val="clear" w:color="auto" w:fill="CCFFCC"/>
          </w:tcPr>
          <w:p>
            <w:pPr>
              <w:spacing w:after="0"/>
              <w:rPr>
                <w:sz w:val="23"/>
                <w:szCs w:val="23"/>
                <w:color w:val="auto"/>
              </w:rPr>
            </w:pPr>
          </w:p>
        </w:tc>
        <w:tc>
          <w:tcPr>
            <w:tcW w:w="140" w:type="dxa"/>
            <w:vAlign w:val="bottom"/>
            <w:tcBorders>
              <w:bottom w:val="single" w:sz="8" w:color="CCFFCC"/>
            </w:tcBorders>
            <w:shd w:val="clear" w:color="auto" w:fill="CCFFCC"/>
          </w:tcPr>
          <w:p>
            <w:pPr>
              <w:spacing w:after="0"/>
              <w:rPr>
                <w:sz w:val="23"/>
                <w:szCs w:val="23"/>
                <w:color w:val="auto"/>
              </w:rPr>
            </w:pPr>
          </w:p>
        </w:tc>
        <w:tc>
          <w:tcPr>
            <w:tcW w:w="80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FFCC"/>
            </w:tcBorders>
            <w:shd w:val="clear" w:color="auto" w:fill="CCFFCC"/>
          </w:tcPr>
          <w:p>
            <w:pPr>
              <w:spacing w:after="0"/>
              <w:rPr>
                <w:sz w:val="23"/>
                <w:szCs w:val="23"/>
                <w:color w:val="auto"/>
              </w:rPr>
            </w:pPr>
          </w:p>
        </w:tc>
        <w:tc>
          <w:tcPr>
            <w:tcW w:w="62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3</w:t>
            </w:r>
          </w:p>
        </w:tc>
        <w:tc>
          <w:tcPr>
            <w:tcW w:w="220" w:type="dxa"/>
            <w:vAlign w:val="bottom"/>
            <w:tcBorders>
              <w:bottom w:val="single" w:sz="8" w:color="CCFFCC"/>
            </w:tcBorders>
            <w:shd w:val="clear" w:color="auto" w:fill="CCFFCC"/>
          </w:tcPr>
          <w:p>
            <w:pPr>
              <w:spacing w:after="0"/>
              <w:rPr>
                <w:sz w:val="23"/>
                <w:szCs w:val="23"/>
                <w:color w:val="auto"/>
              </w:rPr>
            </w:pPr>
          </w:p>
        </w:tc>
        <w:tc>
          <w:tcPr>
            <w:tcW w:w="120" w:type="dxa"/>
            <w:vAlign w:val="bottom"/>
            <w:tcBorders>
              <w:bottom w:val="single" w:sz="8" w:color="CCFFCC"/>
            </w:tcBorders>
            <w:shd w:val="clear" w:color="auto" w:fill="CCFFCC"/>
          </w:tcPr>
          <w:p>
            <w:pPr>
              <w:spacing w:after="0"/>
              <w:rPr>
                <w:sz w:val="23"/>
                <w:szCs w:val="23"/>
                <w:color w:val="auto"/>
              </w:rPr>
            </w:pPr>
          </w:p>
        </w:tc>
        <w:tc>
          <w:tcPr>
            <w:tcW w:w="78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FFCC"/>
            </w:tcBorders>
            <w:shd w:val="clear" w:color="auto" w:fill="CCFFCC"/>
          </w:tcPr>
          <w:p>
            <w:pPr>
              <w:spacing w:after="0"/>
              <w:rPr>
                <w:sz w:val="23"/>
                <w:szCs w:val="23"/>
                <w:color w:val="auto"/>
              </w:rPr>
            </w:pPr>
          </w:p>
        </w:tc>
        <w:tc>
          <w:tcPr>
            <w:tcW w:w="66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310</w:t>
            </w:r>
          </w:p>
        </w:tc>
        <w:tc>
          <w:tcPr>
            <w:tcW w:w="100" w:type="dxa"/>
            <w:vAlign w:val="bottom"/>
            <w:tcBorders>
              <w:bottom w:val="single" w:sz="8" w:color="CCFFCC"/>
            </w:tcBorders>
            <w:shd w:val="clear" w:color="auto" w:fill="CCFFCC"/>
          </w:tcPr>
          <w:p>
            <w:pPr>
              <w:spacing w:after="0"/>
              <w:rPr>
                <w:sz w:val="23"/>
                <w:szCs w:val="23"/>
                <w:color w:val="auto"/>
              </w:rPr>
            </w:pPr>
          </w:p>
        </w:tc>
        <w:tc>
          <w:tcPr>
            <w:tcW w:w="140" w:type="dxa"/>
            <w:vAlign w:val="bottom"/>
            <w:tcBorders>
              <w:bottom w:val="single" w:sz="8" w:color="CCFFCC"/>
            </w:tcBorders>
            <w:shd w:val="clear" w:color="auto" w:fill="CCFFCC"/>
          </w:tcPr>
          <w:p>
            <w:pPr>
              <w:spacing w:after="0"/>
              <w:rPr>
                <w:sz w:val="23"/>
                <w:szCs w:val="23"/>
                <w:color w:val="auto"/>
              </w:rPr>
            </w:pPr>
          </w:p>
        </w:tc>
        <w:tc>
          <w:tcPr>
            <w:tcW w:w="76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FFCC"/>
            </w:tcBorders>
            <w:shd w:val="clear" w:color="auto" w:fill="CCFFCC"/>
          </w:tcPr>
          <w:p>
            <w:pPr>
              <w:spacing w:after="0"/>
              <w:rPr>
                <w:sz w:val="23"/>
                <w:szCs w:val="23"/>
                <w:color w:val="auto"/>
              </w:rPr>
            </w:pPr>
          </w:p>
        </w:tc>
        <w:tc>
          <w:tcPr>
            <w:tcW w:w="62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310</w:t>
            </w:r>
          </w:p>
        </w:tc>
      </w:tr>
      <w:tr>
        <w:trPr>
          <w:trHeight w:val="244"/>
        </w:trPr>
        <w:tc>
          <w:tcPr>
            <w:tcW w:w="4120" w:type="dxa"/>
            <w:vAlign w:val="bottom"/>
          </w:tcPr>
          <w:p>
            <w:pPr>
              <w:ind w:left="280"/>
              <w:spacing w:after="0"/>
              <w:rPr>
                <w:sz w:val="20"/>
                <w:szCs w:val="20"/>
                <w:color w:val="auto"/>
              </w:rPr>
            </w:pPr>
            <w:r>
              <w:rPr>
                <w:rFonts w:ascii="Arial" w:cs="Arial" w:eastAsia="Arial" w:hAnsi="Arial"/>
                <w:sz w:val="16"/>
                <w:szCs w:val="16"/>
                <w:color w:val="auto"/>
              </w:rPr>
              <w:t>Total liabilities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210</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213</w:t>
            </w:r>
          </w:p>
        </w:tc>
        <w:tc>
          <w:tcPr>
            <w:tcW w:w="2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310</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377</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687</w:t>
            </w:r>
          </w:p>
        </w:tc>
      </w:tr>
      <w:tr>
        <w:trPr>
          <w:trHeight w:val="20"/>
        </w:trPr>
        <w:tc>
          <w:tcPr>
            <w:tcW w:w="4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determining fair value, the Company utilizes valuation techniques that maximize the use of observable inputs and minimize the use of unobservable inputs to the extent possible as well as considers counterparty credit risk in its assessment of</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84" w:right="239" w:bottom="1440" w:gutter="0" w:footer="0" w:header="0"/>
        </w:sectPr>
      </w:pPr>
    </w:p>
    <w:bookmarkStart w:id="17" w:name="page18"/>
    <w:bookmarkEnd w:id="17"/>
    <w:p>
      <w:pPr>
        <w:jc w:val="both"/>
        <w:ind w:right="20"/>
        <w:spacing w:after="0" w:line="277" w:lineRule="auto"/>
        <w:rPr>
          <w:sz w:val="20"/>
          <w:szCs w:val="20"/>
          <w:color w:val="auto"/>
        </w:rPr>
      </w:pPr>
      <w:r>
        <w:rPr>
          <w:rFonts w:ascii="Arial" w:cs="Arial" w:eastAsia="Arial" w:hAnsi="Arial"/>
          <w:sz w:val="18"/>
          <w:szCs w:val="18"/>
          <w:color w:val="auto"/>
        </w:rPr>
        <w:t>fair value. Observable or market inputs reflect market data obtained from independent sources, while unobservable inputs reflect the Company’s assumptions based on the best information available.</w:t>
      </w:r>
    </w:p>
    <w:p>
      <w:pPr>
        <w:spacing w:after="0" w:line="6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Company's money market funds are measured at fair value on a recurring basis based on quoted market prices in active markets and are classified as level 1 within the fair value hierarchy. The Company's contingent earn-out liability and foreign currency derivative contracts are measured at fair value on a recurring basis and are classified as level 3 and level 2, respectively, within the fair value hierarchy. On a nonrecurring basis, the Company uses fair value measures when analyzing asset impairment. Long-lived tangible assets are reviewed for impairment whenever events or changes in circumstances indicate that the carrying amount of an asset may not be recoverable. If it is determined such indicators are present and the review indicates that the assets will not be fully recoverable, based on undiscounted estimated cash flows over the remaining amortization periods, their carrying values are reduced to estimated fair value. The Company uses an income approach and inputs that constitute level 3. During the third quarter of each year, the Company evaluates goodwill for impairment at the reporting unit level. The Company uses qualitative factors in accordance with ASU No. 2011-08 to determine whether it is “more likely than not” that the fair value of a reporting unit is less than its carrying amount as a basis for determining whether it is necessary to perform the two-step goodwill impairment test. This measurement is classified based on level 3 input.</w:t>
      </w:r>
    </w:p>
    <w:p>
      <w:pPr>
        <w:spacing w:after="0" w:line="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remaining contingent earn-out amounts as of September 30, 2016 are recorded in accrued expense on the condensed consolidated balance sheet and are payable in 2016. The contingent earn-out balance as of September 30, 2016 relates to Synchronite and is based on the fulfillment of a complete product integration and a minimum number of “Co-Browse” interactions per month.</w:t>
      </w:r>
    </w:p>
    <w:p>
      <w:pPr>
        <w:spacing w:after="0" w:line="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changes in fair value of the Level 3 liabilities are as follows (amounts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841"/>
              <w:spacing w:after="0"/>
              <w:rPr>
                <w:sz w:val="20"/>
                <w:szCs w:val="20"/>
                <w:color w:val="auto"/>
              </w:rPr>
            </w:pPr>
            <w:r>
              <w:rPr>
                <w:rFonts w:ascii="Arial" w:cs="Arial" w:eastAsia="Arial" w:hAnsi="Arial"/>
                <w:sz w:val="14"/>
                <w:szCs w:val="14"/>
                <w:b w:val="1"/>
                <w:bCs w:val="1"/>
                <w:color w:val="auto"/>
              </w:rPr>
              <w:t>Contingent Earn-Out</w:t>
            </w:r>
          </w:p>
        </w:tc>
      </w:tr>
      <w:tr>
        <w:trPr>
          <w:trHeight w:val="264"/>
        </w:trPr>
        <w:tc>
          <w:tcPr>
            <w:tcW w:w="8240" w:type="dxa"/>
            <w:vAlign w:val="bottom"/>
          </w:tcPr>
          <w:p>
            <w:pPr>
              <w:spacing w:after="0"/>
              <w:rPr>
                <w:sz w:val="22"/>
                <w:szCs w:val="22"/>
                <w:color w:val="auto"/>
              </w:rPr>
            </w:pPr>
          </w:p>
        </w:tc>
        <w:tc>
          <w:tcPr>
            <w:tcW w:w="150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30, 2016</w:t>
            </w:r>
          </w:p>
        </w:tc>
        <w:tc>
          <w:tcPr>
            <w:tcW w:w="180" w:type="dxa"/>
            <w:vAlign w:val="bottom"/>
          </w:tcPr>
          <w:p>
            <w:pPr>
              <w:spacing w:after="0"/>
              <w:rPr>
                <w:sz w:val="22"/>
                <w:szCs w:val="22"/>
                <w:color w:val="auto"/>
              </w:rPr>
            </w:pPr>
          </w:p>
        </w:tc>
        <w:tc>
          <w:tcPr>
            <w:tcW w:w="1500" w:type="dxa"/>
            <w:vAlign w:val="bottom"/>
          </w:tcPr>
          <w:p>
            <w:pPr>
              <w:jc w:val="right"/>
              <w:ind w:right="181"/>
              <w:spacing w:after="0"/>
              <w:rPr>
                <w:sz w:val="20"/>
                <w:szCs w:val="20"/>
                <w:color w:val="auto"/>
              </w:rPr>
            </w:pPr>
            <w:r>
              <w:rPr>
                <w:rFonts w:ascii="Arial" w:cs="Arial" w:eastAsia="Arial" w:hAnsi="Arial"/>
                <w:sz w:val="14"/>
                <w:szCs w:val="14"/>
                <w:b w:val="1"/>
                <w:bCs w:val="1"/>
                <w:color w:val="auto"/>
                <w:w w:val="96"/>
              </w:rPr>
              <w:t>December 31, 2015</w:t>
            </w:r>
          </w:p>
        </w:tc>
      </w:tr>
      <w:tr>
        <w:trPr>
          <w:trHeight w:val="236"/>
        </w:trPr>
        <w:tc>
          <w:tcPr>
            <w:tcW w:w="8240" w:type="dxa"/>
            <w:vAlign w:val="bottom"/>
            <w:tcBorders>
              <w:top w:val="single" w:sz="8" w:color="CCFFCC"/>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Balance, Beginning of Period</w:t>
            </w:r>
          </w:p>
        </w:tc>
        <w:tc>
          <w:tcPr>
            <w:tcW w:w="520" w:type="dxa"/>
            <w:vAlign w:val="bottom"/>
            <w:tcBorders>
              <w:top w:val="single" w:sz="8" w:color="auto"/>
              <w:bottom w:val="single" w:sz="8" w:color="CCFFCC"/>
            </w:tcBorders>
            <w:shd w:val="clear" w:color="auto" w:fill="CCFFCC"/>
          </w:tcPr>
          <w:p>
            <w:pPr>
              <w:jc w:val="right"/>
              <w:ind w:right="342"/>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CCFFCC"/>
            </w:tcBorders>
            <w:shd w:val="clear" w:color="auto" w:fill="CCFFCC"/>
          </w:tcPr>
          <w:p>
            <w:pPr>
              <w:jc w:val="right"/>
              <w:ind w:right="41"/>
              <w:spacing w:after="0"/>
              <w:rPr>
                <w:sz w:val="20"/>
                <w:szCs w:val="20"/>
                <w:color w:val="auto"/>
              </w:rPr>
            </w:pPr>
            <w:r>
              <w:rPr>
                <w:rFonts w:ascii="Arial" w:cs="Arial" w:eastAsia="Arial" w:hAnsi="Arial"/>
                <w:sz w:val="16"/>
                <w:szCs w:val="16"/>
                <w:color w:val="auto"/>
              </w:rPr>
              <w:t>377</w:t>
            </w:r>
          </w:p>
        </w:tc>
        <w:tc>
          <w:tcPr>
            <w:tcW w:w="120" w:type="dxa"/>
            <w:vAlign w:val="bottom"/>
            <w:tcBorders>
              <w:top w:val="single" w:sz="8" w:color="CCFFCC"/>
              <w:bottom w:val="single" w:sz="8" w:color="CCFFCC"/>
            </w:tcBorders>
            <w:shd w:val="clear" w:color="auto" w:fill="CCFFCC"/>
          </w:tcPr>
          <w:p>
            <w:pPr>
              <w:spacing w:after="0"/>
              <w:rPr>
                <w:sz w:val="20"/>
                <w:szCs w:val="20"/>
                <w:color w:val="auto"/>
              </w:rPr>
            </w:pPr>
          </w:p>
        </w:tc>
        <w:tc>
          <w:tcPr>
            <w:tcW w:w="180" w:type="dxa"/>
            <w:vAlign w:val="bottom"/>
            <w:tcBorders>
              <w:top w:val="single" w:sz="8" w:color="auto"/>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bottom w:val="single" w:sz="8" w:color="CCFFCC"/>
            </w:tcBorders>
            <w:shd w:val="clear" w:color="auto" w:fill="CCFFCC"/>
          </w:tcPr>
          <w:p>
            <w:pPr>
              <w:jc w:val="right"/>
              <w:ind w:right="21"/>
              <w:spacing w:after="0"/>
              <w:rPr>
                <w:sz w:val="20"/>
                <w:szCs w:val="20"/>
                <w:color w:val="auto"/>
              </w:rPr>
            </w:pPr>
            <w:r>
              <w:rPr>
                <w:rFonts w:ascii="Arial" w:cs="Arial" w:eastAsia="Arial" w:hAnsi="Arial"/>
                <w:sz w:val="16"/>
                <w:szCs w:val="16"/>
                <w:color w:val="auto"/>
              </w:rPr>
              <w:t>6,940</w:t>
            </w:r>
          </w:p>
        </w:tc>
      </w:tr>
      <w:tr>
        <w:trPr>
          <w:trHeight w:val="237"/>
        </w:trPr>
        <w:tc>
          <w:tcPr>
            <w:tcW w:w="8240" w:type="dxa"/>
            <w:vAlign w:val="bottom"/>
          </w:tcPr>
          <w:p>
            <w:pPr>
              <w:ind w:left="180"/>
              <w:spacing w:after="0"/>
              <w:rPr>
                <w:sz w:val="20"/>
                <w:szCs w:val="20"/>
                <w:color w:val="auto"/>
              </w:rPr>
            </w:pPr>
            <w:r>
              <w:rPr>
                <w:rFonts w:ascii="Arial" w:cs="Arial" w:eastAsia="Arial" w:hAnsi="Arial"/>
                <w:sz w:val="16"/>
                <w:szCs w:val="16"/>
                <w:color w:val="auto"/>
              </w:rPr>
              <w:t>Cash payments</w:t>
            </w:r>
          </w:p>
        </w:tc>
        <w:tc>
          <w:tcPr>
            <w:tcW w:w="5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(2,883)</w:t>
            </w:r>
          </w:p>
        </w:tc>
      </w:tr>
      <w:tr>
        <w:trPr>
          <w:trHeight w:val="33"/>
        </w:trPr>
        <w:tc>
          <w:tcPr>
            <w:tcW w:w="8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824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Changes in fair value</w:t>
            </w:r>
          </w:p>
        </w:tc>
        <w:tc>
          <w:tcPr>
            <w:tcW w:w="520" w:type="dxa"/>
            <w:vAlign w:val="bottom"/>
            <w:tcBorders>
              <w:bottom w:val="single" w:sz="8" w:color="CCFFCC"/>
            </w:tcBorders>
            <w:shd w:val="clear" w:color="auto" w:fill="CCFFCC"/>
          </w:tcPr>
          <w:p>
            <w:pPr>
              <w:spacing w:after="0"/>
              <w:rPr>
                <w:sz w:val="23"/>
                <w:szCs w:val="23"/>
                <w:color w:val="auto"/>
              </w:rPr>
            </w:pPr>
          </w:p>
        </w:tc>
        <w:tc>
          <w:tcPr>
            <w:tcW w:w="98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FFCC"/>
            </w:tcBorders>
            <w:shd w:val="clear" w:color="auto" w:fill="CCFFCC"/>
          </w:tcPr>
          <w:p>
            <w:pPr>
              <w:spacing w:after="0"/>
              <w:rPr>
                <w:sz w:val="23"/>
                <w:szCs w:val="23"/>
                <w:color w:val="auto"/>
              </w:rPr>
            </w:pPr>
          </w:p>
        </w:tc>
        <w:tc>
          <w:tcPr>
            <w:tcW w:w="15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(3,680)</w:t>
            </w:r>
          </w:p>
        </w:tc>
      </w:tr>
      <w:tr>
        <w:trPr>
          <w:trHeight w:val="244"/>
        </w:trPr>
        <w:tc>
          <w:tcPr>
            <w:tcW w:w="8240" w:type="dxa"/>
            <w:vAlign w:val="bottom"/>
          </w:tcPr>
          <w:p>
            <w:pPr>
              <w:ind w:left="40"/>
              <w:spacing w:after="0"/>
              <w:rPr>
                <w:sz w:val="20"/>
                <w:szCs w:val="20"/>
                <w:color w:val="auto"/>
              </w:rPr>
            </w:pPr>
            <w:r>
              <w:rPr>
                <w:rFonts w:ascii="Arial" w:cs="Arial" w:eastAsia="Arial" w:hAnsi="Arial"/>
                <w:sz w:val="16"/>
                <w:szCs w:val="16"/>
                <w:color w:val="auto"/>
              </w:rPr>
              <w:t>Balance, End of Period</w:t>
            </w:r>
          </w:p>
        </w:tc>
        <w:tc>
          <w:tcPr>
            <w:tcW w:w="520" w:type="dxa"/>
            <w:vAlign w:val="bottom"/>
            <w:tcBorders>
              <w:top w:val="single" w:sz="8" w:color="auto"/>
              <w:bottom w:val="single" w:sz="8" w:color="auto"/>
            </w:tcBorders>
          </w:tcPr>
          <w:p>
            <w:pPr>
              <w:jc w:val="right"/>
              <w:ind w:right="342"/>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210</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377</w:t>
            </w:r>
          </w:p>
        </w:tc>
      </w:tr>
      <w:tr>
        <w:trPr>
          <w:trHeight w:val="20"/>
        </w:trPr>
        <w:tc>
          <w:tcPr>
            <w:tcW w:w="82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11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is exposed to foreign exchange risks that in part are managed by using derivative financial instruments. The Company entered into foreign currency forward contracts related to risks associated with foreign operations. The Company does not use derivatives for trading purposes. Derivatives are recorded at their estimated fair values based upon Level 2 inputs. Derivatives designated and effective as cash flow hedges are reported as a component of other comprehensive income and reclassified to earnings in the same periods in which the hedged transactions impact earnings. Gains and losses related to derivatives not meeting the requirements of hedge accounting and the portion of derivatives related to hedge ineffectiveness are recognized in current earnings.</w:t>
      </w:r>
    </w:p>
    <w:p>
      <w:pPr>
        <w:spacing w:after="0" w:line="8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accordance with the foreign currency forward contracts, the Company was required to pledge cash as collateral security to be maintained at the bank. The collateral shall remain in control of the lender, and these funds can be used to satisfy the outstanding obligation. Accordingly, the Company had cash at the bank of approximately $4.0 million at September 30, 2016, and $5.4 million at December 31, 2015 recorded as cash held as collateral in current assets.</w:t>
      </w:r>
    </w:p>
    <w:p>
      <w:pPr>
        <w:spacing w:after="0" w:line="7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The following summarizes certain information regarding the Company’s outstanding foreign currency derivative contracts related primarily to intercompany receivables and payables for the periods presented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Borders>
              <w:bottom w:val="single" w:sz="8" w:color="CCFFCC"/>
            </w:tcBorders>
          </w:tcPr>
          <w:p>
            <w:pPr>
              <w:spacing w:after="0"/>
              <w:rPr>
                <w:sz w:val="16"/>
                <w:szCs w:val="16"/>
                <w:color w:val="auto"/>
              </w:rPr>
            </w:pPr>
          </w:p>
        </w:tc>
        <w:tc>
          <w:tcPr>
            <w:tcW w:w="174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w w:val="95"/>
              </w:rPr>
              <w:t>As of September 30, 2016</w:t>
            </w:r>
          </w:p>
        </w:tc>
        <w:tc>
          <w:tcPr>
            <w:tcW w:w="17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 December 31, 2015</w:t>
            </w:r>
          </w:p>
        </w:tc>
      </w:tr>
      <w:tr>
        <w:trPr>
          <w:trHeight w:val="250"/>
        </w:trPr>
        <w:tc>
          <w:tcPr>
            <w:tcW w:w="790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Notional amount of foreign currency derivative contracts</w:t>
            </w:r>
          </w:p>
        </w:tc>
        <w:tc>
          <w:tcPr>
            <w:tcW w:w="620" w:type="dxa"/>
            <w:vAlign w:val="bottom"/>
            <w:tcBorders>
              <w:bottom w:val="single" w:sz="8" w:color="CCFFCC"/>
            </w:tcBorders>
            <w:shd w:val="clear" w:color="auto" w:fill="CCFFCC"/>
          </w:tcPr>
          <w:p>
            <w:pPr>
              <w:jc w:val="right"/>
              <w:ind w:right="442"/>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FFCC"/>
            </w:tcBorders>
            <w:shd w:val="clear" w:color="auto" w:fill="CCFFCC"/>
          </w:tcPr>
          <w:p>
            <w:pPr>
              <w:jc w:val="right"/>
              <w:ind w:right="59"/>
              <w:spacing w:after="0"/>
              <w:rPr>
                <w:sz w:val="20"/>
                <w:szCs w:val="20"/>
                <w:color w:val="auto"/>
              </w:rPr>
            </w:pPr>
            <w:r>
              <w:rPr>
                <w:rFonts w:ascii="Arial" w:cs="Arial" w:eastAsia="Arial" w:hAnsi="Arial"/>
                <w:sz w:val="16"/>
                <w:szCs w:val="16"/>
                <w:color w:val="auto"/>
              </w:rPr>
              <w:t>36,658</w:t>
            </w:r>
          </w:p>
        </w:tc>
        <w:tc>
          <w:tcPr>
            <w:tcW w:w="720" w:type="dxa"/>
            <w:vAlign w:val="bottom"/>
            <w:tcBorders>
              <w:bottom w:val="single" w:sz="8" w:color="CCFFCC"/>
            </w:tcBorders>
            <w:shd w:val="clear" w:color="auto" w:fill="CCFFCC"/>
          </w:tcPr>
          <w:p>
            <w:pPr>
              <w:jc w:val="right"/>
              <w:ind w:right="442"/>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43,431</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Fair value of foreign currency derivatives contracts</w:t>
            </w:r>
          </w:p>
        </w:tc>
        <w:tc>
          <w:tcPr>
            <w:tcW w:w="620" w:type="dxa"/>
            <w:vAlign w:val="bottom"/>
          </w:tcPr>
          <w:p>
            <w:pPr>
              <w:jc w:val="right"/>
              <w:ind w:right="442"/>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962</w:t>
            </w:r>
          </w:p>
        </w:tc>
        <w:tc>
          <w:tcPr>
            <w:tcW w:w="720" w:type="dxa"/>
            <w:vAlign w:val="bottom"/>
          </w:tcPr>
          <w:p>
            <w:pPr>
              <w:jc w:val="right"/>
              <w:ind w:right="442"/>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(208)</w:t>
            </w:r>
          </w:p>
        </w:tc>
      </w:tr>
    </w:tbl>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84" w:right="239" w:bottom="1440" w:gutter="0" w:footer="0" w:header="0"/>
        </w:sectPr>
      </w:pPr>
    </w:p>
    <w:bookmarkStart w:id="18" w:name="page19"/>
    <w:bookmarkEnd w:id="18"/>
    <w:p>
      <w:pPr>
        <w:ind w:left="660"/>
        <w:spacing w:after="0"/>
        <w:rPr>
          <w:sz w:val="20"/>
          <w:szCs w:val="20"/>
          <w:color w:val="auto"/>
        </w:rPr>
      </w:pPr>
      <w:r>
        <w:rPr>
          <w:rFonts w:ascii="Arial" w:cs="Arial" w:eastAsia="Arial" w:hAnsi="Arial"/>
          <w:sz w:val="18"/>
          <w:szCs w:val="18"/>
          <w:color w:val="auto"/>
        </w:rPr>
        <w:t>The fair value of the Company’s derivative instruments is summarized below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6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3"/>
          </w:tcPr>
          <w:p>
            <w:pPr>
              <w:ind w:left="240"/>
              <w:spacing w:after="0"/>
              <w:rPr>
                <w:sz w:val="20"/>
                <w:szCs w:val="20"/>
                <w:color w:val="auto"/>
              </w:rPr>
            </w:pPr>
            <w:r>
              <w:rPr>
                <w:rFonts w:ascii="Arial" w:cs="Arial" w:eastAsia="Arial" w:hAnsi="Arial"/>
                <w:sz w:val="14"/>
                <w:szCs w:val="14"/>
                <w:b w:val="1"/>
                <w:bCs w:val="1"/>
                <w:color w:val="auto"/>
                <w:w w:val="97"/>
              </w:rPr>
              <w:t>Fair Value of Derivative Instruments</w:t>
            </w:r>
          </w:p>
        </w:tc>
        <w:tc>
          <w:tcPr>
            <w:tcW w:w="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460" w:type="dxa"/>
            <w:vAlign w:val="bottom"/>
          </w:tcPr>
          <w:p>
            <w:pPr>
              <w:spacing w:after="0"/>
              <w:rPr>
                <w:sz w:val="22"/>
                <w:szCs w:val="22"/>
                <w:color w:val="auto"/>
              </w:rPr>
            </w:pPr>
          </w:p>
        </w:tc>
        <w:tc>
          <w:tcPr>
            <w:tcW w:w="3560" w:type="dxa"/>
            <w:vAlign w:val="bottom"/>
            <w:gridSpan w:val="2"/>
          </w:tcPr>
          <w:p>
            <w:pPr>
              <w:ind w:left="40"/>
              <w:spacing w:after="0"/>
              <w:rPr>
                <w:sz w:val="20"/>
                <w:szCs w:val="20"/>
                <w:color w:val="auto"/>
              </w:rPr>
            </w:pPr>
            <w:r>
              <w:rPr>
                <w:rFonts w:ascii="Arial" w:cs="Arial" w:eastAsia="Arial" w:hAnsi="Arial"/>
                <w:sz w:val="14"/>
                <w:szCs w:val="14"/>
                <w:b w:val="1"/>
                <w:bCs w:val="1"/>
                <w:color w:val="auto"/>
              </w:rPr>
              <w:t>Balance Sheet Location</w:t>
            </w:r>
          </w:p>
        </w:tc>
        <w:tc>
          <w:tcPr>
            <w:tcW w:w="1820" w:type="dxa"/>
            <w:vAlign w:val="bottom"/>
            <w:gridSpan w:val="3"/>
          </w:tcPr>
          <w:p>
            <w:pPr>
              <w:ind w:left="80"/>
              <w:spacing w:after="0"/>
              <w:rPr>
                <w:sz w:val="20"/>
                <w:szCs w:val="20"/>
                <w:color w:val="auto"/>
              </w:rPr>
            </w:pPr>
            <w:r>
              <w:rPr>
                <w:rFonts w:ascii="Arial" w:cs="Arial" w:eastAsia="Arial" w:hAnsi="Arial"/>
                <w:sz w:val="14"/>
                <w:szCs w:val="14"/>
                <w:b w:val="1"/>
                <w:bCs w:val="1"/>
                <w:color w:val="auto"/>
              </w:rPr>
              <w:t>As of September 30, 2016</w:t>
            </w:r>
          </w:p>
        </w:tc>
        <w:tc>
          <w:tcPr>
            <w:tcW w:w="1580" w:type="dxa"/>
            <w:vAlign w:val="bottom"/>
            <w:gridSpan w:val="2"/>
          </w:tcPr>
          <w:p>
            <w:pPr>
              <w:ind w:left="40"/>
              <w:spacing w:after="0"/>
              <w:rPr>
                <w:sz w:val="20"/>
                <w:szCs w:val="20"/>
                <w:color w:val="auto"/>
              </w:rPr>
            </w:pPr>
            <w:r>
              <w:rPr>
                <w:rFonts w:ascii="Arial" w:cs="Arial" w:eastAsia="Arial" w:hAnsi="Arial"/>
                <w:sz w:val="14"/>
                <w:szCs w:val="14"/>
                <w:b w:val="1"/>
                <w:bCs w:val="1"/>
                <w:color w:val="auto"/>
                <w:w w:val="92"/>
              </w:rPr>
              <w:t>As of December 31, 2015</w:t>
            </w:r>
          </w:p>
        </w:tc>
        <w:tc>
          <w:tcPr>
            <w:tcW w:w="0" w:type="dxa"/>
            <w:vAlign w:val="bottom"/>
          </w:tcPr>
          <w:p>
            <w:pPr>
              <w:spacing w:after="0"/>
              <w:rPr>
                <w:sz w:val="1"/>
                <w:szCs w:val="1"/>
                <w:color w:val="auto"/>
              </w:rPr>
            </w:pPr>
          </w:p>
        </w:tc>
      </w:tr>
      <w:tr>
        <w:trPr>
          <w:trHeight w:val="250"/>
        </w:trPr>
        <w:tc>
          <w:tcPr>
            <w:tcW w:w="4460" w:type="dxa"/>
            <w:vAlign w:val="bottom"/>
            <w:tcBorders>
              <w:top w:val="single" w:sz="8" w:color="CCFFCC"/>
              <w:bottom w:val="single" w:sz="8" w:color="CCFFCC"/>
            </w:tcBorders>
            <w:shd w:val="clear" w:color="auto" w:fill="CCFFCC"/>
          </w:tcPr>
          <w:p>
            <w:pPr>
              <w:ind w:left="40"/>
              <w:spacing w:after="0"/>
              <w:rPr>
                <w:sz w:val="20"/>
                <w:szCs w:val="20"/>
                <w:color w:val="auto"/>
              </w:rPr>
            </w:pPr>
            <w:r>
              <w:rPr>
                <w:rFonts w:ascii="Arial" w:cs="Arial" w:eastAsia="Arial" w:hAnsi="Arial"/>
                <w:sz w:val="16"/>
                <w:szCs w:val="16"/>
                <w:b w:val="1"/>
                <w:bCs w:val="1"/>
                <w:color w:val="auto"/>
              </w:rPr>
              <w:t>Derivative Assets</w:t>
            </w:r>
          </w:p>
        </w:tc>
        <w:tc>
          <w:tcPr>
            <w:tcW w:w="3440" w:type="dxa"/>
            <w:vAlign w:val="bottom"/>
            <w:tcBorders>
              <w:top w:val="single" w:sz="8" w:color="auto"/>
              <w:bottom w:val="single" w:sz="8" w:color="CCFFCC"/>
            </w:tcBorders>
            <w:shd w:val="clear" w:color="auto" w:fill="CCFFCC"/>
          </w:tcPr>
          <w:p>
            <w:pPr>
              <w:spacing w:after="0"/>
              <w:rPr>
                <w:sz w:val="21"/>
                <w:szCs w:val="21"/>
                <w:color w:val="auto"/>
              </w:rPr>
            </w:pP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340" w:type="dxa"/>
            <w:vAlign w:val="bottom"/>
            <w:tcBorders>
              <w:top w:val="single" w:sz="8" w:color="auto"/>
              <w:bottom w:val="single" w:sz="8" w:color="CCFFCC"/>
            </w:tcBorders>
            <w:shd w:val="clear" w:color="auto" w:fill="CCFFCC"/>
          </w:tcPr>
          <w:p>
            <w:pPr>
              <w:spacing w:after="0"/>
              <w:rPr>
                <w:sz w:val="21"/>
                <w:szCs w:val="21"/>
                <w:color w:val="auto"/>
              </w:rPr>
            </w:pPr>
          </w:p>
        </w:tc>
        <w:tc>
          <w:tcPr>
            <w:tcW w:w="1380" w:type="dxa"/>
            <w:vAlign w:val="bottom"/>
            <w:tcBorders>
              <w:top w:val="single" w:sz="8" w:color="auto"/>
              <w:bottom w:val="single" w:sz="8" w:color="CCFFCC"/>
            </w:tcBorders>
            <w:shd w:val="clear" w:color="auto" w:fill="CCFFCC"/>
          </w:tcPr>
          <w:p>
            <w:pPr>
              <w:spacing w:after="0"/>
              <w:rPr>
                <w:sz w:val="21"/>
                <w:szCs w:val="21"/>
                <w:color w:val="auto"/>
              </w:rPr>
            </w:pPr>
          </w:p>
        </w:tc>
        <w:tc>
          <w:tcPr>
            <w:tcW w:w="100" w:type="dxa"/>
            <w:vAlign w:val="bottom"/>
            <w:tcBorders>
              <w:top w:val="single" w:sz="8" w:color="CCFFCC"/>
              <w:bottom w:val="single" w:sz="8" w:color="CCFFCC"/>
            </w:tcBorders>
            <w:shd w:val="clear" w:color="auto" w:fill="CCFFCC"/>
          </w:tcPr>
          <w:p>
            <w:pPr>
              <w:spacing w:after="0"/>
              <w:rPr>
                <w:sz w:val="21"/>
                <w:szCs w:val="21"/>
                <w:color w:val="auto"/>
              </w:rPr>
            </w:pPr>
          </w:p>
        </w:tc>
        <w:tc>
          <w:tcPr>
            <w:tcW w:w="1120" w:type="dxa"/>
            <w:vAlign w:val="bottom"/>
            <w:tcBorders>
              <w:top w:val="single" w:sz="8" w:color="auto"/>
              <w:bottom w:val="single" w:sz="8" w:color="CCFFCC"/>
            </w:tcBorders>
            <w:shd w:val="clear" w:color="auto" w:fill="CCFFCC"/>
          </w:tcPr>
          <w:p>
            <w:pPr>
              <w:spacing w:after="0"/>
              <w:rPr>
                <w:sz w:val="21"/>
                <w:szCs w:val="21"/>
                <w:color w:val="auto"/>
              </w:rPr>
            </w:pPr>
          </w:p>
        </w:tc>
        <w:tc>
          <w:tcPr>
            <w:tcW w:w="460" w:type="dxa"/>
            <w:vAlign w:val="bottom"/>
            <w:tcBorders>
              <w:top w:val="single" w:sz="8" w:color="auto"/>
              <w:bottom w:val="single" w:sz="8" w:color="CCFFCC"/>
            </w:tcBorders>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460" w:type="dxa"/>
            <w:vAlign w:val="bottom"/>
          </w:tcPr>
          <w:p>
            <w:pPr>
              <w:ind w:left="180"/>
              <w:spacing w:after="0"/>
              <w:rPr>
                <w:sz w:val="20"/>
                <w:szCs w:val="20"/>
                <w:color w:val="auto"/>
              </w:rPr>
            </w:pPr>
            <w:r>
              <w:rPr>
                <w:rFonts w:ascii="Arial" w:cs="Arial" w:eastAsia="Arial" w:hAnsi="Arial"/>
                <w:sz w:val="16"/>
                <w:szCs w:val="16"/>
                <w:color w:val="auto"/>
              </w:rPr>
              <w:t>Derivatives not designated as hedging instruments:</w:t>
            </w:r>
          </w:p>
        </w:tc>
        <w:tc>
          <w:tcPr>
            <w:tcW w:w="3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Foreign currency derivatives contracts</w:t>
            </w:r>
          </w:p>
        </w:tc>
        <w:tc>
          <w:tcPr>
            <w:tcW w:w="3560" w:type="dxa"/>
            <w:vAlign w:val="bottom"/>
            <w:tcBorders>
              <w:bottom w:val="single" w:sz="8" w:color="CCFFCC"/>
            </w:tcBorders>
            <w:gridSpan w:val="2"/>
            <w:shd w:val="clear" w:color="auto" w:fill="CCFFCC"/>
          </w:tcPr>
          <w:p>
            <w:pPr>
              <w:ind w:left="40"/>
              <w:spacing w:after="0"/>
              <w:rPr>
                <w:sz w:val="20"/>
                <w:szCs w:val="20"/>
                <w:color w:val="auto"/>
              </w:rPr>
            </w:pPr>
            <w:r>
              <w:rPr>
                <w:rFonts w:ascii="Arial" w:cs="Arial" w:eastAsia="Arial" w:hAnsi="Arial"/>
                <w:sz w:val="16"/>
                <w:szCs w:val="16"/>
                <w:color w:val="auto"/>
              </w:rPr>
              <w:t>Prepaid expenses and other current assets</w:t>
            </w:r>
          </w:p>
        </w:tc>
        <w:tc>
          <w:tcPr>
            <w:tcW w:w="340" w:type="dxa"/>
            <w:vAlign w:val="bottom"/>
            <w:tcBorders>
              <w:bottom w:val="single" w:sz="8" w:color="auto"/>
            </w:tcBorders>
            <w:shd w:val="clear" w:color="auto" w:fill="CCFFCC"/>
          </w:tcPr>
          <w:p>
            <w:pPr>
              <w:jc w:val="right"/>
              <w:ind w:right="162"/>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FFCC"/>
          </w:tcPr>
          <w:p>
            <w:pPr>
              <w:jc w:val="right"/>
              <w:ind w:right="42"/>
              <w:spacing w:after="0"/>
              <w:rPr>
                <w:sz w:val="20"/>
                <w:szCs w:val="20"/>
                <w:color w:val="auto"/>
              </w:rPr>
            </w:pPr>
            <w:r>
              <w:rPr>
                <w:rFonts w:ascii="Arial" w:cs="Arial" w:eastAsia="Arial" w:hAnsi="Arial"/>
                <w:sz w:val="16"/>
                <w:szCs w:val="16"/>
                <w:color w:val="auto"/>
              </w:rPr>
              <w:t>965</w:t>
            </w:r>
          </w:p>
        </w:tc>
        <w:tc>
          <w:tcPr>
            <w:tcW w:w="100" w:type="dxa"/>
            <w:vAlign w:val="bottom"/>
            <w:tcBorders>
              <w:bottom w:val="single" w:sz="8" w:color="CCFFCC"/>
            </w:tcBorders>
            <w:shd w:val="clear" w:color="auto" w:fill="CCFFCC"/>
          </w:tcPr>
          <w:p>
            <w:pPr>
              <w:spacing w:after="0"/>
              <w:rPr>
                <w:sz w:val="21"/>
                <w:szCs w:val="21"/>
                <w:color w:val="auto"/>
              </w:rPr>
            </w:pPr>
          </w:p>
        </w:tc>
        <w:tc>
          <w:tcPr>
            <w:tcW w:w="1120" w:type="dxa"/>
            <w:vAlign w:val="bottom"/>
            <w:tcBorders>
              <w:bottom w:val="single" w:sz="8" w:color="auto"/>
            </w:tcBorders>
            <w:shd w:val="clear" w:color="auto" w:fill="CCFFCC"/>
          </w:tcPr>
          <w:p>
            <w:pPr>
              <w:ind w:left="2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shd w:val="clear" w:color="auto" w:fill="CCFFCC"/>
          </w:tcPr>
          <w:p>
            <w:pPr>
              <w:jc w:val="right"/>
              <w:ind w:right="19"/>
              <w:spacing w:after="0"/>
              <w:rPr>
                <w:sz w:val="20"/>
                <w:szCs w:val="20"/>
                <w:color w:val="auto"/>
              </w:rPr>
            </w:pPr>
            <w:r>
              <w:rPr>
                <w:rFonts w:ascii="Arial" w:cs="Arial" w:eastAsia="Arial" w:hAnsi="Arial"/>
                <w:sz w:val="16"/>
                <w:szCs w:val="16"/>
                <w:color w:val="auto"/>
              </w:rPr>
              <w:t>102</w:t>
            </w:r>
          </w:p>
        </w:tc>
        <w:tc>
          <w:tcPr>
            <w:tcW w:w="0" w:type="dxa"/>
            <w:vAlign w:val="bottom"/>
          </w:tcPr>
          <w:p>
            <w:pPr>
              <w:spacing w:after="0"/>
              <w:rPr>
                <w:sz w:val="1"/>
                <w:szCs w:val="1"/>
                <w:color w:val="auto"/>
              </w:rPr>
            </w:pPr>
          </w:p>
        </w:tc>
      </w:tr>
      <w:tr>
        <w:trPr>
          <w:trHeight w:val="20"/>
        </w:trPr>
        <w:tc>
          <w:tcPr>
            <w:tcW w:w="446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Derivative Liabilities</w:t>
            </w:r>
          </w:p>
        </w:tc>
        <w:tc>
          <w:tcPr>
            <w:tcW w:w="3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460" w:type="dxa"/>
            <w:vAlign w:val="bottom"/>
            <w:vMerge w:val="continue"/>
          </w:tcPr>
          <w:p>
            <w:pPr>
              <w:spacing w:after="0"/>
              <w:rPr>
                <w:sz w:val="19"/>
                <w:szCs w:val="19"/>
                <w:color w:val="auto"/>
              </w:rPr>
            </w:pPr>
          </w:p>
        </w:tc>
        <w:tc>
          <w:tcPr>
            <w:tcW w:w="3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Derivatives not designated as hedging instruments:</w:t>
            </w:r>
          </w:p>
        </w:tc>
        <w:tc>
          <w:tcPr>
            <w:tcW w:w="344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340" w:type="dxa"/>
            <w:vAlign w:val="bottom"/>
            <w:tcBorders>
              <w:bottom w:val="single" w:sz="8" w:color="CCFFCC"/>
            </w:tcBorders>
            <w:shd w:val="clear" w:color="auto" w:fill="CCFFCC"/>
          </w:tcPr>
          <w:p>
            <w:pPr>
              <w:spacing w:after="0"/>
              <w:rPr>
                <w:sz w:val="21"/>
                <w:szCs w:val="21"/>
                <w:color w:val="auto"/>
              </w:rPr>
            </w:pPr>
          </w:p>
        </w:tc>
        <w:tc>
          <w:tcPr>
            <w:tcW w:w="138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1120" w:type="dxa"/>
            <w:vAlign w:val="bottom"/>
            <w:tcBorders>
              <w:bottom w:val="single" w:sz="8" w:color="CCFFCC"/>
            </w:tcBorders>
            <w:shd w:val="clear" w:color="auto" w:fill="CCFFCC"/>
          </w:tcPr>
          <w:p>
            <w:pPr>
              <w:spacing w:after="0"/>
              <w:rPr>
                <w:sz w:val="21"/>
                <w:szCs w:val="21"/>
                <w:color w:val="auto"/>
              </w:rPr>
            </w:pPr>
          </w:p>
        </w:tc>
        <w:tc>
          <w:tcPr>
            <w:tcW w:w="460" w:type="dxa"/>
            <w:vAlign w:val="bottom"/>
            <w:tcBorders>
              <w:bottom w:val="single" w:sz="8" w:color="CCFFCC"/>
            </w:tcBorders>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460" w:type="dxa"/>
            <w:vAlign w:val="bottom"/>
          </w:tcPr>
          <w:p>
            <w:pPr>
              <w:ind w:left="180"/>
              <w:spacing w:after="0"/>
              <w:rPr>
                <w:sz w:val="20"/>
                <w:szCs w:val="20"/>
                <w:color w:val="auto"/>
              </w:rPr>
            </w:pPr>
            <w:r>
              <w:rPr>
                <w:rFonts w:ascii="Arial" w:cs="Arial" w:eastAsia="Arial" w:hAnsi="Arial"/>
                <w:sz w:val="16"/>
                <w:szCs w:val="16"/>
                <w:color w:val="auto"/>
              </w:rPr>
              <w:t>Foreign currency derivatives contracts</w:t>
            </w:r>
          </w:p>
        </w:tc>
        <w:tc>
          <w:tcPr>
            <w:tcW w:w="3560" w:type="dxa"/>
            <w:vAlign w:val="bottom"/>
            <w:gridSpan w:val="2"/>
          </w:tcPr>
          <w:p>
            <w:pPr>
              <w:ind w:left="40"/>
              <w:spacing w:after="0"/>
              <w:rPr>
                <w:sz w:val="20"/>
                <w:szCs w:val="20"/>
                <w:color w:val="auto"/>
              </w:rPr>
            </w:pPr>
            <w:r>
              <w:rPr>
                <w:rFonts w:ascii="Arial" w:cs="Arial" w:eastAsia="Arial" w:hAnsi="Arial"/>
                <w:sz w:val="16"/>
                <w:szCs w:val="16"/>
                <w:color w:val="auto"/>
              </w:rPr>
              <w:t>Accrued expenses and other liabilities</w:t>
            </w:r>
          </w:p>
        </w:tc>
        <w:tc>
          <w:tcPr>
            <w:tcW w:w="34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1"/>
                <w:szCs w:val="21"/>
                <w:color w:val="auto"/>
              </w:rPr>
            </w:pPr>
          </w:p>
        </w:tc>
        <w:tc>
          <w:tcPr>
            <w:tcW w:w="1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310</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The following summarizes certain information regarding the Company’s derivatives that are not designated or are not effective as hedges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5800" w:type="dxa"/>
            <w:vAlign w:val="bottom"/>
            <w:tcBorders>
              <w:bottom w:val="single" w:sz="8" w:color="auto"/>
            </w:tcBorders>
            <w:gridSpan w:val="13"/>
          </w:tcPr>
          <w:p>
            <w:pPr>
              <w:ind w:left="440"/>
              <w:spacing w:after="0"/>
              <w:rPr>
                <w:sz w:val="20"/>
                <w:szCs w:val="20"/>
                <w:color w:val="auto"/>
              </w:rPr>
            </w:pPr>
            <w:r>
              <w:rPr>
                <w:rFonts w:ascii="Arial" w:cs="Arial" w:eastAsia="Arial" w:hAnsi="Arial"/>
                <w:sz w:val="14"/>
                <w:szCs w:val="14"/>
                <w:b w:val="1"/>
                <w:bCs w:val="1"/>
                <w:color w:val="auto"/>
                <w:w w:val="99"/>
              </w:rPr>
              <w:t>Gain (losses) on Derivative Instruments Recognized in Statements of Operations</w:t>
            </w:r>
          </w:p>
        </w:tc>
      </w:tr>
      <w:tr>
        <w:trPr>
          <w:trHeight w:val="152"/>
        </w:trPr>
        <w:tc>
          <w:tcPr>
            <w:tcW w:w="56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80" w:type="dxa"/>
            <w:vAlign w:val="bottom"/>
            <w:gridSpan w:val="6"/>
          </w:tcPr>
          <w:p>
            <w:pPr>
              <w:jc w:val="right"/>
              <w:ind w:right="420"/>
              <w:spacing w:after="0" w:line="153" w:lineRule="exact"/>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3"/>
                <w:szCs w:val="13"/>
                <w:color w:val="auto"/>
              </w:rPr>
            </w:pPr>
          </w:p>
        </w:tc>
        <w:tc>
          <w:tcPr>
            <w:tcW w:w="1680" w:type="dxa"/>
            <w:vAlign w:val="bottom"/>
            <w:gridSpan w:val="4"/>
          </w:tcPr>
          <w:p>
            <w:pPr>
              <w:jc w:val="center"/>
              <w:ind w:right="103"/>
              <w:spacing w:after="0" w:line="153" w:lineRule="exact"/>
              <w:rPr>
                <w:sz w:val="20"/>
                <w:szCs w:val="20"/>
                <w:color w:val="auto"/>
              </w:rPr>
            </w:pPr>
            <w:r>
              <w:rPr>
                <w:rFonts w:ascii="Arial" w:cs="Arial" w:eastAsia="Arial" w:hAnsi="Arial"/>
                <w:sz w:val="14"/>
                <w:szCs w:val="14"/>
                <w:b w:val="1"/>
                <w:bCs w:val="1"/>
                <w:color w:val="auto"/>
                <w:w w:val="93"/>
              </w:rPr>
              <w:t>Nine Months Ended</w:t>
            </w:r>
          </w:p>
        </w:tc>
      </w:tr>
      <w:tr>
        <w:trPr>
          <w:trHeight w:val="192"/>
        </w:trPr>
        <w:tc>
          <w:tcPr>
            <w:tcW w:w="5620" w:type="dxa"/>
            <w:vAlign w:val="bottom"/>
          </w:tcPr>
          <w:p>
            <w:pPr>
              <w:spacing w:after="0"/>
              <w:rPr>
                <w:sz w:val="16"/>
                <w:szCs w:val="16"/>
                <w:color w:val="auto"/>
              </w:rPr>
            </w:pPr>
          </w:p>
        </w:tc>
        <w:tc>
          <w:tcPr>
            <w:tcW w:w="1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980" w:type="dxa"/>
            <w:vAlign w:val="bottom"/>
            <w:tcBorders>
              <w:bottom w:val="single" w:sz="8" w:color="auto"/>
            </w:tcBorders>
            <w:gridSpan w:val="5"/>
          </w:tcPr>
          <w:p>
            <w:pPr>
              <w:jc w:val="right"/>
              <w:ind w:right="463"/>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ind w:right="123"/>
              <w:spacing w:after="0"/>
              <w:rPr>
                <w:sz w:val="20"/>
                <w:szCs w:val="20"/>
                <w:color w:val="auto"/>
              </w:rPr>
            </w:pPr>
            <w:r>
              <w:rPr>
                <w:rFonts w:ascii="Arial" w:cs="Arial" w:eastAsia="Arial" w:hAnsi="Arial"/>
                <w:sz w:val="14"/>
                <w:szCs w:val="14"/>
                <w:b w:val="1"/>
                <w:bCs w:val="1"/>
                <w:color w:val="auto"/>
                <w:w w:val="91"/>
              </w:rPr>
              <w:t>September 30,</w:t>
            </w:r>
          </w:p>
        </w:tc>
      </w:tr>
      <w:tr>
        <w:trPr>
          <w:trHeight w:val="264"/>
        </w:trPr>
        <w:tc>
          <w:tcPr>
            <w:tcW w:w="5620" w:type="dxa"/>
            <w:vAlign w:val="bottom"/>
            <w:tcBorders>
              <w:bottom w:val="single" w:sz="8" w:color="CCFFCC"/>
            </w:tcBorders>
          </w:tcPr>
          <w:p>
            <w:pPr>
              <w:spacing w:after="0"/>
              <w:rPr>
                <w:sz w:val="22"/>
                <w:szCs w:val="22"/>
                <w:color w:val="auto"/>
              </w:rPr>
            </w:pPr>
          </w:p>
        </w:tc>
        <w:tc>
          <w:tcPr>
            <w:tcW w:w="1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Location</w:t>
            </w:r>
          </w:p>
        </w:tc>
        <w:tc>
          <w:tcPr>
            <w:tcW w:w="120" w:type="dxa"/>
            <w:vAlign w:val="bottom"/>
            <w:tcBorders>
              <w:bottom w:val="single" w:sz="8" w:color="CCFFCC"/>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auto"/>
            </w:tcBorders>
          </w:tcPr>
          <w:p>
            <w:pPr>
              <w:spacing w:after="0"/>
              <w:rPr>
                <w:sz w:val="22"/>
                <w:szCs w:val="22"/>
                <w:color w:val="auto"/>
              </w:rPr>
            </w:pPr>
          </w:p>
        </w:tc>
        <w:tc>
          <w:tcPr>
            <w:tcW w:w="120" w:type="dxa"/>
            <w:vAlign w:val="bottom"/>
            <w:tcBorders>
              <w:bottom w:val="single" w:sz="8" w:color="CCFFCC"/>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4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FFCC"/>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26"/>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FFCC"/>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rPr>
              <w:t>2015</w:t>
            </w:r>
          </w:p>
        </w:tc>
      </w:tr>
      <w:tr>
        <w:trPr>
          <w:trHeight w:val="250"/>
        </w:trPr>
        <w:tc>
          <w:tcPr>
            <w:tcW w:w="562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Foreign currency derivatives contracts</w:t>
            </w:r>
          </w:p>
        </w:tc>
        <w:tc>
          <w:tcPr>
            <w:tcW w:w="1820" w:type="dxa"/>
            <w:vAlign w:val="bottom"/>
            <w:tcBorders>
              <w:bottom w:val="single" w:sz="8" w:color="CCFFCC"/>
            </w:tcBorders>
            <w:gridSpan w:val="2"/>
            <w:shd w:val="clear" w:color="auto" w:fill="CCFFCC"/>
          </w:tcPr>
          <w:p>
            <w:pPr>
              <w:ind w:left="20"/>
              <w:spacing w:after="0"/>
              <w:rPr>
                <w:sz w:val="20"/>
                <w:szCs w:val="20"/>
                <w:color w:val="auto"/>
              </w:rPr>
            </w:pPr>
            <w:r>
              <w:rPr>
                <w:rFonts w:ascii="Arial" w:cs="Arial" w:eastAsia="Arial" w:hAnsi="Arial"/>
                <w:sz w:val="16"/>
                <w:szCs w:val="16"/>
                <w:color w:val="auto"/>
              </w:rPr>
              <w:t>Other expense</w:t>
            </w:r>
          </w:p>
        </w:tc>
        <w:tc>
          <w:tcPr>
            <w:tcW w:w="640" w:type="dxa"/>
            <w:vAlign w:val="bottom"/>
            <w:tcBorders>
              <w:bottom w:val="single" w:sz="8" w:color="auto"/>
            </w:tcBorders>
            <w:shd w:val="clear" w:color="auto" w:fill="CCFFCC"/>
          </w:tcPr>
          <w:p>
            <w:pPr>
              <w:jc w:val="right"/>
              <w:ind w:right="446"/>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shd w:val="clear" w:color="auto" w:fill="CCFFCC"/>
          </w:tcPr>
          <w:p>
            <w:pPr>
              <w:jc w:val="right"/>
              <w:ind w:right="39"/>
              <w:spacing w:after="0"/>
              <w:rPr>
                <w:sz w:val="20"/>
                <w:szCs w:val="20"/>
                <w:color w:val="auto"/>
              </w:rPr>
            </w:pPr>
            <w:r>
              <w:rPr>
                <w:rFonts w:ascii="Arial" w:cs="Arial" w:eastAsia="Arial" w:hAnsi="Arial"/>
                <w:sz w:val="16"/>
                <w:szCs w:val="16"/>
                <w:color w:val="auto"/>
                <w:w w:val="89"/>
              </w:rPr>
              <w:t>44</w:t>
            </w:r>
          </w:p>
        </w:tc>
        <w:tc>
          <w:tcPr>
            <w:tcW w:w="12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auto"/>
            </w:tcBorders>
            <w:shd w:val="clear" w:color="auto" w:fill="CCFFCC"/>
          </w:tcPr>
          <w:p>
            <w:pPr>
              <w:jc w:val="right"/>
              <w:ind w:right="1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(85)</w:t>
            </w:r>
          </w:p>
        </w:tc>
        <w:tc>
          <w:tcPr>
            <w:tcW w:w="10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auto"/>
            </w:tcBorders>
            <w:shd w:val="clear" w:color="auto" w:fill="CCFFCC"/>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CFFCC"/>
          </w:tcPr>
          <w:p>
            <w:pPr>
              <w:jc w:val="right"/>
              <w:ind w:right="26"/>
              <w:spacing w:after="0"/>
              <w:rPr>
                <w:sz w:val="20"/>
                <w:szCs w:val="20"/>
                <w:color w:val="auto"/>
              </w:rPr>
            </w:pPr>
            <w:r>
              <w:rPr>
                <w:rFonts w:ascii="Arial" w:cs="Arial" w:eastAsia="Arial" w:hAnsi="Arial"/>
                <w:sz w:val="16"/>
                <w:szCs w:val="16"/>
                <w:color w:val="auto"/>
              </w:rPr>
              <w:t>132</w:t>
            </w:r>
          </w:p>
        </w:tc>
        <w:tc>
          <w:tcPr>
            <w:tcW w:w="10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auto"/>
            </w:tcBorders>
            <w:shd w:val="clear" w:color="auto" w:fill="CCFFCC"/>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(52)</w:t>
            </w:r>
          </w:p>
        </w:tc>
      </w:tr>
      <w:tr>
        <w:trPr>
          <w:trHeight w:val="20"/>
        </w:trPr>
        <w:tc>
          <w:tcPr>
            <w:tcW w:w="56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1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leases facilities and certain equipment under agreements accounted for as operating leases. These leases generally require the Company to pay all executory costs such as maintenance and insurance. Rental expense for operating leases for the three and nine months ended September 30, 2016 was approximately $2.4 million and $7.6 million, respectively. Rental expense for operating leases for the three and nine months ended September 30, 2015 was approximately $2.4 million and $5.9 million, respectively.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Benefit Plans</w:t>
      </w:r>
    </w:p>
    <w:p>
      <w:pPr>
        <w:spacing w:after="0" w:line="11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Company has a 401(k) defined contribution plan covering all eligible employees. The Company provides for employer matching contributions equal to 50% of employee contributions, up to the lesser of 5% of eligible compensation or $6,000. Matching contributions are deposited into the employee’s 401(k) account and are subject to 5 year graded vesting. Salaries and related expenses include $0.3 million and $1.0 million of employer matching contributions for the three and nine months ended September 30, 2016, respectively. Salaries and related expenses include $0.3 million and $1.0 million of employer matching contributions for the three and nine months ended September 30, 2015, respectively.</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11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As of September 30, 2016, the Company has a $1.9 million letter of credit outstanding substantially in favor of a certain landlord for office space. In addition, the Company has a letter of credit totaling $0.1 million as a security deposit for the due performance by the Company of the terms and conditions of a supply contract. There were no draws against these letters of credit during the three and nine months ended September 30, 2016.</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Stockholders</w:t>
      </w:r>
      <w:r>
        <w:rPr>
          <w:rFonts w:ascii="Arial" w:cs="Arial" w:eastAsia="Arial" w:hAnsi="Arial"/>
          <w:sz w:val="18"/>
          <w:szCs w:val="18"/>
          <w:color w:val="auto"/>
        </w:rPr>
        <w:t>’</w:t>
      </w:r>
      <w:r>
        <w:rPr>
          <w:rFonts w:ascii="Arial" w:cs="Arial" w:eastAsia="Arial" w:hAnsi="Arial"/>
          <w:sz w:val="18"/>
          <w:szCs w:val="18"/>
          <w:b w:val="1"/>
          <w:bCs w:val="1"/>
          <w:color w:val="auto"/>
        </w:rPr>
        <w:t xml:space="preserve">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September 30, 2016, there were 100,000,000 shares of common stock authorized, and 57,919,090 shares issued and outstanding. As of December 31, 2015, there were 100,000,000 shares of common stock authorized, and 57,374,907 shares issued and outstanding. The par value for common shares is $0.001.</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84" w:right="239" w:bottom="1440" w:gutter="0" w:footer="0" w:header="0"/>
        </w:sectPr>
      </w:pPr>
    </w:p>
    <w:bookmarkStart w:id="19" w:name="page20"/>
    <w:bookmarkEnd w:id="19"/>
    <w:p>
      <w:pPr>
        <w:jc w:val="both"/>
        <w:ind w:firstLine="648"/>
        <w:spacing w:after="0" w:line="277" w:lineRule="auto"/>
        <w:rPr>
          <w:sz w:val="20"/>
          <w:szCs w:val="20"/>
          <w:color w:val="auto"/>
        </w:rPr>
      </w:pPr>
      <w:r>
        <w:rPr>
          <w:rFonts w:ascii="Arial" w:cs="Arial" w:eastAsia="Arial" w:hAnsi="Arial"/>
          <w:sz w:val="18"/>
          <w:szCs w:val="18"/>
          <w:color w:val="auto"/>
        </w:rPr>
        <w:t>As of September 30, 2016 and December 31, 2015, there were 5,000,000 shares of preferred stock authorized, and zero shares issued and outstanding. The par value for preferred shares is $0.001.</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Repurchase Program</w:t>
      </w:r>
    </w:p>
    <w:p>
      <w:pPr>
        <w:spacing w:after="0" w:line="11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On December 10, 2012, the Company’s Board of Directors approved a stock repurchase program through June 30, 2014. Under the stock repurchase program, the Company is authorized to repurchase shares of its common stock, in the open market or privately negotiated transactions, at times and prices considered appropriate by the Board of Directors depending upon prevailing market conditions and other corporate considerations. On March 13, 2014, the Company’s Board of Directors increased the aggregate purchase price of the stock repurchase program from $30.0 million to $40.0 million. On July 23, 2014, the Company’s Board of Directors increased the aggregate purchase price of the stock repurchase program from $40.0 million to $50.0 million. On March 5, 2015, the Company’s Board of Directors extended the expiration date of the program out to December 31, 2016. On February 16, 2016, the Company's Board of Directors increased the aggregate purchase price of the total stock repurchase program by an additional $14.0 million. There were 1,027,349 shares repurchased under this program during the nine months ended September 30, 2016, which were recorded in treasury stock at par on the condensed consolidated balance sheets as of September 30, 2016. As of September 30, 2016, approximately $14.3 million remained available for purchase under the program.</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follows FASB ASC 718-10, “Stock Compensation,” which addresses the accounting for transactions in which an entity exchanges its equity instruments for goods or services, with a primary focus on transactions in which an entity obtains employee services in share-based payment transactions. ASC 718-10 requires measurement of the cost of employee services received in exchange for an award of equity instruments based on the grant-date fair value of the award (with limited exceptions). Incremental compensation costs arising from subsequent modifications of awards after the grant date must be recognized.</w:t>
      </w:r>
    </w:p>
    <w:p>
      <w:pPr>
        <w:spacing w:after="0" w:line="8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per share weighted average fair value of stock options granted during the three and nine months ended September 30, 2016 was $3.11 and $2.94, respectively. The per share weighted average fair value of stock options granted during the three and nine months ended September 30, 2015 was $4.10 and $4.47, respectively. The fair value of each option grant is estimated on the date of grant using the Black-Scholes option-pricing model with the following weighted average assumptions: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360" w:type="dxa"/>
            <w:vAlign w:val="bottom"/>
          </w:tcPr>
          <w:p>
            <w:pPr>
              <w:spacing w:after="0"/>
              <w:rPr>
                <w:sz w:val="16"/>
                <w:szCs w:val="16"/>
                <w:color w:val="auto"/>
              </w:rPr>
            </w:pPr>
          </w:p>
        </w:tc>
        <w:tc>
          <w:tcPr>
            <w:tcW w:w="2400" w:type="dxa"/>
            <w:vAlign w:val="bottom"/>
            <w:gridSpan w:val="3"/>
          </w:tcPr>
          <w:p>
            <w:pPr>
              <w:jc w:val="center"/>
              <w:ind w:left="963"/>
              <w:spacing w:after="0"/>
              <w:rPr>
                <w:sz w:val="20"/>
                <w:szCs w:val="20"/>
                <w:color w:val="auto"/>
              </w:rPr>
            </w:pPr>
            <w:r>
              <w:rPr>
                <w:rFonts w:ascii="Arial" w:cs="Arial" w:eastAsia="Arial" w:hAnsi="Arial"/>
                <w:sz w:val="14"/>
                <w:szCs w:val="14"/>
                <w:b w:val="1"/>
                <w:bCs w:val="1"/>
                <w:color w:val="auto"/>
                <w:w w:val="95"/>
              </w:rPr>
              <w:t>Three Months Ended</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20" w:type="dxa"/>
            <w:vAlign w:val="bottom"/>
            <w:gridSpan w:val="3"/>
          </w:tcPr>
          <w:p>
            <w:pPr>
              <w:jc w:val="center"/>
              <w:ind w:left="23"/>
              <w:spacing w:after="0"/>
              <w:rPr>
                <w:sz w:val="20"/>
                <w:szCs w:val="20"/>
                <w:color w:val="auto"/>
              </w:rPr>
            </w:pPr>
            <w:r>
              <w:rPr>
                <w:rFonts w:ascii="Arial" w:cs="Arial" w:eastAsia="Arial" w:hAnsi="Arial"/>
                <w:sz w:val="14"/>
                <w:szCs w:val="14"/>
                <w:b w:val="1"/>
                <w:bCs w:val="1"/>
                <w:color w:val="auto"/>
                <w:w w:val="94"/>
              </w:rPr>
              <w:t>Nine Months Ended</w:t>
            </w:r>
          </w:p>
        </w:tc>
        <w:tc>
          <w:tcPr>
            <w:tcW w:w="900" w:type="dxa"/>
            <w:vAlign w:val="bottom"/>
          </w:tcPr>
          <w:p>
            <w:pPr>
              <w:spacing w:after="0"/>
              <w:rPr>
                <w:sz w:val="16"/>
                <w:szCs w:val="16"/>
                <w:color w:val="auto"/>
              </w:rPr>
            </w:pPr>
          </w:p>
        </w:tc>
      </w:tr>
      <w:tr>
        <w:trPr>
          <w:trHeight w:val="276"/>
        </w:trPr>
        <w:tc>
          <w:tcPr>
            <w:tcW w:w="4360" w:type="dxa"/>
            <w:vAlign w:val="bottom"/>
          </w:tcPr>
          <w:p>
            <w:pPr>
              <w:spacing w:after="0"/>
              <w:rPr>
                <w:sz w:val="24"/>
                <w:szCs w:val="24"/>
                <w:color w:val="auto"/>
              </w:rPr>
            </w:pPr>
          </w:p>
        </w:tc>
        <w:tc>
          <w:tcPr>
            <w:tcW w:w="2400" w:type="dxa"/>
            <w:vAlign w:val="bottom"/>
            <w:tcBorders>
              <w:bottom w:val="single" w:sz="8" w:color="auto"/>
            </w:tcBorders>
            <w:gridSpan w:val="3"/>
          </w:tcPr>
          <w:p>
            <w:pPr>
              <w:jc w:val="center"/>
              <w:ind w:left="963"/>
              <w:spacing w:after="0"/>
              <w:rPr>
                <w:sz w:val="20"/>
                <w:szCs w:val="20"/>
                <w:color w:val="auto"/>
              </w:rPr>
            </w:pPr>
            <w:r>
              <w:rPr>
                <w:rFonts w:ascii="Arial" w:cs="Arial" w:eastAsia="Arial" w:hAnsi="Arial"/>
                <w:sz w:val="14"/>
                <w:szCs w:val="14"/>
                <w:b w:val="1"/>
                <w:bCs w:val="1"/>
                <w:color w:val="auto"/>
                <w:w w:val="91"/>
              </w:rPr>
              <w:t>September 30,</w:t>
            </w: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3"/>
          </w:tcPr>
          <w:p>
            <w:pPr>
              <w:jc w:val="center"/>
              <w:ind w:left="23"/>
              <w:spacing w:after="0"/>
              <w:rPr>
                <w:sz w:val="20"/>
                <w:szCs w:val="20"/>
                <w:color w:val="auto"/>
              </w:rPr>
            </w:pPr>
            <w:r>
              <w:rPr>
                <w:rFonts w:ascii="Arial" w:cs="Arial" w:eastAsia="Arial" w:hAnsi="Arial"/>
                <w:sz w:val="14"/>
                <w:szCs w:val="14"/>
                <w:b w:val="1"/>
                <w:bCs w:val="1"/>
                <w:color w:val="auto"/>
                <w:w w:val="91"/>
              </w:rPr>
              <w:t>September 30,</w:t>
            </w:r>
          </w:p>
        </w:tc>
        <w:tc>
          <w:tcPr>
            <w:tcW w:w="900" w:type="dxa"/>
            <w:vAlign w:val="bottom"/>
            <w:tcBorders>
              <w:bottom w:val="single" w:sz="8" w:color="auto"/>
            </w:tcBorders>
          </w:tcPr>
          <w:p>
            <w:pPr>
              <w:spacing w:after="0"/>
              <w:rPr>
                <w:sz w:val="24"/>
                <w:szCs w:val="24"/>
                <w:color w:val="auto"/>
              </w:rPr>
            </w:pPr>
          </w:p>
        </w:tc>
      </w:tr>
      <w:tr>
        <w:trPr>
          <w:trHeight w:val="264"/>
        </w:trPr>
        <w:tc>
          <w:tcPr>
            <w:tcW w:w="4360" w:type="dxa"/>
            <w:vAlign w:val="bottom"/>
            <w:tcBorders>
              <w:bottom w:val="single" w:sz="8" w:color="CCFFCC"/>
            </w:tcBorders>
          </w:tcPr>
          <w:p>
            <w:pPr>
              <w:spacing w:after="0"/>
              <w:rPr>
                <w:sz w:val="22"/>
                <w:szCs w:val="22"/>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Borders>
              <w:bottom w:val="single" w:sz="8" w:color="CCFFCC"/>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center"/>
              <w:ind w:right="481"/>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CCFFCC"/>
            </w:tcBorders>
          </w:tcPr>
          <w:p>
            <w:pPr>
              <w:spacing w:after="0"/>
              <w:rPr>
                <w:sz w:val="22"/>
                <w:szCs w:val="22"/>
                <w:color w:val="auto"/>
              </w:rPr>
            </w:pPr>
          </w:p>
        </w:tc>
        <w:tc>
          <w:tcPr>
            <w:tcW w:w="17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CCFFCC"/>
            </w:tcBorders>
          </w:tcPr>
          <w:p>
            <w:pPr>
              <w:spacing w:after="0"/>
              <w:rPr>
                <w:sz w:val="22"/>
                <w:szCs w:val="22"/>
                <w:color w:val="auto"/>
              </w:rPr>
            </w:pPr>
          </w:p>
        </w:tc>
        <w:tc>
          <w:tcPr>
            <w:tcW w:w="17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2015</w:t>
            </w:r>
          </w:p>
        </w:tc>
      </w:tr>
      <w:tr>
        <w:trPr>
          <w:trHeight w:val="236"/>
        </w:trPr>
        <w:tc>
          <w:tcPr>
            <w:tcW w:w="43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Dividend yield</w:t>
            </w:r>
          </w:p>
        </w:tc>
        <w:tc>
          <w:tcPr>
            <w:tcW w:w="1720" w:type="dxa"/>
            <w:vAlign w:val="bottom"/>
            <w:tcBorders>
              <w:bottom w:val="single" w:sz="8" w:color="CCFFCC"/>
            </w:tcBorders>
            <w:shd w:val="clear" w:color="auto" w:fill="CCFFCC"/>
          </w:tcPr>
          <w:p>
            <w:pPr>
              <w:jc w:val="center"/>
              <w:spacing w:after="0"/>
              <w:rPr>
                <w:sz w:val="20"/>
                <w:szCs w:val="20"/>
                <w:color w:val="auto"/>
              </w:rPr>
            </w:pPr>
            <w:r>
              <w:rPr>
                <w:rFonts w:ascii="Arial" w:cs="Arial" w:eastAsia="Arial" w:hAnsi="Arial"/>
                <w:sz w:val="16"/>
                <w:szCs w:val="16"/>
                <w:color w:val="auto"/>
                <w:w w:val="93"/>
              </w:rPr>
              <w:t>0.0%</w:t>
            </w:r>
          </w:p>
        </w:tc>
        <w:tc>
          <w:tcPr>
            <w:tcW w:w="120" w:type="dxa"/>
            <w:vAlign w:val="bottom"/>
            <w:tcBorders>
              <w:bottom w:val="single" w:sz="8" w:color="CCFFCC"/>
            </w:tcBorders>
            <w:shd w:val="clear" w:color="auto" w:fill="CCFFCC"/>
          </w:tcPr>
          <w:p>
            <w:pPr>
              <w:spacing w:after="0"/>
              <w:rPr>
                <w:sz w:val="20"/>
                <w:szCs w:val="20"/>
                <w:color w:val="auto"/>
              </w:rPr>
            </w:pPr>
          </w:p>
        </w:tc>
        <w:tc>
          <w:tcPr>
            <w:tcW w:w="560" w:type="dxa"/>
            <w:vAlign w:val="bottom"/>
            <w:tcBorders>
              <w:bottom w:val="single" w:sz="8" w:color="CCFFCC"/>
            </w:tcBorders>
            <w:shd w:val="clear" w:color="auto" w:fill="CCFFCC"/>
          </w:tcPr>
          <w:p>
            <w:pPr>
              <w:spacing w:after="0"/>
              <w:rPr>
                <w:sz w:val="20"/>
                <w:szCs w:val="20"/>
                <w:color w:val="auto"/>
              </w:rPr>
            </w:pPr>
          </w:p>
        </w:tc>
        <w:tc>
          <w:tcPr>
            <w:tcW w:w="1040" w:type="dxa"/>
            <w:vAlign w:val="bottom"/>
            <w:tcBorders>
              <w:bottom w:val="single" w:sz="8" w:color="CCFFCC"/>
            </w:tcBorders>
            <w:shd w:val="clear" w:color="auto" w:fill="CCFFCC"/>
          </w:tcPr>
          <w:p>
            <w:pPr>
              <w:jc w:val="center"/>
              <w:ind w:right="501"/>
              <w:spacing w:after="0"/>
              <w:rPr>
                <w:sz w:val="20"/>
                <w:szCs w:val="20"/>
                <w:color w:val="auto"/>
              </w:rPr>
            </w:pPr>
            <w:r>
              <w:rPr>
                <w:rFonts w:ascii="Arial" w:cs="Arial" w:eastAsia="Arial" w:hAnsi="Arial"/>
                <w:sz w:val="16"/>
                <w:szCs w:val="16"/>
                <w:color w:val="auto"/>
                <w:w w:val="93"/>
              </w:rPr>
              <w:t>0.0%</w:t>
            </w:r>
          </w:p>
        </w:tc>
        <w:tc>
          <w:tcPr>
            <w:tcW w:w="100" w:type="dxa"/>
            <w:vAlign w:val="bottom"/>
            <w:tcBorders>
              <w:bottom w:val="single" w:sz="8" w:color="CCFFCC"/>
            </w:tcBorders>
            <w:shd w:val="clear" w:color="auto" w:fill="CCFFCC"/>
          </w:tcPr>
          <w:p>
            <w:pPr>
              <w:spacing w:after="0"/>
              <w:rPr>
                <w:sz w:val="20"/>
                <w:szCs w:val="20"/>
                <w:color w:val="auto"/>
              </w:rPr>
            </w:pPr>
          </w:p>
        </w:tc>
        <w:tc>
          <w:tcPr>
            <w:tcW w:w="1720" w:type="dxa"/>
            <w:vAlign w:val="bottom"/>
            <w:tcBorders>
              <w:bottom w:val="single" w:sz="8" w:color="CCFFCC"/>
            </w:tcBorders>
            <w:gridSpan w:val="2"/>
            <w:shd w:val="clear" w:color="auto" w:fill="CCFFCC"/>
          </w:tcPr>
          <w:p>
            <w:pPr>
              <w:jc w:val="center"/>
              <w:spacing w:after="0"/>
              <w:rPr>
                <w:sz w:val="20"/>
                <w:szCs w:val="20"/>
                <w:color w:val="auto"/>
              </w:rPr>
            </w:pPr>
            <w:r>
              <w:rPr>
                <w:rFonts w:ascii="Arial" w:cs="Arial" w:eastAsia="Arial" w:hAnsi="Arial"/>
                <w:sz w:val="16"/>
                <w:szCs w:val="16"/>
                <w:color w:val="auto"/>
                <w:w w:val="87"/>
              </w:rPr>
              <w:t>0.0%</w:t>
            </w:r>
          </w:p>
        </w:tc>
        <w:tc>
          <w:tcPr>
            <w:tcW w:w="100" w:type="dxa"/>
            <w:vAlign w:val="bottom"/>
            <w:tcBorders>
              <w:bottom w:val="single" w:sz="8" w:color="CCFFCC"/>
            </w:tcBorders>
            <w:shd w:val="clear" w:color="auto" w:fill="CCFFCC"/>
          </w:tcPr>
          <w:p>
            <w:pPr>
              <w:spacing w:after="0"/>
              <w:rPr>
                <w:sz w:val="20"/>
                <w:szCs w:val="20"/>
                <w:color w:val="auto"/>
              </w:rPr>
            </w:pPr>
          </w:p>
        </w:tc>
        <w:tc>
          <w:tcPr>
            <w:tcW w:w="1700" w:type="dxa"/>
            <w:vAlign w:val="bottom"/>
            <w:tcBorders>
              <w:bottom w:val="single" w:sz="8" w:color="CCFFCC"/>
            </w:tcBorders>
            <w:gridSpan w:val="2"/>
            <w:shd w:val="clear" w:color="auto" w:fill="CCFFCC"/>
          </w:tcPr>
          <w:p>
            <w:pPr>
              <w:jc w:val="center"/>
              <w:spacing w:after="0"/>
              <w:rPr>
                <w:sz w:val="20"/>
                <w:szCs w:val="20"/>
                <w:color w:val="auto"/>
              </w:rPr>
            </w:pPr>
            <w:r>
              <w:rPr>
                <w:rFonts w:ascii="Arial" w:cs="Arial" w:eastAsia="Arial" w:hAnsi="Arial"/>
                <w:sz w:val="16"/>
                <w:szCs w:val="16"/>
                <w:color w:val="auto"/>
                <w:w w:val="93"/>
              </w:rPr>
              <w:t>0.0%</w:t>
            </w:r>
          </w:p>
        </w:tc>
      </w:tr>
      <w:tr>
        <w:trPr>
          <w:trHeight w:val="237"/>
        </w:trPr>
        <w:tc>
          <w:tcPr>
            <w:tcW w:w="4360" w:type="dxa"/>
            <w:vAlign w:val="bottom"/>
          </w:tcPr>
          <w:p>
            <w:pPr>
              <w:ind w:left="40"/>
              <w:spacing w:after="0"/>
              <w:rPr>
                <w:sz w:val="20"/>
                <w:szCs w:val="20"/>
                <w:color w:val="auto"/>
              </w:rPr>
            </w:pPr>
            <w:r>
              <w:rPr>
                <w:rFonts w:ascii="Arial" w:cs="Arial" w:eastAsia="Arial" w:hAnsi="Arial"/>
                <w:sz w:val="16"/>
                <w:szCs w:val="16"/>
                <w:color w:val="auto"/>
              </w:rPr>
              <w:t>Risk-free interest rate</w:t>
            </w:r>
          </w:p>
        </w:tc>
        <w:tc>
          <w:tcPr>
            <w:tcW w:w="1720" w:type="dxa"/>
            <w:vAlign w:val="bottom"/>
          </w:tcPr>
          <w:p>
            <w:pPr>
              <w:jc w:val="center"/>
              <w:spacing w:after="0"/>
              <w:rPr>
                <w:sz w:val="20"/>
                <w:szCs w:val="20"/>
                <w:color w:val="auto"/>
              </w:rPr>
            </w:pPr>
            <w:r>
              <w:rPr>
                <w:rFonts w:ascii="Arial" w:cs="Arial" w:eastAsia="Arial" w:hAnsi="Arial"/>
                <w:sz w:val="16"/>
                <w:szCs w:val="16"/>
                <w:color w:val="auto"/>
                <w:w w:val="93"/>
              </w:rPr>
              <w:t>1.1%</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center"/>
              <w:ind w:right="501"/>
              <w:spacing w:after="0"/>
              <w:rPr>
                <w:sz w:val="20"/>
                <w:szCs w:val="20"/>
                <w:color w:val="auto"/>
              </w:rPr>
            </w:pPr>
            <w:r>
              <w:rPr>
                <w:rFonts w:ascii="Arial" w:cs="Arial" w:eastAsia="Arial" w:hAnsi="Arial"/>
                <w:sz w:val="16"/>
                <w:szCs w:val="16"/>
                <w:color w:val="auto"/>
                <w:w w:val="93"/>
              </w:rPr>
              <w:t>1.7%</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w:t>
            </w:r>
          </w:p>
        </w:tc>
        <w:tc>
          <w:tcPr>
            <w:tcW w:w="920" w:type="dxa"/>
            <w:vAlign w:val="bottom"/>
          </w:tcPr>
          <w:p>
            <w:pPr>
              <w:ind w:left="40"/>
              <w:spacing w:after="0"/>
              <w:rPr>
                <w:sz w:val="20"/>
                <w:szCs w:val="20"/>
                <w:color w:val="auto"/>
              </w:rPr>
            </w:pPr>
            <w:r>
              <w:rPr>
                <w:rFonts w:ascii="Arial" w:cs="Arial" w:eastAsia="Arial" w:hAnsi="Arial"/>
                <w:sz w:val="16"/>
                <w:szCs w:val="16"/>
                <w:color w:val="auto"/>
              </w:rPr>
              <w:t>- 1.4%</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w:t>
            </w:r>
          </w:p>
        </w:tc>
        <w:tc>
          <w:tcPr>
            <w:tcW w:w="900" w:type="dxa"/>
            <w:vAlign w:val="bottom"/>
          </w:tcPr>
          <w:p>
            <w:pPr>
              <w:ind w:left="20"/>
              <w:spacing w:after="0"/>
              <w:rPr>
                <w:sz w:val="20"/>
                <w:szCs w:val="20"/>
                <w:color w:val="auto"/>
              </w:rPr>
            </w:pPr>
            <w:r>
              <w:rPr>
                <w:rFonts w:ascii="Arial" w:cs="Arial" w:eastAsia="Arial" w:hAnsi="Arial"/>
                <w:sz w:val="16"/>
                <w:szCs w:val="16"/>
                <w:color w:val="auto"/>
              </w:rPr>
              <w:t>- 1.7%</w:t>
            </w:r>
          </w:p>
        </w:tc>
      </w:tr>
      <w:tr>
        <w:trPr>
          <w:trHeight w:val="33"/>
        </w:trPr>
        <w:tc>
          <w:tcPr>
            <w:tcW w:w="43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3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Expected life (in years)</w:t>
            </w:r>
          </w:p>
        </w:tc>
        <w:tc>
          <w:tcPr>
            <w:tcW w:w="1720" w:type="dxa"/>
            <w:vAlign w:val="bottom"/>
            <w:tcBorders>
              <w:bottom w:val="single" w:sz="8" w:color="CCFFCC"/>
            </w:tcBorders>
            <w:shd w:val="clear" w:color="auto" w:fill="CCFFCC"/>
          </w:tcPr>
          <w:p>
            <w:pPr>
              <w:jc w:val="center"/>
              <w:spacing w:after="0"/>
              <w:rPr>
                <w:sz w:val="20"/>
                <w:szCs w:val="20"/>
                <w:color w:val="auto"/>
              </w:rPr>
            </w:pPr>
            <w:r>
              <w:rPr>
                <w:rFonts w:ascii="Arial" w:cs="Arial" w:eastAsia="Arial" w:hAnsi="Arial"/>
                <w:sz w:val="16"/>
                <w:szCs w:val="16"/>
                <w:color w:val="auto"/>
                <w:w w:val="89"/>
              </w:rPr>
              <w:t>5</w:t>
            </w:r>
          </w:p>
        </w:tc>
        <w:tc>
          <w:tcPr>
            <w:tcW w:w="120" w:type="dxa"/>
            <w:vAlign w:val="bottom"/>
            <w:tcBorders>
              <w:bottom w:val="single" w:sz="8" w:color="CCFFCC"/>
            </w:tcBorders>
            <w:shd w:val="clear" w:color="auto" w:fill="CCFFCC"/>
          </w:tcPr>
          <w:p>
            <w:pPr>
              <w:spacing w:after="0"/>
              <w:rPr>
                <w:sz w:val="21"/>
                <w:szCs w:val="21"/>
                <w:color w:val="auto"/>
              </w:rPr>
            </w:pPr>
          </w:p>
        </w:tc>
        <w:tc>
          <w:tcPr>
            <w:tcW w:w="56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jc w:val="center"/>
              <w:ind w:right="481"/>
              <w:spacing w:after="0"/>
              <w:rPr>
                <w:sz w:val="20"/>
                <w:szCs w:val="20"/>
                <w:color w:val="auto"/>
              </w:rPr>
            </w:pPr>
            <w:r>
              <w:rPr>
                <w:rFonts w:ascii="Arial" w:cs="Arial" w:eastAsia="Arial" w:hAnsi="Arial"/>
                <w:sz w:val="16"/>
                <w:szCs w:val="16"/>
                <w:color w:val="auto"/>
                <w:w w:val="89"/>
              </w:rPr>
              <w:t>5</w:t>
            </w:r>
          </w:p>
        </w:tc>
        <w:tc>
          <w:tcPr>
            <w:tcW w:w="100" w:type="dxa"/>
            <w:vAlign w:val="bottom"/>
            <w:tcBorders>
              <w:bottom w:val="single" w:sz="8" w:color="CCFFCC"/>
            </w:tcBorders>
            <w:shd w:val="clear" w:color="auto" w:fill="CCFFCC"/>
          </w:tcPr>
          <w:p>
            <w:pPr>
              <w:spacing w:after="0"/>
              <w:rPr>
                <w:sz w:val="21"/>
                <w:szCs w:val="21"/>
                <w:color w:val="auto"/>
              </w:rPr>
            </w:pPr>
          </w:p>
        </w:tc>
        <w:tc>
          <w:tcPr>
            <w:tcW w:w="800" w:type="dxa"/>
            <w:vAlign w:val="bottom"/>
            <w:tcBorders>
              <w:bottom w:val="single" w:sz="8" w:color="CCFFCC"/>
            </w:tcBorders>
            <w:shd w:val="clear" w:color="auto" w:fill="CCFFCC"/>
          </w:tcPr>
          <w:p>
            <w:pPr>
              <w:spacing w:after="0"/>
              <w:rPr>
                <w:sz w:val="21"/>
                <w:szCs w:val="21"/>
                <w:color w:val="auto"/>
              </w:rPr>
            </w:pPr>
          </w:p>
        </w:tc>
        <w:tc>
          <w:tcPr>
            <w:tcW w:w="920" w:type="dxa"/>
            <w:vAlign w:val="bottom"/>
            <w:tcBorders>
              <w:bottom w:val="single" w:sz="8" w:color="CCFFCC"/>
            </w:tcBorders>
            <w:shd w:val="clear" w:color="auto" w:fill="CCFFCC"/>
          </w:tcPr>
          <w:p>
            <w:pPr>
              <w:jc w:val="center"/>
              <w:ind w:right="723"/>
              <w:spacing w:after="0"/>
              <w:rPr>
                <w:sz w:val="20"/>
                <w:szCs w:val="20"/>
                <w:color w:val="auto"/>
              </w:rPr>
            </w:pPr>
            <w:r>
              <w:rPr>
                <w:rFonts w:ascii="Arial" w:cs="Arial" w:eastAsia="Arial" w:hAnsi="Arial"/>
                <w:sz w:val="16"/>
                <w:szCs w:val="16"/>
                <w:color w:val="auto"/>
                <w:w w:val="89"/>
              </w:rPr>
              <w:t>5</w:t>
            </w:r>
          </w:p>
        </w:tc>
        <w:tc>
          <w:tcPr>
            <w:tcW w:w="100" w:type="dxa"/>
            <w:vAlign w:val="bottom"/>
            <w:tcBorders>
              <w:bottom w:val="single" w:sz="8" w:color="CCFFCC"/>
            </w:tcBorders>
            <w:shd w:val="clear" w:color="auto" w:fill="CCFFCC"/>
          </w:tcPr>
          <w:p>
            <w:pPr>
              <w:spacing w:after="0"/>
              <w:rPr>
                <w:sz w:val="21"/>
                <w:szCs w:val="21"/>
                <w:color w:val="auto"/>
              </w:rPr>
            </w:pPr>
          </w:p>
        </w:tc>
        <w:tc>
          <w:tcPr>
            <w:tcW w:w="800" w:type="dxa"/>
            <w:vAlign w:val="bottom"/>
            <w:tcBorders>
              <w:bottom w:val="single" w:sz="8" w:color="CCFFCC"/>
            </w:tcBorders>
            <w:shd w:val="clear" w:color="auto" w:fill="CCFFCC"/>
          </w:tcPr>
          <w:p>
            <w:pPr>
              <w:spacing w:after="0"/>
              <w:rPr>
                <w:sz w:val="21"/>
                <w:szCs w:val="21"/>
                <w:color w:val="auto"/>
              </w:rPr>
            </w:pPr>
          </w:p>
        </w:tc>
        <w:tc>
          <w:tcPr>
            <w:tcW w:w="900" w:type="dxa"/>
            <w:vAlign w:val="bottom"/>
            <w:tcBorders>
              <w:bottom w:val="single" w:sz="8" w:color="CCFFCC"/>
            </w:tcBorders>
            <w:shd w:val="clear" w:color="auto" w:fill="CCFFCC"/>
          </w:tcPr>
          <w:p>
            <w:pPr>
              <w:jc w:val="center"/>
              <w:ind w:right="739"/>
              <w:spacing w:after="0"/>
              <w:rPr>
                <w:sz w:val="20"/>
                <w:szCs w:val="20"/>
                <w:color w:val="auto"/>
              </w:rPr>
            </w:pPr>
            <w:r>
              <w:rPr>
                <w:rFonts w:ascii="Arial" w:cs="Arial" w:eastAsia="Arial" w:hAnsi="Arial"/>
                <w:sz w:val="16"/>
                <w:szCs w:val="16"/>
                <w:color w:val="auto"/>
                <w:w w:val="89"/>
              </w:rPr>
              <w:t>5</w:t>
            </w:r>
          </w:p>
        </w:tc>
      </w:tr>
      <w:tr>
        <w:trPr>
          <w:trHeight w:val="237"/>
        </w:trPr>
        <w:tc>
          <w:tcPr>
            <w:tcW w:w="4360" w:type="dxa"/>
            <w:vAlign w:val="bottom"/>
          </w:tcPr>
          <w:p>
            <w:pPr>
              <w:ind w:left="40"/>
              <w:spacing w:after="0"/>
              <w:rPr>
                <w:sz w:val="20"/>
                <w:szCs w:val="20"/>
                <w:color w:val="auto"/>
              </w:rPr>
            </w:pPr>
            <w:r>
              <w:rPr>
                <w:rFonts w:ascii="Arial" w:cs="Arial" w:eastAsia="Arial" w:hAnsi="Arial"/>
                <w:sz w:val="16"/>
                <w:szCs w:val="16"/>
                <w:color w:val="auto"/>
              </w:rPr>
              <w:t>Historical volatility</w:t>
            </w:r>
          </w:p>
        </w:tc>
        <w:tc>
          <w:tcPr>
            <w:tcW w:w="1720" w:type="dxa"/>
            <w:vAlign w:val="bottom"/>
          </w:tcPr>
          <w:p>
            <w:pPr>
              <w:jc w:val="center"/>
              <w:spacing w:after="0"/>
              <w:rPr>
                <w:sz w:val="20"/>
                <w:szCs w:val="20"/>
                <w:color w:val="auto"/>
              </w:rPr>
            </w:pPr>
            <w:r>
              <w:rPr>
                <w:rFonts w:ascii="Arial" w:cs="Arial" w:eastAsia="Arial" w:hAnsi="Arial"/>
                <w:sz w:val="16"/>
                <w:szCs w:val="16"/>
                <w:color w:val="auto"/>
                <w:w w:val="92"/>
              </w:rPr>
              <w:t>47.9%</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center"/>
              <w:ind w:right="501"/>
              <w:spacing w:after="0"/>
              <w:rPr>
                <w:sz w:val="20"/>
                <w:szCs w:val="20"/>
                <w:color w:val="auto"/>
              </w:rPr>
            </w:pPr>
            <w:r>
              <w:rPr>
                <w:rFonts w:ascii="Arial" w:cs="Arial" w:eastAsia="Arial" w:hAnsi="Arial"/>
                <w:sz w:val="16"/>
                <w:szCs w:val="16"/>
                <w:color w:val="auto"/>
                <w:w w:val="92"/>
              </w:rPr>
              <w:t>47.4%</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47.3%</w:t>
            </w:r>
          </w:p>
        </w:tc>
        <w:tc>
          <w:tcPr>
            <w:tcW w:w="920" w:type="dxa"/>
            <w:vAlign w:val="bottom"/>
          </w:tcPr>
          <w:p>
            <w:pPr>
              <w:ind w:left="40"/>
              <w:spacing w:after="0"/>
              <w:rPr>
                <w:sz w:val="20"/>
                <w:szCs w:val="20"/>
                <w:color w:val="auto"/>
              </w:rPr>
            </w:pPr>
            <w:r>
              <w:rPr>
                <w:rFonts w:ascii="Arial" w:cs="Arial" w:eastAsia="Arial" w:hAnsi="Arial"/>
                <w:sz w:val="16"/>
                <w:szCs w:val="16"/>
                <w:color w:val="auto"/>
              </w:rPr>
              <w:t>- 48.2%</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47.4%</w:t>
            </w:r>
          </w:p>
        </w:tc>
        <w:tc>
          <w:tcPr>
            <w:tcW w:w="900" w:type="dxa"/>
            <w:vAlign w:val="bottom"/>
          </w:tcPr>
          <w:p>
            <w:pPr>
              <w:ind w:left="20"/>
              <w:spacing w:after="0"/>
              <w:rPr>
                <w:sz w:val="20"/>
                <w:szCs w:val="20"/>
                <w:color w:val="auto"/>
              </w:rPr>
            </w:pPr>
            <w:r>
              <w:rPr>
                <w:rFonts w:ascii="Arial" w:cs="Arial" w:eastAsia="Arial" w:hAnsi="Arial"/>
                <w:sz w:val="16"/>
                <w:szCs w:val="16"/>
                <w:color w:val="auto"/>
              </w:rPr>
              <w:t>- 49.7%</w:t>
            </w:r>
          </w:p>
        </w:tc>
      </w:tr>
    </w:tbl>
    <w:p>
      <w:pPr>
        <w:spacing w:after="0" w:line="12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 description of the methods used in the significant assumptions used to estimate the fair value of stock-based compensation awards follows:</w:t>
      </w:r>
    </w:p>
    <w:p>
      <w:pPr>
        <w:spacing w:after="0" w:line="129"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 xml:space="preserve">Dividend yield – </w:t>
      </w:r>
      <w:r>
        <w:rPr>
          <w:rFonts w:ascii="Arial" w:cs="Arial" w:eastAsia="Arial" w:hAnsi="Arial"/>
          <w:sz w:val="18"/>
          <w:szCs w:val="18"/>
          <w:color w:val="auto"/>
        </w:rPr>
        <w:t>The Company uses 0% as it has never issued dividends and does not anticipate issuing dividends in the near term.</w:t>
      </w:r>
    </w:p>
    <w:p>
      <w:pPr>
        <w:spacing w:after="0" w:line="117" w:lineRule="exact"/>
        <w:rPr>
          <w:sz w:val="20"/>
          <w:szCs w:val="20"/>
          <w:color w:val="auto"/>
        </w:rPr>
      </w:pPr>
    </w:p>
    <w:p>
      <w:pPr>
        <w:ind w:left="500"/>
        <w:spacing w:after="0" w:line="277" w:lineRule="auto"/>
        <w:rPr>
          <w:sz w:val="20"/>
          <w:szCs w:val="20"/>
          <w:color w:val="auto"/>
        </w:rPr>
      </w:pPr>
      <w:r>
        <w:rPr>
          <w:rFonts w:ascii="Arial" w:cs="Arial" w:eastAsia="Arial" w:hAnsi="Arial"/>
          <w:sz w:val="18"/>
          <w:szCs w:val="18"/>
          <w:i w:val="1"/>
          <w:iCs w:val="1"/>
          <w:color w:val="auto"/>
        </w:rPr>
        <w:t xml:space="preserve">Risk-free interest rate – </w:t>
      </w:r>
      <w:r>
        <w:rPr>
          <w:rFonts w:ascii="Arial" w:cs="Arial" w:eastAsia="Arial" w:hAnsi="Arial"/>
          <w:sz w:val="18"/>
          <w:szCs w:val="18"/>
          <w:color w:val="auto"/>
        </w:rPr>
        <w:t>The Company uses the market yield on U.S. Treasury securities at five years with constant maturity, representing the current</w:t>
      </w:r>
      <w:r>
        <w:rPr>
          <w:rFonts w:ascii="Arial" w:cs="Arial" w:eastAsia="Arial" w:hAnsi="Arial"/>
          <w:sz w:val="18"/>
          <w:szCs w:val="18"/>
          <w:i w:val="1"/>
          <w:iCs w:val="1"/>
          <w:color w:val="auto"/>
        </w:rPr>
        <w:t xml:space="preserve"> </w:t>
      </w:r>
      <w:r>
        <w:rPr>
          <w:rFonts w:ascii="Arial" w:cs="Arial" w:eastAsia="Arial" w:hAnsi="Arial"/>
          <w:sz w:val="18"/>
          <w:szCs w:val="18"/>
          <w:color w:val="auto"/>
        </w:rPr>
        <w:t>expected life of stock options in years.</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 xml:space="preserve">Expected life – </w:t>
      </w:r>
      <w:r>
        <w:rPr>
          <w:rFonts w:ascii="Arial" w:cs="Arial" w:eastAsia="Arial" w:hAnsi="Arial"/>
          <w:sz w:val="18"/>
          <w:szCs w:val="18"/>
          <w:color w:val="auto"/>
        </w:rPr>
        <w:t>The Company uses historical data to estimate the expected life of a stock option.</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 xml:space="preserve">Historical volatility – </w:t>
      </w:r>
      <w:r>
        <w:rPr>
          <w:rFonts w:ascii="Arial" w:cs="Arial" w:eastAsia="Arial" w:hAnsi="Arial"/>
          <w:sz w:val="18"/>
          <w:szCs w:val="18"/>
          <w:color w:val="auto"/>
        </w:rPr>
        <w:t>The Company uses a trailing five year from grant date to determine volatility.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Plans</w:t>
      </w:r>
    </w:p>
    <w:p>
      <w:pPr>
        <w:spacing w:after="0" w:line="11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During 1998, the Company established the Stock Option and Restricted Stock Purchase Plan (the “1998 Plan”). Under the 1998 Plan, the Board of Directors could issue incentive stock options or nonqualified stock options to purchase up to 5,850,000 shares of common stock. The 2000 Stock Incentive Plan (the “2000 Plan”) succeeded the 1998 Plan. Under the 2000 Plan, the options which had been outstanding under the 1998 Plan were incorporated in the 2000 Plan increasing the number of shares available for issuance under the plan by approximately 4,150,000, thereby reserving for issuance 10,000,000 shares of common stock in the aggregate.</w:t>
      </w:r>
    </w:p>
    <w:p>
      <w:pPr>
        <w:spacing w:after="0" w:line="8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established the 2009 Stock Incentive Plan (as amended and restated, the “2009 Plan”) as a successor to the 2000 Plan. Under the 2009 Plan, the options which had been outstanding under the 2000 Plan were incorporated into the 2009 Plan and the Company increased the number of shares available for issuance under the plan by 6,000,000. The Company amended the 2009 stock incentive plan (the “Amended 2009 Plan”) effective June 7, 2012. The Amended 2009 Plan increased the number</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84" w:right="239" w:bottom="1440" w:gutter="0" w:footer="0" w:header="0"/>
        </w:sectPr>
      </w:pPr>
    </w:p>
    <w:bookmarkStart w:id="20" w:name="page21"/>
    <w:bookmarkEnd w:id="20"/>
    <w:p>
      <w:pPr>
        <w:jc w:val="both"/>
        <w:spacing w:after="0" w:line="286" w:lineRule="auto"/>
        <w:rPr>
          <w:sz w:val="20"/>
          <w:szCs w:val="20"/>
          <w:color w:val="auto"/>
        </w:rPr>
      </w:pPr>
      <w:r>
        <w:rPr>
          <w:rFonts w:ascii="Arial" w:cs="Arial" w:eastAsia="Arial" w:hAnsi="Arial"/>
          <w:sz w:val="17"/>
          <w:szCs w:val="17"/>
          <w:color w:val="auto"/>
        </w:rPr>
        <w:t>of shares authorized for issuance under the plan by an additional 4,250,000, thereby reserving for issuance 23,817,744 shares of common stock in the aggregate. Options to acquire common stock granted thereunder have 10-year terms. As of September 30, 2016, approximately 2,014,000 shares of common stock were reserved for issuance under the 2009 Plan (taking into account all option exercises through September 30, 2016).</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June 2010, the Company’s stockholders approved the 2010 Employee Stock Purchase Plan with 1,000,000 shares of common stock initially reserved for issuance. As of September 30, 2016, approximately 239,000 shares of common stock were reserved for issuance under the Employee Stock Purchase Plan (taking into account all share purchases through September 30, 2016).</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Activity</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Company’s stock option activity and weighted average exercise prices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3220" w:type="dxa"/>
            <w:vAlign w:val="bottom"/>
            <w:gridSpan w:val="5"/>
          </w:tcPr>
          <w:p>
            <w:pPr>
              <w:ind w:left="820"/>
              <w:spacing w:after="0"/>
              <w:rPr>
                <w:sz w:val="20"/>
                <w:szCs w:val="20"/>
                <w:color w:val="auto"/>
              </w:rPr>
            </w:pPr>
            <w:r>
              <w:rPr>
                <w:rFonts w:ascii="Arial" w:cs="Arial" w:eastAsia="Arial" w:hAnsi="Arial"/>
                <w:sz w:val="16"/>
                <w:szCs w:val="16"/>
                <w:b w:val="1"/>
                <w:bCs w:val="1"/>
                <w:color w:val="auto"/>
              </w:rPr>
              <w:t>Stock Option Activity</w:t>
            </w:r>
          </w:p>
        </w:tc>
        <w:tc>
          <w:tcPr>
            <w:tcW w:w="158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0"/>
              </w:rPr>
              <w:t>Weighted Average</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Weighted</w:t>
            </w: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Remaining</w:t>
            </w:r>
          </w:p>
        </w:tc>
        <w:tc>
          <w:tcPr>
            <w:tcW w:w="14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Aggregate Intrinsic</w:t>
            </w:r>
          </w:p>
        </w:tc>
        <w:tc>
          <w:tcPr>
            <w:tcW w:w="0" w:type="dxa"/>
            <w:vAlign w:val="bottom"/>
          </w:tcPr>
          <w:p>
            <w:pPr>
              <w:spacing w:after="0"/>
              <w:rPr>
                <w:sz w:val="1"/>
                <w:szCs w:val="1"/>
                <w:color w:val="auto"/>
              </w:rPr>
            </w:pPr>
          </w:p>
        </w:tc>
      </w:tr>
      <w:tr>
        <w:trPr>
          <w:trHeight w:val="203"/>
        </w:trPr>
        <w:tc>
          <w:tcPr>
            <w:tcW w:w="5160" w:type="dxa"/>
            <w:vAlign w:val="bottom"/>
          </w:tcPr>
          <w:p>
            <w:pPr>
              <w:spacing w:after="0"/>
              <w:rPr>
                <w:sz w:val="17"/>
                <w:szCs w:val="17"/>
                <w:color w:val="auto"/>
              </w:rPr>
            </w:pPr>
          </w:p>
        </w:tc>
        <w:tc>
          <w:tcPr>
            <w:tcW w:w="1620" w:type="dxa"/>
            <w:vAlign w:val="bottom"/>
            <w:gridSpan w:val="2"/>
          </w:tcPr>
          <w:p>
            <w:pPr>
              <w:ind w:left="360"/>
              <w:spacing w:after="0"/>
              <w:rPr>
                <w:sz w:val="20"/>
                <w:szCs w:val="20"/>
                <w:color w:val="auto"/>
              </w:rPr>
            </w:pPr>
            <w:r>
              <w:rPr>
                <w:rFonts w:ascii="Arial" w:cs="Arial" w:eastAsia="Arial" w:hAnsi="Arial"/>
                <w:sz w:val="16"/>
                <w:szCs w:val="16"/>
                <w:b w:val="1"/>
                <w:bCs w:val="1"/>
                <w:color w:val="auto"/>
              </w:rPr>
              <w:t>Options (in</w:t>
            </w:r>
          </w:p>
        </w:tc>
        <w:tc>
          <w:tcPr>
            <w:tcW w:w="180" w:type="dxa"/>
            <w:vAlign w:val="bottom"/>
          </w:tcPr>
          <w:p>
            <w:pPr>
              <w:spacing w:after="0"/>
              <w:rPr>
                <w:sz w:val="17"/>
                <w:szCs w:val="17"/>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8"/>
              </w:rPr>
              <w:t>Average</w:t>
            </w: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Contractual Term</w:t>
            </w:r>
          </w:p>
        </w:tc>
        <w:tc>
          <w:tcPr>
            <w:tcW w:w="240" w:type="dxa"/>
            <w:vAlign w:val="bottom"/>
          </w:tcPr>
          <w:p>
            <w:pPr>
              <w:spacing w:after="0"/>
              <w:rPr>
                <w:sz w:val="17"/>
                <w:szCs w:val="17"/>
                <w:color w:val="auto"/>
              </w:rPr>
            </w:pPr>
          </w:p>
        </w:tc>
        <w:tc>
          <w:tcPr>
            <w:tcW w:w="1220" w:type="dxa"/>
            <w:vAlign w:val="bottom"/>
          </w:tcPr>
          <w:p>
            <w:pPr>
              <w:jc w:val="center"/>
              <w:ind w:right="159"/>
              <w:spacing w:after="0"/>
              <w:rPr>
                <w:sz w:val="20"/>
                <w:szCs w:val="20"/>
                <w:color w:val="auto"/>
              </w:rPr>
            </w:pPr>
            <w:r>
              <w:rPr>
                <w:rFonts w:ascii="Arial" w:cs="Arial" w:eastAsia="Arial" w:hAnsi="Arial"/>
                <w:sz w:val="16"/>
                <w:szCs w:val="16"/>
                <w:b w:val="1"/>
                <w:bCs w:val="1"/>
                <w:color w:val="auto"/>
                <w:w w:val="92"/>
              </w:rPr>
              <w:t>Value (in</w:t>
            </w:r>
          </w:p>
        </w:tc>
        <w:tc>
          <w:tcPr>
            <w:tcW w:w="0" w:type="dxa"/>
            <w:vAlign w:val="bottom"/>
          </w:tcPr>
          <w:p>
            <w:pPr>
              <w:spacing w:after="0"/>
              <w:rPr>
                <w:sz w:val="1"/>
                <w:szCs w:val="1"/>
                <w:color w:val="auto"/>
              </w:rPr>
            </w:pPr>
          </w:p>
        </w:tc>
      </w:tr>
      <w:tr>
        <w:trPr>
          <w:trHeight w:val="210"/>
        </w:trPr>
        <w:tc>
          <w:tcPr>
            <w:tcW w:w="5160" w:type="dxa"/>
            <w:vAlign w:val="bottom"/>
          </w:tcPr>
          <w:p>
            <w:pPr>
              <w:spacing w:after="0"/>
              <w:rPr>
                <w:sz w:val="18"/>
                <w:szCs w:val="18"/>
                <w:color w:val="auto"/>
              </w:rPr>
            </w:pPr>
          </w:p>
        </w:tc>
        <w:tc>
          <w:tcPr>
            <w:tcW w:w="1620" w:type="dxa"/>
            <w:vAlign w:val="bottom"/>
            <w:gridSpan w:val="2"/>
          </w:tcPr>
          <w:p>
            <w:pPr>
              <w:ind w:left="360"/>
              <w:spacing w:after="0"/>
              <w:rPr>
                <w:sz w:val="20"/>
                <w:szCs w:val="20"/>
                <w:color w:val="auto"/>
              </w:rPr>
            </w:pPr>
            <w:r>
              <w:rPr>
                <w:rFonts w:ascii="Arial" w:cs="Arial" w:eastAsia="Arial" w:hAnsi="Arial"/>
                <w:sz w:val="16"/>
                <w:szCs w:val="16"/>
                <w:b w:val="1"/>
                <w:bCs w:val="1"/>
                <w:color w:val="auto"/>
              </w:rPr>
              <w:t>thousands)</w:t>
            </w:r>
          </w:p>
        </w:tc>
        <w:tc>
          <w:tcPr>
            <w:tcW w:w="180" w:type="dxa"/>
            <w:vAlign w:val="bottom"/>
          </w:tcPr>
          <w:p>
            <w:pPr>
              <w:spacing w:after="0"/>
              <w:rPr>
                <w:sz w:val="18"/>
                <w:szCs w:val="18"/>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Exercise Price</w:t>
            </w: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(in years)</w:t>
            </w:r>
          </w:p>
        </w:tc>
        <w:tc>
          <w:tcPr>
            <w:tcW w:w="240" w:type="dxa"/>
            <w:vAlign w:val="bottom"/>
          </w:tcPr>
          <w:p>
            <w:pPr>
              <w:spacing w:after="0"/>
              <w:rPr>
                <w:sz w:val="18"/>
                <w:szCs w:val="18"/>
                <w:color w:val="auto"/>
              </w:rPr>
            </w:pPr>
          </w:p>
        </w:tc>
        <w:tc>
          <w:tcPr>
            <w:tcW w:w="1220" w:type="dxa"/>
            <w:vAlign w:val="bottom"/>
          </w:tcPr>
          <w:p>
            <w:pPr>
              <w:jc w:val="center"/>
              <w:ind w:right="159"/>
              <w:spacing w:after="0"/>
              <w:rPr>
                <w:sz w:val="20"/>
                <w:szCs w:val="20"/>
                <w:color w:val="auto"/>
              </w:rPr>
            </w:pPr>
            <w:r>
              <w:rPr>
                <w:rFonts w:ascii="Arial" w:cs="Arial" w:eastAsia="Arial" w:hAnsi="Arial"/>
                <w:sz w:val="16"/>
                <w:szCs w:val="16"/>
                <w:b w:val="1"/>
                <w:bCs w:val="1"/>
                <w:color w:val="auto"/>
                <w:w w:val="85"/>
              </w:rPr>
              <w:t>thousands)</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FFCC"/>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Balance outstanding at December 31, 2015</w:t>
            </w:r>
          </w:p>
        </w:tc>
        <w:tc>
          <w:tcPr>
            <w:tcW w:w="150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9,139</w:t>
            </w:r>
          </w:p>
        </w:tc>
        <w:tc>
          <w:tcPr>
            <w:tcW w:w="12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11.05</w:t>
            </w:r>
          </w:p>
        </w:tc>
        <w:tc>
          <w:tcPr>
            <w:tcW w:w="100" w:type="dxa"/>
            <w:vAlign w:val="bottom"/>
            <w:tcBorders>
              <w:bottom w:val="single" w:sz="8" w:color="CCFFCC"/>
            </w:tcBorders>
            <w:shd w:val="clear" w:color="auto" w:fill="CCFFCC"/>
          </w:tcPr>
          <w:p>
            <w:pPr>
              <w:spacing w:after="0"/>
              <w:rPr>
                <w:sz w:val="21"/>
                <w:szCs w:val="21"/>
                <w:color w:val="auto"/>
              </w:rPr>
            </w:pPr>
          </w:p>
        </w:tc>
        <w:tc>
          <w:tcPr>
            <w:tcW w:w="148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240" w:type="dxa"/>
            <w:vAlign w:val="bottom"/>
            <w:tcBorders>
              <w:bottom w:val="single" w:sz="8" w:color="CCFFCC"/>
            </w:tcBorders>
            <w:shd w:val="clear" w:color="auto" w:fill="CCFFCC"/>
          </w:tcPr>
          <w:p>
            <w:pPr>
              <w:spacing w:after="0"/>
              <w:rPr>
                <w:sz w:val="21"/>
                <w:szCs w:val="21"/>
                <w:color w:val="auto"/>
              </w:rPr>
            </w:pPr>
          </w:p>
        </w:tc>
        <w:tc>
          <w:tcPr>
            <w:tcW w:w="1220" w:type="dxa"/>
            <w:vAlign w:val="bottom"/>
            <w:tcBorders>
              <w:bottom w:val="single" w:sz="8" w:color="CCFFCC"/>
            </w:tcBorders>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180"/>
              <w:spacing w:after="0"/>
              <w:rPr>
                <w:sz w:val="20"/>
                <w:szCs w:val="20"/>
                <w:color w:val="auto"/>
              </w:rPr>
            </w:pPr>
            <w:r>
              <w:rPr>
                <w:rFonts w:ascii="Arial" w:cs="Arial" w:eastAsia="Arial" w:hAnsi="Arial"/>
                <w:sz w:val="16"/>
                <w:szCs w:val="16"/>
                <w:color w:val="auto"/>
              </w:rPr>
              <w:t>Granted</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473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6.92</w:t>
            </w: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Exercised</w:t>
            </w:r>
          </w:p>
        </w:tc>
        <w:tc>
          <w:tcPr>
            <w:tcW w:w="15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(115)</w:t>
            </w:r>
          </w:p>
        </w:tc>
        <w:tc>
          <w:tcPr>
            <w:tcW w:w="12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spacing w:after="0"/>
              <w:rPr>
                <w:sz w:val="21"/>
                <w:szCs w:val="21"/>
                <w:color w:val="auto"/>
              </w:rPr>
            </w:pPr>
          </w:p>
        </w:tc>
        <w:tc>
          <w:tcPr>
            <w:tcW w:w="132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5.54</w:t>
            </w:r>
          </w:p>
        </w:tc>
        <w:tc>
          <w:tcPr>
            <w:tcW w:w="100" w:type="dxa"/>
            <w:vAlign w:val="bottom"/>
            <w:tcBorders>
              <w:bottom w:val="single" w:sz="8" w:color="CCFFCC"/>
            </w:tcBorders>
            <w:shd w:val="clear" w:color="auto" w:fill="CCFFCC"/>
          </w:tcPr>
          <w:p>
            <w:pPr>
              <w:spacing w:after="0"/>
              <w:rPr>
                <w:sz w:val="21"/>
                <w:szCs w:val="21"/>
                <w:color w:val="auto"/>
              </w:rPr>
            </w:pPr>
          </w:p>
        </w:tc>
        <w:tc>
          <w:tcPr>
            <w:tcW w:w="148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240" w:type="dxa"/>
            <w:vAlign w:val="bottom"/>
            <w:tcBorders>
              <w:bottom w:val="single" w:sz="8" w:color="CCFFCC"/>
            </w:tcBorders>
            <w:shd w:val="clear" w:color="auto" w:fill="CCFFCC"/>
          </w:tcPr>
          <w:p>
            <w:pPr>
              <w:spacing w:after="0"/>
              <w:rPr>
                <w:sz w:val="21"/>
                <w:szCs w:val="21"/>
                <w:color w:val="auto"/>
              </w:rPr>
            </w:pPr>
          </w:p>
        </w:tc>
        <w:tc>
          <w:tcPr>
            <w:tcW w:w="1220" w:type="dxa"/>
            <w:vAlign w:val="bottom"/>
            <w:tcBorders>
              <w:bottom w:val="single" w:sz="8" w:color="CCFFCC"/>
            </w:tcBorders>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180"/>
              <w:spacing w:after="0"/>
              <w:rPr>
                <w:sz w:val="20"/>
                <w:szCs w:val="20"/>
                <w:color w:val="auto"/>
              </w:rPr>
            </w:pPr>
            <w:r>
              <w:rPr>
                <w:rFonts w:ascii="Arial" w:cs="Arial" w:eastAsia="Arial" w:hAnsi="Arial"/>
                <w:sz w:val="16"/>
                <w:szCs w:val="16"/>
                <w:color w:val="auto"/>
              </w:rPr>
              <w:t>Cancelled or expired</w:t>
            </w:r>
          </w:p>
        </w:tc>
        <w:tc>
          <w:tcPr>
            <w:tcW w:w="1500" w:type="dxa"/>
            <w:vAlign w:val="bottom"/>
          </w:tcPr>
          <w:p>
            <w:pPr>
              <w:jc w:val="right"/>
              <w:spacing w:after="0"/>
              <w:rPr>
                <w:sz w:val="20"/>
                <w:szCs w:val="20"/>
                <w:color w:val="auto"/>
              </w:rPr>
            </w:pPr>
            <w:r>
              <w:rPr>
                <w:rFonts w:ascii="Arial" w:cs="Arial" w:eastAsia="Arial" w:hAnsi="Arial"/>
                <w:sz w:val="16"/>
                <w:szCs w:val="16"/>
                <w:color w:val="auto"/>
              </w:rPr>
              <w:t>(1,277)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11.42</w:t>
            </w: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160" w:type="dxa"/>
            <w:vAlign w:val="bottom"/>
            <w:tcBorders>
              <w:bottom w:val="single" w:sz="8" w:color="CCFFCC"/>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80" w:type="dxa"/>
            <w:vAlign w:val="bottom"/>
            <w:tcBorders>
              <w:bottom w:val="single" w:sz="8" w:color="CCFFCC"/>
            </w:tcBorders>
          </w:tcPr>
          <w:p>
            <w:pPr>
              <w:spacing w:after="0"/>
              <w:rPr>
                <w:sz w:val="2"/>
                <w:szCs w:val="2"/>
                <w:color w:val="auto"/>
              </w:rPr>
            </w:pPr>
          </w:p>
        </w:tc>
        <w:tc>
          <w:tcPr>
            <w:tcW w:w="1320" w:type="dxa"/>
            <w:vAlign w:val="bottom"/>
            <w:tcBorders>
              <w:bottom w:val="single" w:sz="8" w:color="CCFFCC"/>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480" w:type="dxa"/>
            <w:vAlign w:val="bottom"/>
            <w:tcBorders>
              <w:bottom w:val="single" w:sz="8" w:color="CCFFCC"/>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40" w:type="dxa"/>
            <w:vAlign w:val="bottom"/>
            <w:tcBorders>
              <w:bottom w:val="single" w:sz="8" w:color="CCFFCC"/>
            </w:tcBorders>
          </w:tcPr>
          <w:p>
            <w:pPr>
              <w:spacing w:after="0"/>
              <w:rPr>
                <w:sz w:val="2"/>
                <w:szCs w:val="2"/>
                <w:color w:val="auto"/>
              </w:rPr>
            </w:pPr>
          </w:p>
        </w:tc>
        <w:tc>
          <w:tcPr>
            <w:tcW w:w="1220" w:type="dxa"/>
            <w:vAlign w:val="bottom"/>
            <w:tcBorders>
              <w:bottom w:val="single" w:sz="8" w:color="CCFFCC"/>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Balance outstanding at September 30, 2016</w:t>
            </w:r>
          </w:p>
        </w:tc>
        <w:tc>
          <w:tcPr>
            <w:tcW w:w="1500" w:type="dxa"/>
            <w:vAlign w:val="bottom"/>
            <w:tcBorders>
              <w:bottom w:val="single" w:sz="8" w:color="auto"/>
            </w:tcBorders>
            <w:shd w:val="clear" w:color="auto" w:fill="CCFFCC"/>
          </w:tcPr>
          <w:p>
            <w:pPr>
              <w:jc w:val="right"/>
              <w:ind w:right="39"/>
              <w:spacing w:after="0"/>
              <w:rPr>
                <w:sz w:val="20"/>
                <w:szCs w:val="20"/>
                <w:color w:val="auto"/>
              </w:rPr>
            </w:pPr>
            <w:r>
              <w:rPr>
                <w:rFonts w:ascii="Arial" w:cs="Arial" w:eastAsia="Arial" w:hAnsi="Arial"/>
                <w:sz w:val="16"/>
                <w:szCs w:val="16"/>
                <w:color w:val="auto"/>
              </w:rPr>
              <w:t>8,220</w:t>
            </w:r>
          </w:p>
        </w:tc>
        <w:tc>
          <w:tcPr>
            <w:tcW w:w="12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FFCC"/>
          </w:tcPr>
          <w:p>
            <w:pPr>
              <w:jc w:val="right"/>
              <w:ind w:right="39"/>
              <w:spacing w:after="0"/>
              <w:rPr>
                <w:sz w:val="20"/>
                <w:szCs w:val="20"/>
                <w:color w:val="auto"/>
              </w:rPr>
            </w:pPr>
            <w:r>
              <w:rPr>
                <w:rFonts w:ascii="Arial" w:cs="Arial" w:eastAsia="Arial" w:hAnsi="Arial"/>
                <w:sz w:val="16"/>
                <w:szCs w:val="16"/>
                <w:color w:val="auto"/>
              </w:rPr>
              <w:t>10.83</w:t>
            </w:r>
          </w:p>
        </w:tc>
        <w:tc>
          <w:tcPr>
            <w:tcW w:w="100" w:type="dxa"/>
            <w:vAlign w:val="bottom"/>
            <w:tcBorders>
              <w:bottom w:val="single" w:sz="8" w:color="CCFFCC"/>
            </w:tcBorders>
            <w:shd w:val="clear" w:color="auto" w:fill="CCFFCC"/>
          </w:tcPr>
          <w:p>
            <w:pPr>
              <w:spacing w:after="0"/>
              <w:rPr>
                <w:sz w:val="21"/>
                <w:szCs w:val="21"/>
                <w:color w:val="auto"/>
              </w:rPr>
            </w:pPr>
          </w:p>
        </w:tc>
        <w:tc>
          <w:tcPr>
            <w:tcW w:w="14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6.02</w:t>
            </w:r>
          </w:p>
        </w:tc>
        <w:tc>
          <w:tcPr>
            <w:tcW w:w="100" w:type="dxa"/>
            <w:vAlign w:val="bottom"/>
            <w:tcBorders>
              <w:bottom w:val="single" w:sz="8" w:color="CCFFCC"/>
            </w:tcBorders>
            <w:shd w:val="clear" w:color="auto" w:fill="CCFFCC"/>
          </w:tcPr>
          <w:p>
            <w:pPr>
              <w:spacing w:after="0"/>
              <w:rPr>
                <w:sz w:val="21"/>
                <w:szCs w:val="21"/>
                <w:color w:val="auto"/>
              </w:rPr>
            </w:pPr>
          </w:p>
        </w:tc>
        <w:tc>
          <w:tcPr>
            <w:tcW w:w="240" w:type="dxa"/>
            <w:vAlign w:val="bottom"/>
            <w:tcBorders>
              <w:bottom w:val="single" w:sz="8" w:color="auto"/>
            </w:tcBorders>
            <w:shd w:val="clear" w:color="auto" w:fill="CCFFCC"/>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FFCC"/>
          </w:tcPr>
          <w:p>
            <w:pPr>
              <w:jc w:val="right"/>
              <w:ind w:right="19"/>
              <w:spacing w:after="0"/>
              <w:rPr>
                <w:sz w:val="20"/>
                <w:szCs w:val="20"/>
                <w:color w:val="auto"/>
              </w:rPr>
            </w:pPr>
            <w:r>
              <w:rPr>
                <w:rFonts w:ascii="Arial" w:cs="Arial" w:eastAsia="Arial" w:hAnsi="Arial"/>
                <w:sz w:val="16"/>
                <w:szCs w:val="16"/>
                <w:color w:val="auto"/>
              </w:rPr>
              <w:t>4,452</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160" w:type="dxa"/>
            <w:vAlign w:val="bottom"/>
            <w:tcBorders>
              <w:bottom w:val="single" w:sz="8" w:color="CCFFCC"/>
            </w:tcBorders>
          </w:tcPr>
          <w:p>
            <w:pPr>
              <w:ind w:left="40"/>
              <w:spacing w:after="0"/>
              <w:rPr>
                <w:sz w:val="20"/>
                <w:szCs w:val="20"/>
                <w:color w:val="auto"/>
              </w:rPr>
            </w:pPr>
            <w:r>
              <w:rPr>
                <w:rFonts w:ascii="Arial" w:cs="Arial" w:eastAsia="Arial" w:hAnsi="Arial"/>
                <w:sz w:val="16"/>
                <w:szCs w:val="16"/>
                <w:color w:val="auto"/>
              </w:rPr>
              <w:t>Options vested and expected to vest</w:t>
            </w:r>
          </w:p>
        </w:tc>
        <w:tc>
          <w:tcPr>
            <w:tcW w:w="15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7,761</w:t>
            </w:r>
          </w:p>
        </w:tc>
        <w:tc>
          <w:tcPr>
            <w:tcW w:w="120" w:type="dxa"/>
            <w:vAlign w:val="bottom"/>
            <w:tcBorders>
              <w:bottom w:val="single" w:sz="8" w:color="CCFFCC"/>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10.92</w:t>
            </w:r>
          </w:p>
        </w:tc>
        <w:tc>
          <w:tcPr>
            <w:tcW w:w="100" w:type="dxa"/>
            <w:vAlign w:val="bottom"/>
            <w:tcBorders>
              <w:bottom w:val="single" w:sz="8" w:color="CCFFCC"/>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5.86</w:t>
            </w:r>
          </w:p>
        </w:tc>
        <w:tc>
          <w:tcPr>
            <w:tcW w:w="100" w:type="dxa"/>
            <w:vAlign w:val="bottom"/>
            <w:tcBorders>
              <w:bottom w:val="single" w:sz="8" w:color="CCFFCC"/>
            </w:tcBorders>
          </w:tcPr>
          <w:p>
            <w:pPr>
              <w:spacing w:after="0"/>
              <w:rPr>
                <w:sz w:val="24"/>
                <w:szCs w:val="24"/>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4,169</w:t>
            </w:r>
          </w:p>
        </w:tc>
        <w:tc>
          <w:tcPr>
            <w:tcW w:w="0" w:type="dxa"/>
            <w:vAlign w:val="bottom"/>
          </w:tcPr>
          <w:p>
            <w:pPr>
              <w:spacing w:after="0"/>
              <w:rPr>
                <w:sz w:val="1"/>
                <w:szCs w:val="1"/>
                <w:color w:val="auto"/>
              </w:rPr>
            </w:pPr>
          </w:p>
        </w:tc>
      </w:tr>
      <w:tr>
        <w:trPr>
          <w:trHeight w:val="237"/>
        </w:trPr>
        <w:tc>
          <w:tcPr>
            <w:tcW w:w="51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Options exercisable at September 30, 2016</w:t>
            </w:r>
          </w:p>
        </w:tc>
        <w:tc>
          <w:tcPr>
            <w:tcW w:w="1500" w:type="dxa"/>
            <w:vAlign w:val="bottom"/>
            <w:tcBorders>
              <w:bottom w:val="single" w:sz="8" w:color="auto"/>
            </w:tcBorders>
            <w:shd w:val="clear" w:color="auto" w:fill="CCFFCC"/>
          </w:tcPr>
          <w:p>
            <w:pPr>
              <w:jc w:val="right"/>
              <w:ind w:right="39"/>
              <w:spacing w:after="0"/>
              <w:rPr>
                <w:sz w:val="20"/>
                <w:szCs w:val="20"/>
                <w:color w:val="auto"/>
              </w:rPr>
            </w:pPr>
            <w:r>
              <w:rPr>
                <w:rFonts w:ascii="Arial" w:cs="Arial" w:eastAsia="Arial" w:hAnsi="Arial"/>
                <w:sz w:val="16"/>
                <w:szCs w:val="16"/>
                <w:color w:val="auto"/>
              </w:rPr>
              <w:t>5,898</w:t>
            </w:r>
          </w:p>
        </w:tc>
        <w:tc>
          <w:tcPr>
            <w:tcW w:w="120" w:type="dxa"/>
            <w:vAlign w:val="bottom"/>
            <w:tcBorders>
              <w:bottom w:val="single" w:sz="8" w:color="CCFFCC"/>
            </w:tcBorders>
            <w:shd w:val="clear" w:color="auto" w:fill="CCFFCC"/>
          </w:tcPr>
          <w:p>
            <w:pPr>
              <w:spacing w:after="0"/>
              <w:rPr>
                <w:sz w:val="20"/>
                <w:szCs w:val="20"/>
                <w:color w:val="auto"/>
              </w:rPr>
            </w:pPr>
          </w:p>
        </w:tc>
        <w:tc>
          <w:tcPr>
            <w:tcW w:w="1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FFCC"/>
          </w:tcPr>
          <w:p>
            <w:pPr>
              <w:jc w:val="right"/>
              <w:ind w:right="39"/>
              <w:spacing w:after="0"/>
              <w:rPr>
                <w:sz w:val="20"/>
                <w:szCs w:val="20"/>
                <w:color w:val="auto"/>
              </w:rPr>
            </w:pPr>
            <w:r>
              <w:rPr>
                <w:rFonts w:ascii="Arial" w:cs="Arial" w:eastAsia="Arial" w:hAnsi="Arial"/>
                <w:sz w:val="16"/>
                <w:szCs w:val="16"/>
                <w:color w:val="auto"/>
              </w:rPr>
              <w:t>11.11</w:t>
            </w:r>
          </w:p>
        </w:tc>
        <w:tc>
          <w:tcPr>
            <w:tcW w:w="100" w:type="dxa"/>
            <w:vAlign w:val="bottom"/>
            <w:tcBorders>
              <w:bottom w:val="single" w:sz="8" w:color="CCFFCC"/>
            </w:tcBorders>
            <w:shd w:val="clear" w:color="auto" w:fill="CCFFCC"/>
          </w:tcPr>
          <w:p>
            <w:pPr>
              <w:spacing w:after="0"/>
              <w:rPr>
                <w:sz w:val="20"/>
                <w:szCs w:val="20"/>
                <w:color w:val="auto"/>
              </w:rPr>
            </w:pPr>
          </w:p>
        </w:tc>
        <w:tc>
          <w:tcPr>
            <w:tcW w:w="14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5.19</w:t>
            </w:r>
          </w:p>
        </w:tc>
        <w:tc>
          <w:tcPr>
            <w:tcW w:w="100" w:type="dxa"/>
            <w:vAlign w:val="bottom"/>
            <w:tcBorders>
              <w:bottom w:val="single" w:sz="8" w:color="CCFFCC"/>
            </w:tcBorders>
            <w:shd w:val="clear" w:color="auto" w:fill="CCFFCC"/>
          </w:tcPr>
          <w:p>
            <w:pPr>
              <w:spacing w:after="0"/>
              <w:rPr>
                <w:sz w:val="20"/>
                <w:szCs w:val="20"/>
                <w:color w:val="auto"/>
              </w:rPr>
            </w:pPr>
          </w:p>
        </w:tc>
        <w:tc>
          <w:tcPr>
            <w:tcW w:w="240" w:type="dxa"/>
            <w:vAlign w:val="bottom"/>
            <w:tcBorders>
              <w:bottom w:val="single" w:sz="8" w:color="auto"/>
            </w:tcBorders>
            <w:shd w:val="clear" w:color="auto" w:fill="CCFFCC"/>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FFCC"/>
          </w:tcPr>
          <w:p>
            <w:pPr>
              <w:jc w:val="right"/>
              <w:ind w:right="19"/>
              <w:spacing w:after="0"/>
              <w:rPr>
                <w:sz w:val="20"/>
                <w:szCs w:val="20"/>
                <w:color w:val="auto"/>
              </w:rPr>
            </w:pPr>
            <w:r>
              <w:rPr>
                <w:rFonts w:ascii="Arial" w:cs="Arial" w:eastAsia="Arial" w:hAnsi="Arial"/>
                <w:sz w:val="16"/>
                <w:szCs w:val="16"/>
                <w:color w:val="auto"/>
              </w:rPr>
              <w:t>3,724</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total fair value of stock options exercised during the nine months ended September 30, 2016 was approximately $0.4 million. As of September 30, 2016, there was approximately $8.4 million of total unrecognized compensation cost related to nonvested share-based compensation arrangements. That cost is expected to be recognized over a weighted average period of approximately 2.0 years.</w:t>
      </w:r>
    </w:p>
    <w:p>
      <w:pPr>
        <w:spacing w:after="0" w:line="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information about outstanding and vested stock options as of September 30, 2016:</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40" w:type="dxa"/>
            <w:vAlign w:val="bottom"/>
          </w:tcPr>
          <w:p>
            <w:pPr>
              <w:ind w:left="780"/>
              <w:spacing w:after="0"/>
              <w:rPr>
                <w:sz w:val="20"/>
                <w:szCs w:val="20"/>
                <w:color w:val="auto"/>
              </w:rPr>
            </w:pPr>
            <w:r>
              <w:rPr>
                <w:rFonts w:ascii="Arial" w:cs="Arial" w:eastAsia="Arial" w:hAnsi="Arial"/>
                <w:sz w:val="16"/>
                <w:szCs w:val="16"/>
                <w:b w:val="1"/>
                <w:bCs w:val="1"/>
                <w:color w:val="auto"/>
              </w:rPr>
              <w:t>Options Outstanding</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20" w:type="dxa"/>
            <w:vAlign w:val="bottom"/>
            <w:gridSpan w:val="3"/>
          </w:tcPr>
          <w:p>
            <w:pPr>
              <w:jc w:val="right"/>
              <w:ind w:right="1019"/>
              <w:spacing w:after="0"/>
              <w:rPr>
                <w:sz w:val="20"/>
                <w:szCs w:val="20"/>
                <w:color w:val="auto"/>
              </w:rPr>
            </w:pPr>
            <w:r>
              <w:rPr>
                <w:rFonts w:ascii="Arial" w:cs="Arial" w:eastAsia="Arial" w:hAnsi="Arial"/>
                <w:sz w:val="16"/>
                <w:szCs w:val="16"/>
                <w:b w:val="1"/>
                <w:bCs w:val="1"/>
                <w:color w:val="auto"/>
              </w:rPr>
              <w:t>Options Exercisable</w:t>
            </w:r>
          </w:p>
        </w:tc>
      </w:tr>
      <w:tr>
        <w:trPr>
          <w:trHeight w:val="33"/>
        </w:trPr>
        <w:tc>
          <w:tcPr>
            <w:tcW w:w="4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09"/>
        </w:trPr>
        <w:tc>
          <w:tcPr>
            <w:tcW w:w="4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92"/>
              </w:rPr>
              <w:t>Number of</w:t>
            </w:r>
          </w:p>
        </w:tc>
        <w:tc>
          <w:tcPr>
            <w:tcW w:w="2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03"/>
        </w:trPr>
        <w:tc>
          <w:tcPr>
            <w:tcW w:w="4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86"/>
              </w:rPr>
              <w:t>Shares</w:t>
            </w:r>
          </w:p>
        </w:tc>
        <w:tc>
          <w:tcPr>
            <w:tcW w:w="2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Weighted-</w:t>
            </w:r>
          </w:p>
        </w:tc>
        <w:tc>
          <w:tcPr>
            <w:tcW w:w="1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3"/>
        </w:trPr>
        <w:tc>
          <w:tcPr>
            <w:tcW w:w="4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92"/>
              </w:rPr>
              <w:t>Outstanding (in</w:t>
            </w:r>
          </w:p>
        </w:tc>
        <w:tc>
          <w:tcPr>
            <w:tcW w:w="2640" w:type="dxa"/>
            <w:vAlign w:val="bottom"/>
          </w:tcPr>
          <w:p>
            <w:pPr>
              <w:jc w:val="center"/>
              <w:ind w:left="399"/>
              <w:spacing w:after="0"/>
              <w:rPr>
                <w:sz w:val="20"/>
                <w:szCs w:val="20"/>
                <w:color w:val="auto"/>
              </w:rPr>
            </w:pPr>
            <w:r>
              <w:rPr>
                <w:rFonts w:ascii="Arial" w:cs="Arial" w:eastAsia="Arial" w:hAnsi="Arial"/>
                <w:sz w:val="16"/>
                <w:szCs w:val="16"/>
                <w:b w:val="1"/>
                <w:bCs w:val="1"/>
                <w:color w:val="auto"/>
                <w:w w:val="91"/>
              </w:rPr>
              <w:t>Weighted-Average Remaining</w:t>
            </w: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Average</w:t>
            </w:r>
          </w:p>
        </w:tc>
        <w:tc>
          <w:tcPr>
            <w:tcW w:w="1700" w:type="dxa"/>
            <w:vAlign w:val="bottom"/>
          </w:tcPr>
          <w:p>
            <w:pPr>
              <w:jc w:val="right"/>
              <w:ind w:right="19"/>
              <w:spacing w:after="0"/>
              <w:rPr>
                <w:sz w:val="20"/>
                <w:szCs w:val="20"/>
                <w:color w:val="auto"/>
              </w:rPr>
            </w:pPr>
            <w:r>
              <w:rPr>
                <w:rFonts w:ascii="Arial" w:cs="Arial" w:eastAsia="Arial" w:hAnsi="Arial"/>
                <w:sz w:val="16"/>
                <w:szCs w:val="16"/>
                <w:b w:val="1"/>
                <w:bCs w:val="1"/>
                <w:color w:val="auto"/>
                <w:w w:val="97"/>
              </w:rPr>
              <w:t>Number of Shares (in</w:t>
            </w:r>
          </w:p>
        </w:tc>
        <w:tc>
          <w:tcPr>
            <w:tcW w:w="300" w:type="dxa"/>
            <w:vAlign w:val="bottom"/>
          </w:tcPr>
          <w:p>
            <w:pPr>
              <w:spacing w:after="0"/>
              <w:rPr>
                <w:sz w:val="17"/>
                <w:szCs w:val="17"/>
                <w:color w:val="auto"/>
              </w:rPr>
            </w:pPr>
          </w:p>
        </w:tc>
        <w:tc>
          <w:tcPr>
            <w:tcW w:w="1620" w:type="dxa"/>
            <w:vAlign w:val="bottom"/>
          </w:tcPr>
          <w:p>
            <w:pPr>
              <w:jc w:val="right"/>
              <w:ind w:right="179"/>
              <w:spacing w:after="0"/>
              <w:rPr>
                <w:sz w:val="20"/>
                <w:szCs w:val="20"/>
                <w:color w:val="auto"/>
              </w:rPr>
            </w:pPr>
            <w:r>
              <w:rPr>
                <w:rFonts w:ascii="Arial" w:cs="Arial" w:eastAsia="Arial" w:hAnsi="Arial"/>
                <w:sz w:val="16"/>
                <w:szCs w:val="16"/>
                <w:b w:val="1"/>
                <w:bCs w:val="1"/>
                <w:color w:val="auto"/>
                <w:w w:val="95"/>
              </w:rPr>
              <w:t>Weighted-Average</w:t>
            </w:r>
          </w:p>
        </w:tc>
      </w:tr>
      <w:tr>
        <w:trPr>
          <w:trHeight w:val="210"/>
        </w:trPr>
        <w:tc>
          <w:tcPr>
            <w:tcW w:w="2200" w:type="dxa"/>
            <w:vAlign w:val="bottom"/>
            <w:gridSpan w:val="3"/>
          </w:tcPr>
          <w:p>
            <w:pPr>
              <w:ind w:left="40"/>
              <w:spacing w:after="0"/>
              <w:rPr>
                <w:sz w:val="20"/>
                <w:szCs w:val="20"/>
                <w:color w:val="auto"/>
              </w:rPr>
            </w:pPr>
            <w:r>
              <w:rPr>
                <w:rFonts w:ascii="Arial" w:cs="Arial" w:eastAsia="Arial" w:hAnsi="Arial"/>
                <w:sz w:val="16"/>
                <w:szCs w:val="16"/>
                <w:b w:val="1"/>
                <w:bCs w:val="1"/>
                <w:color w:val="auto"/>
              </w:rPr>
              <w:t>Range of Exercise Prices</w:t>
            </w: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85"/>
              </w:rPr>
              <w:t>thousands)</w:t>
            </w:r>
          </w:p>
        </w:tc>
        <w:tc>
          <w:tcPr>
            <w:tcW w:w="2640" w:type="dxa"/>
            <w:vAlign w:val="bottom"/>
          </w:tcPr>
          <w:p>
            <w:pPr>
              <w:jc w:val="center"/>
              <w:ind w:left="399"/>
              <w:spacing w:after="0"/>
              <w:rPr>
                <w:sz w:val="20"/>
                <w:szCs w:val="20"/>
                <w:color w:val="auto"/>
              </w:rPr>
            </w:pPr>
            <w:r>
              <w:rPr>
                <w:rFonts w:ascii="Arial" w:cs="Arial" w:eastAsia="Arial" w:hAnsi="Arial"/>
                <w:sz w:val="16"/>
                <w:szCs w:val="16"/>
                <w:b w:val="1"/>
                <w:bCs w:val="1"/>
                <w:color w:val="auto"/>
                <w:w w:val="93"/>
              </w:rPr>
              <w:t>Contractual Life (Years)</w:t>
            </w:r>
          </w:p>
        </w:tc>
        <w:tc>
          <w:tcPr>
            <w:tcW w:w="420" w:type="dxa"/>
            <w:vAlign w:val="bottom"/>
          </w:tcPr>
          <w:p>
            <w:pPr>
              <w:spacing w:after="0"/>
              <w:rPr>
                <w:sz w:val="18"/>
                <w:szCs w:val="18"/>
                <w:color w:val="auto"/>
              </w:rPr>
            </w:pPr>
          </w:p>
        </w:tc>
        <w:tc>
          <w:tcPr>
            <w:tcW w:w="1280" w:type="dxa"/>
            <w:vAlign w:val="bottom"/>
            <w:gridSpan w:val="3"/>
          </w:tcPr>
          <w:p>
            <w:pPr>
              <w:jc w:val="center"/>
              <w:ind w:right="60"/>
              <w:spacing w:after="0"/>
              <w:rPr>
                <w:sz w:val="20"/>
                <w:szCs w:val="20"/>
                <w:color w:val="auto"/>
              </w:rPr>
            </w:pPr>
            <w:r>
              <w:rPr>
                <w:rFonts w:ascii="Arial" w:cs="Arial" w:eastAsia="Arial" w:hAnsi="Arial"/>
                <w:sz w:val="16"/>
                <w:szCs w:val="16"/>
                <w:b w:val="1"/>
                <w:bCs w:val="1"/>
                <w:color w:val="auto"/>
                <w:w w:val="89"/>
              </w:rPr>
              <w:t>Exercise Price</w:t>
            </w:r>
          </w:p>
        </w:tc>
        <w:tc>
          <w:tcPr>
            <w:tcW w:w="1700" w:type="dxa"/>
            <w:vAlign w:val="bottom"/>
          </w:tcPr>
          <w:p>
            <w:pPr>
              <w:jc w:val="right"/>
              <w:ind w:right="399"/>
              <w:spacing w:after="0"/>
              <w:rPr>
                <w:sz w:val="20"/>
                <w:szCs w:val="20"/>
                <w:color w:val="auto"/>
              </w:rPr>
            </w:pPr>
            <w:r>
              <w:rPr>
                <w:rFonts w:ascii="Arial" w:cs="Arial" w:eastAsia="Arial" w:hAnsi="Arial"/>
                <w:sz w:val="16"/>
                <w:szCs w:val="16"/>
                <w:b w:val="1"/>
                <w:bCs w:val="1"/>
                <w:color w:val="auto"/>
              </w:rPr>
              <w:t>thousands)</w:t>
            </w:r>
          </w:p>
        </w:tc>
        <w:tc>
          <w:tcPr>
            <w:tcW w:w="300" w:type="dxa"/>
            <w:vAlign w:val="bottom"/>
          </w:tcPr>
          <w:p>
            <w:pPr>
              <w:spacing w:after="0"/>
              <w:rPr>
                <w:sz w:val="18"/>
                <w:szCs w:val="18"/>
                <w:color w:val="auto"/>
              </w:rPr>
            </w:pPr>
          </w:p>
        </w:tc>
        <w:tc>
          <w:tcPr>
            <w:tcW w:w="1620" w:type="dxa"/>
            <w:vAlign w:val="bottom"/>
          </w:tcPr>
          <w:p>
            <w:pPr>
              <w:jc w:val="right"/>
              <w:ind w:right="339"/>
              <w:spacing w:after="0"/>
              <w:rPr>
                <w:sz w:val="20"/>
                <w:szCs w:val="20"/>
                <w:color w:val="auto"/>
              </w:rPr>
            </w:pPr>
            <w:r>
              <w:rPr>
                <w:rFonts w:ascii="Arial" w:cs="Arial" w:eastAsia="Arial" w:hAnsi="Arial"/>
                <w:sz w:val="16"/>
                <w:szCs w:val="16"/>
                <w:b w:val="1"/>
                <w:bCs w:val="1"/>
                <w:color w:val="auto"/>
              </w:rPr>
              <w:t>Exercise Price</w:t>
            </w:r>
          </w:p>
        </w:tc>
      </w:tr>
      <w:tr>
        <w:trPr>
          <w:trHeight w:val="33"/>
        </w:trPr>
        <w:tc>
          <w:tcPr>
            <w:tcW w:w="4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42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w w:val="89"/>
              </w:rPr>
              <w:t>$1.79</w:t>
            </w:r>
          </w:p>
        </w:tc>
        <w:tc>
          <w:tcPr>
            <w:tcW w:w="166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6"/>
                <w:szCs w:val="16"/>
                <w:color w:val="auto"/>
              </w:rPr>
              <w:t>- $6.32</w:t>
            </w:r>
          </w:p>
        </w:tc>
        <w:tc>
          <w:tcPr>
            <w:tcW w:w="12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884</w:t>
            </w:r>
          </w:p>
        </w:tc>
        <w:tc>
          <w:tcPr>
            <w:tcW w:w="2640" w:type="dxa"/>
            <w:vAlign w:val="bottom"/>
            <w:tcBorders>
              <w:bottom w:val="single" w:sz="8" w:color="CCFFCC"/>
            </w:tcBorders>
            <w:shd w:val="clear" w:color="auto" w:fill="CCFFCC"/>
          </w:tcPr>
          <w:p>
            <w:pPr>
              <w:spacing w:after="0"/>
              <w:rPr>
                <w:sz w:val="21"/>
                <w:szCs w:val="21"/>
                <w:color w:val="auto"/>
              </w:rPr>
            </w:pPr>
          </w:p>
        </w:tc>
        <w:tc>
          <w:tcPr>
            <w:tcW w:w="42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w w:val="96"/>
              </w:rPr>
              <w:t>3.16</w:t>
            </w:r>
          </w:p>
        </w:tc>
        <w:tc>
          <w:tcPr>
            <w:tcW w:w="2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4.46</w:t>
            </w:r>
          </w:p>
        </w:tc>
        <w:tc>
          <w:tcPr>
            <w:tcW w:w="100" w:type="dxa"/>
            <w:vAlign w:val="bottom"/>
            <w:tcBorders>
              <w:bottom w:val="single" w:sz="8" w:color="CCFFCC"/>
            </w:tcBorders>
            <w:shd w:val="clear" w:color="auto" w:fill="CCFFCC"/>
          </w:tcPr>
          <w:p>
            <w:pPr>
              <w:spacing w:after="0"/>
              <w:rPr>
                <w:sz w:val="21"/>
                <w:szCs w:val="21"/>
                <w:color w:val="auto"/>
              </w:rPr>
            </w:pPr>
          </w:p>
        </w:tc>
        <w:tc>
          <w:tcPr>
            <w:tcW w:w="170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717</w:t>
            </w:r>
          </w:p>
        </w:tc>
        <w:tc>
          <w:tcPr>
            <w:tcW w:w="3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4.03</w:t>
            </w:r>
          </w:p>
        </w:tc>
      </w:tr>
      <w:tr>
        <w:trPr>
          <w:trHeight w:val="237"/>
        </w:trPr>
        <w:tc>
          <w:tcPr>
            <w:tcW w:w="420" w:type="dxa"/>
            <w:vAlign w:val="bottom"/>
          </w:tcPr>
          <w:p>
            <w:pPr>
              <w:ind w:left="40"/>
              <w:spacing w:after="0"/>
              <w:rPr>
                <w:sz w:val="20"/>
                <w:szCs w:val="20"/>
                <w:color w:val="auto"/>
              </w:rPr>
            </w:pPr>
            <w:r>
              <w:rPr>
                <w:rFonts w:ascii="Arial" w:cs="Arial" w:eastAsia="Arial" w:hAnsi="Arial"/>
                <w:sz w:val="16"/>
                <w:szCs w:val="16"/>
                <w:color w:val="auto"/>
                <w:w w:val="89"/>
              </w:rPr>
              <w:t>$6.54</w:t>
            </w:r>
          </w:p>
        </w:tc>
        <w:tc>
          <w:tcPr>
            <w:tcW w:w="1660" w:type="dxa"/>
            <w:vAlign w:val="bottom"/>
          </w:tcPr>
          <w:p>
            <w:pPr>
              <w:ind w:left="20"/>
              <w:spacing w:after="0"/>
              <w:rPr>
                <w:sz w:val="20"/>
                <w:szCs w:val="20"/>
                <w:color w:val="auto"/>
              </w:rPr>
            </w:pPr>
            <w:r>
              <w:rPr>
                <w:rFonts w:ascii="Arial" w:cs="Arial" w:eastAsia="Arial" w:hAnsi="Arial"/>
                <w:sz w:val="16"/>
                <w:szCs w:val="16"/>
                <w:color w:val="auto"/>
              </w:rPr>
              <w:t>- $9.20</w:t>
            </w:r>
          </w:p>
        </w:tc>
        <w:tc>
          <w:tcPr>
            <w:tcW w:w="12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898</w:t>
            </w:r>
          </w:p>
        </w:tc>
        <w:tc>
          <w:tcPr>
            <w:tcW w:w="2640" w:type="dxa"/>
            <w:vAlign w:val="bottom"/>
          </w:tcPr>
          <w:p>
            <w:pPr>
              <w:spacing w:after="0"/>
              <w:rPr>
                <w:sz w:val="20"/>
                <w:szCs w:val="20"/>
                <w:color w:val="auto"/>
              </w:rPr>
            </w:pPr>
          </w:p>
        </w:tc>
        <w:tc>
          <w:tcPr>
            <w:tcW w:w="420" w:type="dxa"/>
            <w:vAlign w:val="bottom"/>
          </w:tcPr>
          <w:p>
            <w:pPr>
              <w:jc w:val="right"/>
              <w:ind w:right="19"/>
              <w:spacing w:after="0"/>
              <w:rPr>
                <w:sz w:val="20"/>
                <w:szCs w:val="20"/>
                <w:color w:val="auto"/>
              </w:rPr>
            </w:pPr>
            <w:r>
              <w:rPr>
                <w:rFonts w:ascii="Arial" w:cs="Arial" w:eastAsia="Arial" w:hAnsi="Arial"/>
                <w:sz w:val="16"/>
                <w:szCs w:val="16"/>
                <w:color w:val="auto"/>
                <w:w w:val="96"/>
              </w:rPr>
              <w:t>6.29</w:t>
            </w:r>
          </w:p>
        </w:tc>
        <w:tc>
          <w:tcPr>
            <w:tcW w:w="20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7.42</w:t>
            </w:r>
          </w:p>
        </w:tc>
        <w:tc>
          <w:tcPr>
            <w:tcW w:w="100" w:type="dxa"/>
            <w:vAlign w:val="bottom"/>
          </w:tcPr>
          <w:p>
            <w:pPr>
              <w:spacing w:after="0"/>
              <w:rPr>
                <w:sz w:val="20"/>
                <w:szCs w:val="20"/>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529</w:t>
            </w:r>
          </w:p>
        </w:tc>
        <w:tc>
          <w:tcPr>
            <w:tcW w:w="30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7.44</w:t>
            </w:r>
          </w:p>
        </w:tc>
      </w:tr>
      <w:tr>
        <w:trPr>
          <w:trHeight w:val="33"/>
        </w:trPr>
        <w:tc>
          <w:tcPr>
            <w:tcW w:w="4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42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w w:val="89"/>
              </w:rPr>
              <w:t>$9.24</w:t>
            </w:r>
          </w:p>
        </w:tc>
        <w:tc>
          <w:tcPr>
            <w:tcW w:w="166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6"/>
                <w:szCs w:val="16"/>
                <w:color w:val="auto"/>
              </w:rPr>
              <w:t>- $9.34</w:t>
            </w:r>
          </w:p>
        </w:tc>
        <w:tc>
          <w:tcPr>
            <w:tcW w:w="12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842</w:t>
            </w:r>
          </w:p>
        </w:tc>
        <w:tc>
          <w:tcPr>
            <w:tcW w:w="2640" w:type="dxa"/>
            <w:vAlign w:val="bottom"/>
            <w:tcBorders>
              <w:bottom w:val="single" w:sz="8" w:color="CCFFCC"/>
            </w:tcBorders>
            <w:shd w:val="clear" w:color="auto" w:fill="CCFFCC"/>
          </w:tcPr>
          <w:p>
            <w:pPr>
              <w:spacing w:after="0"/>
              <w:rPr>
                <w:sz w:val="21"/>
                <w:szCs w:val="21"/>
                <w:color w:val="auto"/>
              </w:rPr>
            </w:pPr>
          </w:p>
        </w:tc>
        <w:tc>
          <w:tcPr>
            <w:tcW w:w="42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w w:val="96"/>
              </w:rPr>
              <w:t>6.30</w:t>
            </w:r>
          </w:p>
        </w:tc>
        <w:tc>
          <w:tcPr>
            <w:tcW w:w="200" w:type="dxa"/>
            <w:vAlign w:val="bottom"/>
            <w:tcBorders>
              <w:bottom w:val="single" w:sz="8" w:color="CCFFCC"/>
            </w:tcBorders>
            <w:shd w:val="clear" w:color="auto" w:fill="CCFFCC"/>
          </w:tcPr>
          <w:p>
            <w:pPr>
              <w:spacing w:after="0"/>
              <w:rPr>
                <w:sz w:val="21"/>
                <w:szCs w:val="21"/>
                <w:color w:val="auto"/>
              </w:rPr>
            </w:pPr>
          </w:p>
        </w:tc>
        <w:tc>
          <w:tcPr>
            <w:tcW w:w="98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9.26</w:t>
            </w:r>
          </w:p>
        </w:tc>
        <w:tc>
          <w:tcPr>
            <w:tcW w:w="100" w:type="dxa"/>
            <w:vAlign w:val="bottom"/>
            <w:tcBorders>
              <w:bottom w:val="single" w:sz="8" w:color="CCFFCC"/>
            </w:tcBorders>
            <w:shd w:val="clear" w:color="auto" w:fill="CCFFCC"/>
          </w:tcPr>
          <w:p>
            <w:pPr>
              <w:spacing w:after="0"/>
              <w:rPr>
                <w:sz w:val="21"/>
                <w:szCs w:val="21"/>
                <w:color w:val="auto"/>
              </w:rPr>
            </w:pPr>
          </w:p>
        </w:tc>
        <w:tc>
          <w:tcPr>
            <w:tcW w:w="170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612</w:t>
            </w:r>
          </w:p>
        </w:tc>
        <w:tc>
          <w:tcPr>
            <w:tcW w:w="300" w:type="dxa"/>
            <w:vAlign w:val="bottom"/>
            <w:tcBorders>
              <w:bottom w:val="single" w:sz="8" w:color="CCFFCC"/>
            </w:tcBorders>
            <w:shd w:val="clear" w:color="auto" w:fill="CCFFCC"/>
          </w:tcPr>
          <w:p>
            <w:pPr>
              <w:spacing w:after="0"/>
              <w:rPr>
                <w:sz w:val="21"/>
                <w:szCs w:val="21"/>
                <w:color w:val="auto"/>
              </w:rPr>
            </w:pPr>
          </w:p>
        </w:tc>
        <w:tc>
          <w:tcPr>
            <w:tcW w:w="162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9.26</w:t>
            </w:r>
          </w:p>
        </w:tc>
      </w:tr>
      <w:tr>
        <w:trPr>
          <w:trHeight w:val="237"/>
        </w:trPr>
        <w:tc>
          <w:tcPr>
            <w:tcW w:w="420" w:type="dxa"/>
            <w:vAlign w:val="bottom"/>
          </w:tcPr>
          <w:p>
            <w:pPr>
              <w:ind w:left="40"/>
              <w:spacing w:after="0"/>
              <w:rPr>
                <w:sz w:val="20"/>
                <w:szCs w:val="20"/>
                <w:color w:val="auto"/>
              </w:rPr>
            </w:pPr>
            <w:r>
              <w:rPr>
                <w:rFonts w:ascii="Arial" w:cs="Arial" w:eastAsia="Arial" w:hAnsi="Arial"/>
                <w:sz w:val="16"/>
                <w:szCs w:val="16"/>
                <w:color w:val="auto"/>
                <w:w w:val="89"/>
              </w:rPr>
              <w:t>$9.44</w:t>
            </w:r>
          </w:p>
        </w:tc>
        <w:tc>
          <w:tcPr>
            <w:tcW w:w="1660" w:type="dxa"/>
            <w:vAlign w:val="bottom"/>
          </w:tcPr>
          <w:p>
            <w:pPr>
              <w:ind w:left="20"/>
              <w:spacing w:after="0"/>
              <w:rPr>
                <w:sz w:val="20"/>
                <w:szCs w:val="20"/>
                <w:color w:val="auto"/>
              </w:rPr>
            </w:pPr>
            <w:r>
              <w:rPr>
                <w:rFonts w:ascii="Arial" w:cs="Arial" w:eastAsia="Arial" w:hAnsi="Arial"/>
                <w:sz w:val="16"/>
                <w:szCs w:val="16"/>
                <w:color w:val="auto"/>
              </w:rPr>
              <w:t>- $10.09</w:t>
            </w:r>
          </w:p>
        </w:tc>
        <w:tc>
          <w:tcPr>
            <w:tcW w:w="12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729</w:t>
            </w:r>
          </w:p>
        </w:tc>
        <w:tc>
          <w:tcPr>
            <w:tcW w:w="2640" w:type="dxa"/>
            <w:vAlign w:val="bottom"/>
          </w:tcPr>
          <w:p>
            <w:pPr>
              <w:spacing w:after="0"/>
              <w:rPr>
                <w:sz w:val="20"/>
                <w:szCs w:val="20"/>
                <w:color w:val="auto"/>
              </w:rPr>
            </w:pPr>
          </w:p>
        </w:tc>
        <w:tc>
          <w:tcPr>
            <w:tcW w:w="420" w:type="dxa"/>
            <w:vAlign w:val="bottom"/>
          </w:tcPr>
          <w:p>
            <w:pPr>
              <w:jc w:val="right"/>
              <w:ind w:right="19"/>
              <w:spacing w:after="0"/>
              <w:rPr>
                <w:sz w:val="20"/>
                <w:szCs w:val="20"/>
                <w:color w:val="auto"/>
              </w:rPr>
            </w:pPr>
            <w:r>
              <w:rPr>
                <w:rFonts w:ascii="Arial" w:cs="Arial" w:eastAsia="Arial" w:hAnsi="Arial"/>
                <w:sz w:val="16"/>
                <w:szCs w:val="16"/>
                <w:color w:val="auto"/>
                <w:w w:val="96"/>
              </w:rPr>
              <w:t>7.91</w:t>
            </w:r>
          </w:p>
        </w:tc>
        <w:tc>
          <w:tcPr>
            <w:tcW w:w="20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9.90</w:t>
            </w:r>
          </w:p>
        </w:tc>
        <w:tc>
          <w:tcPr>
            <w:tcW w:w="100" w:type="dxa"/>
            <w:vAlign w:val="bottom"/>
          </w:tcPr>
          <w:p>
            <w:pPr>
              <w:spacing w:after="0"/>
              <w:rPr>
                <w:sz w:val="20"/>
                <w:szCs w:val="20"/>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451</w:t>
            </w:r>
          </w:p>
        </w:tc>
        <w:tc>
          <w:tcPr>
            <w:tcW w:w="30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9.89</w:t>
            </w:r>
          </w:p>
        </w:tc>
      </w:tr>
      <w:tr>
        <w:trPr>
          <w:trHeight w:val="33"/>
        </w:trPr>
        <w:tc>
          <w:tcPr>
            <w:tcW w:w="20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2080" w:type="dxa"/>
            <w:vAlign w:val="bottom"/>
            <w:tcBorders>
              <w:bottom w:val="single" w:sz="8" w:color="CCFFCC"/>
            </w:tcBorders>
            <w:gridSpan w:val="2"/>
            <w:shd w:val="clear" w:color="auto" w:fill="CCFFCC"/>
          </w:tcPr>
          <w:p>
            <w:pPr>
              <w:ind w:left="40"/>
              <w:spacing w:after="0"/>
              <w:rPr>
                <w:sz w:val="20"/>
                <w:szCs w:val="20"/>
                <w:color w:val="auto"/>
              </w:rPr>
            </w:pPr>
            <w:r>
              <w:rPr>
                <w:rFonts w:ascii="Arial" w:cs="Arial" w:eastAsia="Arial" w:hAnsi="Arial"/>
                <w:sz w:val="16"/>
                <w:szCs w:val="16"/>
                <w:color w:val="auto"/>
              </w:rPr>
              <w:t>$10.13 - $10.13</w:t>
            </w:r>
          </w:p>
        </w:tc>
        <w:tc>
          <w:tcPr>
            <w:tcW w:w="12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1,105</w:t>
            </w:r>
          </w:p>
        </w:tc>
        <w:tc>
          <w:tcPr>
            <w:tcW w:w="2640" w:type="dxa"/>
            <w:vAlign w:val="bottom"/>
            <w:tcBorders>
              <w:bottom w:val="single" w:sz="8" w:color="CCFFCC"/>
            </w:tcBorders>
            <w:shd w:val="clear" w:color="auto" w:fill="CCFFCC"/>
          </w:tcPr>
          <w:p>
            <w:pPr>
              <w:spacing w:after="0"/>
              <w:rPr>
                <w:sz w:val="21"/>
                <w:szCs w:val="21"/>
                <w:color w:val="auto"/>
              </w:rPr>
            </w:pPr>
          </w:p>
        </w:tc>
        <w:tc>
          <w:tcPr>
            <w:tcW w:w="42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w w:val="96"/>
              </w:rPr>
              <w:t>6.89</w:t>
            </w:r>
          </w:p>
        </w:tc>
        <w:tc>
          <w:tcPr>
            <w:tcW w:w="200" w:type="dxa"/>
            <w:vAlign w:val="bottom"/>
            <w:tcBorders>
              <w:bottom w:val="single" w:sz="8" w:color="CCFFCC"/>
            </w:tcBorders>
            <w:shd w:val="clear" w:color="auto" w:fill="CCFFCC"/>
          </w:tcPr>
          <w:p>
            <w:pPr>
              <w:spacing w:after="0"/>
              <w:rPr>
                <w:sz w:val="21"/>
                <w:szCs w:val="21"/>
                <w:color w:val="auto"/>
              </w:rPr>
            </w:pPr>
          </w:p>
        </w:tc>
        <w:tc>
          <w:tcPr>
            <w:tcW w:w="98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10.13</w:t>
            </w:r>
          </w:p>
        </w:tc>
        <w:tc>
          <w:tcPr>
            <w:tcW w:w="100" w:type="dxa"/>
            <w:vAlign w:val="bottom"/>
            <w:tcBorders>
              <w:bottom w:val="single" w:sz="8" w:color="CCFFCC"/>
            </w:tcBorders>
            <w:shd w:val="clear" w:color="auto" w:fill="CCFFCC"/>
          </w:tcPr>
          <w:p>
            <w:pPr>
              <w:spacing w:after="0"/>
              <w:rPr>
                <w:sz w:val="21"/>
                <w:szCs w:val="21"/>
                <w:color w:val="auto"/>
              </w:rPr>
            </w:pPr>
          </w:p>
        </w:tc>
        <w:tc>
          <w:tcPr>
            <w:tcW w:w="170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602</w:t>
            </w:r>
          </w:p>
        </w:tc>
        <w:tc>
          <w:tcPr>
            <w:tcW w:w="300" w:type="dxa"/>
            <w:vAlign w:val="bottom"/>
            <w:tcBorders>
              <w:bottom w:val="single" w:sz="8" w:color="CCFFCC"/>
            </w:tcBorders>
            <w:shd w:val="clear" w:color="auto" w:fill="CCFFCC"/>
          </w:tcPr>
          <w:p>
            <w:pPr>
              <w:spacing w:after="0"/>
              <w:rPr>
                <w:sz w:val="21"/>
                <w:szCs w:val="21"/>
                <w:color w:val="auto"/>
              </w:rPr>
            </w:pPr>
          </w:p>
        </w:tc>
        <w:tc>
          <w:tcPr>
            <w:tcW w:w="162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10.13</w:t>
            </w:r>
          </w:p>
        </w:tc>
      </w:tr>
      <w:tr>
        <w:trPr>
          <w:trHeight w:val="237"/>
        </w:trPr>
        <w:tc>
          <w:tcPr>
            <w:tcW w:w="2080" w:type="dxa"/>
            <w:vAlign w:val="bottom"/>
            <w:gridSpan w:val="2"/>
          </w:tcPr>
          <w:p>
            <w:pPr>
              <w:ind w:left="40"/>
              <w:spacing w:after="0"/>
              <w:rPr>
                <w:sz w:val="20"/>
                <w:szCs w:val="20"/>
                <w:color w:val="auto"/>
              </w:rPr>
            </w:pPr>
            <w:r>
              <w:rPr>
                <w:rFonts w:ascii="Arial" w:cs="Arial" w:eastAsia="Arial" w:hAnsi="Arial"/>
                <w:sz w:val="16"/>
                <w:szCs w:val="16"/>
                <w:color w:val="auto"/>
              </w:rPr>
              <w:t>$10.31 - $12.32</w:t>
            </w:r>
          </w:p>
        </w:tc>
        <w:tc>
          <w:tcPr>
            <w:tcW w:w="12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921</w:t>
            </w:r>
          </w:p>
        </w:tc>
        <w:tc>
          <w:tcPr>
            <w:tcW w:w="2640" w:type="dxa"/>
            <w:vAlign w:val="bottom"/>
          </w:tcPr>
          <w:p>
            <w:pPr>
              <w:spacing w:after="0"/>
              <w:rPr>
                <w:sz w:val="20"/>
                <w:szCs w:val="20"/>
                <w:color w:val="auto"/>
              </w:rPr>
            </w:pPr>
          </w:p>
        </w:tc>
        <w:tc>
          <w:tcPr>
            <w:tcW w:w="420" w:type="dxa"/>
            <w:vAlign w:val="bottom"/>
          </w:tcPr>
          <w:p>
            <w:pPr>
              <w:jc w:val="right"/>
              <w:ind w:right="19"/>
              <w:spacing w:after="0"/>
              <w:rPr>
                <w:sz w:val="20"/>
                <w:szCs w:val="20"/>
                <w:color w:val="auto"/>
              </w:rPr>
            </w:pPr>
            <w:r>
              <w:rPr>
                <w:rFonts w:ascii="Arial" w:cs="Arial" w:eastAsia="Arial" w:hAnsi="Arial"/>
                <w:sz w:val="16"/>
                <w:szCs w:val="16"/>
                <w:color w:val="auto"/>
                <w:w w:val="96"/>
              </w:rPr>
              <w:t>6.02</w:t>
            </w:r>
          </w:p>
        </w:tc>
        <w:tc>
          <w:tcPr>
            <w:tcW w:w="20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11.21</w:t>
            </w:r>
          </w:p>
        </w:tc>
        <w:tc>
          <w:tcPr>
            <w:tcW w:w="100" w:type="dxa"/>
            <w:vAlign w:val="bottom"/>
          </w:tcPr>
          <w:p>
            <w:pPr>
              <w:spacing w:after="0"/>
              <w:rPr>
                <w:sz w:val="20"/>
                <w:szCs w:val="20"/>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676</w:t>
            </w:r>
          </w:p>
        </w:tc>
        <w:tc>
          <w:tcPr>
            <w:tcW w:w="30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11.47</w:t>
            </w:r>
          </w:p>
        </w:tc>
      </w:tr>
      <w:tr>
        <w:trPr>
          <w:trHeight w:val="33"/>
        </w:trPr>
        <w:tc>
          <w:tcPr>
            <w:tcW w:w="20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2080" w:type="dxa"/>
            <w:vAlign w:val="bottom"/>
            <w:tcBorders>
              <w:bottom w:val="single" w:sz="8" w:color="CCFFCC"/>
            </w:tcBorders>
            <w:gridSpan w:val="2"/>
            <w:shd w:val="clear" w:color="auto" w:fill="CCFFCC"/>
          </w:tcPr>
          <w:p>
            <w:pPr>
              <w:ind w:left="40"/>
              <w:spacing w:after="0"/>
              <w:rPr>
                <w:sz w:val="20"/>
                <w:szCs w:val="20"/>
                <w:color w:val="auto"/>
              </w:rPr>
            </w:pPr>
            <w:r>
              <w:rPr>
                <w:rFonts w:ascii="Arial" w:cs="Arial" w:eastAsia="Arial" w:hAnsi="Arial"/>
                <w:sz w:val="16"/>
                <w:szCs w:val="16"/>
                <w:color w:val="auto"/>
              </w:rPr>
              <w:t>$12.46 - $13.28</w:t>
            </w:r>
          </w:p>
        </w:tc>
        <w:tc>
          <w:tcPr>
            <w:tcW w:w="12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1,166</w:t>
            </w:r>
          </w:p>
        </w:tc>
        <w:tc>
          <w:tcPr>
            <w:tcW w:w="2640" w:type="dxa"/>
            <w:vAlign w:val="bottom"/>
            <w:tcBorders>
              <w:bottom w:val="single" w:sz="8" w:color="CCFFCC"/>
            </w:tcBorders>
            <w:shd w:val="clear" w:color="auto" w:fill="CCFFCC"/>
          </w:tcPr>
          <w:p>
            <w:pPr>
              <w:spacing w:after="0"/>
              <w:rPr>
                <w:sz w:val="21"/>
                <w:szCs w:val="21"/>
                <w:color w:val="auto"/>
              </w:rPr>
            </w:pPr>
          </w:p>
        </w:tc>
        <w:tc>
          <w:tcPr>
            <w:tcW w:w="42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w w:val="96"/>
              </w:rPr>
              <w:t>5.28</w:t>
            </w:r>
          </w:p>
        </w:tc>
        <w:tc>
          <w:tcPr>
            <w:tcW w:w="200" w:type="dxa"/>
            <w:vAlign w:val="bottom"/>
            <w:tcBorders>
              <w:bottom w:val="single" w:sz="8" w:color="CCFFCC"/>
            </w:tcBorders>
            <w:shd w:val="clear" w:color="auto" w:fill="CCFFCC"/>
          </w:tcPr>
          <w:p>
            <w:pPr>
              <w:spacing w:after="0"/>
              <w:rPr>
                <w:sz w:val="21"/>
                <w:szCs w:val="21"/>
                <w:color w:val="auto"/>
              </w:rPr>
            </w:pPr>
          </w:p>
        </w:tc>
        <w:tc>
          <w:tcPr>
            <w:tcW w:w="98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13.10</w:t>
            </w:r>
          </w:p>
        </w:tc>
        <w:tc>
          <w:tcPr>
            <w:tcW w:w="100" w:type="dxa"/>
            <w:vAlign w:val="bottom"/>
            <w:tcBorders>
              <w:bottom w:val="single" w:sz="8" w:color="CCFFCC"/>
            </w:tcBorders>
            <w:shd w:val="clear" w:color="auto" w:fill="CCFFCC"/>
          </w:tcPr>
          <w:p>
            <w:pPr>
              <w:spacing w:after="0"/>
              <w:rPr>
                <w:sz w:val="21"/>
                <w:szCs w:val="21"/>
                <w:color w:val="auto"/>
              </w:rPr>
            </w:pPr>
          </w:p>
        </w:tc>
        <w:tc>
          <w:tcPr>
            <w:tcW w:w="170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1,017</w:t>
            </w:r>
          </w:p>
        </w:tc>
        <w:tc>
          <w:tcPr>
            <w:tcW w:w="300" w:type="dxa"/>
            <w:vAlign w:val="bottom"/>
            <w:tcBorders>
              <w:bottom w:val="single" w:sz="8" w:color="CCFFCC"/>
            </w:tcBorders>
            <w:shd w:val="clear" w:color="auto" w:fill="CCFFCC"/>
          </w:tcPr>
          <w:p>
            <w:pPr>
              <w:spacing w:after="0"/>
              <w:rPr>
                <w:sz w:val="21"/>
                <w:szCs w:val="21"/>
                <w:color w:val="auto"/>
              </w:rPr>
            </w:pPr>
          </w:p>
        </w:tc>
        <w:tc>
          <w:tcPr>
            <w:tcW w:w="162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13.10</w:t>
            </w:r>
          </w:p>
        </w:tc>
      </w:tr>
      <w:tr>
        <w:trPr>
          <w:trHeight w:val="237"/>
        </w:trPr>
        <w:tc>
          <w:tcPr>
            <w:tcW w:w="2080" w:type="dxa"/>
            <w:vAlign w:val="bottom"/>
            <w:gridSpan w:val="2"/>
          </w:tcPr>
          <w:p>
            <w:pPr>
              <w:ind w:left="40"/>
              <w:spacing w:after="0"/>
              <w:rPr>
                <w:sz w:val="20"/>
                <w:szCs w:val="20"/>
                <w:color w:val="auto"/>
              </w:rPr>
            </w:pPr>
            <w:r>
              <w:rPr>
                <w:rFonts w:ascii="Arial" w:cs="Arial" w:eastAsia="Arial" w:hAnsi="Arial"/>
                <w:sz w:val="16"/>
                <w:szCs w:val="16"/>
                <w:color w:val="auto"/>
              </w:rPr>
              <w:t>$13.34 - $16.98</w:t>
            </w:r>
          </w:p>
        </w:tc>
        <w:tc>
          <w:tcPr>
            <w:tcW w:w="12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1,286</w:t>
            </w:r>
          </w:p>
        </w:tc>
        <w:tc>
          <w:tcPr>
            <w:tcW w:w="2640" w:type="dxa"/>
            <w:vAlign w:val="bottom"/>
          </w:tcPr>
          <w:p>
            <w:pPr>
              <w:spacing w:after="0"/>
              <w:rPr>
                <w:sz w:val="20"/>
                <w:szCs w:val="20"/>
                <w:color w:val="auto"/>
              </w:rPr>
            </w:pPr>
          </w:p>
        </w:tc>
        <w:tc>
          <w:tcPr>
            <w:tcW w:w="420" w:type="dxa"/>
            <w:vAlign w:val="bottom"/>
          </w:tcPr>
          <w:p>
            <w:pPr>
              <w:jc w:val="right"/>
              <w:ind w:right="19"/>
              <w:spacing w:after="0"/>
              <w:rPr>
                <w:sz w:val="20"/>
                <w:szCs w:val="20"/>
                <w:color w:val="auto"/>
              </w:rPr>
            </w:pPr>
            <w:r>
              <w:rPr>
                <w:rFonts w:ascii="Arial" w:cs="Arial" w:eastAsia="Arial" w:hAnsi="Arial"/>
                <w:sz w:val="16"/>
                <w:szCs w:val="16"/>
                <w:color w:val="auto"/>
                <w:w w:val="96"/>
              </w:rPr>
              <w:t>6.58</w:t>
            </w:r>
          </w:p>
        </w:tc>
        <w:tc>
          <w:tcPr>
            <w:tcW w:w="20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15.22</w:t>
            </w:r>
          </w:p>
        </w:tc>
        <w:tc>
          <w:tcPr>
            <w:tcW w:w="100" w:type="dxa"/>
            <w:vAlign w:val="bottom"/>
          </w:tcPr>
          <w:p>
            <w:pPr>
              <w:spacing w:after="0"/>
              <w:rPr>
                <w:sz w:val="20"/>
                <w:szCs w:val="20"/>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905</w:t>
            </w:r>
          </w:p>
        </w:tc>
        <w:tc>
          <w:tcPr>
            <w:tcW w:w="30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15.89</w:t>
            </w:r>
          </w:p>
        </w:tc>
      </w:tr>
      <w:tr>
        <w:trPr>
          <w:trHeight w:val="33"/>
        </w:trPr>
        <w:tc>
          <w:tcPr>
            <w:tcW w:w="20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2080" w:type="dxa"/>
            <w:vAlign w:val="bottom"/>
            <w:tcBorders>
              <w:bottom w:val="single" w:sz="8" w:color="CCFFCC"/>
            </w:tcBorders>
            <w:gridSpan w:val="2"/>
            <w:shd w:val="clear" w:color="auto" w:fill="CCFFCC"/>
          </w:tcPr>
          <w:p>
            <w:pPr>
              <w:ind w:left="40"/>
              <w:spacing w:after="0"/>
              <w:rPr>
                <w:sz w:val="20"/>
                <w:szCs w:val="20"/>
                <w:color w:val="auto"/>
              </w:rPr>
            </w:pPr>
            <w:r>
              <w:rPr>
                <w:rFonts w:ascii="Arial" w:cs="Arial" w:eastAsia="Arial" w:hAnsi="Arial"/>
                <w:sz w:val="16"/>
                <w:szCs w:val="16"/>
                <w:color w:val="auto"/>
              </w:rPr>
              <w:t>$17.88 - $18.09</w:t>
            </w:r>
          </w:p>
        </w:tc>
        <w:tc>
          <w:tcPr>
            <w:tcW w:w="12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384</w:t>
            </w:r>
          </w:p>
        </w:tc>
        <w:tc>
          <w:tcPr>
            <w:tcW w:w="2640" w:type="dxa"/>
            <w:vAlign w:val="bottom"/>
            <w:tcBorders>
              <w:bottom w:val="single" w:sz="8" w:color="CCFFCC"/>
            </w:tcBorders>
            <w:shd w:val="clear" w:color="auto" w:fill="CCFFCC"/>
          </w:tcPr>
          <w:p>
            <w:pPr>
              <w:spacing w:after="0"/>
              <w:rPr>
                <w:sz w:val="21"/>
                <w:szCs w:val="21"/>
                <w:color w:val="auto"/>
              </w:rPr>
            </w:pPr>
          </w:p>
        </w:tc>
        <w:tc>
          <w:tcPr>
            <w:tcW w:w="42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w w:val="96"/>
              </w:rPr>
              <w:t>5.66</w:t>
            </w:r>
          </w:p>
        </w:tc>
        <w:tc>
          <w:tcPr>
            <w:tcW w:w="200" w:type="dxa"/>
            <w:vAlign w:val="bottom"/>
            <w:tcBorders>
              <w:bottom w:val="single" w:sz="8" w:color="CCFFCC"/>
            </w:tcBorders>
            <w:shd w:val="clear" w:color="auto" w:fill="CCFFCC"/>
          </w:tcPr>
          <w:p>
            <w:pPr>
              <w:spacing w:after="0"/>
              <w:rPr>
                <w:sz w:val="21"/>
                <w:szCs w:val="21"/>
                <w:color w:val="auto"/>
              </w:rPr>
            </w:pPr>
          </w:p>
        </w:tc>
        <w:tc>
          <w:tcPr>
            <w:tcW w:w="98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18.06</w:t>
            </w:r>
          </w:p>
        </w:tc>
        <w:tc>
          <w:tcPr>
            <w:tcW w:w="100" w:type="dxa"/>
            <w:vAlign w:val="bottom"/>
            <w:tcBorders>
              <w:bottom w:val="single" w:sz="8" w:color="CCFFCC"/>
            </w:tcBorders>
            <w:shd w:val="clear" w:color="auto" w:fill="CCFFCC"/>
          </w:tcPr>
          <w:p>
            <w:pPr>
              <w:spacing w:after="0"/>
              <w:rPr>
                <w:sz w:val="21"/>
                <w:szCs w:val="21"/>
                <w:color w:val="auto"/>
              </w:rPr>
            </w:pPr>
          </w:p>
        </w:tc>
        <w:tc>
          <w:tcPr>
            <w:tcW w:w="170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384</w:t>
            </w:r>
          </w:p>
        </w:tc>
        <w:tc>
          <w:tcPr>
            <w:tcW w:w="300" w:type="dxa"/>
            <w:vAlign w:val="bottom"/>
            <w:tcBorders>
              <w:bottom w:val="single" w:sz="8" w:color="CCFFCC"/>
            </w:tcBorders>
            <w:shd w:val="clear" w:color="auto" w:fill="CCFFCC"/>
          </w:tcPr>
          <w:p>
            <w:pPr>
              <w:spacing w:after="0"/>
              <w:rPr>
                <w:sz w:val="21"/>
                <w:szCs w:val="21"/>
                <w:color w:val="auto"/>
              </w:rPr>
            </w:pPr>
          </w:p>
        </w:tc>
        <w:tc>
          <w:tcPr>
            <w:tcW w:w="162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18.06</w:t>
            </w:r>
          </w:p>
        </w:tc>
      </w:tr>
      <w:tr>
        <w:trPr>
          <w:trHeight w:val="237"/>
        </w:trPr>
        <w:tc>
          <w:tcPr>
            <w:tcW w:w="2080" w:type="dxa"/>
            <w:vAlign w:val="bottom"/>
            <w:gridSpan w:val="2"/>
          </w:tcPr>
          <w:p>
            <w:pPr>
              <w:ind w:left="40"/>
              <w:spacing w:after="0"/>
              <w:rPr>
                <w:sz w:val="20"/>
                <w:szCs w:val="20"/>
                <w:color w:val="auto"/>
              </w:rPr>
            </w:pPr>
            <w:r>
              <w:rPr>
                <w:rFonts w:ascii="Arial" w:cs="Arial" w:eastAsia="Arial" w:hAnsi="Arial"/>
                <w:sz w:val="16"/>
                <w:szCs w:val="16"/>
                <w:color w:val="auto"/>
              </w:rPr>
              <w:t>$18.24 - $18.24</w:t>
            </w:r>
          </w:p>
        </w:tc>
        <w:tc>
          <w:tcPr>
            <w:tcW w:w="12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5</w:t>
            </w:r>
          </w:p>
        </w:tc>
        <w:tc>
          <w:tcPr>
            <w:tcW w:w="2640" w:type="dxa"/>
            <w:vAlign w:val="bottom"/>
          </w:tcPr>
          <w:p>
            <w:pPr>
              <w:spacing w:after="0"/>
              <w:rPr>
                <w:sz w:val="20"/>
                <w:szCs w:val="20"/>
                <w:color w:val="auto"/>
              </w:rPr>
            </w:pPr>
          </w:p>
        </w:tc>
        <w:tc>
          <w:tcPr>
            <w:tcW w:w="420" w:type="dxa"/>
            <w:vAlign w:val="bottom"/>
          </w:tcPr>
          <w:p>
            <w:pPr>
              <w:jc w:val="right"/>
              <w:ind w:right="19"/>
              <w:spacing w:after="0"/>
              <w:rPr>
                <w:sz w:val="20"/>
                <w:szCs w:val="20"/>
                <w:color w:val="auto"/>
              </w:rPr>
            </w:pPr>
            <w:r>
              <w:rPr>
                <w:rFonts w:ascii="Arial" w:cs="Arial" w:eastAsia="Arial" w:hAnsi="Arial"/>
                <w:sz w:val="16"/>
                <w:szCs w:val="16"/>
                <w:color w:val="auto"/>
                <w:w w:val="96"/>
              </w:rPr>
              <w:t>5.83</w:t>
            </w:r>
          </w:p>
        </w:tc>
        <w:tc>
          <w:tcPr>
            <w:tcW w:w="20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18.24</w:t>
            </w:r>
          </w:p>
        </w:tc>
        <w:tc>
          <w:tcPr>
            <w:tcW w:w="100" w:type="dxa"/>
            <w:vAlign w:val="bottom"/>
          </w:tcPr>
          <w:p>
            <w:pPr>
              <w:spacing w:after="0"/>
              <w:rPr>
                <w:sz w:val="20"/>
                <w:szCs w:val="20"/>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5</w:t>
            </w:r>
          </w:p>
        </w:tc>
        <w:tc>
          <w:tcPr>
            <w:tcW w:w="30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18.24</w:t>
            </w:r>
          </w:p>
        </w:tc>
      </w:tr>
      <w:tr>
        <w:trPr>
          <w:trHeight w:val="33"/>
        </w:trPr>
        <w:tc>
          <w:tcPr>
            <w:tcW w:w="4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176"/>
        </w:trPr>
        <w:tc>
          <w:tcPr>
            <w:tcW w:w="420" w:type="dxa"/>
            <w:vAlign w:val="bottom"/>
            <w:shd w:val="clear" w:color="auto" w:fill="CCFFCC"/>
          </w:tcPr>
          <w:p>
            <w:pPr>
              <w:spacing w:after="0"/>
              <w:rPr>
                <w:sz w:val="15"/>
                <w:szCs w:val="15"/>
                <w:color w:val="auto"/>
              </w:rPr>
            </w:pPr>
          </w:p>
        </w:tc>
        <w:tc>
          <w:tcPr>
            <w:tcW w:w="166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1260" w:type="dxa"/>
            <w:vAlign w:val="bottom"/>
            <w:tcBorders>
              <w:bottom w:val="single" w:sz="8" w:color="auto"/>
            </w:tcBorders>
            <w:shd w:val="clear" w:color="auto" w:fill="CCFFCC"/>
          </w:tcPr>
          <w:p>
            <w:pPr>
              <w:spacing w:after="0"/>
              <w:rPr>
                <w:sz w:val="15"/>
                <w:szCs w:val="15"/>
                <w:color w:val="auto"/>
              </w:rPr>
            </w:pPr>
          </w:p>
        </w:tc>
        <w:tc>
          <w:tcPr>
            <w:tcW w:w="2640" w:type="dxa"/>
            <w:vAlign w:val="bottom"/>
            <w:shd w:val="clear" w:color="auto" w:fill="CCFFCC"/>
          </w:tcPr>
          <w:p>
            <w:pPr>
              <w:spacing w:after="0"/>
              <w:rPr>
                <w:sz w:val="15"/>
                <w:szCs w:val="15"/>
                <w:color w:val="auto"/>
              </w:rPr>
            </w:pPr>
          </w:p>
        </w:tc>
        <w:tc>
          <w:tcPr>
            <w:tcW w:w="420" w:type="dxa"/>
            <w:vAlign w:val="bottom"/>
            <w:shd w:val="clear" w:color="auto" w:fill="CCFFCC"/>
          </w:tcPr>
          <w:p>
            <w:pPr>
              <w:spacing w:after="0"/>
              <w:rPr>
                <w:sz w:val="15"/>
                <w:szCs w:val="15"/>
                <w:color w:val="auto"/>
              </w:rPr>
            </w:pPr>
          </w:p>
        </w:tc>
        <w:tc>
          <w:tcPr>
            <w:tcW w:w="200" w:type="dxa"/>
            <w:vAlign w:val="bottom"/>
            <w:shd w:val="clear" w:color="auto" w:fill="CCFFCC"/>
          </w:tcPr>
          <w:p>
            <w:pPr>
              <w:spacing w:after="0"/>
              <w:rPr>
                <w:sz w:val="15"/>
                <w:szCs w:val="15"/>
                <w:color w:val="auto"/>
              </w:rPr>
            </w:pPr>
          </w:p>
        </w:tc>
        <w:tc>
          <w:tcPr>
            <w:tcW w:w="98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1700" w:type="dxa"/>
            <w:vAlign w:val="bottom"/>
            <w:tcBorders>
              <w:bottom w:val="single" w:sz="8" w:color="auto"/>
            </w:tcBorders>
            <w:shd w:val="clear" w:color="auto" w:fill="CCFFCC"/>
          </w:tcPr>
          <w:p>
            <w:pPr>
              <w:spacing w:after="0"/>
              <w:rPr>
                <w:sz w:val="15"/>
                <w:szCs w:val="15"/>
                <w:color w:val="auto"/>
              </w:rPr>
            </w:pPr>
          </w:p>
        </w:tc>
        <w:tc>
          <w:tcPr>
            <w:tcW w:w="300" w:type="dxa"/>
            <w:vAlign w:val="bottom"/>
            <w:shd w:val="clear" w:color="auto" w:fill="CCFFCC"/>
          </w:tcPr>
          <w:p>
            <w:pPr>
              <w:spacing w:after="0"/>
              <w:rPr>
                <w:sz w:val="15"/>
                <w:szCs w:val="15"/>
                <w:color w:val="auto"/>
              </w:rPr>
            </w:pPr>
          </w:p>
        </w:tc>
        <w:tc>
          <w:tcPr>
            <w:tcW w:w="1620" w:type="dxa"/>
            <w:vAlign w:val="bottom"/>
            <w:shd w:val="clear" w:color="auto" w:fill="CCFFCC"/>
          </w:tcPr>
          <w:p>
            <w:pPr>
              <w:spacing w:after="0"/>
              <w:rPr>
                <w:sz w:val="15"/>
                <w:szCs w:val="15"/>
                <w:color w:val="auto"/>
              </w:rPr>
            </w:pPr>
          </w:p>
        </w:tc>
      </w:tr>
      <w:tr>
        <w:trPr>
          <w:trHeight w:val="244"/>
        </w:trPr>
        <w:tc>
          <w:tcPr>
            <w:tcW w:w="4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8,220</w:t>
            </w:r>
          </w:p>
        </w:tc>
        <w:tc>
          <w:tcPr>
            <w:tcW w:w="2640" w:type="dxa"/>
            <w:vAlign w:val="bottom"/>
          </w:tcPr>
          <w:p>
            <w:pPr>
              <w:spacing w:after="0"/>
              <w:rPr>
                <w:sz w:val="21"/>
                <w:szCs w:val="21"/>
                <w:color w:val="auto"/>
              </w:rPr>
            </w:pPr>
          </w:p>
        </w:tc>
        <w:tc>
          <w:tcPr>
            <w:tcW w:w="420" w:type="dxa"/>
            <w:vAlign w:val="bottom"/>
          </w:tcPr>
          <w:p>
            <w:pPr>
              <w:jc w:val="right"/>
              <w:ind w:right="19"/>
              <w:spacing w:after="0"/>
              <w:rPr>
                <w:sz w:val="20"/>
                <w:szCs w:val="20"/>
                <w:color w:val="auto"/>
              </w:rPr>
            </w:pPr>
            <w:r>
              <w:rPr>
                <w:rFonts w:ascii="Arial" w:cs="Arial" w:eastAsia="Arial" w:hAnsi="Arial"/>
                <w:sz w:val="16"/>
                <w:szCs w:val="16"/>
                <w:color w:val="auto"/>
                <w:w w:val="96"/>
              </w:rPr>
              <w:t>6.02</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10.83</w:t>
            </w:r>
          </w:p>
        </w:tc>
        <w:tc>
          <w:tcPr>
            <w:tcW w:w="100" w:type="dxa"/>
            <w:vAlign w:val="bottom"/>
          </w:tcPr>
          <w:p>
            <w:pPr>
              <w:spacing w:after="0"/>
              <w:rPr>
                <w:sz w:val="21"/>
                <w:szCs w:val="21"/>
                <w:color w:val="auto"/>
              </w:rPr>
            </w:pPr>
          </w:p>
        </w:tc>
        <w:tc>
          <w:tcPr>
            <w:tcW w:w="1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5,898</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11.11</w:t>
            </w:r>
          </w:p>
        </w:tc>
      </w:tr>
      <w:tr>
        <w:trPr>
          <w:trHeight w:val="20"/>
        </w:trPr>
        <w:tc>
          <w:tcPr>
            <w:tcW w:w="4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84"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Restricted Stock Unit Activity</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Company’s restricted stock units (“RSUs”) activity and weighted average exercise prices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820" w:type="dxa"/>
            <w:vAlign w:val="bottom"/>
          </w:tcPr>
          <w:p>
            <w:pPr>
              <w:spacing w:after="0"/>
              <w:rPr>
                <w:sz w:val="18"/>
                <w:szCs w:val="18"/>
                <w:color w:val="auto"/>
              </w:rPr>
            </w:pPr>
          </w:p>
        </w:tc>
        <w:tc>
          <w:tcPr>
            <w:tcW w:w="3680" w:type="dxa"/>
            <w:vAlign w:val="bottom"/>
            <w:gridSpan w:val="5"/>
          </w:tcPr>
          <w:p>
            <w:pPr>
              <w:ind w:left="760"/>
              <w:spacing w:after="0"/>
              <w:rPr>
                <w:sz w:val="20"/>
                <w:szCs w:val="20"/>
                <w:color w:val="auto"/>
              </w:rPr>
            </w:pPr>
            <w:r>
              <w:rPr>
                <w:rFonts w:ascii="Arial" w:cs="Arial" w:eastAsia="Arial" w:hAnsi="Arial"/>
                <w:sz w:val="16"/>
                <w:szCs w:val="16"/>
                <w:b w:val="1"/>
                <w:bCs w:val="1"/>
                <w:color w:val="auto"/>
              </w:rPr>
              <w:t>Restricted Stock Unit Activity</w:t>
            </w:r>
          </w:p>
        </w:tc>
        <w:tc>
          <w:tcPr>
            <w:tcW w:w="10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33"/>
        </w:trPr>
        <w:tc>
          <w:tcPr>
            <w:tcW w:w="582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09"/>
        </w:trPr>
        <w:tc>
          <w:tcPr>
            <w:tcW w:w="58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Weighted Average</w:t>
            </w:r>
          </w:p>
        </w:tc>
        <w:tc>
          <w:tcPr>
            <w:tcW w:w="10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03"/>
        </w:trPr>
        <w:tc>
          <w:tcPr>
            <w:tcW w:w="5820" w:type="dxa"/>
            <w:vAlign w:val="bottom"/>
          </w:tcPr>
          <w:p>
            <w:pPr>
              <w:spacing w:after="0"/>
              <w:rPr>
                <w:sz w:val="17"/>
                <w:szCs w:val="17"/>
                <w:color w:val="auto"/>
              </w:rPr>
            </w:pPr>
          </w:p>
        </w:tc>
        <w:tc>
          <w:tcPr>
            <w:tcW w:w="18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Number of Shares (in</w:t>
            </w:r>
          </w:p>
        </w:tc>
        <w:tc>
          <w:tcPr>
            <w:tcW w:w="18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5"/>
              </w:rPr>
              <w:t>Grant Date Fair Value</w:t>
            </w:r>
          </w:p>
        </w:tc>
        <w:tc>
          <w:tcPr>
            <w:tcW w:w="100" w:type="dxa"/>
            <w:vAlign w:val="bottom"/>
          </w:tcPr>
          <w:p>
            <w:pPr>
              <w:spacing w:after="0"/>
              <w:rPr>
                <w:sz w:val="17"/>
                <w:szCs w:val="17"/>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b w:val="1"/>
                <w:bCs w:val="1"/>
                <w:color w:val="auto"/>
                <w:w w:val="92"/>
              </w:rPr>
              <w:t>Aggregate Fair Value (in</w:t>
            </w:r>
          </w:p>
        </w:tc>
      </w:tr>
      <w:tr>
        <w:trPr>
          <w:trHeight w:val="210"/>
        </w:trPr>
        <w:tc>
          <w:tcPr>
            <w:tcW w:w="5820" w:type="dxa"/>
            <w:vAlign w:val="bottom"/>
          </w:tcPr>
          <w:p>
            <w:pPr>
              <w:spacing w:after="0"/>
              <w:rPr>
                <w:sz w:val="18"/>
                <w:szCs w:val="18"/>
                <w:color w:val="auto"/>
              </w:rPr>
            </w:pPr>
          </w:p>
        </w:tc>
        <w:tc>
          <w:tcPr>
            <w:tcW w:w="18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thousands)</w:t>
            </w:r>
          </w:p>
        </w:tc>
        <w:tc>
          <w:tcPr>
            <w:tcW w:w="160" w:type="dxa"/>
            <w:vAlign w:val="bottom"/>
          </w:tcPr>
          <w:p>
            <w:pPr>
              <w:spacing w:after="0"/>
              <w:rPr>
                <w:sz w:val="18"/>
                <w:szCs w:val="18"/>
                <w:color w:val="auto"/>
              </w:rPr>
            </w:pPr>
          </w:p>
        </w:tc>
        <w:tc>
          <w:tcPr>
            <w:tcW w:w="16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(Per Share)</w:t>
            </w:r>
          </w:p>
        </w:tc>
        <w:tc>
          <w:tcPr>
            <w:tcW w:w="100" w:type="dxa"/>
            <w:vAlign w:val="bottom"/>
          </w:tcPr>
          <w:p>
            <w:pPr>
              <w:spacing w:after="0"/>
              <w:rPr>
                <w:sz w:val="18"/>
                <w:szCs w:val="18"/>
                <w:color w:val="auto"/>
              </w:rPr>
            </w:pPr>
          </w:p>
        </w:tc>
        <w:tc>
          <w:tcPr>
            <w:tcW w:w="1820" w:type="dxa"/>
            <w:vAlign w:val="bottom"/>
          </w:tcPr>
          <w:p>
            <w:pPr>
              <w:jc w:val="right"/>
              <w:ind w:right="499"/>
              <w:spacing w:after="0"/>
              <w:rPr>
                <w:sz w:val="20"/>
                <w:szCs w:val="20"/>
                <w:color w:val="auto"/>
              </w:rPr>
            </w:pPr>
            <w:r>
              <w:rPr>
                <w:rFonts w:ascii="Arial" w:cs="Arial" w:eastAsia="Arial" w:hAnsi="Arial"/>
                <w:sz w:val="16"/>
                <w:szCs w:val="16"/>
                <w:b w:val="1"/>
                <w:bCs w:val="1"/>
                <w:color w:val="auto"/>
              </w:rPr>
              <w:t>thousands)</w:t>
            </w:r>
          </w:p>
        </w:tc>
      </w:tr>
      <w:tr>
        <w:trPr>
          <w:trHeight w:val="33"/>
        </w:trPr>
        <w:tc>
          <w:tcPr>
            <w:tcW w:w="5820" w:type="dxa"/>
            <w:vAlign w:val="bottom"/>
            <w:tcBorders>
              <w:bottom w:val="single" w:sz="8" w:color="CCFFCC"/>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30"/>
        </w:trPr>
        <w:tc>
          <w:tcPr>
            <w:tcW w:w="582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Balance outstanding at December 31, 2015</w:t>
            </w:r>
          </w:p>
        </w:tc>
        <w:tc>
          <w:tcPr>
            <w:tcW w:w="174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1,202</w:t>
            </w:r>
          </w:p>
        </w:tc>
        <w:tc>
          <w:tcPr>
            <w:tcW w:w="120" w:type="dxa"/>
            <w:vAlign w:val="bottom"/>
            <w:tcBorders>
              <w:bottom w:val="single" w:sz="8" w:color="CCFFCC"/>
            </w:tcBorders>
            <w:shd w:val="clear" w:color="auto" w:fill="CCFFCC"/>
          </w:tcPr>
          <w:p>
            <w:pPr>
              <w:spacing w:after="0"/>
              <w:rPr>
                <w:sz w:val="20"/>
                <w:szCs w:val="20"/>
                <w:color w:val="auto"/>
              </w:rPr>
            </w:pPr>
          </w:p>
        </w:tc>
        <w:tc>
          <w:tcPr>
            <w:tcW w:w="1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10.31</w:t>
            </w:r>
          </w:p>
        </w:tc>
        <w:tc>
          <w:tcPr>
            <w:tcW w:w="100" w:type="dxa"/>
            <w:vAlign w:val="bottom"/>
            <w:tcBorders>
              <w:bottom w:val="single" w:sz="8" w:color="CCFFCC"/>
            </w:tcBorders>
            <w:shd w:val="clear" w:color="auto" w:fill="CCFFCC"/>
          </w:tcPr>
          <w:p>
            <w:pPr>
              <w:spacing w:after="0"/>
              <w:rPr>
                <w:sz w:val="20"/>
                <w:szCs w:val="20"/>
                <w:color w:val="auto"/>
              </w:rPr>
            </w:pPr>
          </w:p>
        </w:tc>
        <w:tc>
          <w:tcPr>
            <w:tcW w:w="1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5820" w:type="dxa"/>
            <w:vAlign w:val="bottom"/>
          </w:tcPr>
          <w:p>
            <w:pPr>
              <w:ind w:left="180"/>
              <w:spacing w:after="0"/>
              <w:rPr>
                <w:sz w:val="20"/>
                <w:szCs w:val="20"/>
                <w:color w:val="auto"/>
              </w:rPr>
            </w:pPr>
            <w:r>
              <w:rPr>
                <w:rFonts w:ascii="Arial" w:cs="Arial" w:eastAsia="Arial" w:hAnsi="Arial"/>
                <w:sz w:val="16"/>
                <w:szCs w:val="16"/>
                <w:color w:val="auto"/>
              </w:rPr>
              <w:t>Awarded</w:t>
            </w:r>
          </w:p>
        </w:tc>
        <w:tc>
          <w:tcPr>
            <w:tcW w:w="1740" w:type="dxa"/>
            <w:vAlign w:val="bottom"/>
          </w:tcPr>
          <w:p>
            <w:pPr>
              <w:jc w:val="right"/>
              <w:ind w:right="39"/>
              <w:spacing w:after="0"/>
              <w:rPr>
                <w:sz w:val="20"/>
                <w:szCs w:val="20"/>
                <w:color w:val="auto"/>
              </w:rPr>
            </w:pPr>
            <w:r>
              <w:rPr>
                <w:rFonts w:ascii="Arial" w:cs="Arial" w:eastAsia="Arial" w:hAnsi="Arial"/>
                <w:sz w:val="16"/>
                <w:szCs w:val="16"/>
                <w:color w:val="auto"/>
              </w:rPr>
              <w:t>571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6.32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58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582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Released</w:t>
            </w:r>
          </w:p>
        </w:tc>
        <w:tc>
          <w:tcPr>
            <w:tcW w:w="17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(330)</w:t>
            </w:r>
          </w:p>
        </w:tc>
        <w:tc>
          <w:tcPr>
            <w:tcW w:w="12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156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10.31</w:t>
            </w:r>
          </w:p>
        </w:tc>
        <w:tc>
          <w:tcPr>
            <w:tcW w:w="10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182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5820" w:type="dxa"/>
            <w:vAlign w:val="bottom"/>
          </w:tcPr>
          <w:p>
            <w:pPr>
              <w:ind w:left="180"/>
              <w:spacing w:after="0"/>
              <w:rPr>
                <w:sz w:val="20"/>
                <w:szCs w:val="20"/>
                <w:color w:val="auto"/>
              </w:rPr>
            </w:pPr>
            <w:r>
              <w:rPr>
                <w:rFonts w:ascii="Arial" w:cs="Arial" w:eastAsia="Arial" w:hAnsi="Arial"/>
                <w:sz w:val="16"/>
                <w:szCs w:val="16"/>
                <w:color w:val="auto"/>
              </w:rPr>
              <w:t>Forfeited</w:t>
            </w:r>
          </w:p>
        </w:tc>
        <w:tc>
          <w:tcPr>
            <w:tcW w:w="1740" w:type="dxa"/>
            <w:vAlign w:val="bottom"/>
          </w:tcPr>
          <w:p>
            <w:pPr>
              <w:jc w:val="right"/>
              <w:spacing w:after="0"/>
              <w:rPr>
                <w:sz w:val="20"/>
                <w:szCs w:val="20"/>
                <w:color w:val="auto"/>
              </w:rPr>
            </w:pPr>
            <w:r>
              <w:rPr>
                <w:rFonts w:ascii="Arial" w:cs="Arial" w:eastAsia="Arial" w:hAnsi="Arial"/>
                <w:sz w:val="16"/>
                <w:szCs w:val="16"/>
                <w:color w:val="auto"/>
              </w:rPr>
              <w:t>(170)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10.26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5820" w:type="dxa"/>
            <w:vAlign w:val="bottom"/>
            <w:tcBorders>
              <w:bottom w:val="single" w:sz="8" w:color="CCFFCC"/>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60" w:type="dxa"/>
            <w:vAlign w:val="bottom"/>
            <w:tcBorders>
              <w:bottom w:val="single" w:sz="8" w:color="CCFFCC"/>
            </w:tcBorders>
          </w:tcPr>
          <w:p>
            <w:pPr>
              <w:spacing w:after="0"/>
              <w:rPr>
                <w:sz w:val="2"/>
                <w:szCs w:val="2"/>
                <w:color w:val="auto"/>
              </w:rPr>
            </w:pPr>
          </w:p>
        </w:tc>
        <w:tc>
          <w:tcPr>
            <w:tcW w:w="1560" w:type="dxa"/>
            <w:vAlign w:val="bottom"/>
            <w:tcBorders>
              <w:bottom w:val="single" w:sz="8" w:color="CCFFCC"/>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820" w:type="dxa"/>
            <w:vAlign w:val="bottom"/>
            <w:tcBorders>
              <w:bottom w:val="single" w:sz="8" w:color="CCFFCC"/>
            </w:tcBorders>
          </w:tcPr>
          <w:p>
            <w:pPr>
              <w:spacing w:after="0"/>
              <w:rPr>
                <w:sz w:val="2"/>
                <w:szCs w:val="2"/>
                <w:color w:val="auto"/>
              </w:rPr>
            </w:pPr>
          </w:p>
        </w:tc>
      </w:tr>
      <w:tr>
        <w:trPr>
          <w:trHeight w:val="244"/>
        </w:trPr>
        <w:tc>
          <w:tcPr>
            <w:tcW w:w="582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Non-vested and outstanding at September 30, 2016</w:t>
            </w:r>
          </w:p>
        </w:tc>
        <w:tc>
          <w:tcPr>
            <w:tcW w:w="1740" w:type="dxa"/>
            <w:vAlign w:val="bottom"/>
            <w:tcBorders>
              <w:bottom w:val="single" w:sz="8" w:color="auto"/>
            </w:tcBorders>
            <w:shd w:val="clear" w:color="auto" w:fill="CCFFCC"/>
          </w:tcPr>
          <w:p>
            <w:pPr>
              <w:jc w:val="right"/>
              <w:ind w:right="39"/>
              <w:spacing w:after="0"/>
              <w:rPr>
                <w:sz w:val="20"/>
                <w:szCs w:val="20"/>
                <w:color w:val="auto"/>
              </w:rPr>
            </w:pPr>
            <w:r>
              <w:rPr>
                <w:rFonts w:ascii="Arial" w:cs="Arial" w:eastAsia="Arial" w:hAnsi="Arial"/>
                <w:sz w:val="16"/>
                <w:szCs w:val="16"/>
                <w:color w:val="auto"/>
              </w:rPr>
              <w:t>1,273</w:t>
            </w:r>
          </w:p>
        </w:tc>
        <w:tc>
          <w:tcPr>
            <w:tcW w:w="12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CCFFCC"/>
          </w:tcPr>
          <w:p>
            <w:pPr>
              <w:jc w:val="right"/>
              <w:ind w:right="39"/>
              <w:spacing w:after="0"/>
              <w:rPr>
                <w:sz w:val="20"/>
                <w:szCs w:val="20"/>
                <w:color w:val="auto"/>
              </w:rPr>
            </w:pPr>
            <w:r>
              <w:rPr>
                <w:rFonts w:ascii="Arial" w:cs="Arial" w:eastAsia="Arial" w:hAnsi="Arial"/>
                <w:sz w:val="16"/>
                <w:szCs w:val="16"/>
                <w:color w:val="auto"/>
              </w:rPr>
              <w:t>8.53</w:t>
            </w:r>
          </w:p>
        </w:tc>
        <w:tc>
          <w:tcPr>
            <w:tcW w:w="10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auto"/>
            </w:tcBorders>
            <w:shd w:val="clear" w:color="auto" w:fill="CCFFCC"/>
          </w:tcPr>
          <w:p>
            <w:pPr>
              <w:jc w:val="right"/>
              <w:ind w:right="19"/>
              <w:spacing w:after="0"/>
              <w:rPr>
                <w:sz w:val="20"/>
                <w:szCs w:val="20"/>
                <w:color w:val="auto"/>
              </w:rPr>
            </w:pPr>
            <w:r>
              <w:rPr>
                <w:rFonts w:ascii="Arial" w:cs="Arial" w:eastAsia="Arial" w:hAnsi="Arial"/>
                <w:sz w:val="16"/>
                <w:szCs w:val="16"/>
                <w:color w:val="auto"/>
              </w:rPr>
              <w:t>10,699</w:t>
            </w:r>
          </w:p>
        </w:tc>
      </w:tr>
      <w:tr>
        <w:trPr>
          <w:trHeight w:val="20"/>
        </w:trPr>
        <w:tc>
          <w:tcPr>
            <w:tcW w:w="58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r>
        <w:trPr>
          <w:trHeight w:val="237"/>
        </w:trPr>
        <w:tc>
          <w:tcPr>
            <w:tcW w:w="5820" w:type="dxa"/>
            <w:vAlign w:val="bottom"/>
          </w:tcPr>
          <w:p>
            <w:pPr>
              <w:ind w:left="40"/>
              <w:spacing w:after="0"/>
              <w:rPr>
                <w:sz w:val="20"/>
                <w:szCs w:val="20"/>
                <w:color w:val="auto"/>
              </w:rPr>
            </w:pPr>
            <w:r>
              <w:rPr>
                <w:rFonts w:ascii="Arial" w:cs="Arial" w:eastAsia="Arial" w:hAnsi="Arial"/>
                <w:sz w:val="16"/>
                <w:szCs w:val="16"/>
                <w:color w:val="auto"/>
              </w:rPr>
              <w:t>Expected to vest</w:t>
            </w:r>
          </w:p>
        </w:tc>
        <w:tc>
          <w:tcPr>
            <w:tcW w:w="17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927</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8.90</w:t>
            </w:r>
          </w:p>
        </w:tc>
        <w:tc>
          <w:tcPr>
            <w:tcW w:w="10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7,799</w:t>
            </w:r>
          </w:p>
        </w:tc>
      </w:tr>
      <w:tr>
        <w:trPr>
          <w:trHeight w:val="20"/>
        </w:trPr>
        <w:tc>
          <w:tcPr>
            <w:tcW w:w="58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RSUs granted to employees generally vest over a four-year period. As of September 30, 2016, total unrecognized compensation cost, adjusted for estimated forfeitures, related to nonvested RSUs was approximately $10.3 million and the weighted-average remaining vesting period was 3.0 years.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Restructuring</w:t>
      </w:r>
    </w:p>
    <w:p>
      <w:pPr>
        <w:spacing w:after="0" w:line="229"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The Company's restructuring costs relate to the termination and severance costs associated with a large customer contract, as well as re-prioritizing and reallocating resources to focus on areas showing high growth potential. There was a benefit of approximately $0.4 million due to the cash collection of a previously written off bad debt during the three and nine months ended September 30, 2016, which is classified in the condensed consolidated statements of operations as restructuring costs. The expense associated with this restructuring was approximately $3.0 million during the nine months ended September 30, 2015. The restructuring liability was approximately $1.5 million as of September 30, 2015 and is classified as accrued expenses and other current liabilities on the condensed consolidated balance sheets. The following table present the detail of expenses and liability for the Company's restructuring charges for the periods presented (amounts in thousands):</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Expense incurred during the nine</w:t>
            </w:r>
          </w:p>
        </w:tc>
        <w:tc>
          <w:tcPr>
            <w:tcW w:w="2260" w:type="dxa"/>
            <w:vAlign w:val="bottom"/>
            <w:gridSpan w:val="2"/>
            <w:vMerge w:val="restart"/>
          </w:tcPr>
          <w:p>
            <w:pPr>
              <w:jc w:val="right"/>
              <w:ind w:right="19"/>
              <w:spacing w:after="0"/>
              <w:rPr>
                <w:sz w:val="20"/>
                <w:szCs w:val="20"/>
                <w:color w:val="auto"/>
              </w:rPr>
            </w:pPr>
            <w:r>
              <w:rPr>
                <w:rFonts w:ascii="Arial" w:cs="Arial" w:eastAsia="Arial" w:hAnsi="Arial"/>
                <w:sz w:val="14"/>
                <w:szCs w:val="14"/>
                <w:b w:val="1"/>
                <w:bCs w:val="1"/>
                <w:color w:val="auto"/>
                <w:w w:val="95"/>
              </w:rPr>
              <w:t>Liability as of September 30, 2015</w:t>
            </w:r>
          </w:p>
        </w:tc>
        <w:tc>
          <w:tcPr>
            <w:tcW w:w="0" w:type="dxa"/>
            <w:vAlign w:val="bottom"/>
          </w:tcPr>
          <w:p>
            <w:pPr>
              <w:spacing w:after="0"/>
              <w:rPr>
                <w:sz w:val="1"/>
                <w:szCs w:val="1"/>
                <w:color w:val="auto"/>
              </w:rPr>
            </w:pPr>
          </w:p>
        </w:tc>
      </w:tr>
      <w:tr>
        <w:trPr>
          <w:trHeight w:val="192"/>
        </w:trPr>
        <w:tc>
          <w:tcPr>
            <w:tcW w:w="6740" w:type="dxa"/>
            <w:vAlign w:val="bottom"/>
          </w:tcPr>
          <w:p>
            <w:pPr>
              <w:spacing w:after="0"/>
              <w:rPr>
                <w:sz w:val="16"/>
                <w:szCs w:val="16"/>
                <w:color w:val="auto"/>
              </w:rPr>
            </w:pPr>
          </w:p>
        </w:tc>
        <w:tc>
          <w:tcPr>
            <w:tcW w:w="24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months ended September 30, 2015</w:t>
            </w:r>
          </w:p>
        </w:tc>
        <w:tc>
          <w:tcPr>
            <w:tcW w:w="22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740" w:type="dxa"/>
            <w:vAlign w:val="bottom"/>
            <w:tcBorders>
              <w:top w:val="single" w:sz="8" w:color="CCFFCC"/>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Contract termination costs</w:t>
            </w:r>
          </w:p>
        </w:tc>
        <w:tc>
          <w:tcPr>
            <w:tcW w:w="120" w:type="dxa"/>
            <w:vAlign w:val="bottom"/>
            <w:tcBorders>
              <w:top w:val="single" w:sz="8" w:color="auto"/>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2180" w:type="dxa"/>
            <w:vAlign w:val="bottom"/>
            <w:tcBorders>
              <w:top w:val="single" w:sz="8" w:color="auto"/>
              <w:bottom w:val="single" w:sz="8" w:color="CCFFCC"/>
            </w:tcBorders>
            <w:shd w:val="clear" w:color="auto" w:fill="CCFFCC"/>
          </w:tcPr>
          <w:p>
            <w:pPr>
              <w:jc w:val="right"/>
              <w:ind w:right="21"/>
              <w:spacing w:after="0"/>
              <w:rPr>
                <w:sz w:val="20"/>
                <w:szCs w:val="20"/>
                <w:color w:val="auto"/>
              </w:rPr>
            </w:pPr>
            <w:r>
              <w:rPr>
                <w:rFonts w:ascii="Arial" w:cs="Arial" w:eastAsia="Arial" w:hAnsi="Arial"/>
                <w:sz w:val="16"/>
                <w:szCs w:val="16"/>
                <w:color w:val="auto"/>
              </w:rPr>
              <w:t>1,745</w:t>
            </w:r>
          </w:p>
        </w:tc>
        <w:tc>
          <w:tcPr>
            <w:tcW w:w="120" w:type="dxa"/>
            <w:vAlign w:val="bottom"/>
            <w:tcBorders>
              <w:top w:val="single" w:sz="8" w:color="CCFFCC"/>
              <w:bottom w:val="single" w:sz="8" w:color="CCFFCC"/>
            </w:tcBorders>
            <w:shd w:val="clear" w:color="auto" w:fill="CCFFCC"/>
          </w:tcPr>
          <w:p>
            <w:pPr>
              <w:spacing w:after="0"/>
              <w:rPr>
                <w:sz w:val="20"/>
                <w:szCs w:val="20"/>
                <w:color w:val="auto"/>
              </w:rPr>
            </w:pPr>
          </w:p>
        </w:tc>
        <w:tc>
          <w:tcPr>
            <w:tcW w:w="940" w:type="dxa"/>
            <w:vAlign w:val="bottom"/>
            <w:tcBorders>
              <w:top w:val="single" w:sz="8" w:color="auto"/>
              <w:bottom w:val="single" w:sz="8" w:color="CCFFCC"/>
            </w:tcBorders>
            <w:shd w:val="clear" w:color="auto" w:fill="CCFFCC"/>
          </w:tcPr>
          <w:p>
            <w:pPr>
              <w:jc w:val="right"/>
              <w:ind w:right="762"/>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569</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Severance and other associated costs</w:t>
            </w:r>
          </w:p>
        </w:tc>
        <w:tc>
          <w:tcPr>
            <w:tcW w:w="120" w:type="dxa"/>
            <w:vAlign w:val="bottom"/>
          </w:tcPr>
          <w:p>
            <w:pPr>
              <w:spacing w:after="0"/>
              <w:rPr>
                <w:sz w:val="20"/>
                <w:szCs w:val="20"/>
                <w:color w:val="auto"/>
              </w:rPr>
            </w:pPr>
          </w:p>
        </w:tc>
        <w:tc>
          <w:tcPr>
            <w:tcW w:w="2180" w:type="dxa"/>
            <w:vAlign w:val="bottom"/>
          </w:tcPr>
          <w:p>
            <w:pPr>
              <w:jc w:val="right"/>
              <w:ind w:right="21"/>
              <w:spacing w:after="0"/>
              <w:rPr>
                <w:sz w:val="20"/>
                <w:szCs w:val="20"/>
                <w:color w:val="auto"/>
              </w:rPr>
            </w:pPr>
            <w:r>
              <w:rPr>
                <w:rFonts w:ascii="Arial" w:cs="Arial" w:eastAsia="Arial" w:hAnsi="Arial"/>
                <w:sz w:val="16"/>
                <w:szCs w:val="16"/>
                <w:color w:val="auto"/>
              </w:rPr>
              <w:t>1,243</w:t>
            </w: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946</w:t>
            </w:r>
          </w:p>
        </w:tc>
        <w:tc>
          <w:tcPr>
            <w:tcW w:w="0" w:type="dxa"/>
            <w:vAlign w:val="bottom"/>
          </w:tcPr>
          <w:p>
            <w:pPr>
              <w:spacing w:after="0"/>
              <w:rPr>
                <w:sz w:val="1"/>
                <w:szCs w:val="1"/>
                <w:color w:val="auto"/>
              </w:rPr>
            </w:pPr>
          </w:p>
        </w:tc>
      </w:tr>
      <w:tr>
        <w:trPr>
          <w:trHeight w:val="33"/>
        </w:trPr>
        <w:tc>
          <w:tcPr>
            <w:tcW w:w="6740" w:type="dxa"/>
            <w:vAlign w:val="bottom"/>
            <w:tcBorders>
              <w:bottom w:val="single" w:sz="8" w:color="CCFFC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740" w:type="dxa"/>
            <w:vAlign w:val="bottom"/>
            <w:shd w:val="clear" w:color="auto" w:fill="CCFFCC"/>
          </w:tcPr>
          <w:p>
            <w:pPr>
              <w:ind w:left="280"/>
              <w:spacing w:after="0"/>
              <w:rPr>
                <w:sz w:val="20"/>
                <w:szCs w:val="20"/>
                <w:color w:val="auto"/>
              </w:rPr>
            </w:pPr>
            <w:r>
              <w:rPr>
                <w:rFonts w:ascii="Arial" w:cs="Arial" w:eastAsia="Arial" w:hAnsi="Arial"/>
                <w:sz w:val="16"/>
                <w:szCs w:val="16"/>
                <w:color w:val="auto"/>
              </w:rPr>
              <w:t>Total restructuring costs</w:t>
            </w:r>
          </w:p>
        </w:tc>
        <w:tc>
          <w:tcPr>
            <w:tcW w:w="1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2180" w:type="dxa"/>
            <w:vAlign w:val="bottom"/>
            <w:shd w:val="clear" w:color="auto" w:fill="CCFFCC"/>
          </w:tcPr>
          <w:p>
            <w:pPr>
              <w:jc w:val="right"/>
              <w:ind w:right="21"/>
              <w:spacing w:after="0"/>
              <w:rPr>
                <w:sz w:val="20"/>
                <w:szCs w:val="20"/>
                <w:color w:val="auto"/>
              </w:rPr>
            </w:pPr>
            <w:r>
              <w:rPr>
                <w:rFonts w:ascii="Arial" w:cs="Arial" w:eastAsia="Arial" w:hAnsi="Arial"/>
                <w:sz w:val="16"/>
                <w:szCs w:val="16"/>
                <w:color w:val="auto"/>
              </w:rPr>
              <w:t>2,988</w:t>
            </w:r>
          </w:p>
        </w:tc>
        <w:tc>
          <w:tcPr>
            <w:tcW w:w="120" w:type="dxa"/>
            <w:vAlign w:val="bottom"/>
            <w:shd w:val="clear" w:color="auto" w:fill="CCFFCC"/>
          </w:tcPr>
          <w:p>
            <w:pPr>
              <w:spacing w:after="0"/>
              <w:rPr>
                <w:sz w:val="18"/>
                <w:szCs w:val="18"/>
                <w:color w:val="auto"/>
              </w:rPr>
            </w:pPr>
          </w:p>
        </w:tc>
        <w:tc>
          <w:tcPr>
            <w:tcW w:w="940" w:type="dxa"/>
            <w:vAlign w:val="bottom"/>
            <w:shd w:val="clear" w:color="auto" w:fill="CCFFCC"/>
          </w:tcPr>
          <w:p>
            <w:pPr>
              <w:jc w:val="right"/>
              <w:ind w:right="762"/>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FFCC"/>
          </w:tcPr>
          <w:p>
            <w:pPr>
              <w:jc w:val="right"/>
              <w:ind w:right="19"/>
              <w:spacing w:after="0"/>
              <w:rPr>
                <w:sz w:val="20"/>
                <w:szCs w:val="20"/>
                <w:color w:val="auto"/>
              </w:rPr>
            </w:pPr>
            <w:r>
              <w:rPr>
                <w:rFonts w:ascii="Arial" w:cs="Arial" w:eastAsia="Arial" w:hAnsi="Arial"/>
                <w:sz w:val="16"/>
                <w:szCs w:val="16"/>
                <w:color w:val="auto"/>
              </w:rPr>
              <w:t>1,515</w:t>
            </w:r>
          </w:p>
        </w:tc>
        <w:tc>
          <w:tcPr>
            <w:tcW w:w="0" w:type="dxa"/>
            <w:vAlign w:val="bottom"/>
          </w:tcPr>
          <w:p>
            <w:pPr>
              <w:spacing w:after="0"/>
              <w:rPr>
                <w:sz w:val="1"/>
                <w:szCs w:val="1"/>
                <w:color w:val="auto"/>
              </w:rPr>
            </w:pPr>
          </w:p>
        </w:tc>
      </w:tr>
      <w:tr>
        <w:trPr>
          <w:trHeight w:val="33"/>
        </w:trPr>
        <w:tc>
          <w:tcPr>
            <w:tcW w:w="674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218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940" w:type="dxa"/>
            <w:vAlign w:val="bottom"/>
            <w:shd w:val="clear" w:color="auto" w:fill="CCFFCC"/>
          </w:tcPr>
          <w:p>
            <w:pPr>
              <w:spacing w:after="0"/>
              <w:rPr>
                <w:sz w:val="2"/>
                <w:szCs w:val="2"/>
                <w:color w:val="auto"/>
              </w:rPr>
            </w:pPr>
          </w:p>
        </w:tc>
        <w:tc>
          <w:tcPr>
            <w:tcW w:w="132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Legal Matters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Company filed an intellectual property suit against [24]7 Customer, Inc. in the Southern District of New York on March 6, 2014 seeking damages on the grounds that [24]7 reverse engineered and misappropriated the Company's technology to develop competing products and misused the Company's business information. Discovery in the New York case is in process. On June 22, 2015, [24]7 Customer, Inc. filed suit against the Company in the Northern District of California alleging patent infringement. On December 7, 2015, [24]7 Customer Inc. filed a second patent infringement suit against the Company, also in the Northern District of California. On January 5, 2016, the two California cases were consolidated for all pre-trial purposes. The Company believes the claims filed by [24]7 Customer Inc. are without merit and intends to defend them vigorously.</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routinely assesses all of its litigation and threatened litigation as to the probability of ultimately incurring a liability, and records its best estimate of the ultimate loss in situations where the Company assesses the likelihood of loss as probable.</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From time to time, the Company is involved in or subject to legal, administrative and regulatory proceedings, claims, demands and investigations arising in the ordinary course of business, including direct claims brought by or against the Company with respect to intellectual property, contracts, employment and other matters, as well as claims brought against the Company’s customers for whom the Company has a contractual indemnification obligation. The Company accrues for a liability when it is both probable that a liability has been incurred and the amount of the loss can be reasonably estimated. Significant judgment is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84" w:right="239" w:bottom="1440" w:gutter="0" w:footer="0" w:header="0"/>
        </w:sectPr>
      </w:pPr>
    </w:p>
    <w:bookmarkStart w:id="22" w:name="page23"/>
    <w:bookmarkEnd w:id="22"/>
    <w:p>
      <w:pPr>
        <w:jc w:val="both"/>
        <w:spacing w:after="0" w:line="271" w:lineRule="auto"/>
        <w:rPr>
          <w:sz w:val="20"/>
          <w:szCs w:val="20"/>
          <w:color w:val="auto"/>
        </w:rPr>
      </w:pPr>
      <w:r>
        <w:rPr>
          <w:rFonts w:ascii="Arial" w:cs="Arial" w:eastAsia="Arial" w:hAnsi="Arial"/>
          <w:sz w:val="17"/>
          <w:szCs w:val="17"/>
          <w:color w:val="auto"/>
        </w:rPr>
        <w:t>required in both the determination of probability and the determination as to whether a loss is reasonably estimable. In addition, in the event the Company determines that a loss is not probable, but is reasonably possible, and it becomes possible to develop what the Company believes to be a reasonable range of possible loss, then the Company will include disclosure related to such matter as appropriate and in compliance with ASC 450. The accruals or estimates, if any, resulting from the foregoing analysis, are reviewed at least quarterly and adjusted to reflect the impact of negotiations, settlements, rulings, advice of legal counsel and other information and events pertaining to a particular matter. To the extent there is a reasonable possibility that the losses could exceed the amounts already accrued, the Company will, as applicable, adjust the accrual in the period the determination is made, disclose an estimate of the additional loss or range of loss, indicate that the estimate is immaterial with respect to its financial statements as a whole or, if the amount of such adjustment cannot be reasonably estimated, disclose that an estimate cannot be made.</w:t>
      </w:r>
    </w:p>
    <w:p>
      <w:pPr>
        <w:spacing w:after="0" w:line="17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From time to time, third parties assert claims against the Company regarding intellectual property rights, privacy issues and other matters arising in the ordinary course of business. Although the Company cannot be certain of the outcome of any litigation or the disposition of any claims, nor the amount of damages and exposure, if any, that the Company could incur, the Company currently believes that the final disposition of all existing matters will not have a material adverse effect on our business, results of operations, financial condition or cash flows. In addition, in the ordinary course of business, the Company is also subject to periodic threats of lawsuits, investigations and claims. Regardless of the outcome, litigation can have an adverse impact on the Company because of defense and settlement costs, diversion of management resources and other factors.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84" w:right="239" w:bottom="1440" w:gutter="0" w:footer="0" w:header="0"/>
        </w:sectPr>
      </w:pPr>
    </w:p>
    <w:bookmarkStart w:id="23" w:name="page24"/>
    <w:bookmarkEnd w:id="23"/>
    <w:p>
      <w:pPr>
        <w:ind w:right="3980"/>
        <w:spacing w:after="0" w:line="378" w:lineRule="auto"/>
        <w:rPr>
          <w:sz w:val="20"/>
          <w:szCs w:val="20"/>
          <w:color w:val="auto"/>
        </w:rPr>
      </w:pPr>
      <w:r>
        <w:rPr>
          <w:rFonts w:ascii="Arial" w:cs="Arial" w:eastAsia="Arial" w:hAnsi="Arial"/>
          <w:sz w:val="18"/>
          <w:szCs w:val="18"/>
          <w:b w:val="1"/>
          <w:bCs w:val="1"/>
          <w:color w:val="auto"/>
        </w:rPr>
        <w:t>Item 2. Management</w:t>
      </w:r>
      <w:r>
        <w:rPr>
          <w:rFonts w:ascii="Arial" w:cs="Arial" w:eastAsia="Arial" w:hAnsi="Arial"/>
          <w:sz w:val="18"/>
          <w:szCs w:val="18"/>
          <w:color w:val="auto"/>
        </w:rPr>
        <w:t>’</w:t>
      </w:r>
      <w:r>
        <w:rPr>
          <w:rFonts w:ascii="Arial" w:cs="Arial" w:eastAsia="Arial" w:hAnsi="Arial"/>
          <w:sz w:val="18"/>
          <w:szCs w:val="18"/>
          <w:b w:val="1"/>
          <w:bCs w:val="1"/>
          <w:color w:val="auto"/>
        </w:rPr>
        <w:t>s Discussion and Analysis of Financial Condition and Results of Operations General</w:t>
      </w:r>
    </w:p>
    <w:p>
      <w:pPr>
        <w:jc w:val="both"/>
        <w:ind w:firstLine="648"/>
        <w:spacing w:after="0" w:line="270" w:lineRule="auto"/>
        <w:rPr>
          <w:sz w:val="20"/>
          <w:szCs w:val="20"/>
          <w:color w:val="auto"/>
        </w:rPr>
      </w:pPr>
      <w:r>
        <w:rPr>
          <w:rFonts w:ascii="Arial" w:cs="Arial" w:eastAsia="Arial" w:hAnsi="Arial"/>
          <w:sz w:val="17"/>
          <w:szCs w:val="17"/>
          <w:color w:val="auto"/>
        </w:rPr>
        <w:t>Our discussion and analysis of our financial condition and results of operations are based upon our condensed consolidated financial statements, which are prepared in conformity with accounting principles generally accepted in the United States of America. As such, we are required to make certain estimates, judgments and assumptions that management believes are reasonable based upon the information available. We base these estimates on our historical experience, future expectations and various other assumptions that we believe to be reasonable under the circumstances, the results of which form the basis for our judgments that may not be readily apparent from other sources. These estimates and assumptions affect the reported amounts of assets and liabilities and the disclosure of contingent assets and liabilities at the dates of the condensed consolidated financial statements and the reported amounts of revenue and expenses during the reporting periods. These estimates and assumptions relate to estimates of the carrying amount of goodwill, intangibles, depreciation, stock based-compensation, valuation allowances for deferred income taxes, accounts receivable, the expected term of a customer relationship, accruals and other factors. We evaluate these estimates on an ongoing basis. Actual results could differ from those estimates under different assumptions or conditions, and any differences could be material.</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LivePerson was incorporated in the State of Delaware in November 1995 and the LivePerson service was introduced in November 1998. We are a leading provider of mobile and online messaging technologies that power digital communication between brands and consumers. LiveEngage, the Company’s enterprise-class, cloud-based platform, enables businesses to create a meaningful connection with consumers by offering messaging as a preferred channel of communication. Messaging diminishes the need to rely on outdated email systems or call a 1-800 number. Brands leverage LiveEngage’s sophisticated intelligence engine and suite of text and mobile messaging, real-time chat messaging, content delivery, and cobrowsing offerings to proactively engage with consumers through m-dot sites, mobile apps, the desktop, social media and third-party consumer messaging platforms. Our campaign-based messaging enables the brand to target the right consumer at the right time on a brand's site by leveraging proprietary analysis and data driven intelligence.</w:t>
      </w:r>
    </w:p>
    <w:p>
      <w:pPr>
        <w:spacing w:after="0" w:line="59"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We are organized into two operating segments: Business and Consumer. The Business segment enables brands to leverage LiveEngage’s sophisticated intelligence engine and suite of online and mobile messaging offerings to proactively engage with consumers. The Consumer segment facilitates online transactions between independent service providers (“Experts”) and individual consumers (“Users”) seeking information and knowledge for a fee via mobile and online messaging.</w:t>
      </w:r>
    </w:p>
    <w:p>
      <w:pPr>
        <w:spacing w:after="0" w:line="7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In order to sustain growth in these segments, our strategy is to expand our position as the leading provider of online and mobile messaging solutions that facilitate meaningful connection and expert advice. To accomplish this, we are focused on the following current initiatives:</w:t>
      </w:r>
    </w:p>
    <w:p>
      <w:pPr>
        <w:spacing w:after="0" w:line="38" w:lineRule="exact"/>
        <w:rPr>
          <w:sz w:val="20"/>
          <w:szCs w:val="20"/>
          <w:color w:val="auto"/>
        </w:rPr>
      </w:pPr>
    </w:p>
    <w:p>
      <w:pPr>
        <w:jc w:val="both"/>
        <w:ind w:left="460" w:hanging="330"/>
        <w:spacing w:after="0" w:line="302" w:lineRule="auto"/>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i w:val="1"/>
          <w:iCs w:val="1"/>
          <w:color w:val="auto"/>
        </w:rPr>
        <w:t xml:space="preserve">Expanding Business with Existing Customers and Adding New Customers. </w:t>
      </w:r>
      <w:r>
        <w:rPr>
          <w:rFonts w:ascii="Arial" w:cs="Arial" w:eastAsia="Arial" w:hAnsi="Arial"/>
          <w:sz w:val="16"/>
          <w:szCs w:val="16"/>
          <w:color w:val="auto"/>
        </w:rPr>
        <w:t>We segmented our sales organization to increase productivity. Our account</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executives are solely focused on adding new customers, while our account managers are tasked with retaining and expanding existing customers. We also anticipate leveraging our LiveEngage platform to increase adoption of real-time, campaign-based messaging across our customer’s online properties and to expand with brands offline, by shifting onto our mobile messaging platform a portion of calls made to 1-800 numbers.</w:t>
      </w:r>
    </w:p>
    <w:p>
      <w:pPr>
        <w:spacing w:after="0" w:line="46" w:lineRule="exact"/>
        <w:rPr>
          <w:rFonts w:ascii="Arial" w:cs="Arial" w:eastAsia="Arial" w:hAnsi="Arial"/>
          <w:sz w:val="16"/>
          <w:szCs w:val="16"/>
          <w:color w:val="auto"/>
        </w:rPr>
      </w:pPr>
    </w:p>
    <w:p>
      <w:pPr>
        <w:jc w:val="both"/>
        <w:ind w:left="460" w:hanging="330"/>
        <w:spacing w:after="0" w:line="257"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Introducing New Products and Capabilities. </w:t>
      </w:r>
      <w:r>
        <w:rPr>
          <w:rFonts w:ascii="Arial" w:cs="Arial" w:eastAsia="Arial" w:hAnsi="Arial"/>
          <w:sz w:val="18"/>
          <w:szCs w:val="18"/>
          <w:color w:val="auto"/>
        </w:rPr>
        <w:t>We are investing in product marketing, mobile resources, research and development, and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personnel to support our efforts to build and launch new products and capabilities, to support existing customer deployments, and to further penetrate our total addressable market. These investments are initially focused in the areas of online and mobile consumer engagement, enhanced data and reporting and chat transcript text analysis. Over time, we expect to develop and launch additional capabilities that leverage our existing market position as a leader in mobile and online messaging.</w:t>
      </w:r>
    </w:p>
    <w:p>
      <w:pPr>
        <w:spacing w:after="0" w:line="80" w:lineRule="exact"/>
        <w:rPr>
          <w:rFonts w:ascii="Arial" w:cs="Arial" w:eastAsia="Arial" w:hAnsi="Arial"/>
          <w:sz w:val="18"/>
          <w:szCs w:val="18"/>
          <w:color w:val="auto"/>
        </w:rPr>
      </w:pPr>
    </w:p>
    <w:p>
      <w:pPr>
        <w:jc w:val="both"/>
        <w:ind w:left="460" w:hanging="330"/>
        <w:spacing w:after="0" w:line="257"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Leveraging Partners to Enhance our Offering. </w:t>
      </w:r>
      <w:r>
        <w:rPr>
          <w:rFonts w:ascii="Arial" w:cs="Arial" w:eastAsia="Arial" w:hAnsi="Arial"/>
          <w:sz w:val="18"/>
          <w:szCs w:val="18"/>
          <w:color w:val="auto"/>
        </w:rPr>
        <w:t>In addition to developing our own applications, we continue to cultivate a partner eco-system capable of</w:t>
      </w:r>
      <w:r>
        <w:rPr>
          <w:rFonts w:ascii="Arial" w:cs="Arial" w:eastAsia="Arial" w:hAnsi="Arial"/>
          <w:sz w:val="18"/>
          <w:szCs w:val="18"/>
          <w:i w:val="1"/>
          <w:iCs w:val="1"/>
          <w:color w:val="auto"/>
        </w:rPr>
        <w:t xml:space="preserve"> </w:t>
      </w:r>
      <w:r>
        <w:rPr>
          <w:rFonts w:ascii="Arial" w:cs="Arial" w:eastAsia="Arial" w:hAnsi="Arial"/>
          <w:sz w:val="18"/>
          <w:szCs w:val="18"/>
          <w:color w:val="auto"/>
        </w:rPr>
        <w:t>offering additional applications and services to our customers. For example, in 2015 we integrated LiveEngage with one of the leading consumer messaging platforms. In addition, we have opened up access to our platform and our products with application programming interfaces (APIs) that allow third parties to develop on top of our platform. Customers and partners can utilize these APIs to build our capabilities into their own applications and to enhance our applications with their services.</w:t>
      </w:r>
    </w:p>
    <w:p>
      <w:pPr>
        <w:spacing w:after="0" w:line="80" w:lineRule="exact"/>
        <w:rPr>
          <w:rFonts w:ascii="Arial" w:cs="Arial" w:eastAsia="Arial" w:hAnsi="Arial"/>
          <w:sz w:val="18"/>
          <w:szCs w:val="18"/>
          <w:color w:val="auto"/>
        </w:rPr>
      </w:pPr>
    </w:p>
    <w:p>
      <w:pPr>
        <w:jc w:val="both"/>
        <w:ind w:left="460" w:hanging="330"/>
        <w:spacing w:after="0" w:line="257"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Maintaining Market Leadership in Technology and Security Expertise. </w:t>
      </w:r>
      <w:r>
        <w:rPr>
          <w:rFonts w:ascii="Arial" w:cs="Arial" w:eastAsia="Arial" w:hAnsi="Arial"/>
          <w:sz w:val="18"/>
          <w:szCs w:val="18"/>
          <w:color w:val="auto"/>
        </w:rPr>
        <w:t>As described above, we are devoting significant resources to creating new</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and enabling technologies designed to accelerate innovation and delivery of new products and technologies to our customer base. We evaluate emerging technologies and industry standards and continually update our technology in order to retain our leadership position in each market we serve. We monitor legal and technological developments in the area of information security and confidentiality to ensure our policies and procedures meet or exceed</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80" w:right="239" w:bottom="1440" w:gutter="0" w:footer="0" w:header="0"/>
        </w:sectPr>
      </w:pPr>
    </w:p>
    <w:bookmarkStart w:id="24" w:name="page25"/>
    <w:bookmarkEnd w:id="24"/>
    <w:p>
      <w:pPr>
        <w:ind w:left="460"/>
        <w:spacing w:after="0" w:line="324" w:lineRule="auto"/>
        <w:rPr>
          <w:sz w:val="20"/>
          <w:szCs w:val="20"/>
          <w:color w:val="auto"/>
        </w:rPr>
      </w:pPr>
      <w:r>
        <w:rPr>
          <w:rFonts w:ascii="Arial" w:cs="Arial" w:eastAsia="Arial" w:hAnsi="Arial"/>
          <w:sz w:val="18"/>
          <w:szCs w:val="18"/>
          <w:color w:val="auto"/>
        </w:rPr>
        <w:t>the demands of the world’s largest and most demanding corporations. We believe that these efforts will allow us to effectively anticipate changing customer and consumer requirements in our rapidly evolving industry.</w:t>
      </w:r>
    </w:p>
    <w:p>
      <w:pPr>
        <w:spacing w:after="0" w:line="35" w:lineRule="exact"/>
        <w:rPr>
          <w:sz w:val="20"/>
          <w:szCs w:val="20"/>
          <w:color w:val="auto"/>
        </w:rPr>
      </w:pPr>
    </w:p>
    <w:p>
      <w:pPr>
        <w:jc w:val="both"/>
        <w:ind w:left="460" w:hanging="330"/>
        <w:spacing w:after="0" w:line="286" w:lineRule="auto"/>
        <w:tabs>
          <w:tab w:leader="none" w:pos="460" w:val="left"/>
        </w:tabs>
        <w:numPr>
          <w:ilvl w:val="0"/>
          <w:numId w:val="17"/>
        </w:numPr>
        <w:rPr>
          <w:rFonts w:ascii="Arial" w:cs="Arial" w:eastAsia="Arial" w:hAnsi="Arial"/>
          <w:sz w:val="17"/>
          <w:szCs w:val="17"/>
          <w:color w:val="auto"/>
        </w:rPr>
      </w:pPr>
      <w:r>
        <w:rPr>
          <w:rFonts w:ascii="Arial" w:cs="Arial" w:eastAsia="Arial" w:hAnsi="Arial"/>
          <w:sz w:val="17"/>
          <w:szCs w:val="17"/>
          <w:i w:val="1"/>
          <w:iCs w:val="1"/>
          <w:color w:val="auto"/>
        </w:rPr>
        <w:t xml:space="preserve">Expanding our International Presence. </w:t>
      </w:r>
      <w:r>
        <w:rPr>
          <w:rFonts w:ascii="Arial" w:cs="Arial" w:eastAsia="Arial" w:hAnsi="Arial"/>
          <w:sz w:val="17"/>
          <w:szCs w:val="17"/>
          <w:color w:val="auto"/>
        </w:rPr>
        <w:t>We continue to invest in sales and support personnel in the United Kingdom, Asia-Pacific, Latin America and</w:t>
      </w:r>
      <w:r>
        <w:rPr>
          <w:rFonts w:ascii="Arial" w:cs="Arial" w:eastAsia="Arial" w:hAnsi="Arial"/>
          <w:sz w:val="17"/>
          <w:szCs w:val="17"/>
          <w:i w:val="1"/>
          <w:iCs w:val="1"/>
          <w:color w:val="auto"/>
        </w:rPr>
        <w:t xml:space="preserve"> </w:t>
      </w:r>
      <w:r>
        <w:rPr>
          <w:rFonts w:ascii="Arial" w:cs="Arial" w:eastAsia="Arial" w:hAnsi="Arial"/>
          <w:sz w:val="17"/>
          <w:szCs w:val="17"/>
          <w:color w:val="auto"/>
        </w:rPr>
        <w:t>Western Europe. We are also working with sales and support partners in the Asia-Pacific region. We continue to improve our e-commerce capabilities, and the multi-language and translation capabilities within our hosted solutions to further support international expansion.</w:t>
      </w:r>
    </w:p>
    <w:p>
      <w:pPr>
        <w:spacing w:after="0" w:line="57" w:lineRule="exact"/>
        <w:rPr>
          <w:rFonts w:ascii="Arial" w:cs="Arial" w:eastAsia="Arial" w:hAnsi="Arial"/>
          <w:sz w:val="17"/>
          <w:szCs w:val="17"/>
          <w:color w:val="auto"/>
        </w:rPr>
      </w:pPr>
    </w:p>
    <w:p>
      <w:pPr>
        <w:jc w:val="both"/>
        <w:ind w:left="460" w:hanging="330"/>
        <w:spacing w:after="0" w:line="259"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Continuing to Build Brand Recognition. </w:t>
      </w:r>
      <w:r>
        <w:rPr>
          <w:rFonts w:ascii="Arial" w:cs="Arial" w:eastAsia="Arial" w:hAnsi="Arial"/>
          <w:sz w:val="18"/>
          <w:szCs w:val="18"/>
          <w:color w:val="auto"/>
        </w:rPr>
        <w:t>As a pioneer of brand-to-consumer digital messaging, LivePerson enjoys strong brand recognition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credibility. Our focus on creating meaningful connections among employees, with our customers, and between brands and their consumers, is a key component of our culture and our market strategy. We strategically target decision makers and influencers within key vertical markets, leveraging customer successes to generate increased awareness and demand for brand-to-consumer messaging.</w:t>
      </w:r>
    </w:p>
    <w:p>
      <w:pPr>
        <w:spacing w:after="0" w:line="78" w:lineRule="exact"/>
        <w:rPr>
          <w:rFonts w:ascii="Arial" w:cs="Arial" w:eastAsia="Arial" w:hAnsi="Arial"/>
          <w:sz w:val="18"/>
          <w:szCs w:val="18"/>
          <w:color w:val="auto"/>
        </w:rPr>
      </w:pPr>
    </w:p>
    <w:p>
      <w:pPr>
        <w:jc w:val="both"/>
        <w:ind w:left="460" w:hanging="330"/>
        <w:spacing w:after="0" w:line="276" w:lineRule="auto"/>
        <w:tabs>
          <w:tab w:leader="none" w:pos="460" w:val="left"/>
        </w:tabs>
        <w:numPr>
          <w:ilvl w:val="0"/>
          <w:numId w:val="17"/>
        </w:numPr>
        <w:rPr>
          <w:rFonts w:ascii="Arial" w:cs="Arial" w:eastAsia="Arial" w:hAnsi="Arial"/>
          <w:sz w:val="17"/>
          <w:szCs w:val="17"/>
          <w:color w:val="auto"/>
        </w:rPr>
      </w:pPr>
      <w:r>
        <w:rPr>
          <w:rFonts w:ascii="Arial" w:cs="Arial" w:eastAsia="Arial" w:hAnsi="Arial"/>
          <w:sz w:val="17"/>
          <w:szCs w:val="17"/>
          <w:i w:val="1"/>
          <w:iCs w:val="1"/>
          <w:color w:val="auto"/>
        </w:rPr>
        <w:t xml:space="preserve">Increasing the Value of Our Service to Our Customers. </w:t>
      </w:r>
      <w:r>
        <w:rPr>
          <w:rFonts w:ascii="Arial" w:cs="Arial" w:eastAsia="Arial" w:hAnsi="Arial"/>
          <w:sz w:val="17"/>
          <w:szCs w:val="17"/>
          <w:color w:val="auto"/>
        </w:rPr>
        <w:t>We regularly add both new products and services, and new features and functionality to our</w:t>
      </w:r>
      <w:r>
        <w:rPr>
          <w:rFonts w:ascii="Arial" w:cs="Arial" w:eastAsia="Arial" w:hAnsi="Arial"/>
          <w:sz w:val="17"/>
          <w:szCs w:val="17"/>
          <w:i w:val="1"/>
          <w:iCs w:val="1"/>
          <w:color w:val="auto"/>
        </w:rPr>
        <w:t xml:space="preserve"> </w:t>
      </w:r>
      <w:r>
        <w:rPr>
          <w:rFonts w:ascii="Arial" w:cs="Arial" w:eastAsia="Arial" w:hAnsi="Arial"/>
          <w:sz w:val="17"/>
          <w:szCs w:val="17"/>
          <w:color w:val="auto"/>
        </w:rPr>
        <w:t>existing services to further enhance value to our customers. Because we directly manage the server infrastructure, we can make new features available to our customers immediately upon release, without customer or end-user installation of software or hardware. We continue to enhance our reporting, analysis, and administrative tools as part of our overall portfolio of services, as well as our ability to capture, analyze, and report on the substantial amount of online activity data we collect on behalf of our customers to further our customers’ online strategies.</w:t>
      </w:r>
    </w:p>
    <w:p>
      <w:pPr>
        <w:spacing w:after="0" w:line="64" w:lineRule="exact"/>
        <w:rPr>
          <w:rFonts w:ascii="Arial" w:cs="Arial" w:eastAsia="Arial" w:hAnsi="Arial"/>
          <w:sz w:val="17"/>
          <w:szCs w:val="17"/>
          <w:color w:val="auto"/>
        </w:rPr>
      </w:pPr>
    </w:p>
    <w:p>
      <w:pPr>
        <w:jc w:val="both"/>
        <w:ind w:left="460" w:hanging="330"/>
        <w:spacing w:after="0" w:line="276" w:lineRule="auto"/>
        <w:tabs>
          <w:tab w:leader="none" w:pos="460" w:val="left"/>
        </w:tabs>
        <w:numPr>
          <w:ilvl w:val="0"/>
          <w:numId w:val="17"/>
        </w:numPr>
        <w:rPr>
          <w:rFonts w:ascii="Arial" w:cs="Arial" w:eastAsia="Arial" w:hAnsi="Arial"/>
          <w:sz w:val="17"/>
          <w:szCs w:val="17"/>
          <w:color w:val="auto"/>
        </w:rPr>
      </w:pPr>
      <w:r>
        <w:rPr>
          <w:rFonts w:ascii="Arial" w:cs="Arial" w:eastAsia="Arial" w:hAnsi="Arial"/>
          <w:sz w:val="17"/>
          <w:szCs w:val="17"/>
          <w:i w:val="1"/>
          <w:iCs w:val="1"/>
          <w:color w:val="auto"/>
        </w:rPr>
        <w:t xml:space="preserve">Evaluating Strategic Alliances and Acquisitions When Appropriate. </w:t>
      </w:r>
      <w:r>
        <w:rPr>
          <w:rFonts w:ascii="Arial" w:cs="Arial" w:eastAsia="Arial" w:hAnsi="Arial"/>
          <w:sz w:val="17"/>
          <w:szCs w:val="17"/>
          <w:color w:val="auto"/>
        </w:rPr>
        <w:t>We have successfully integrated several acquisitions over the past decade. In</w:t>
      </w:r>
      <w:r>
        <w:rPr>
          <w:rFonts w:ascii="Arial" w:cs="Arial" w:eastAsia="Arial" w:hAnsi="Arial"/>
          <w:sz w:val="17"/>
          <w:szCs w:val="17"/>
          <w:i w:val="1"/>
          <w:iCs w:val="1"/>
          <w:color w:val="auto"/>
        </w:rPr>
        <w:t xml:space="preserve"> </w:t>
      </w:r>
      <w:r>
        <w:rPr>
          <w:rFonts w:ascii="Arial" w:cs="Arial" w:eastAsia="Arial" w:hAnsi="Arial"/>
          <w:sz w:val="17"/>
          <w:szCs w:val="17"/>
          <w:color w:val="auto"/>
        </w:rPr>
        <w:t>addition to our acquisition of Engage referenced above, most recently we acquired Contact At Once!, LLC. (“CAO!”), a unique messaging platform with leading market share in the automotive industry. While we have in the past, and may from time to time in the future, engage in discussions regarding acquisitions or strategic transactions or to acquire other companies that can accelerate our growth or broaden our product offerings, we currently have no binding commitments with respect to any future acquisitions or strategic transactions.</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Metrics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Financial overview of the three months ended September 30, 2016 compared to the three months ended September 30, 2015:</w:t>
      </w:r>
    </w:p>
    <w:p>
      <w:pPr>
        <w:spacing w:after="0" w:line="117" w:lineRule="exact"/>
        <w:rPr>
          <w:sz w:val="20"/>
          <w:szCs w:val="20"/>
          <w:color w:val="auto"/>
        </w:rPr>
      </w:pPr>
    </w:p>
    <w:p>
      <w:pPr>
        <w:ind w:left="1140" w:hanging="322"/>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Total revenue decreased 10% to $54.5 million from $60.8 million.</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Revenue from our Business segment decreased 12% to $50.5 million from $57.1 million.</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Gross profit margin increased to 73% from 70%.</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Cost and expenses decreased 3% to $57.1 million from $58.9 million.</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Net loss increased to $5.9 million from net income of $1.9 million.</w:t>
      </w:r>
    </w:p>
    <w:p>
      <w:pPr>
        <w:spacing w:after="0" w:line="117" w:lineRule="exact"/>
        <w:rPr>
          <w:rFonts w:ascii="Arial" w:cs="Arial" w:eastAsia="Arial" w:hAnsi="Arial"/>
          <w:sz w:val="18"/>
          <w:szCs w:val="18"/>
          <w:color w:val="auto"/>
        </w:rPr>
      </w:pPr>
    </w:p>
    <w:p>
      <w:pPr>
        <w:jc w:val="both"/>
        <w:ind w:left="1140" w:hanging="322"/>
        <w:spacing w:after="0" w:line="264" w:lineRule="auto"/>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Average annual revenue per enterprise and mid-market customer was greater than $200,000 over the trailing twelve months ended September 30, 2016, as compared to $187,000 for the trailing twelve months ended September 30, 2015. The 2015 figure is pro forma to exclude contributions from one large customer contract that ended in 2015.</w:t>
      </w:r>
    </w:p>
    <w:p>
      <w:pPr>
        <w:spacing w:after="0" w:line="73" w:lineRule="exact"/>
        <w:rPr>
          <w:rFonts w:ascii="Arial" w:cs="Arial" w:eastAsia="Arial" w:hAnsi="Arial"/>
          <w:sz w:val="18"/>
          <w:szCs w:val="18"/>
          <w:color w:val="auto"/>
        </w:rPr>
      </w:pPr>
    </w:p>
    <w:p>
      <w:pPr>
        <w:ind w:left="1140" w:hanging="322"/>
        <w:spacing w:after="0" w:line="277" w:lineRule="auto"/>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Customer renewal rate for enterprise and mid-market customers was 83% over the trailing twelve months ended September 30, 2016 compared to 84% over the trailing twelve months ended December 31, 2015.</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EBITDA and Adjusted Net (Loss) Income</w:t>
      </w:r>
    </w:p>
    <w:p>
      <w:pPr>
        <w:spacing w:after="0" w:line="12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To provide investors with additional information regarding our financial results, we have disclosed adjusted EBITDA and adjusted net income which are non-GAAP financial measures. The tables below present a reconciliation of adjusted EBITDA and adjusted net income to net loss, the most directly comparable GAAP financial measures.</w:t>
      </w:r>
    </w:p>
    <w:p>
      <w:pPr>
        <w:spacing w:after="0" w:line="7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included adjusted EBITDA and adjusted net income in this Quarterly Report on Form 10-Q because these are key measures used by our management and board of directors to understand and evaluate our core operating performance and trends, to prepare and approve our annual budget and to develop short and long-term operational plans. In particular, the exclusion of certain expenses in calculating adjusted EBITDA and adjusted net income can provide a useful measure for period-to-period comparisons of our core business. Additionally, adjusted EBITDA is a key financial measure used by the compensation committee of our board of directors in connection with the payment of bonuses to our executive officers. Accordingly, we believe that adjusted EBITDA and adjusted net income provide useful information to investors and others in understanding and evaluating our operating results in the same manner as our management and board of directors.</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611" w:right="239" w:bottom="1440" w:gutter="0" w:footer="0" w:header="0"/>
        </w:sectPr>
      </w:pPr>
    </w:p>
    <w:bookmarkStart w:id="25" w:name="page26"/>
    <w:bookmarkEnd w:id="25"/>
    <w:p>
      <w:pPr>
        <w:ind w:right="20" w:firstLine="648"/>
        <w:spacing w:after="0" w:line="277" w:lineRule="auto"/>
        <w:rPr>
          <w:sz w:val="20"/>
          <w:szCs w:val="20"/>
          <w:color w:val="auto"/>
        </w:rPr>
      </w:pPr>
      <w:r>
        <w:rPr>
          <w:rFonts w:ascii="Arial" w:cs="Arial" w:eastAsia="Arial" w:hAnsi="Arial"/>
          <w:sz w:val="18"/>
          <w:szCs w:val="18"/>
          <w:color w:val="auto"/>
        </w:rPr>
        <w:t>Our use of adjusted EBITDA has limitations as an analytical tool, and you should not consider it in isolation or as a substitute for analysis of our results as reported under GAAP. Some of these limitations are:</w:t>
      </w:r>
    </w:p>
    <w:p>
      <w:pPr>
        <w:spacing w:after="0" w:line="62" w:lineRule="exact"/>
        <w:rPr>
          <w:sz w:val="20"/>
          <w:szCs w:val="20"/>
          <w:color w:val="auto"/>
        </w:rPr>
      </w:pPr>
    </w:p>
    <w:p>
      <w:pPr>
        <w:jc w:val="both"/>
        <w:ind w:left="1140" w:hanging="322"/>
        <w:spacing w:after="0" w:line="264" w:lineRule="auto"/>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may have to be replaced in the future, and adjusted EBITDA does not reflect cash capital expenditure requirements for such replacements or for new capital expenditure requirements;</w:t>
      </w:r>
    </w:p>
    <w:p>
      <w:pPr>
        <w:spacing w:after="0" w:line="19" w:lineRule="exact"/>
        <w:rPr>
          <w:rFonts w:ascii="Arial" w:cs="Arial" w:eastAsia="Arial" w:hAnsi="Arial"/>
          <w:sz w:val="18"/>
          <w:szCs w:val="18"/>
          <w:color w:val="auto"/>
        </w:rPr>
      </w:pPr>
    </w:p>
    <w:p>
      <w:pPr>
        <w:ind w:left="1140" w:hanging="322"/>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adjusted EBITDA does not reflect changes in, or cash requirements for, our working capital needs;</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adjusted EBITDA does not consider the potentially dilutive impact of equity-based compensation;</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adjusted EBITDA does not consider the potentially dilutive impact of restructuring cost;</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adjusted EBITDA does not consider the potentially dilutive impact of other non-recurring costs;</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adjusted EBITDA does not reflect tax payments that may represent a reduction in cash available to us; and</w:t>
      </w:r>
    </w:p>
    <w:p>
      <w:pPr>
        <w:spacing w:after="0" w:line="63" w:lineRule="exact"/>
        <w:rPr>
          <w:rFonts w:ascii="Arial" w:cs="Arial" w:eastAsia="Arial" w:hAnsi="Arial"/>
          <w:sz w:val="18"/>
          <w:szCs w:val="18"/>
          <w:color w:val="auto"/>
        </w:rPr>
      </w:pPr>
    </w:p>
    <w:p>
      <w:pPr>
        <w:ind w:left="1140" w:hanging="322"/>
        <w:spacing w:after="0" w:line="277" w:lineRule="auto"/>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other companies, including companies in our industry, may calculate adjusted EBITDA differently, which reduces its usefulness as a comparative measure.</w:t>
      </w:r>
    </w:p>
    <w:p>
      <w:pPr>
        <w:spacing w:after="0" w:line="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Because of these limitations, you should consider adjusted EBITDA alongside other financial performance measures, including various cash flow metrics, net income (loss) and our other GAAP results. The following table presents a reconciliation of adjusted EBITDA for each of the periods indicated (amounts in thousands):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4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w w:val="95"/>
              </w:rPr>
              <w:t>Three Months Ended September 30,</w:t>
            </w:r>
          </w:p>
        </w:tc>
        <w:tc>
          <w:tcPr>
            <w:tcW w:w="160" w:type="dxa"/>
            <w:vAlign w:val="bottom"/>
          </w:tcPr>
          <w:p>
            <w:pPr>
              <w:spacing w:after="0"/>
              <w:rPr>
                <w:sz w:val="16"/>
                <w:szCs w:val="16"/>
                <w:color w:val="auto"/>
              </w:rPr>
            </w:pPr>
          </w:p>
        </w:tc>
        <w:tc>
          <w:tcPr>
            <w:tcW w:w="2420" w:type="dxa"/>
            <w:vAlign w:val="bottom"/>
            <w:gridSpan w:val="4"/>
          </w:tcPr>
          <w:p>
            <w:pPr>
              <w:jc w:val="right"/>
              <w:ind w:right="128"/>
              <w:spacing w:after="0"/>
              <w:rPr>
                <w:sz w:val="20"/>
                <w:szCs w:val="20"/>
                <w:color w:val="auto"/>
              </w:rPr>
            </w:pPr>
            <w:r>
              <w:rPr>
                <w:rFonts w:ascii="Arial" w:cs="Arial" w:eastAsia="Arial" w:hAnsi="Arial"/>
                <w:sz w:val="14"/>
                <w:szCs w:val="14"/>
                <w:b w:val="1"/>
                <w:bCs w:val="1"/>
                <w:color w:val="auto"/>
                <w:w w:val="95"/>
              </w:rPr>
              <w:t>Nine Months Ended September 30,</w:t>
            </w:r>
          </w:p>
        </w:tc>
        <w:tc>
          <w:tcPr>
            <w:tcW w:w="340" w:type="dxa"/>
            <w:vAlign w:val="bottom"/>
          </w:tcPr>
          <w:p>
            <w:pPr>
              <w:spacing w:after="0"/>
              <w:rPr>
                <w:sz w:val="16"/>
                <w:szCs w:val="16"/>
                <w:color w:val="auto"/>
              </w:rPr>
            </w:pPr>
          </w:p>
        </w:tc>
      </w:tr>
      <w:tr>
        <w:trPr>
          <w:trHeight w:val="263"/>
        </w:trPr>
        <w:tc>
          <w:tcPr>
            <w:tcW w:w="5500" w:type="dxa"/>
            <w:vAlign w:val="bottom"/>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2016</w:t>
            </w:r>
          </w:p>
        </w:tc>
        <w:tc>
          <w:tcPr>
            <w:tcW w:w="340" w:type="dxa"/>
            <w:vAlign w:val="bottom"/>
            <w:tcBorders>
              <w:top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2015</w:t>
            </w:r>
          </w:p>
        </w:tc>
        <w:tc>
          <w:tcPr>
            <w:tcW w:w="340" w:type="dxa"/>
            <w:vAlign w:val="bottom"/>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2016</w:t>
            </w:r>
          </w:p>
        </w:tc>
        <w:tc>
          <w:tcPr>
            <w:tcW w:w="340" w:type="dxa"/>
            <w:vAlign w:val="bottom"/>
            <w:tcBorders>
              <w:top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2015</w:t>
            </w:r>
          </w:p>
        </w:tc>
        <w:tc>
          <w:tcPr>
            <w:tcW w:w="340" w:type="dxa"/>
            <w:vAlign w:val="bottom"/>
          </w:tcPr>
          <w:p>
            <w:pPr>
              <w:spacing w:after="0"/>
              <w:rPr>
                <w:sz w:val="22"/>
                <w:szCs w:val="22"/>
                <w:color w:val="auto"/>
              </w:rPr>
            </w:pPr>
          </w:p>
        </w:tc>
      </w:tr>
      <w:tr>
        <w:trPr>
          <w:trHeight w:val="264"/>
        </w:trPr>
        <w:tc>
          <w:tcPr>
            <w:tcW w:w="5500" w:type="dxa"/>
            <w:vAlign w:val="bottom"/>
          </w:tcPr>
          <w:p>
            <w:pPr>
              <w:ind w:left="40"/>
              <w:spacing w:after="0"/>
              <w:rPr>
                <w:sz w:val="20"/>
                <w:szCs w:val="20"/>
                <w:color w:val="auto"/>
              </w:rPr>
            </w:pPr>
            <w:r>
              <w:rPr>
                <w:rFonts w:ascii="Arial" w:cs="Arial" w:eastAsia="Arial" w:hAnsi="Arial"/>
                <w:sz w:val="14"/>
                <w:szCs w:val="14"/>
                <w:b w:val="1"/>
                <w:bCs w:val="1"/>
                <w:color w:val="auto"/>
              </w:rPr>
              <w:t>Reconciliation of Adjusted EBITDA</w:t>
            </w:r>
          </w:p>
        </w:tc>
        <w:tc>
          <w:tcPr>
            <w:tcW w:w="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40" w:type="dxa"/>
            <w:vAlign w:val="bottom"/>
          </w:tcPr>
          <w:p>
            <w:pPr>
              <w:spacing w:after="0"/>
              <w:rPr>
                <w:sz w:val="22"/>
                <w:szCs w:val="22"/>
                <w:color w:val="auto"/>
              </w:rPr>
            </w:pPr>
          </w:p>
        </w:tc>
      </w:tr>
      <w:tr>
        <w:trPr>
          <w:trHeight w:val="276"/>
        </w:trPr>
        <w:tc>
          <w:tcPr>
            <w:tcW w:w="5500" w:type="dxa"/>
            <w:vAlign w:val="bottom"/>
            <w:shd w:val="clear" w:color="auto" w:fill="CCFFCC"/>
          </w:tcPr>
          <w:p>
            <w:pPr>
              <w:ind w:left="280"/>
              <w:spacing w:after="0"/>
              <w:rPr>
                <w:sz w:val="20"/>
                <w:szCs w:val="20"/>
                <w:color w:val="auto"/>
              </w:rPr>
            </w:pPr>
            <w:r>
              <w:rPr>
                <w:rFonts w:ascii="Arial" w:cs="Arial" w:eastAsia="Arial" w:hAnsi="Arial"/>
                <w:sz w:val="14"/>
                <w:szCs w:val="14"/>
                <w:color w:val="auto"/>
              </w:rPr>
              <w:t>GAAP net (loss) income</w:t>
            </w:r>
          </w:p>
        </w:tc>
        <w:tc>
          <w:tcPr>
            <w:tcW w:w="1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FFCC"/>
          </w:tcPr>
          <w:p>
            <w:pPr>
              <w:jc w:val="right"/>
              <w:ind w:right="8"/>
              <w:spacing w:after="0"/>
              <w:rPr>
                <w:sz w:val="20"/>
                <w:szCs w:val="20"/>
                <w:color w:val="auto"/>
              </w:rPr>
            </w:pPr>
            <w:r>
              <w:rPr>
                <w:rFonts w:ascii="Arial" w:cs="Arial" w:eastAsia="Arial" w:hAnsi="Arial"/>
                <w:sz w:val="14"/>
                <w:szCs w:val="14"/>
                <w:color w:val="auto"/>
              </w:rPr>
              <w:t>(5,879)</w:t>
            </w:r>
          </w:p>
        </w:tc>
        <w:tc>
          <w:tcPr>
            <w:tcW w:w="620" w:type="dxa"/>
            <w:vAlign w:val="bottom"/>
            <w:gridSpan w:val="2"/>
            <w:shd w:val="clear" w:color="auto" w:fill="CCFFCC"/>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1,925</w:t>
            </w:r>
          </w:p>
        </w:tc>
        <w:tc>
          <w:tcPr>
            <w:tcW w:w="340" w:type="dxa"/>
            <w:vAlign w:val="bottom"/>
            <w:shd w:val="clear" w:color="auto" w:fill="CCFFCC"/>
          </w:tcPr>
          <w:p>
            <w:pPr>
              <w:spacing w:after="0"/>
              <w:rPr>
                <w:sz w:val="24"/>
                <w:szCs w:val="24"/>
                <w:color w:val="auto"/>
              </w:rPr>
            </w:pPr>
          </w:p>
        </w:tc>
        <w:tc>
          <w:tcPr>
            <w:tcW w:w="1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(16,308)</w:t>
            </w:r>
          </w:p>
        </w:tc>
        <w:tc>
          <w:tcPr>
            <w:tcW w:w="600" w:type="dxa"/>
            <w:vAlign w:val="bottom"/>
            <w:gridSpan w:val="2"/>
            <w:shd w:val="clear" w:color="auto" w:fill="CCFFCC"/>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(5,487)</w:t>
            </w:r>
          </w:p>
        </w:tc>
        <w:tc>
          <w:tcPr>
            <w:tcW w:w="340" w:type="dxa"/>
            <w:vAlign w:val="bottom"/>
            <w:shd w:val="clear" w:color="auto" w:fill="CCFFCC"/>
          </w:tcPr>
          <w:p>
            <w:pPr>
              <w:spacing w:after="0"/>
              <w:rPr>
                <w:sz w:val="24"/>
                <w:szCs w:val="24"/>
                <w:color w:val="auto"/>
              </w:rPr>
            </w:pPr>
          </w:p>
        </w:tc>
      </w:tr>
      <w:tr>
        <w:trPr>
          <w:trHeight w:val="264"/>
        </w:trPr>
        <w:tc>
          <w:tcPr>
            <w:tcW w:w="5500" w:type="dxa"/>
            <w:vAlign w:val="bottom"/>
          </w:tcPr>
          <w:p>
            <w:pPr>
              <w:ind w:left="280"/>
              <w:spacing w:after="0"/>
              <w:rPr>
                <w:sz w:val="20"/>
                <w:szCs w:val="20"/>
                <w:color w:val="auto"/>
              </w:rPr>
            </w:pPr>
            <w:r>
              <w:rPr>
                <w:rFonts w:ascii="Arial" w:cs="Arial" w:eastAsia="Arial" w:hAnsi="Arial"/>
                <w:sz w:val="14"/>
                <w:szCs w:val="14"/>
                <w:color w:val="auto"/>
              </w:rPr>
              <w:t>Amortization of purchased intangibles</w:t>
            </w:r>
          </w:p>
        </w:tc>
        <w:tc>
          <w:tcPr>
            <w:tcW w:w="16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1,710</w:t>
            </w: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1,953</w:t>
            </w: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5,045</w:t>
            </w:r>
          </w:p>
        </w:tc>
        <w:tc>
          <w:tcPr>
            <w:tcW w:w="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6,122</w:t>
            </w:r>
          </w:p>
        </w:tc>
        <w:tc>
          <w:tcPr>
            <w:tcW w:w="340" w:type="dxa"/>
            <w:vAlign w:val="bottom"/>
          </w:tcPr>
          <w:p>
            <w:pPr>
              <w:spacing w:after="0"/>
              <w:rPr>
                <w:sz w:val="22"/>
                <w:szCs w:val="22"/>
                <w:color w:val="auto"/>
              </w:rPr>
            </w:pPr>
          </w:p>
        </w:tc>
      </w:tr>
      <w:tr>
        <w:trPr>
          <w:trHeight w:val="276"/>
        </w:trPr>
        <w:tc>
          <w:tcPr>
            <w:tcW w:w="5500" w:type="dxa"/>
            <w:vAlign w:val="bottom"/>
            <w:shd w:val="clear" w:color="auto" w:fill="CCFFCC"/>
          </w:tcPr>
          <w:p>
            <w:pPr>
              <w:ind w:left="280"/>
              <w:spacing w:after="0"/>
              <w:rPr>
                <w:sz w:val="20"/>
                <w:szCs w:val="20"/>
                <w:color w:val="auto"/>
              </w:rPr>
            </w:pPr>
            <w:r>
              <w:rPr>
                <w:rFonts w:ascii="Arial" w:cs="Arial" w:eastAsia="Arial" w:hAnsi="Arial"/>
                <w:sz w:val="14"/>
                <w:szCs w:val="14"/>
                <w:color w:val="auto"/>
              </w:rPr>
              <w:t>Stock-based compensation</w:t>
            </w:r>
          </w:p>
        </w:tc>
        <w:tc>
          <w:tcPr>
            <w:tcW w:w="160" w:type="dxa"/>
            <w:vAlign w:val="bottom"/>
            <w:shd w:val="clear" w:color="auto" w:fill="CCFFCC"/>
          </w:tcPr>
          <w:p>
            <w:pPr>
              <w:spacing w:after="0"/>
              <w:rPr>
                <w:sz w:val="24"/>
                <w:szCs w:val="24"/>
                <w:color w:val="auto"/>
              </w:rPr>
            </w:pPr>
          </w:p>
        </w:tc>
        <w:tc>
          <w:tcPr>
            <w:tcW w:w="100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2,255</w:t>
            </w:r>
          </w:p>
        </w:tc>
        <w:tc>
          <w:tcPr>
            <w:tcW w:w="340" w:type="dxa"/>
            <w:vAlign w:val="bottom"/>
            <w:shd w:val="clear" w:color="auto" w:fill="CCFFCC"/>
          </w:tcPr>
          <w:p>
            <w:pPr>
              <w:spacing w:after="0"/>
              <w:rPr>
                <w:sz w:val="24"/>
                <w:szCs w:val="24"/>
                <w:color w:val="auto"/>
              </w:rPr>
            </w:pPr>
          </w:p>
        </w:tc>
        <w:tc>
          <w:tcPr>
            <w:tcW w:w="280" w:type="dxa"/>
            <w:vAlign w:val="bottom"/>
            <w:shd w:val="clear" w:color="auto" w:fill="CCFFCC"/>
          </w:tcPr>
          <w:p>
            <w:pPr>
              <w:spacing w:after="0"/>
              <w:rPr>
                <w:sz w:val="24"/>
                <w:szCs w:val="24"/>
                <w:color w:val="auto"/>
              </w:rPr>
            </w:pPr>
          </w:p>
        </w:tc>
        <w:tc>
          <w:tcPr>
            <w:tcW w:w="88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2,886</w:t>
            </w:r>
          </w:p>
        </w:tc>
        <w:tc>
          <w:tcPr>
            <w:tcW w:w="340" w:type="dxa"/>
            <w:vAlign w:val="bottom"/>
            <w:shd w:val="clear" w:color="auto" w:fill="CCFFCC"/>
          </w:tcPr>
          <w:p>
            <w:pPr>
              <w:spacing w:after="0"/>
              <w:rPr>
                <w:sz w:val="24"/>
                <w:szCs w:val="24"/>
                <w:color w:val="auto"/>
              </w:rPr>
            </w:pPr>
          </w:p>
        </w:tc>
        <w:tc>
          <w:tcPr>
            <w:tcW w:w="160" w:type="dxa"/>
            <w:vAlign w:val="bottom"/>
            <w:shd w:val="clear" w:color="auto" w:fill="CCFFCC"/>
          </w:tcPr>
          <w:p>
            <w:pPr>
              <w:spacing w:after="0"/>
              <w:rPr>
                <w:sz w:val="24"/>
                <w:szCs w:val="24"/>
                <w:color w:val="auto"/>
              </w:rPr>
            </w:pPr>
          </w:p>
        </w:tc>
        <w:tc>
          <w:tcPr>
            <w:tcW w:w="96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7,600</w:t>
            </w:r>
          </w:p>
        </w:tc>
        <w:tc>
          <w:tcPr>
            <w:tcW w:w="340" w:type="dxa"/>
            <w:vAlign w:val="bottom"/>
            <w:shd w:val="clear" w:color="auto" w:fill="CCFFCC"/>
          </w:tcPr>
          <w:p>
            <w:pPr>
              <w:spacing w:after="0"/>
              <w:rPr>
                <w:sz w:val="24"/>
                <w:szCs w:val="24"/>
                <w:color w:val="auto"/>
              </w:rPr>
            </w:pPr>
          </w:p>
        </w:tc>
        <w:tc>
          <w:tcPr>
            <w:tcW w:w="260" w:type="dxa"/>
            <w:vAlign w:val="bottom"/>
            <w:shd w:val="clear" w:color="auto" w:fill="CCFFCC"/>
          </w:tcPr>
          <w:p>
            <w:pPr>
              <w:spacing w:after="0"/>
              <w:rPr>
                <w:sz w:val="24"/>
                <w:szCs w:val="24"/>
                <w:color w:val="auto"/>
              </w:rPr>
            </w:pPr>
          </w:p>
        </w:tc>
        <w:tc>
          <w:tcPr>
            <w:tcW w:w="86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8,793</w:t>
            </w:r>
          </w:p>
        </w:tc>
        <w:tc>
          <w:tcPr>
            <w:tcW w:w="340" w:type="dxa"/>
            <w:vAlign w:val="bottom"/>
            <w:shd w:val="clear" w:color="auto" w:fill="CCFFCC"/>
          </w:tcPr>
          <w:p>
            <w:pPr>
              <w:spacing w:after="0"/>
              <w:rPr>
                <w:sz w:val="24"/>
                <w:szCs w:val="24"/>
                <w:color w:val="auto"/>
              </w:rPr>
            </w:pPr>
          </w:p>
        </w:tc>
      </w:tr>
      <w:tr>
        <w:trPr>
          <w:trHeight w:val="264"/>
        </w:trPr>
        <w:tc>
          <w:tcPr>
            <w:tcW w:w="5500" w:type="dxa"/>
            <w:vAlign w:val="bottom"/>
          </w:tcPr>
          <w:p>
            <w:pPr>
              <w:ind w:left="280"/>
              <w:spacing w:after="0"/>
              <w:rPr>
                <w:sz w:val="20"/>
                <w:szCs w:val="20"/>
                <w:color w:val="auto"/>
              </w:rPr>
            </w:pPr>
            <w:r>
              <w:rPr>
                <w:rFonts w:ascii="Arial" w:cs="Arial" w:eastAsia="Arial" w:hAnsi="Arial"/>
                <w:sz w:val="14"/>
                <w:szCs w:val="14"/>
                <w:color w:val="auto"/>
              </w:rPr>
              <w:t>Depreciation</w:t>
            </w:r>
          </w:p>
        </w:tc>
        <w:tc>
          <w:tcPr>
            <w:tcW w:w="16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2,650</w:t>
            </w: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2,939</w:t>
            </w: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9,445</w:t>
            </w:r>
          </w:p>
        </w:tc>
        <w:tc>
          <w:tcPr>
            <w:tcW w:w="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8,599</w:t>
            </w:r>
          </w:p>
        </w:tc>
        <w:tc>
          <w:tcPr>
            <w:tcW w:w="340" w:type="dxa"/>
            <w:vAlign w:val="bottom"/>
          </w:tcPr>
          <w:p>
            <w:pPr>
              <w:spacing w:after="0"/>
              <w:rPr>
                <w:sz w:val="22"/>
                <w:szCs w:val="22"/>
                <w:color w:val="auto"/>
              </w:rPr>
            </w:pPr>
          </w:p>
        </w:tc>
      </w:tr>
      <w:tr>
        <w:trPr>
          <w:trHeight w:val="276"/>
        </w:trPr>
        <w:tc>
          <w:tcPr>
            <w:tcW w:w="5500" w:type="dxa"/>
            <w:vAlign w:val="bottom"/>
            <w:shd w:val="clear" w:color="auto" w:fill="CCFFCC"/>
          </w:tcPr>
          <w:p>
            <w:pPr>
              <w:ind w:left="280"/>
              <w:spacing w:after="0"/>
              <w:rPr>
                <w:sz w:val="20"/>
                <w:szCs w:val="20"/>
                <w:color w:val="auto"/>
              </w:rPr>
            </w:pPr>
            <w:r>
              <w:rPr>
                <w:rFonts w:ascii="Arial" w:cs="Arial" w:eastAsia="Arial" w:hAnsi="Arial"/>
                <w:sz w:val="14"/>
                <w:szCs w:val="14"/>
                <w:color w:val="auto"/>
              </w:rPr>
              <w:t>Other non-recurring costs</w:t>
            </w:r>
          </w:p>
        </w:tc>
        <w:tc>
          <w:tcPr>
            <w:tcW w:w="160" w:type="dxa"/>
            <w:vAlign w:val="bottom"/>
            <w:shd w:val="clear" w:color="auto" w:fill="CCFFCC"/>
          </w:tcPr>
          <w:p>
            <w:pPr>
              <w:spacing w:after="0"/>
              <w:rPr>
                <w:sz w:val="24"/>
                <w:szCs w:val="24"/>
                <w:color w:val="auto"/>
              </w:rPr>
            </w:pPr>
          </w:p>
        </w:tc>
        <w:tc>
          <w:tcPr>
            <w:tcW w:w="100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930</w:t>
            </w:r>
          </w:p>
        </w:tc>
        <w:tc>
          <w:tcPr>
            <w:tcW w:w="340" w:type="dxa"/>
            <w:vAlign w:val="bottom"/>
            <w:shd w:val="clear" w:color="auto" w:fill="CCFFCC"/>
          </w:tcPr>
          <w:p>
            <w:pPr>
              <w:jc w:val="right"/>
              <w:ind w:right="162"/>
              <w:spacing w:after="0"/>
              <w:rPr>
                <w:sz w:val="20"/>
                <w:szCs w:val="20"/>
                <w:color w:val="auto"/>
              </w:rPr>
            </w:pPr>
            <w:r>
              <w:rPr>
                <w:rFonts w:ascii="Arial" w:cs="Arial" w:eastAsia="Arial" w:hAnsi="Arial"/>
                <w:sz w:val="9"/>
                <w:szCs w:val="9"/>
                <w:color w:val="auto"/>
                <w:w w:val="90"/>
              </w:rPr>
              <w:t>(1)</w:t>
            </w:r>
          </w:p>
        </w:tc>
        <w:tc>
          <w:tcPr>
            <w:tcW w:w="280" w:type="dxa"/>
            <w:vAlign w:val="bottom"/>
            <w:shd w:val="clear" w:color="auto" w:fill="CCFFCC"/>
          </w:tcPr>
          <w:p>
            <w:pPr>
              <w:spacing w:after="0"/>
              <w:rPr>
                <w:sz w:val="24"/>
                <w:szCs w:val="24"/>
                <w:color w:val="auto"/>
              </w:rPr>
            </w:pPr>
          </w:p>
        </w:tc>
        <w:tc>
          <w:tcPr>
            <w:tcW w:w="1220" w:type="dxa"/>
            <w:vAlign w:val="bottom"/>
            <w:gridSpan w:val="2"/>
            <w:shd w:val="clear" w:color="auto" w:fill="CCFFCC"/>
          </w:tcPr>
          <w:p>
            <w:pPr>
              <w:jc w:val="right"/>
              <w:ind w:right="4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FFCC"/>
          </w:tcPr>
          <w:p>
            <w:pPr>
              <w:spacing w:after="0"/>
              <w:rPr>
                <w:sz w:val="24"/>
                <w:szCs w:val="24"/>
                <w:color w:val="auto"/>
              </w:rPr>
            </w:pPr>
          </w:p>
        </w:tc>
        <w:tc>
          <w:tcPr>
            <w:tcW w:w="96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3,368</w:t>
            </w:r>
          </w:p>
        </w:tc>
        <w:tc>
          <w:tcPr>
            <w:tcW w:w="340" w:type="dxa"/>
            <w:vAlign w:val="bottom"/>
            <w:shd w:val="clear" w:color="auto" w:fill="CCFFCC"/>
          </w:tcPr>
          <w:p>
            <w:pPr>
              <w:jc w:val="right"/>
              <w:ind w:right="142"/>
              <w:spacing w:after="0"/>
              <w:rPr>
                <w:sz w:val="20"/>
                <w:szCs w:val="20"/>
                <w:color w:val="auto"/>
              </w:rPr>
            </w:pPr>
            <w:r>
              <w:rPr>
                <w:rFonts w:ascii="Arial" w:cs="Arial" w:eastAsia="Arial" w:hAnsi="Arial"/>
                <w:sz w:val="9"/>
                <w:szCs w:val="9"/>
                <w:color w:val="auto"/>
              </w:rPr>
              <w:t>(2)</w:t>
            </w:r>
          </w:p>
        </w:tc>
        <w:tc>
          <w:tcPr>
            <w:tcW w:w="260" w:type="dxa"/>
            <w:vAlign w:val="bottom"/>
            <w:shd w:val="clear" w:color="auto" w:fill="CCFFCC"/>
          </w:tcPr>
          <w:p>
            <w:pPr>
              <w:spacing w:after="0"/>
              <w:rPr>
                <w:sz w:val="24"/>
                <w:szCs w:val="24"/>
                <w:color w:val="auto"/>
              </w:rPr>
            </w:pPr>
          </w:p>
        </w:tc>
        <w:tc>
          <w:tcPr>
            <w:tcW w:w="86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w:t>
            </w:r>
          </w:p>
        </w:tc>
        <w:tc>
          <w:tcPr>
            <w:tcW w:w="340" w:type="dxa"/>
            <w:vAlign w:val="bottom"/>
            <w:shd w:val="clear" w:color="auto" w:fill="CCFFCC"/>
          </w:tcPr>
          <w:p>
            <w:pPr>
              <w:spacing w:after="0"/>
              <w:rPr>
                <w:sz w:val="24"/>
                <w:szCs w:val="24"/>
                <w:color w:val="auto"/>
              </w:rPr>
            </w:pPr>
          </w:p>
        </w:tc>
      </w:tr>
      <w:tr>
        <w:trPr>
          <w:trHeight w:val="264"/>
        </w:trPr>
        <w:tc>
          <w:tcPr>
            <w:tcW w:w="5500" w:type="dxa"/>
            <w:vAlign w:val="bottom"/>
          </w:tcPr>
          <w:p>
            <w:pPr>
              <w:ind w:left="280"/>
              <w:spacing w:after="0"/>
              <w:rPr>
                <w:sz w:val="20"/>
                <w:szCs w:val="20"/>
                <w:color w:val="auto"/>
              </w:rPr>
            </w:pPr>
            <w:r>
              <w:rPr>
                <w:rFonts w:ascii="Arial" w:cs="Arial" w:eastAsia="Arial" w:hAnsi="Arial"/>
                <w:sz w:val="14"/>
                <w:szCs w:val="14"/>
                <w:color w:val="auto"/>
              </w:rPr>
              <w:t>Contingent earn-out adjustments</w:t>
            </w:r>
          </w:p>
        </w:tc>
        <w:tc>
          <w:tcPr>
            <w:tcW w:w="16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 xml:space="preserve">(3,132)  </w:t>
            </w:r>
            <w:r>
              <w:rPr>
                <w:rFonts w:ascii="Arial" w:cs="Arial" w:eastAsia="Arial" w:hAnsi="Arial"/>
                <w:sz w:val="8"/>
                <w:szCs w:val="8"/>
                <w:color w:val="auto"/>
              </w:rPr>
              <w:t>(3)</w:t>
            </w:r>
          </w:p>
        </w:tc>
        <w:tc>
          <w:tcPr>
            <w:tcW w:w="16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(3,792)</w:t>
            </w:r>
          </w:p>
        </w:tc>
        <w:tc>
          <w:tcPr>
            <w:tcW w:w="340" w:type="dxa"/>
            <w:vAlign w:val="bottom"/>
          </w:tcPr>
          <w:p>
            <w:pPr>
              <w:jc w:val="right"/>
              <w:ind w:right="155"/>
              <w:spacing w:after="0"/>
              <w:rPr>
                <w:sz w:val="20"/>
                <w:szCs w:val="20"/>
                <w:color w:val="auto"/>
              </w:rPr>
            </w:pPr>
            <w:r>
              <w:rPr>
                <w:rFonts w:ascii="Arial" w:cs="Arial" w:eastAsia="Arial" w:hAnsi="Arial"/>
                <w:sz w:val="9"/>
                <w:szCs w:val="9"/>
                <w:color w:val="auto"/>
              </w:rPr>
              <w:t>(3)</w:t>
            </w:r>
          </w:p>
        </w:tc>
      </w:tr>
      <w:tr>
        <w:trPr>
          <w:trHeight w:val="276"/>
        </w:trPr>
        <w:tc>
          <w:tcPr>
            <w:tcW w:w="5500" w:type="dxa"/>
            <w:vAlign w:val="bottom"/>
            <w:shd w:val="clear" w:color="auto" w:fill="CCFFCC"/>
          </w:tcPr>
          <w:p>
            <w:pPr>
              <w:ind w:left="280"/>
              <w:spacing w:after="0"/>
              <w:rPr>
                <w:sz w:val="20"/>
                <w:szCs w:val="20"/>
                <w:color w:val="auto"/>
              </w:rPr>
            </w:pPr>
            <w:r>
              <w:rPr>
                <w:rFonts w:ascii="Arial" w:cs="Arial" w:eastAsia="Arial" w:hAnsi="Arial"/>
                <w:sz w:val="14"/>
                <w:szCs w:val="14"/>
                <w:color w:val="auto"/>
              </w:rPr>
              <w:t>Restructuring costs</w:t>
            </w:r>
          </w:p>
        </w:tc>
        <w:tc>
          <w:tcPr>
            <w:tcW w:w="160" w:type="dxa"/>
            <w:vAlign w:val="bottom"/>
            <w:shd w:val="clear" w:color="auto" w:fill="CCFFCC"/>
          </w:tcPr>
          <w:p>
            <w:pPr>
              <w:spacing w:after="0"/>
              <w:rPr>
                <w:sz w:val="24"/>
                <w:szCs w:val="24"/>
                <w:color w:val="auto"/>
              </w:rPr>
            </w:pPr>
          </w:p>
        </w:tc>
        <w:tc>
          <w:tcPr>
            <w:tcW w:w="1000" w:type="dxa"/>
            <w:vAlign w:val="bottom"/>
            <w:shd w:val="clear" w:color="auto" w:fill="CCFFCC"/>
          </w:tcPr>
          <w:p>
            <w:pPr>
              <w:jc w:val="right"/>
              <w:ind w:right="8"/>
              <w:spacing w:after="0"/>
              <w:rPr>
                <w:sz w:val="20"/>
                <w:szCs w:val="20"/>
                <w:color w:val="auto"/>
              </w:rPr>
            </w:pPr>
            <w:r>
              <w:rPr>
                <w:rFonts w:ascii="Arial" w:cs="Arial" w:eastAsia="Arial" w:hAnsi="Arial"/>
                <w:sz w:val="14"/>
                <w:szCs w:val="14"/>
                <w:color w:val="auto"/>
              </w:rPr>
              <w:t>(384)</w:t>
            </w:r>
          </w:p>
        </w:tc>
        <w:tc>
          <w:tcPr>
            <w:tcW w:w="340" w:type="dxa"/>
            <w:vAlign w:val="bottom"/>
            <w:shd w:val="clear" w:color="auto" w:fill="CCFFCC"/>
          </w:tcPr>
          <w:p>
            <w:pPr>
              <w:jc w:val="right"/>
              <w:ind w:right="162"/>
              <w:spacing w:after="0"/>
              <w:rPr>
                <w:sz w:val="20"/>
                <w:szCs w:val="20"/>
                <w:color w:val="auto"/>
              </w:rPr>
            </w:pPr>
            <w:r>
              <w:rPr>
                <w:rFonts w:ascii="Arial" w:cs="Arial" w:eastAsia="Arial" w:hAnsi="Arial"/>
                <w:sz w:val="9"/>
                <w:szCs w:val="9"/>
                <w:color w:val="auto"/>
                <w:w w:val="90"/>
              </w:rPr>
              <w:t>(4)</w:t>
            </w:r>
          </w:p>
        </w:tc>
        <w:tc>
          <w:tcPr>
            <w:tcW w:w="280" w:type="dxa"/>
            <w:vAlign w:val="bottom"/>
            <w:shd w:val="clear" w:color="auto" w:fill="CCFFCC"/>
          </w:tcPr>
          <w:p>
            <w:pPr>
              <w:spacing w:after="0"/>
              <w:rPr>
                <w:sz w:val="24"/>
                <w:szCs w:val="24"/>
                <w:color w:val="auto"/>
              </w:rPr>
            </w:pPr>
          </w:p>
        </w:tc>
        <w:tc>
          <w:tcPr>
            <w:tcW w:w="1220" w:type="dxa"/>
            <w:vAlign w:val="bottom"/>
            <w:gridSpan w:val="2"/>
            <w:shd w:val="clear" w:color="auto" w:fill="CCFFCC"/>
          </w:tcPr>
          <w:p>
            <w:pPr>
              <w:jc w:val="right"/>
              <w:ind w:right="4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FFCC"/>
          </w:tcPr>
          <w:p>
            <w:pPr>
              <w:spacing w:after="0"/>
              <w:rPr>
                <w:sz w:val="24"/>
                <w:szCs w:val="24"/>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(384)</w:t>
            </w:r>
          </w:p>
        </w:tc>
        <w:tc>
          <w:tcPr>
            <w:tcW w:w="340" w:type="dxa"/>
            <w:vAlign w:val="bottom"/>
            <w:shd w:val="clear" w:color="auto" w:fill="CCFFCC"/>
          </w:tcPr>
          <w:p>
            <w:pPr>
              <w:jc w:val="right"/>
              <w:ind w:right="142"/>
              <w:spacing w:after="0"/>
              <w:rPr>
                <w:sz w:val="20"/>
                <w:szCs w:val="20"/>
                <w:color w:val="auto"/>
              </w:rPr>
            </w:pPr>
            <w:r>
              <w:rPr>
                <w:rFonts w:ascii="Arial" w:cs="Arial" w:eastAsia="Arial" w:hAnsi="Arial"/>
                <w:sz w:val="9"/>
                <w:szCs w:val="9"/>
                <w:color w:val="auto"/>
              </w:rPr>
              <w:t>(4)</w:t>
            </w:r>
          </w:p>
        </w:tc>
        <w:tc>
          <w:tcPr>
            <w:tcW w:w="260" w:type="dxa"/>
            <w:vAlign w:val="bottom"/>
            <w:shd w:val="clear" w:color="auto" w:fill="CCFFCC"/>
          </w:tcPr>
          <w:p>
            <w:pPr>
              <w:spacing w:after="0"/>
              <w:rPr>
                <w:sz w:val="24"/>
                <w:szCs w:val="24"/>
                <w:color w:val="auto"/>
              </w:rPr>
            </w:pPr>
          </w:p>
        </w:tc>
        <w:tc>
          <w:tcPr>
            <w:tcW w:w="86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2,988</w:t>
            </w:r>
          </w:p>
        </w:tc>
        <w:tc>
          <w:tcPr>
            <w:tcW w:w="340" w:type="dxa"/>
            <w:vAlign w:val="bottom"/>
            <w:shd w:val="clear" w:color="auto" w:fill="CCFFCC"/>
          </w:tcPr>
          <w:p>
            <w:pPr>
              <w:jc w:val="right"/>
              <w:ind w:right="155"/>
              <w:spacing w:after="0"/>
              <w:rPr>
                <w:sz w:val="20"/>
                <w:szCs w:val="20"/>
                <w:color w:val="auto"/>
              </w:rPr>
            </w:pPr>
            <w:r>
              <w:rPr>
                <w:rFonts w:ascii="Arial" w:cs="Arial" w:eastAsia="Arial" w:hAnsi="Arial"/>
                <w:sz w:val="9"/>
                <w:szCs w:val="9"/>
                <w:color w:val="auto"/>
              </w:rPr>
              <w:t>(5)</w:t>
            </w:r>
          </w:p>
        </w:tc>
      </w:tr>
      <w:tr>
        <w:trPr>
          <w:trHeight w:val="264"/>
        </w:trPr>
        <w:tc>
          <w:tcPr>
            <w:tcW w:w="5500" w:type="dxa"/>
            <w:vAlign w:val="bottom"/>
          </w:tcPr>
          <w:p>
            <w:pPr>
              <w:ind w:left="280"/>
              <w:spacing w:after="0"/>
              <w:rPr>
                <w:sz w:val="20"/>
                <w:szCs w:val="20"/>
                <w:color w:val="auto"/>
              </w:rPr>
            </w:pPr>
            <w:r>
              <w:rPr>
                <w:rFonts w:ascii="Arial" w:cs="Arial" w:eastAsia="Arial" w:hAnsi="Arial"/>
                <w:sz w:val="14"/>
                <w:szCs w:val="14"/>
                <w:color w:val="auto"/>
              </w:rPr>
              <w:t>Provision for (benefit from) income taxes</w:t>
            </w:r>
          </w:p>
        </w:tc>
        <w:tc>
          <w:tcPr>
            <w:tcW w:w="16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3,177</w:t>
            </w: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(395)</w:t>
            </w: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5,038</w:t>
            </w:r>
          </w:p>
        </w:tc>
        <w:tc>
          <w:tcPr>
            <w:tcW w:w="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(2,721)</w:t>
            </w:r>
          </w:p>
        </w:tc>
        <w:tc>
          <w:tcPr>
            <w:tcW w:w="340" w:type="dxa"/>
            <w:vAlign w:val="bottom"/>
          </w:tcPr>
          <w:p>
            <w:pPr>
              <w:spacing w:after="0"/>
              <w:rPr>
                <w:sz w:val="22"/>
                <w:szCs w:val="22"/>
                <w:color w:val="auto"/>
              </w:rPr>
            </w:pPr>
          </w:p>
        </w:tc>
      </w:tr>
      <w:tr>
        <w:trPr>
          <w:trHeight w:val="270"/>
        </w:trPr>
        <w:tc>
          <w:tcPr>
            <w:tcW w:w="5500" w:type="dxa"/>
            <w:vAlign w:val="bottom"/>
            <w:shd w:val="clear" w:color="auto" w:fill="CCFFCC"/>
          </w:tcPr>
          <w:p>
            <w:pPr>
              <w:ind w:left="280"/>
              <w:spacing w:after="0"/>
              <w:rPr>
                <w:sz w:val="20"/>
                <w:szCs w:val="20"/>
                <w:color w:val="auto"/>
              </w:rPr>
            </w:pPr>
            <w:r>
              <w:rPr>
                <w:rFonts w:ascii="Arial" w:cs="Arial" w:eastAsia="Arial" w:hAnsi="Arial"/>
                <w:sz w:val="14"/>
                <w:szCs w:val="14"/>
                <w:color w:val="auto"/>
              </w:rPr>
              <w:t>Other expense</w:t>
            </w:r>
          </w:p>
        </w:tc>
        <w:tc>
          <w:tcPr>
            <w:tcW w:w="160" w:type="dxa"/>
            <w:vAlign w:val="bottom"/>
            <w:tcBorders>
              <w:bottom w:val="single" w:sz="8" w:color="auto"/>
            </w:tcBorders>
            <w:shd w:val="clear" w:color="auto" w:fill="CCFFCC"/>
          </w:tcPr>
          <w:p>
            <w:pPr>
              <w:spacing w:after="0"/>
              <w:rPr>
                <w:sz w:val="23"/>
                <w:szCs w:val="23"/>
                <w:color w:val="auto"/>
              </w:rPr>
            </w:pPr>
          </w:p>
        </w:tc>
        <w:tc>
          <w:tcPr>
            <w:tcW w:w="1000" w:type="dxa"/>
            <w:vAlign w:val="bottom"/>
            <w:tcBorders>
              <w:bottom w:val="single" w:sz="8" w:color="auto"/>
            </w:tcBorders>
            <w:shd w:val="clear" w:color="auto" w:fill="CCFFCC"/>
          </w:tcPr>
          <w:p>
            <w:pPr>
              <w:jc w:val="right"/>
              <w:ind w:right="48"/>
              <w:spacing w:after="0"/>
              <w:rPr>
                <w:sz w:val="20"/>
                <w:szCs w:val="20"/>
                <w:color w:val="auto"/>
              </w:rPr>
            </w:pPr>
            <w:r>
              <w:rPr>
                <w:rFonts w:ascii="Arial" w:cs="Arial" w:eastAsia="Arial" w:hAnsi="Arial"/>
                <w:sz w:val="14"/>
                <w:szCs w:val="14"/>
                <w:color w:val="auto"/>
              </w:rPr>
              <w:t>123</w:t>
            </w:r>
          </w:p>
        </w:tc>
        <w:tc>
          <w:tcPr>
            <w:tcW w:w="340" w:type="dxa"/>
            <w:vAlign w:val="bottom"/>
            <w:shd w:val="clear" w:color="auto" w:fill="CCFFCC"/>
          </w:tcPr>
          <w:p>
            <w:pPr>
              <w:spacing w:after="0"/>
              <w:rPr>
                <w:sz w:val="23"/>
                <w:szCs w:val="23"/>
                <w:color w:val="auto"/>
              </w:rPr>
            </w:pPr>
          </w:p>
        </w:tc>
        <w:tc>
          <w:tcPr>
            <w:tcW w:w="280" w:type="dxa"/>
            <w:vAlign w:val="bottom"/>
            <w:tcBorders>
              <w:bottom w:val="single" w:sz="8" w:color="auto"/>
            </w:tcBorders>
            <w:shd w:val="clear" w:color="auto" w:fill="CCFFCC"/>
          </w:tcPr>
          <w:p>
            <w:pPr>
              <w:spacing w:after="0"/>
              <w:rPr>
                <w:sz w:val="23"/>
                <w:szCs w:val="23"/>
                <w:color w:val="auto"/>
              </w:rPr>
            </w:pPr>
          </w:p>
        </w:tc>
        <w:tc>
          <w:tcPr>
            <w:tcW w:w="880" w:type="dxa"/>
            <w:vAlign w:val="bottom"/>
            <w:tcBorders>
              <w:bottom w:val="single" w:sz="8" w:color="auto"/>
            </w:tcBorders>
            <w:shd w:val="clear" w:color="auto" w:fill="CCFFCC"/>
          </w:tcPr>
          <w:p>
            <w:pPr>
              <w:jc w:val="right"/>
              <w:ind w:right="48"/>
              <w:spacing w:after="0"/>
              <w:rPr>
                <w:sz w:val="20"/>
                <w:szCs w:val="20"/>
                <w:color w:val="auto"/>
              </w:rPr>
            </w:pPr>
            <w:r>
              <w:rPr>
                <w:rFonts w:ascii="Arial" w:cs="Arial" w:eastAsia="Arial" w:hAnsi="Arial"/>
                <w:sz w:val="14"/>
                <w:szCs w:val="14"/>
                <w:color w:val="auto"/>
              </w:rPr>
              <w:t>369</w:t>
            </w:r>
          </w:p>
        </w:tc>
        <w:tc>
          <w:tcPr>
            <w:tcW w:w="340" w:type="dxa"/>
            <w:vAlign w:val="bottom"/>
            <w:shd w:val="clear" w:color="auto" w:fill="CCFFCC"/>
          </w:tcPr>
          <w:p>
            <w:pPr>
              <w:spacing w:after="0"/>
              <w:rPr>
                <w:sz w:val="23"/>
                <w:szCs w:val="23"/>
                <w:color w:val="auto"/>
              </w:rPr>
            </w:pPr>
          </w:p>
        </w:tc>
        <w:tc>
          <w:tcPr>
            <w:tcW w:w="160" w:type="dxa"/>
            <w:vAlign w:val="bottom"/>
            <w:tcBorders>
              <w:bottom w:val="single" w:sz="8" w:color="auto"/>
            </w:tcBorders>
            <w:shd w:val="clear" w:color="auto" w:fill="CCFFCC"/>
          </w:tcPr>
          <w:p>
            <w:pPr>
              <w:spacing w:after="0"/>
              <w:rPr>
                <w:sz w:val="23"/>
                <w:szCs w:val="23"/>
                <w:color w:val="auto"/>
              </w:rPr>
            </w:pPr>
          </w:p>
        </w:tc>
        <w:tc>
          <w:tcPr>
            <w:tcW w:w="960" w:type="dxa"/>
            <w:vAlign w:val="bottom"/>
            <w:tcBorders>
              <w:bottom w:val="single" w:sz="8" w:color="auto"/>
            </w:tcBorders>
            <w:shd w:val="clear" w:color="auto" w:fill="CCFFCC"/>
          </w:tcPr>
          <w:p>
            <w:pPr>
              <w:jc w:val="right"/>
              <w:ind w:right="28"/>
              <w:spacing w:after="0"/>
              <w:rPr>
                <w:sz w:val="20"/>
                <w:szCs w:val="20"/>
                <w:color w:val="auto"/>
              </w:rPr>
            </w:pPr>
            <w:r>
              <w:rPr>
                <w:rFonts w:ascii="Arial" w:cs="Arial" w:eastAsia="Arial" w:hAnsi="Arial"/>
                <w:sz w:val="14"/>
                <w:szCs w:val="14"/>
                <w:color w:val="auto"/>
              </w:rPr>
              <w:t>135</w:t>
            </w:r>
          </w:p>
        </w:tc>
        <w:tc>
          <w:tcPr>
            <w:tcW w:w="340" w:type="dxa"/>
            <w:vAlign w:val="bottom"/>
            <w:shd w:val="clear" w:color="auto" w:fill="CCFFCC"/>
          </w:tcPr>
          <w:p>
            <w:pPr>
              <w:spacing w:after="0"/>
              <w:rPr>
                <w:sz w:val="23"/>
                <w:szCs w:val="23"/>
                <w:color w:val="auto"/>
              </w:rPr>
            </w:pPr>
          </w:p>
        </w:tc>
        <w:tc>
          <w:tcPr>
            <w:tcW w:w="260" w:type="dxa"/>
            <w:vAlign w:val="bottom"/>
            <w:tcBorders>
              <w:bottom w:val="single" w:sz="8" w:color="auto"/>
            </w:tcBorders>
            <w:shd w:val="clear" w:color="auto" w:fill="CCFFCC"/>
          </w:tcPr>
          <w:p>
            <w:pPr>
              <w:spacing w:after="0"/>
              <w:rPr>
                <w:sz w:val="23"/>
                <w:szCs w:val="23"/>
                <w:color w:val="auto"/>
              </w:rPr>
            </w:pPr>
          </w:p>
        </w:tc>
        <w:tc>
          <w:tcPr>
            <w:tcW w:w="860" w:type="dxa"/>
            <w:vAlign w:val="bottom"/>
            <w:tcBorders>
              <w:bottom w:val="single" w:sz="8" w:color="auto"/>
            </w:tcBorders>
            <w:shd w:val="clear" w:color="auto" w:fill="CCFFCC"/>
          </w:tcPr>
          <w:p>
            <w:pPr>
              <w:jc w:val="right"/>
              <w:ind w:right="28"/>
              <w:spacing w:after="0"/>
              <w:rPr>
                <w:sz w:val="20"/>
                <w:szCs w:val="20"/>
                <w:color w:val="auto"/>
              </w:rPr>
            </w:pPr>
            <w:r>
              <w:rPr>
                <w:rFonts w:ascii="Arial" w:cs="Arial" w:eastAsia="Arial" w:hAnsi="Arial"/>
                <w:sz w:val="14"/>
                <w:szCs w:val="14"/>
                <w:color w:val="auto"/>
              </w:rPr>
              <w:t>371</w:t>
            </w:r>
          </w:p>
        </w:tc>
        <w:tc>
          <w:tcPr>
            <w:tcW w:w="340" w:type="dxa"/>
            <w:vAlign w:val="bottom"/>
            <w:shd w:val="clear" w:color="auto" w:fill="CCFFCC"/>
          </w:tcPr>
          <w:p>
            <w:pPr>
              <w:spacing w:after="0"/>
              <w:rPr>
                <w:sz w:val="23"/>
                <w:szCs w:val="23"/>
                <w:color w:val="auto"/>
              </w:rPr>
            </w:pPr>
          </w:p>
        </w:tc>
      </w:tr>
      <w:tr>
        <w:trPr>
          <w:trHeight w:val="283"/>
        </w:trPr>
        <w:tc>
          <w:tcPr>
            <w:tcW w:w="5500" w:type="dxa"/>
            <w:vAlign w:val="bottom"/>
          </w:tcPr>
          <w:p>
            <w:pPr>
              <w:ind w:left="40"/>
              <w:spacing w:after="0"/>
              <w:rPr>
                <w:sz w:val="20"/>
                <w:szCs w:val="20"/>
                <w:color w:val="auto"/>
              </w:rPr>
            </w:pPr>
            <w:r>
              <w:rPr>
                <w:rFonts w:ascii="Arial" w:cs="Arial" w:eastAsia="Arial" w:hAnsi="Arial"/>
                <w:sz w:val="14"/>
                <w:szCs w:val="14"/>
                <w:color w:val="auto"/>
              </w:rPr>
              <w:t>Adjusted EBITDA</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4,582</w:t>
            </w:r>
          </w:p>
        </w:tc>
        <w:tc>
          <w:tcPr>
            <w:tcW w:w="6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6,545</w:t>
            </w:r>
          </w:p>
        </w:tc>
        <w:tc>
          <w:tcPr>
            <w:tcW w:w="34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13,939</w:t>
            </w: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14,873</w:t>
            </w:r>
          </w:p>
        </w:tc>
        <w:tc>
          <w:tcPr>
            <w:tcW w:w="340" w:type="dxa"/>
            <w:vAlign w:val="bottom"/>
          </w:tcPr>
          <w:p>
            <w:pPr>
              <w:spacing w:after="0"/>
              <w:rPr>
                <w:sz w:val="24"/>
                <w:szCs w:val="24"/>
                <w:color w:val="auto"/>
              </w:rPr>
            </w:pPr>
          </w:p>
        </w:tc>
      </w:tr>
      <w:tr>
        <w:trPr>
          <w:trHeight w:val="264"/>
        </w:trPr>
        <w:tc>
          <w:tcPr>
            <w:tcW w:w="5500" w:type="dxa"/>
            <w:vAlign w:val="bottom"/>
            <w:tcBorders>
              <w:top w:val="single" w:sz="8" w:color="CCFFCC"/>
            </w:tcBorders>
            <w:shd w:val="clear" w:color="auto" w:fill="CCFFCC"/>
          </w:tcPr>
          <w:p>
            <w:pPr>
              <w:spacing w:after="0"/>
              <w:rPr>
                <w:sz w:val="22"/>
                <w:szCs w:val="22"/>
                <w:color w:val="auto"/>
              </w:rPr>
            </w:pPr>
          </w:p>
        </w:tc>
        <w:tc>
          <w:tcPr>
            <w:tcW w:w="160" w:type="dxa"/>
            <w:vAlign w:val="bottom"/>
            <w:tcBorders>
              <w:top w:val="single" w:sz="8" w:color="auto"/>
            </w:tcBorders>
            <w:shd w:val="clear" w:color="auto" w:fill="CCFFCC"/>
          </w:tcPr>
          <w:p>
            <w:pPr>
              <w:spacing w:after="0"/>
              <w:rPr>
                <w:sz w:val="22"/>
                <w:szCs w:val="22"/>
                <w:color w:val="auto"/>
              </w:rPr>
            </w:pPr>
          </w:p>
        </w:tc>
        <w:tc>
          <w:tcPr>
            <w:tcW w:w="1000" w:type="dxa"/>
            <w:vAlign w:val="bottom"/>
            <w:tcBorders>
              <w:top w:val="single" w:sz="8" w:color="auto"/>
            </w:tcBorders>
            <w:shd w:val="clear" w:color="auto" w:fill="CCFFCC"/>
          </w:tcPr>
          <w:p>
            <w:pPr>
              <w:spacing w:after="0"/>
              <w:rPr>
                <w:sz w:val="22"/>
                <w:szCs w:val="22"/>
                <w:color w:val="auto"/>
              </w:rPr>
            </w:pPr>
          </w:p>
        </w:tc>
        <w:tc>
          <w:tcPr>
            <w:tcW w:w="340" w:type="dxa"/>
            <w:vAlign w:val="bottom"/>
            <w:tcBorders>
              <w:top w:val="single" w:sz="8" w:color="CCFFCC"/>
            </w:tcBorders>
            <w:shd w:val="clear" w:color="auto" w:fill="CCFFCC"/>
          </w:tcPr>
          <w:p>
            <w:pPr>
              <w:spacing w:after="0"/>
              <w:rPr>
                <w:sz w:val="22"/>
                <w:szCs w:val="22"/>
                <w:color w:val="auto"/>
              </w:rPr>
            </w:pPr>
          </w:p>
        </w:tc>
        <w:tc>
          <w:tcPr>
            <w:tcW w:w="280" w:type="dxa"/>
            <w:vAlign w:val="bottom"/>
            <w:tcBorders>
              <w:top w:val="single" w:sz="8" w:color="auto"/>
            </w:tcBorders>
            <w:shd w:val="clear" w:color="auto" w:fill="CCFFCC"/>
          </w:tcPr>
          <w:p>
            <w:pPr>
              <w:spacing w:after="0"/>
              <w:rPr>
                <w:sz w:val="22"/>
                <w:szCs w:val="22"/>
                <w:color w:val="auto"/>
              </w:rPr>
            </w:pPr>
          </w:p>
        </w:tc>
        <w:tc>
          <w:tcPr>
            <w:tcW w:w="880" w:type="dxa"/>
            <w:vAlign w:val="bottom"/>
            <w:tcBorders>
              <w:top w:val="single" w:sz="8" w:color="auto"/>
            </w:tcBorders>
            <w:shd w:val="clear" w:color="auto" w:fill="CCFFCC"/>
          </w:tcPr>
          <w:p>
            <w:pPr>
              <w:spacing w:after="0"/>
              <w:rPr>
                <w:sz w:val="22"/>
                <w:szCs w:val="22"/>
                <w:color w:val="auto"/>
              </w:rPr>
            </w:pPr>
          </w:p>
        </w:tc>
        <w:tc>
          <w:tcPr>
            <w:tcW w:w="340" w:type="dxa"/>
            <w:vAlign w:val="bottom"/>
            <w:tcBorders>
              <w:top w:val="single" w:sz="8" w:color="CCFFCC"/>
            </w:tcBorders>
            <w:shd w:val="clear" w:color="auto" w:fill="CCFFCC"/>
          </w:tcPr>
          <w:p>
            <w:pPr>
              <w:spacing w:after="0"/>
              <w:rPr>
                <w:sz w:val="22"/>
                <w:szCs w:val="22"/>
                <w:color w:val="auto"/>
              </w:rPr>
            </w:pPr>
          </w:p>
        </w:tc>
        <w:tc>
          <w:tcPr>
            <w:tcW w:w="160" w:type="dxa"/>
            <w:vAlign w:val="bottom"/>
            <w:tcBorders>
              <w:top w:val="single" w:sz="8" w:color="auto"/>
            </w:tcBorders>
            <w:shd w:val="clear" w:color="auto" w:fill="CCFFCC"/>
          </w:tcPr>
          <w:p>
            <w:pPr>
              <w:spacing w:after="0"/>
              <w:rPr>
                <w:sz w:val="22"/>
                <w:szCs w:val="22"/>
                <w:color w:val="auto"/>
              </w:rPr>
            </w:pPr>
          </w:p>
        </w:tc>
        <w:tc>
          <w:tcPr>
            <w:tcW w:w="960" w:type="dxa"/>
            <w:vAlign w:val="bottom"/>
            <w:tcBorders>
              <w:top w:val="single" w:sz="8" w:color="auto"/>
            </w:tcBorders>
            <w:shd w:val="clear" w:color="auto" w:fill="CCFFCC"/>
          </w:tcPr>
          <w:p>
            <w:pPr>
              <w:spacing w:after="0"/>
              <w:rPr>
                <w:sz w:val="22"/>
                <w:szCs w:val="22"/>
                <w:color w:val="auto"/>
              </w:rPr>
            </w:pPr>
          </w:p>
        </w:tc>
        <w:tc>
          <w:tcPr>
            <w:tcW w:w="340" w:type="dxa"/>
            <w:vAlign w:val="bottom"/>
            <w:tcBorders>
              <w:top w:val="single" w:sz="8" w:color="CCFFCC"/>
            </w:tcBorders>
            <w:shd w:val="clear" w:color="auto" w:fill="CCFFCC"/>
          </w:tcPr>
          <w:p>
            <w:pPr>
              <w:spacing w:after="0"/>
              <w:rPr>
                <w:sz w:val="22"/>
                <w:szCs w:val="22"/>
                <w:color w:val="auto"/>
              </w:rPr>
            </w:pPr>
          </w:p>
        </w:tc>
        <w:tc>
          <w:tcPr>
            <w:tcW w:w="260" w:type="dxa"/>
            <w:vAlign w:val="bottom"/>
            <w:tcBorders>
              <w:top w:val="single" w:sz="8" w:color="auto"/>
            </w:tcBorders>
            <w:shd w:val="clear" w:color="auto" w:fill="CCFFCC"/>
          </w:tcPr>
          <w:p>
            <w:pPr>
              <w:spacing w:after="0"/>
              <w:rPr>
                <w:sz w:val="22"/>
                <w:szCs w:val="22"/>
                <w:color w:val="auto"/>
              </w:rPr>
            </w:pPr>
          </w:p>
        </w:tc>
        <w:tc>
          <w:tcPr>
            <w:tcW w:w="860" w:type="dxa"/>
            <w:vAlign w:val="bottom"/>
            <w:tcBorders>
              <w:top w:val="single" w:sz="8" w:color="auto"/>
            </w:tcBorders>
            <w:shd w:val="clear" w:color="auto" w:fill="CCFFCC"/>
          </w:tcPr>
          <w:p>
            <w:pPr>
              <w:spacing w:after="0"/>
              <w:rPr>
                <w:sz w:val="22"/>
                <w:szCs w:val="22"/>
                <w:color w:val="auto"/>
              </w:rPr>
            </w:pPr>
          </w:p>
        </w:tc>
        <w:tc>
          <w:tcPr>
            <w:tcW w:w="340" w:type="dxa"/>
            <w:vAlign w:val="bottom"/>
            <w:tcBorders>
              <w:top w:val="single" w:sz="8" w:color="CCFFCC"/>
            </w:tcBorders>
            <w:shd w:val="clear" w:color="auto" w:fill="CCFFCC"/>
          </w:tcPr>
          <w:p>
            <w:pPr>
              <w:spacing w:after="0"/>
              <w:rPr>
                <w:sz w:val="22"/>
                <w:szCs w:val="22"/>
                <w:color w:val="auto"/>
              </w:rPr>
            </w:pPr>
          </w:p>
        </w:tc>
      </w:tr>
    </w:tbl>
    <w:p>
      <w:pPr>
        <w:spacing w:after="0" w:line="76" w:lineRule="exact"/>
        <w:rPr>
          <w:sz w:val="20"/>
          <w:szCs w:val="20"/>
          <w:color w:val="auto"/>
        </w:rPr>
      </w:pPr>
    </w:p>
    <w:p>
      <w:pPr>
        <w:ind w:left="180" w:hanging="145"/>
        <w:spacing w:after="0"/>
        <w:tabs>
          <w:tab w:leader="none" w:pos="180" w:val="left"/>
        </w:tabs>
        <w:numPr>
          <w:ilvl w:val="0"/>
          <w:numId w:val="20"/>
        </w:numPr>
        <w:rPr>
          <w:rFonts w:ascii="Arial" w:cs="Arial" w:eastAsia="Arial" w:hAnsi="Arial"/>
          <w:sz w:val="9"/>
          <w:szCs w:val="9"/>
          <w:color w:val="auto"/>
        </w:rPr>
      </w:pPr>
      <w:r>
        <w:rPr>
          <w:rFonts w:ascii="Arial" w:cs="Arial" w:eastAsia="Arial" w:hAnsi="Arial"/>
          <w:sz w:val="14"/>
          <w:szCs w:val="14"/>
          <w:color w:val="auto"/>
        </w:rPr>
        <w:t>Includes litigation costs of $0.9 million for the three months ended.</w:t>
      </w:r>
    </w:p>
    <w:p>
      <w:pPr>
        <w:spacing w:after="0" w:line="41" w:lineRule="exact"/>
        <w:rPr>
          <w:rFonts w:ascii="Arial" w:cs="Arial" w:eastAsia="Arial" w:hAnsi="Arial"/>
          <w:sz w:val="9"/>
          <w:szCs w:val="9"/>
          <w:color w:val="auto"/>
        </w:rPr>
      </w:pPr>
    </w:p>
    <w:p>
      <w:pPr>
        <w:ind w:left="40" w:right="480" w:hanging="5"/>
        <w:spacing w:after="0" w:line="253" w:lineRule="auto"/>
        <w:tabs>
          <w:tab w:leader="none" w:pos="181" w:val="left"/>
        </w:tabs>
        <w:numPr>
          <w:ilvl w:val="0"/>
          <w:numId w:val="20"/>
        </w:numPr>
        <w:rPr>
          <w:rFonts w:ascii="Arial" w:cs="Arial" w:eastAsia="Arial" w:hAnsi="Arial"/>
          <w:sz w:val="9"/>
          <w:szCs w:val="9"/>
          <w:color w:val="auto"/>
        </w:rPr>
      </w:pPr>
      <w:r>
        <w:rPr>
          <w:rFonts w:ascii="Arial" w:cs="Arial" w:eastAsia="Arial" w:hAnsi="Arial"/>
          <w:sz w:val="14"/>
          <w:szCs w:val="14"/>
          <w:color w:val="auto"/>
        </w:rPr>
        <w:t>Includes litigation costs of $2.9 million and severance costs of $0.5 million for the nine months ended. For comparability, amounts have been reclassified where appropriate, to conform to current period presentation.</w:t>
      </w:r>
    </w:p>
    <w:p>
      <w:pPr>
        <w:spacing w:after="0" w:line="79" w:lineRule="exact"/>
        <w:rPr>
          <w:rFonts w:ascii="Arial" w:cs="Arial" w:eastAsia="Arial" w:hAnsi="Arial"/>
          <w:sz w:val="9"/>
          <w:szCs w:val="9"/>
          <w:color w:val="auto"/>
        </w:rPr>
      </w:pPr>
    </w:p>
    <w:p>
      <w:pPr>
        <w:ind w:left="180" w:hanging="145"/>
        <w:spacing w:after="0"/>
        <w:tabs>
          <w:tab w:leader="none" w:pos="180" w:val="left"/>
        </w:tabs>
        <w:numPr>
          <w:ilvl w:val="0"/>
          <w:numId w:val="20"/>
        </w:numPr>
        <w:rPr>
          <w:rFonts w:ascii="Arial" w:cs="Arial" w:eastAsia="Arial" w:hAnsi="Arial"/>
          <w:sz w:val="9"/>
          <w:szCs w:val="9"/>
          <w:color w:val="auto"/>
        </w:rPr>
      </w:pPr>
      <w:r>
        <w:rPr>
          <w:rFonts w:ascii="Arial" w:cs="Arial" w:eastAsia="Arial" w:hAnsi="Arial"/>
          <w:sz w:val="14"/>
          <w:szCs w:val="14"/>
          <w:color w:val="auto"/>
        </w:rPr>
        <w:t>For comparability, amounts have been reclassified where appropriate, to conform to prior period presentation.</w:t>
      </w:r>
    </w:p>
    <w:p>
      <w:pPr>
        <w:spacing w:after="0" w:line="109" w:lineRule="exact"/>
        <w:rPr>
          <w:rFonts w:ascii="Arial" w:cs="Arial" w:eastAsia="Arial" w:hAnsi="Arial"/>
          <w:sz w:val="9"/>
          <w:szCs w:val="9"/>
          <w:color w:val="auto"/>
        </w:rPr>
      </w:pPr>
    </w:p>
    <w:p>
      <w:pPr>
        <w:ind w:left="160" w:hanging="125"/>
        <w:spacing w:after="0"/>
        <w:tabs>
          <w:tab w:leader="none" w:pos="160" w:val="left"/>
        </w:tabs>
        <w:numPr>
          <w:ilvl w:val="0"/>
          <w:numId w:val="20"/>
        </w:numPr>
        <w:rPr>
          <w:rFonts w:ascii="Arial" w:cs="Arial" w:eastAsia="Arial" w:hAnsi="Arial"/>
          <w:sz w:val="9"/>
          <w:szCs w:val="9"/>
          <w:color w:val="auto"/>
        </w:rPr>
      </w:pPr>
      <w:r>
        <w:rPr>
          <w:rFonts w:ascii="Arial" w:cs="Arial" w:eastAsia="Arial" w:hAnsi="Arial"/>
          <w:sz w:val="14"/>
          <w:szCs w:val="14"/>
          <w:color w:val="auto"/>
        </w:rPr>
        <w:t>Includes $0.4 million of cash collected on previously written off bad debt.</w:t>
      </w:r>
    </w:p>
    <w:p>
      <w:pPr>
        <w:spacing w:after="0" w:line="109" w:lineRule="exact"/>
        <w:rPr>
          <w:rFonts w:ascii="Arial" w:cs="Arial" w:eastAsia="Arial" w:hAnsi="Arial"/>
          <w:sz w:val="9"/>
          <w:szCs w:val="9"/>
          <w:color w:val="auto"/>
        </w:rPr>
      </w:pPr>
    </w:p>
    <w:p>
      <w:pPr>
        <w:ind w:left="160" w:hanging="125"/>
        <w:spacing w:after="0"/>
        <w:tabs>
          <w:tab w:leader="none" w:pos="160" w:val="left"/>
        </w:tabs>
        <w:numPr>
          <w:ilvl w:val="0"/>
          <w:numId w:val="20"/>
        </w:numPr>
        <w:rPr>
          <w:rFonts w:ascii="Arial" w:cs="Arial" w:eastAsia="Arial" w:hAnsi="Arial"/>
          <w:sz w:val="9"/>
          <w:szCs w:val="9"/>
          <w:color w:val="auto"/>
        </w:rPr>
      </w:pPr>
      <w:r>
        <w:rPr>
          <w:rFonts w:ascii="Arial" w:cs="Arial" w:eastAsia="Arial" w:hAnsi="Arial"/>
          <w:sz w:val="14"/>
          <w:szCs w:val="14"/>
          <w:color w:val="auto"/>
        </w:rPr>
        <w:t>Includes approximately $1.7 million of termination costs associated with a large customer contract that ended in 2015 and $1.2 million of severance and other associated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-715645</wp:posOffset>
            </wp:positionV>
            <wp:extent cx="7246620" cy="2228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-321310</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Our use of adjusted net (loss) income has limitations as an analytical tool, and you should not consider it in isolation or as a substitute for analysis of our results as reported under GAAP. Some of these limitations are:</w:t>
      </w:r>
    </w:p>
    <w:p>
      <w:pPr>
        <w:spacing w:after="0" w:line="62" w:lineRule="exact"/>
        <w:rPr>
          <w:sz w:val="20"/>
          <w:szCs w:val="20"/>
          <w:color w:val="auto"/>
        </w:rPr>
      </w:pPr>
    </w:p>
    <w:p>
      <w:pPr>
        <w:ind w:left="1140" w:hanging="322"/>
        <w:spacing w:after="0" w:line="298" w:lineRule="auto"/>
        <w:tabs>
          <w:tab w:leader="none" w:pos="11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although amortization is a non-cash charge, the assets being amortized may have to be replaced in the future, and adjusted net (loss) income does not reflect cash capital expenditure requirements for such replacements or for new capital expenditure requirements;</w:t>
      </w:r>
    </w:p>
    <w:p>
      <w:pPr>
        <w:ind w:left="1140" w:hanging="322"/>
        <w:spacing w:after="0"/>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adjusted net (loss) income does not consider the potentially dilutive impact of equity-based compensation;</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adjusted net (loss) income does not consider the potentially dilutive impact of restructuring cost;</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adjusted net (loss) income does not consider the potentially dilutive impact of other non recurring costs;</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adjusted net (loss) income does not consider the potentially dilutive impact of deferred tax asset valuation allowance; and</w:t>
      </w:r>
    </w:p>
    <w:p>
      <w:pPr>
        <w:spacing w:after="0" w:line="63" w:lineRule="exact"/>
        <w:rPr>
          <w:rFonts w:ascii="Arial" w:cs="Arial" w:eastAsia="Arial" w:hAnsi="Arial"/>
          <w:sz w:val="18"/>
          <w:szCs w:val="18"/>
          <w:color w:val="auto"/>
        </w:rPr>
      </w:pPr>
    </w:p>
    <w:p>
      <w:pPr>
        <w:ind w:left="1140" w:hanging="322"/>
        <w:spacing w:after="0" w:line="277" w:lineRule="auto"/>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other companies, including companies in our industry, may calculate adjusted net income differently, which reduces its usefulness as a comparative measure.</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584" w:right="239" w:bottom="1440" w:gutter="0" w:footer="0" w:header="0"/>
        </w:sectPr>
      </w:pPr>
    </w:p>
    <w:bookmarkStart w:id="26" w:name="page27"/>
    <w:bookmarkEnd w:id="26"/>
    <w:p>
      <w:pPr>
        <w:jc w:val="both"/>
        <w:ind w:firstLine="648"/>
        <w:spacing w:after="0" w:line="264" w:lineRule="auto"/>
        <w:rPr>
          <w:sz w:val="20"/>
          <w:szCs w:val="20"/>
          <w:color w:val="auto"/>
        </w:rPr>
      </w:pPr>
      <w:r>
        <w:rPr>
          <w:rFonts w:ascii="Arial" w:cs="Arial" w:eastAsia="Arial" w:hAnsi="Arial"/>
          <w:sz w:val="18"/>
          <w:szCs w:val="18"/>
          <w:color w:val="auto"/>
        </w:rPr>
        <w:t>Because of these limitations, you should consider adjusted net (loss) income alongside other financial performance measures, including various cash flow metrics, net loss and our other GAAP results. The following table presents a reconciliation of adjusted net (loss) income for each of the periods indicated (amounts in thousands):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324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Three Months Ended September 30,</w:t>
            </w:r>
          </w:p>
        </w:tc>
        <w:tc>
          <w:tcPr>
            <w:tcW w:w="160" w:type="dxa"/>
            <w:vAlign w:val="bottom"/>
          </w:tcPr>
          <w:p>
            <w:pPr>
              <w:spacing w:after="0"/>
              <w:rPr>
                <w:sz w:val="16"/>
                <w:szCs w:val="16"/>
                <w:color w:val="auto"/>
              </w:rPr>
            </w:pPr>
          </w:p>
        </w:tc>
        <w:tc>
          <w:tcPr>
            <w:tcW w:w="2420" w:type="dxa"/>
            <w:vAlign w:val="bottom"/>
            <w:gridSpan w:val="4"/>
          </w:tcPr>
          <w:p>
            <w:pPr>
              <w:jc w:val="right"/>
              <w:ind w:right="128"/>
              <w:spacing w:after="0"/>
              <w:rPr>
                <w:sz w:val="20"/>
                <w:szCs w:val="20"/>
                <w:color w:val="auto"/>
              </w:rPr>
            </w:pPr>
            <w:r>
              <w:rPr>
                <w:rFonts w:ascii="Arial" w:cs="Arial" w:eastAsia="Arial" w:hAnsi="Arial"/>
                <w:sz w:val="14"/>
                <w:szCs w:val="14"/>
                <w:b w:val="1"/>
                <w:bCs w:val="1"/>
                <w:color w:val="auto"/>
                <w:w w:val="95"/>
              </w:rPr>
              <w:t>Nine Months Ended September 30,</w:t>
            </w:r>
          </w:p>
        </w:tc>
        <w:tc>
          <w:tcPr>
            <w:tcW w:w="340" w:type="dxa"/>
            <w:vAlign w:val="bottom"/>
          </w:tcPr>
          <w:p>
            <w:pPr>
              <w:spacing w:after="0"/>
              <w:rPr>
                <w:sz w:val="16"/>
                <w:szCs w:val="16"/>
                <w:color w:val="auto"/>
              </w:rPr>
            </w:pPr>
          </w:p>
        </w:tc>
      </w:tr>
      <w:tr>
        <w:trPr>
          <w:trHeight w:val="263"/>
        </w:trPr>
        <w:tc>
          <w:tcPr>
            <w:tcW w:w="5260" w:type="dxa"/>
            <w:vAlign w:val="bottom"/>
          </w:tcPr>
          <w:p>
            <w:pPr>
              <w:spacing w:after="0"/>
              <w:rPr>
                <w:sz w:val="22"/>
                <w:szCs w:val="2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0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2015</w:t>
            </w:r>
          </w:p>
        </w:tc>
        <w:tc>
          <w:tcPr>
            <w:tcW w:w="340" w:type="dxa"/>
            <w:vAlign w:val="bottom"/>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2016</w:t>
            </w:r>
          </w:p>
        </w:tc>
        <w:tc>
          <w:tcPr>
            <w:tcW w:w="340" w:type="dxa"/>
            <w:vAlign w:val="bottom"/>
            <w:tcBorders>
              <w:top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2015</w:t>
            </w:r>
          </w:p>
        </w:tc>
        <w:tc>
          <w:tcPr>
            <w:tcW w:w="340" w:type="dxa"/>
            <w:vAlign w:val="bottom"/>
          </w:tcPr>
          <w:p>
            <w:pPr>
              <w:spacing w:after="0"/>
              <w:rPr>
                <w:sz w:val="22"/>
                <w:szCs w:val="22"/>
                <w:color w:val="auto"/>
              </w:rPr>
            </w:pPr>
          </w:p>
        </w:tc>
      </w:tr>
      <w:tr>
        <w:trPr>
          <w:trHeight w:val="264"/>
        </w:trPr>
        <w:tc>
          <w:tcPr>
            <w:tcW w:w="5260" w:type="dxa"/>
            <w:vAlign w:val="bottom"/>
          </w:tcPr>
          <w:p>
            <w:pPr>
              <w:ind w:left="40"/>
              <w:spacing w:after="0"/>
              <w:rPr>
                <w:sz w:val="20"/>
                <w:szCs w:val="20"/>
                <w:color w:val="auto"/>
              </w:rPr>
            </w:pPr>
            <w:r>
              <w:rPr>
                <w:rFonts w:ascii="Arial" w:cs="Arial" w:eastAsia="Arial" w:hAnsi="Arial"/>
                <w:sz w:val="14"/>
                <w:szCs w:val="14"/>
                <w:b w:val="1"/>
                <w:bCs w:val="1"/>
                <w:color w:val="auto"/>
              </w:rPr>
              <w:t>Reconciliation of Adjusted Net (Loss) Income</w:t>
            </w:r>
          </w:p>
        </w:tc>
        <w:tc>
          <w:tcPr>
            <w:tcW w:w="7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40" w:type="dxa"/>
            <w:vAlign w:val="bottom"/>
          </w:tcPr>
          <w:p>
            <w:pPr>
              <w:spacing w:after="0"/>
              <w:rPr>
                <w:sz w:val="22"/>
                <w:szCs w:val="22"/>
                <w:color w:val="auto"/>
              </w:rPr>
            </w:pPr>
          </w:p>
        </w:tc>
      </w:tr>
      <w:tr>
        <w:trPr>
          <w:trHeight w:val="276"/>
        </w:trPr>
        <w:tc>
          <w:tcPr>
            <w:tcW w:w="5260" w:type="dxa"/>
            <w:vAlign w:val="bottom"/>
            <w:shd w:val="clear" w:color="auto" w:fill="CCFFCC"/>
          </w:tcPr>
          <w:p>
            <w:pPr>
              <w:ind w:left="280"/>
              <w:spacing w:after="0"/>
              <w:rPr>
                <w:sz w:val="20"/>
                <w:szCs w:val="20"/>
                <w:color w:val="auto"/>
              </w:rPr>
            </w:pPr>
            <w:r>
              <w:rPr>
                <w:rFonts w:ascii="Arial" w:cs="Arial" w:eastAsia="Arial" w:hAnsi="Arial"/>
                <w:sz w:val="14"/>
                <w:szCs w:val="14"/>
                <w:color w:val="auto"/>
              </w:rPr>
              <w:t>GAAP net (loss) income</w:t>
            </w:r>
          </w:p>
        </w:tc>
        <w:tc>
          <w:tcPr>
            <w:tcW w:w="780" w:type="dxa"/>
            <w:vAlign w:val="bottom"/>
            <w:shd w:val="clear" w:color="auto" w:fill="CCFFCC"/>
          </w:tcPr>
          <w:p>
            <w:pPr>
              <w:jc w:val="right"/>
              <w:ind w:right="608"/>
              <w:spacing w:after="0"/>
              <w:rPr>
                <w:sz w:val="20"/>
                <w:szCs w:val="20"/>
                <w:color w:val="auto"/>
              </w:rPr>
            </w:pPr>
            <w:r>
              <w:rPr>
                <w:rFonts w:ascii="Arial" w:cs="Arial" w:eastAsia="Arial" w:hAnsi="Arial"/>
                <w:sz w:val="14"/>
                <w:szCs w:val="14"/>
                <w:color w:val="auto"/>
              </w:rPr>
              <w:t>$</w:t>
            </w:r>
          </w:p>
        </w:tc>
        <w:tc>
          <w:tcPr>
            <w:tcW w:w="500" w:type="dxa"/>
            <w:vAlign w:val="bottom"/>
            <w:shd w:val="clear" w:color="auto" w:fill="CCFFCC"/>
          </w:tcPr>
          <w:p>
            <w:pPr>
              <w:jc w:val="right"/>
              <w:spacing w:after="0"/>
              <w:rPr>
                <w:sz w:val="20"/>
                <w:szCs w:val="20"/>
                <w:color w:val="auto"/>
              </w:rPr>
            </w:pPr>
            <w:r>
              <w:rPr>
                <w:rFonts w:ascii="Arial" w:cs="Arial" w:eastAsia="Arial" w:hAnsi="Arial"/>
                <w:sz w:val="14"/>
                <w:szCs w:val="14"/>
                <w:color w:val="auto"/>
                <w:w w:val="94"/>
              </w:rPr>
              <w:t>(5,879)</w:t>
            </w:r>
          </w:p>
        </w:tc>
        <w:tc>
          <w:tcPr>
            <w:tcW w:w="660" w:type="dxa"/>
            <w:vAlign w:val="bottom"/>
            <w:gridSpan w:val="2"/>
            <w:shd w:val="clear" w:color="auto" w:fill="CCFFCC"/>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1,925</w:t>
            </w:r>
          </w:p>
        </w:tc>
        <w:tc>
          <w:tcPr>
            <w:tcW w:w="340" w:type="dxa"/>
            <w:vAlign w:val="bottom"/>
            <w:shd w:val="clear" w:color="auto" w:fill="CCFFCC"/>
          </w:tcPr>
          <w:p>
            <w:pPr>
              <w:spacing w:after="0"/>
              <w:rPr>
                <w:sz w:val="24"/>
                <w:szCs w:val="24"/>
                <w:color w:val="auto"/>
              </w:rPr>
            </w:pPr>
          </w:p>
        </w:tc>
        <w:tc>
          <w:tcPr>
            <w:tcW w:w="1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(16,308)</w:t>
            </w:r>
          </w:p>
        </w:tc>
        <w:tc>
          <w:tcPr>
            <w:tcW w:w="600" w:type="dxa"/>
            <w:vAlign w:val="bottom"/>
            <w:gridSpan w:val="2"/>
            <w:shd w:val="clear" w:color="auto" w:fill="CCFFCC"/>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(5,487)</w:t>
            </w:r>
          </w:p>
        </w:tc>
        <w:tc>
          <w:tcPr>
            <w:tcW w:w="340" w:type="dxa"/>
            <w:vAlign w:val="bottom"/>
            <w:shd w:val="clear" w:color="auto" w:fill="CCFFCC"/>
          </w:tcPr>
          <w:p>
            <w:pPr>
              <w:spacing w:after="0"/>
              <w:rPr>
                <w:sz w:val="24"/>
                <w:szCs w:val="24"/>
                <w:color w:val="auto"/>
              </w:rPr>
            </w:pPr>
          </w:p>
        </w:tc>
      </w:tr>
      <w:tr>
        <w:trPr>
          <w:trHeight w:val="264"/>
        </w:trPr>
        <w:tc>
          <w:tcPr>
            <w:tcW w:w="5260" w:type="dxa"/>
            <w:vAlign w:val="bottom"/>
          </w:tcPr>
          <w:p>
            <w:pPr>
              <w:ind w:left="280"/>
              <w:spacing w:after="0"/>
              <w:rPr>
                <w:sz w:val="20"/>
                <w:szCs w:val="20"/>
                <w:color w:val="auto"/>
              </w:rPr>
            </w:pPr>
            <w:r>
              <w:rPr>
                <w:rFonts w:ascii="Arial" w:cs="Arial" w:eastAsia="Arial" w:hAnsi="Arial"/>
                <w:sz w:val="14"/>
                <w:szCs w:val="14"/>
                <w:color w:val="auto"/>
              </w:rPr>
              <w:t>Amortization of purchased intangibles</w:t>
            </w:r>
          </w:p>
        </w:tc>
        <w:tc>
          <w:tcPr>
            <w:tcW w:w="780" w:type="dxa"/>
            <w:vAlign w:val="bottom"/>
          </w:tcPr>
          <w:p>
            <w:pPr>
              <w:spacing w:after="0"/>
              <w:rPr>
                <w:sz w:val="22"/>
                <w:szCs w:val="22"/>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1,710</w:t>
            </w:r>
          </w:p>
        </w:tc>
        <w:tc>
          <w:tcPr>
            <w:tcW w:w="3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1,953</w:t>
            </w: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5,045</w:t>
            </w:r>
          </w:p>
        </w:tc>
        <w:tc>
          <w:tcPr>
            <w:tcW w:w="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6,122</w:t>
            </w:r>
          </w:p>
        </w:tc>
        <w:tc>
          <w:tcPr>
            <w:tcW w:w="340" w:type="dxa"/>
            <w:vAlign w:val="bottom"/>
          </w:tcPr>
          <w:p>
            <w:pPr>
              <w:spacing w:after="0"/>
              <w:rPr>
                <w:sz w:val="22"/>
                <w:szCs w:val="22"/>
                <w:color w:val="auto"/>
              </w:rPr>
            </w:pPr>
          </w:p>
        </w:tc>
      </w:tr>
      <w:tr>
        <w:trPr>
          <w:trHeight w:val="276"/>
        </w:trPr>
        <w:tc>
          <w:tcPr>
            <w:tcW w:w="5260" w:type="dxa"/>
            <w:vAlign w:val="bottom"/>
            <w:shd w:val="clear" w:color="auto" w:fill="CCFFCC"/>
          </w:tcPr>
          <w:p>
            <w:pPr>
              <w:ind w:left="280"/>
              <w:spacing w:after="0"/>
              <w:rPr>
                <w:sz w:val="20"/>
                <w:szCs w:val="20"/>
                <w:color w:val="auto"/>
              </w:rPr>
            </w:pPr>
            <w:r>
              <w:rPr>
                <w:rFonts w:ascii="Arial" w:cs="Arial" w:eastAsia="Arial" w:hAnsi="Arial"/>
                <w:sz w:val="14"/>
                <w:szCs w:val="14"/>
                <w:color w:val="auto"/>
              </w:rPr>
              <w:t>Stock-based compensation</w:t>
            </w:r>
          </w:p>
        </w:tc>
        <w:tc>
          <w:tcPr>
            <w:tcW w:w="780" w:type="dxa"/>
            <w:vAlign w:val="bottom"/>
            <w:shd w:val="clear" w:color="auto" w:fill="CCFFCC"/>
          </w:tcPr>
          <w:p>
            <w:pPr>
              <w:spacing w:after="0"/>
              <w:rPr>
                <w:sz w:val="24"/>
                <w:szCs w:val="24"/>
                <w:color w:val="auto"/>
              </w:rPr>
            </w:pPr>
          </w:p>
        </w:tc>
        <w:tc>
          <w:tcPr>
            <w:tcW w:w="50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2,255</w:t>
            </w:r>
          </w:p>
        </w:tc>
        <w:tc>
          <w:tcPr>
            <w:tcW w:w="360" w:type="dxa"/>
            <w:vAlign w:val="bottom"/>
            <w:shd w:val="clear" w:color="auto" w:fill="CCFFCC"/>
          </w:tcPr>
          <w:p>
            <w:pPr>
              <w:spacing w:after="0"/>
              <w:rPr>
                <w:sz w:val="24"/>
                <w:szCs w:val="24"/>
                <w:color w:val="auto"/>
              </w:rPr>
            </w:pPr>
          </w:p>
        </w:tc>
        <w:tc>
          <w:tcPr>
            <w:tcW w:w="300" w:type="dxa"/>
            <w:vAlign w:val="bottom"/>
            <w:shd w:val="clear" w:color="auto" w:fill="CCFFCC"/>
          </w:tcPr>
          <w:p>
            <w:pPr>
              <w:spacing w:after="0"/>
              <w:rPr>
                <w:sz w:val="24"/>
                <w:szCs w:val="24"/>
                <w:color w:val="auto"/>
              </w:rPr>
            </w:pPr>
          </w:p>
        </w:tc>
        <w:tc>
          <w:tcPr>
            <w:tcW w:w="96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2,886</w:t>
            </w:r>
          </w:p>
        </w:tc>
        <w:tc>
          <w:tcPr>
            <w:tcW w:w="340" w:type="dxa"/>
            <w:vAlign w:val="bottom"/>
            <w:shd w:val="clear" w:color="auto" w:fill="CCFFCC"/>
          </w:tcPr>
          <w:p>
            <w:pPr>
              <w:spacing w:after="0"/>
              <w:rPr>
                <w:sz w:val="24"/>
                <w:szCs w:val="24"/>
                <w:color w:val="auto"/>
              </w:rPr>
            </w:pPr>
          </w:p>
        </w:tc>
        <w:tc>
          <w:tcPr>
            <w:tcW w:w="160" w:type="dxa"/>
            <w:vAlign w:val="bottom"/>
            <w:shd w:val="clear" w:color="auto" w:fill="CCFFCC"/>
          </w:tcPr>
          <w:p>
            <w:pPr>
              <w:spacing w:after="0"/>
              <w:rPr>
                <w:sz w:val="24"/>
                <w:szCs w:val="24"/>
                <w:color w:val="auto"/>
              </w:rPr>
            </w:pPr>
          </w:p>
        </w:tc>
        <w:tc>
          <w:tcPr>
            <w:tcW w:w="96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7,600</w:t>
            </w:r>
          </w:p>
        </w:tc>
        <w:tc>
          <w:tcPr>
            <w:tcW w:w="340" w:type="dxa"/>
            <w:vAlign w:val="bottom"/>
            <w:shd w:val="clear" w:color="auto" w:fill="CCFFCC"/>
          </w:tcPr>
          <w:p>
            <w:pPr>
              <w:spacing w:after="0"/>
              <w:rPr>
                <w:sz w:val="24"/>
                <w:szCs w:val="24"/>
                <w:color w:val="auto"/>
              </w:rPr>
            </w:pPr>
          </w:p>
        </w:tc>
        <w:tc>
          <w:tcPr>
            <w:tcW w:w="260" w:type="dxa"/>
            <w:vAlign w:val="bottom"/>
            <w:shd w:val="clear" w:color="auto" w:fill="CCFFCC"/>
          </w:tcPr>
          <w:p>
            <w:pPr>
              <w:spacing w:after="0"/>
              <w:rPr>
                <w:sz w:val="24"/>
                <w:szCs w:val="24"/>
                <w:color w:val="auto"/>
              </w:rPr>
            </w:pPr>
          </w:p>
        </w:tc>
        <w:tc>
          <w:tcPr>
            <w:tcW w:w="86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8,793</w:t>
            </w:r>
          </w:p>
        </w:tc>
        <w:tc>
          <w:tcPr>
            <w:tcW w:w="340" w:type="dxa"/>
            <w:vAlign w:val="bottom"/>
            <w:shd w:val="clear" w:color="auto" w:fill="CCFFCC"/>
          </w:tcPr>
          <w:p>
            <w:pPr>
              <w:spacing w:after="0"/>
              <w:rPr>
                <w:sz w:val="24"/>
                <w:szCs w:val="24"/>
                <w:color w:val="auto"/>
              </w:rPr>
            </w:pPr>
          </w:p>
        </w:tc>
      </w:tr>
      <w:tr>
        <w:trPr>
          <w:trHeight w:val="264"/>
        </w:trPr>
        <w:tc>
          <w:tcPr>
            <w:tcW w:w="5260" w:type="dxa"/>
            <w:vAlign w:val="bottom"/>
          </w:tcPr>
          <w:p>
            <w:pPr>
              <w:ind w:left="280"/>
              <w:spacing w:after="0"/>
              <w:rPr>
                <w:sz w:val="20"/>
                <w:szCs w:val="20"/>
                <w:color w:val="auto"/>
              </w:rPr>
            </w:pPr>
            <w:r>
              <w:rPr>
                <w:rFonts w:ascii="Arial" w:cs="Arial" w:eastAsia="Arial" w:hAnsi="Arial"/>
                <w:sz w:val="14"/>
                <w:szCs w:val="14"/>
                <w:color w:val="auto"/>
              </w:rPr>
              <w:t>Other non-recurring costs</w:t>
            </w:r>
          </w:p>
        </w:tc>
        <w:tc>
          <w:tcPr>
            <w:tcW w:w="780" w:type="dxa"/>
            <w:vAlign w:val="bottom"/>
          </w:tcPr>
          <w:p>
            <w:pPr>
              <w:spacing w:after="0"/>
              <w:rPr>
                <w:sz w:val="22"/>
                <w:szCs w:val="22"/>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930</w:t>
            </w:r>
          </w:p>
        </w:tc>
        <w:tc>
          <w:tcPr>
            <w:tcW w:w="360" w:type="dxa"/>
            <w:vAlign w:val="bottom"/>
          </w:tcPr>
          <w:p>
            <w:pPr>
              <w:jc w:val="right"/>
              <w:ind w:right="168"/>
              <w:spacing w:after="0"/>
              <w:rPr>
                <w:sz w:val="20"/>
                <w:szCs w:val="20"/>
                <w:color w:val="auto"/>
              </w:rPr>
            </w:pPr>
            <w:r>
              <w:rPr>
                <w:rFonts w:ascii="Arial" w:cs="Arial" w:eastAsia="Arial" w:hAnsi="Arial"/>
                <w:sz w:val="9"/>
                <w:szCs w:val="9"/>
                <w:color w:val="auto"/>
              </w:rPr>
              <w:t>(1)</w:t>
            </w:r>
          </w:p>
        </w:tc>
        <w:tc>
          <w:tcPr>
            <w:tcW w:w="300" w:type="dxa"/>
            <w:vAlign w:val="bottom"/>
          </w:tcPr>
          <w:p>
            <w:pPr>
              <w:spacing w:after="0"/>
              <w:rPr>
                <w:sz w:val="22"/>
                <w:szCs w:val="22"/>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3,718</w:t>
            </w:r>
          </w:p>
        </w:tc>
        <w:tc>
          <w:tcPr>
            <w:tcW w:w="340" w:type="dxa"/>
            <w:vAlign w:val="bottom"/>
          </w:tcPr>
          <w:p>
            <w:pPr>
              <w:jc w:val="right"/>
              <w:ind w:right="148"/>
              <w:spacing w:after="0"/>
              <w:rPr>
                <w:sz w:val="20"/>
                <w:szCs w:val="20"/>
                <w:color w:val="auto"/>
              </w:rPr>
            </w:pPr>
            <w:r>
              <w:rPr>
                <w:rFonts w:ascii="Arial" w:cs="Arial" w:eastAsia="Arial" w:hAnsi="Arial"/>
                <w:sz w:val="9"/>
                <w:szCs w:val="9"/>
                <w:color w:val="auto"/>
              </w:rPr>
              <w:t>(2)</w:t>
            </w: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r>
      <w:tr>
        <w:trPr>
          <w:trHeight w:val="276"/>
        </w:trPr>
        <w:tc>
          <w:tcPr>
            <w:tcW w:w="5260" w:type="dxa"/>
            <w:vAlign w:val="bottom"/>
            <w:shd w:val="clear" w:color="auto" w:fill="CCFFCC"/>
          </w:tcPr>
          <w:p>
            <w:pPr>
              <w:ind w:left="280"/>
              <w:spacing w:after="0"/>
              <w:rPr>
                <w:sz w:val="20"/>
                <w:szCs w:val="20"/>
                <w:color w:val="auto"/>
              </w:rPr>
            </w:pPr>
            <w:r>
              <w:rPr>
                <w:rFonts w:ascii="Arial" w:cs="Arial" w:eastAsia="Arial" w:hAnsi="Arial"/>
                <w:sz w:val="14"/>
                <w:szCs w:val="14"/>
                <w:color w:val="auto"/>
              </w:rPr>
              <w:t>Contingent earn-out adjustments</w:t>
            </w:r>
          </w:p>
        </w:tc>
        <w:tc>
          <w:tcPr>
            <w:tcW w:w="780" w:type="dxa"/>
            <w:vAlign w:val="bottom"/>
            <w:shd w:val="clear" w:color="auto" w:fill="CCFFCC"/>
          </w:tcPr>
          <w:p>
            <w:pPr>
              <w:spacing w:after="0"/>
              <w:rPr>
                <w:sz w:val="24"/>
                <w:szCs w:val="24"/>
                <w:color w:val="auto"/>
              </w:rPr>
            </w:pPr>
          </w:p>
        </w:tc>
        <w:tc>
          <w:tcPr>
            <w:tcW w:w="50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w:t>
            </w:r>
          </w:p>
        </w:tc>
        <w:tc>
          <w:tcPr>
            <w:tcW w:w="360" w:type="dxa"/>
            <w:vAlign w:val="bottom"/>
            <w:shd w:val="clear" w:color="auto" w:fill="CCFFCC"/>
          </w:tcPr>
          <w:p>
            <w:pPr>
              <w:spacing w:after="0"/>
              <w:rPr>
                <w:sz w:val="24"/>
                <w:szCs w:val="24"/>
                <w:color w:val="auto"/>
              </w:rPr>
            </w:pPr>
          </w:p>
        </w:tc>
        <w:tc>
          <w:tcPr>
            <w:tcW w:w="300" w:type="dxa"/>
            <w:vAlign w:val="bottom"/>
            <w:shd w:val="clear" w:color="auto" w:fill="CCFFCC"/>
          </w:tcPr>
          <w:p>
            <w:pPr>
              <w:spacing w:after="0"/>
              <w:rPr>
                <w:sz w:val="24"/>
                <w:szCs w:val="24"/>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(3,132)</w:t>
            </w:r>
          </w:p>
        </w:tc>
        <w:tc>
          <w:tcPr>
            <w:tcW w:w="340" w:type="dxa"/>
            <w:vAlign w:val="bottom"/>
            <w:shd w:val="clear" w:color="auto" w:fill="CCFFCC"/>
          </w:tcPr>
          <w:p>
            <w:pPr>
              <w:spacing w:after="0"/>
              <w:rPr>
                <w:sz w:val="24"/>
                <w:szCs w:val="24"/>
                <w:color w:val="auto"/>
              </w:rPr>
            </w:pPr>
          </w:p>
        </w:tc>
        <w:tc>
          <w:tcPr>
            <w:tcW w:w="160" w:type="dxa"/>
            <w:vAlign w:val="bottom"/>
            <w:shd w:val="clear" w:color="auto" w:fill="CCFFCC"/>
          </w:tcPr>
          <w:p>
            <w:pPr>
              <w:spacing w:after="0"/>
              <w:rPr>
                <w:sz w:val="24"/>
                <w:szCs w:val="24"/>
                <w:color w:val="auto"/>
              </w:rPr>
            </w:pPr>
          </w:p>
        </w:tc>
        <w:tc>
          <w:tcPr>
            <w:tcW w:w="96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w:t>
            </w:r>
          </w:p>
        </w:tc>
        <w:tc>
          <w:tcPr>
            <w:tcW w:w="340" w:type="dxa"/>
            <w:vAlign w:val="bottom"/>
            <w:shd w:val="clear" w:color="auto" w:fill="CCFFCC"/>
          </w:tcPr>
          <w:p>
            <w:pPr>
              <w:spacing w:after="0"/>
              <w:rPr>
                <w:sz w:val="24"/>
                <w:szCs w:val="24"/>
                <w:color w:val="auto"/>
              </w:rPr>
            </w:pPr>
          </w:p>
        </w:tc>
        <w:tc>
          <w:tcPr>
            <w:tcW w:w="260" w:type="dxa"/>
            <w:vAlign w:val="bottom"/>
            <w:shd w:val="clear" w:color="auto" w:fill="CCFFCC"/>
          </w:tcPr>
          <w:p>
            <w:pPr>
              <w:spacing w:after="0"/>
              <w:rPr>
                <w:sz w:val="24"/>
                <w:szCs w:val="24"/>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(3,792)</w:t>
            </w:r>
          </w:p>
        </w:tc>
        <w:tc>
          <w:tcPr>
            <w:tcW w:w="340" w:type="dxa"/>
            <w:vAlign w:val="bottom"/>
            <w:shd w:val="clear" w:color="auto" w:fill="CCFFCC"/>
          </w:tcPr>
          <w:p>
            <w:pPr>
              <w:spacing w:after="0"/>
              <w:rPr>
                <w:sz w:val="24"/>
                <w:szCs w:val="24"/>
                <w:color w:val="auto"/>
              </w:rPr>
            </w:pPr>
          </w:p>
        </w:tc>
      </w:tr>
      <w:tr>
        <w:trPr>
          <w:trHeight w:val="264"/>
        </w:trPr>
        <w:tc>
          <w:tcPr>
            <w:tcW w:w="5260" w:type="dxa"/>
            <w:vAlign w:val="bottom"/>
          </w:tcPr>
          <w:p>
            <w:pPr>
              <w:ind w:left="280"/>
              <w:spacing w:after="0"/>
              <w:rPr>
                <w:sz w:val="20"/>
                <w:szCs w:val="20"/>
                <w:color w:val="auto"/>
              </w:rPr>
            </w:pPr>
            <w:r>
              <w:rPr>
                <w:rFonts w:ascii="Arial" w:cs="Arial" w:eastAsia="Arial" w:hAnsi="Arial"/>
                <w:sz w:val="14"/>
                <w:szCs w:val="14"/>
                <w:color w:val="auto"/>
              </w:rPr>
              <w:t>Deferred tax asset valuation allowance</w:t>
            </w:r>
          </w:p>
        </w:tc>
        <w:tc>
          <w:tcPr>
            <w:tcW w:w="780" w:type="dxa"/>
            <w:vAlign w:val="bottom"/>
          </w:tcPr>
          <w:p>
            <w:pPr>
              <w:spacing w:after="0"/>
              <w:rPr>
                <w:sz w:val="22"/>
                <w:szCs w:val="22"/>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692</w:t>
            </w:r>
          </w:p>
        </w:tc>
        <w:tc>
          <w:tcPr>
            <w:tcW w:w="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r>
      <w:tr>
        <w:trPr>
          <w:trHeight w:val="276"/>
        </w:trPr>
        <w:tc>
          <w:tcPr>
            <w:tcW w:w="5260" w:type="dxa"/>
            <w:vAlign w:val="bottom"/>
            <w:shd w:val="clear" w:color="auto" w:fill="CCFFCC"/>
          </w:tcPr>
          <w:p>
            <w:pPr>
              <w:ind w:left="280"/>
              <w:spacing w:after="0"/>
              <w:rPr>
                <w:sz w:val="20"/>
                <w:szCs w:val="20"/>
                <w:color w:val="auto"/>
              </w:rPr>
            </w:pPr>
            <w:r>
              <w:rPr>
                <w:rFonts w:ascii="Arial" w:cs="Arial" w:eastAsia="Arial" w:hAnsi="Arial"/>
                <w:sz w:val="14"/>
                <w:szCs w:val="14"/>
                <w:color w:val="auto"/>
              </w:rPr>
              <w:t>Restructuring costs</w:t>
            </w:r>
          </w:p>
        </w:tc>
        <w:tc>
          <w:tcPr>
            <w:tcW w:w="780" w:type="dxa"/>
            <w:vAlign w:val="bottom"/>
            <w:shd w:val="clear" w:color="auto" w:fill="CCFFCC"/>
          </w:tcPr>
          <w:p>
            <w:pPr>
              <w:spacing w:after="0"/>
              <w:rPr>
                <w:sz w:val="24"/>
                <w:szCs w:val="24"/>
                <w:color w:val="auto"/>
              </w:rPr>
            </w:pPr>
          </w:p>
        </w:tc>
        <w:tc>
          <w:tcPr>
            <w:tcW w:w="5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(384)</w:t>
            </w:r>
          </w:p>
        </w:tc>
        <w:tc>
          <w:tcPr>
            <w:tcW w:w="360" w:type="dxa"/>
            <w:vAlign w:val="bottom"/>
            <w:shd w:val="clear" w:color="auto" w:fill="CCFFCC"/>
          </w:tcPr>
          <w:p>
            <w:pPr>
              <w:jc w:val="right"/>
              <w:ind w:right="168"/>
              <w:spacing w:after="0"/>
              <w:rPr>
                <w:sz w:val="20"/>
                <w:szCs w:val="20"/>
                <w:color w:val="auto"/>
              </w:rPr>
            </w:pPr>
            <w:r>
              <w:rPr>
                <w:rFonts w:ascii="Arial" w:cs="Arial" w:eastAsia="Arial" w:hAnsi="Arial"/>
                <w:sz w:val="9"/>
                <w:szCs w:val="9"/>
                <w:color w:val="auto"/>
              </w:rPr>
              <w:t>(3)</w:t>
            </w:r>
          </w:p>
        </w:tc>
        <w:tc>
          <w:tcPr>
            <w:tcW w:w="300" w:type="dxa"/>
            <w:vAlign w:val="bottom"/>
            <w:shd w:val="clear" w:color="auto" w:fill="CCFFCC"/>
          </w:tcPr>
          <w:p>
            <w:pPr>
              <w:spacing w:after="0"/>
              <w:rPr>
                <w:sz w:val="24"/>
                <w:szCs w:val="24"/>
                <w:color w:val="auto"/>
              </w:rPr>
            </w:pPr>
          </w:p>
        </w:tc>
        <w:tc>
          <w:tcPr>
            <w:tcW w:w="1300" w:type="dxa"/>
            <w:vAlign w:val="bottom"/>
            <w:gridSpan w:val="2"/>
            <w:shd w:val="clear" w:color="auto" w:fill="CCFFCC"/>
          </w:tcPr>
          <w:p>
            <w:pPr>
              <w:jc w:val="right"/>
              <w:ind w:right="4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FFCC"/>
          </w:tcPr>
          <w:p>
            <w:pPr>
              <w:spacing w:after="0"/>
              <w:rPr>
                <w:sz w:val="24"/>
                <w:szCs w:val="24"/>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(384)</w:t>
            </w:r>
          </w:p>
        </w:tc>
        <w:tc>
          <w:tcPr>
            <w:tcW w:w="340" w:type="dxa"/>
            <w:vAlign w:val="bottom"/>
            <w:shd w:val="clear" w:color="auto" w:fill="CCFFCC"/>
          </w:tcPr>
          <w:p>
            <w:pPr>
              <w:jc w:val="right"/>
              <w:ind w:right="148"/>
              <w:spacing w:after="0"/>
              <w:rPr>
                <w:sz w:val="20"/>
                <w:szCs w:val="20"/>
                <w:color w:val="auto"/>
              </w:rPr>
            </w:pPr>
            <w:r>
              <w:rPr>
                <w:rFonts w:ascii="Arial" w:cs="Arial" w:eastAsia="Arial" w:hAnsi="Arial"/>
                <w:sz w:val="9"/>
                <w:szCs w:val="9"/>
                <w:color w:val="auto"/>
              </w:rPr>
              <w:t>(3)</w:t>
            </w:r>
          </w:p>
        </w:tc>
        <w:tc>
          <w:tcPr>
            <w:tcW w:w="260" w:type="dxa"/>
            <w:vAlign w:val="bottom"/>
            <w:shd w:val="clear" w:color="auto" w:fill="CCFFCC"/>
          </w:tcPr>
          <w:p>
            <w:pPr>
              <w:spacing w:after="0"/>
              <w:rPr>
                <w:sz w:val="24"/>
                <w:szCs w:val="24"/>
                <w:color w:val="auto"/>
              </w:rPr>
            </w:pPr>
          </w:p>
        </w:tc>
        <w:tc>
          <w:tcPr>
            <w:tcW w:w="86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2,988</w:t>
            </w:r>
          </w:p>
        </w:tc>
        <w:tc>
          <w:tcPr>
            <w:tcW w:w="340" w:type="dxa"/>
            <w:vAlign w:val="bottom"/>
            <w:shd w:val="clear" w:color="auto" w:fill="CCFFCC"/>
          </w:tcPr>
          <w:p>
            <w:pPr>
              <w:jc w:val="right"/>
              <w:ind w:right="155"/>
              <w:spacing w:after="0"/>
              <w:rPr>
                <w:sz w:val="20"/>
                <w:szCs w:val="20"/>
                <w:color w:val="auto"/>
              </w:rPr>
            </w:pPr>
            <w:r>
              <w:rPr>
                <w:rFonts w:ascii="Arial" w:cs="Arial" w:eastAsia="Arial" w:hAnsi="Arial"/>
                <w:sz w:val="9"/>
                <w:szCs w:val="9"/>
                <w:color w:val="auto"/>
              </w:rPr>
              <w:t>(4)</w:t>
            </w:r>
          </w:p>
        </w:tc>
      </w:tr>
      <w:tr>
        <w:trPr>
          <w:trHeight w:val="197"/>
        </w:trPr>
        <w:tc>
          <w:tcPr>
            <w:tcW w:w="5260" w:type="dxa"/>
            <w:vAlign w:val="bottom"/>
          </w:tcPr>
          <w:p>
            <w:pPr>
              <w:ind w:left="280"/>
              <w:spacing w:after="0"/>
              <w:rPr>
                <w:sz w:val="20"/>
                <w:szCs w:val="20"/>
                <w:color w:val="auto"/>
              </w:rPr>
            </w:pPr>
            <w:r>
              <w:rPr>
                <w:rFonts w:ascii="Arial" w:cs="Arial" w:eastAsia="Arial" w:hAnsi="Arial"/>
                <w:sz w:val="14"/>
                <w:szCs w:val="14"/>
                <w:color w:val="auto"/>
              </w:rPr>
              <w:t>Income tax effect of non-GAAP items</w:t>
            </w:r>
          </w:p>
        </w:tc>
        <w:tc>
          <w:tcPr>
            <w:tcW w:w="7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w w:val="94"/>
              </w:rPr>
              <w:t>(1,579)</w:t>
            </w:r>
          </w:p>
        </w:tc>
        <w:tc>
          <w:tcPr>
            <w:tcW w:w="360" w:type="dxa"/>
            <w:vAlign w:val="bottom"/>
          </w:tcPr>
          <w:p>
            <w:pPr>
              <w:jc w:val="right"/>
              <w:ind w:right="168"/>
              <w:spacing w:after="0"/>
              <w:rPr>
                <w:sz w:val="20"/>
                <w:szCs w:val="20"/>
                <w:color w:val="auto"/>
              </w:rPr>
            </w:pPr>
            <w:r>
              <w:rPr>
                <w:rFonts w:ascii="Arial" w:cs="Arial" w:eastAsia="Arial" w:hAnsi="Arial"/>
                <w:sz w:val="9"/>
                <w:szCs w:val="9"/>
                <w:color w:val="auto"/>
              </w:rPr>
              <w:t>(5)</w:t>
            </w:r>
          </w:p>
        </w:tc>
        <w:tc>
          <w:tcPr>
            <w:tcW w:w="300" w:type="dxa"/>
            <w:vAlign w:val="bottom"/>
          </w:tcPr>
          <w:p>
            <w:pPr>
              <w:spacing w:after="0"/>
              <w:rPr>
                <w:sz w:val="17"/>
                <w:szCs w:val="17"/>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 xml:space="preserve">(1,580) </w:t>
            </w:r>
            <w:r>
              <w:rPr>
                <w:rFonts w:ascii="Arial" w:cs="Arial" w:eastAsia="Arial" w:hAnsi="Arial"/>
                <w:sz w:val="8"/>
                <w:szCs w:val="8"/>
                <w:color w:val="auto"/>
              </w:rPr>
              <w:t>(6)</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(5,593)</w:t>
            </w:r>
          </w:p>
        </w:tc>
        <w:tc>
          <w:tcPr>
            <w:tcW w:w="340" w:type="dxa"/>
            <w:vAlign w:val="bottom"/>
          </w:tcPr>
          <w:p>
            <w:pPr>
              <w:jc w:val="right"/>
              <w:ind w:right="148"/>
              <w:spacing w:after="0"/>
              <w:rPr>
                <w:sz w:val="20"/>
                <w:szCs w:val="20"/>
                <w:color w:val="auto"/>
              </w:rPr>
            </w:pPr>
            <w:r>
              <w:rPr>
                <w:rFonts w:ascii="Arial" w:cs="Arial" w:eastAsia="Arial" w:hAnsi="Arial"/>
                <w:sz w:val="9"/>
                <w:szCs w:val="9"/>
                <w:color w:val="auto"/>
              </w:rPr>
              <w:t>(5)</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(3,810)</w:t>
            </w:r>
          </w:p>
        </w:tc>
        <w:tc>
          <w:tcPr>
            <w:tcW w:w="340" w:type="dxa"/>
            <w:vAlign w:val="bottom"/>
          </w:tcPr>
          <w:p>
            <w:pPr>
              <w:jc w:val="right"/>
              <w:ind w:right="155"/>
              <w:spacing w:after="0"/>
              <w:rPr>
                <w:sz w:val="20"/>
                <w:szCs w:val="20"/>
                <w:color w:val="auto"/>
              </w:rPr>
            </w:pPr>
            <w:r>
              <w:rPr>
                <w:rFonts w:ascii="Arial" w:cs="Arial" w:eastAsia="Arial" w:hAnsi="Arial"/>
                <w:sz w:val="9"/>
                <w:szCs w:val="9"/>
                <w:color w:val="auto"/>
              </w:rPr>
              <w:t>(6)</w:t>
            </w:r>
          </w:p>
        </w:tc>
      </w:tr>
      <w:tr>
        <w:trPr>
          <w:trHeight w:val="243"/>
        </w:trPr>
        <w:tc>
          <w:tcPr>
            <w:tcW w:w="5260" w:type="dxa"/>
            <w:vAlign w:val="bottom"/>
            <w:tcBorders>
              <w:top w:val="single" w:sz="8" w:color="CCFFCC"/>
              <w:bottom w:val="single" w:sz="8" w:color="CCFFCC"/>
            </w:tcBorders>
            <w:shd w:val="clear" w:color="auto" w:fill="CCFFCC"/>
          </w:tcPr>
          <w:p>
            <w:pPr>
              <w:ind w:left="40"/>
              <w:spacing w:after="0"/>
              <w:rPr>
                <w:sz w:val="20"/>
                <w:szCs w:val="20"/>
                <w:color w:val="auto"/>
              </w:rPr>
            </w:pPr>
            <w:r>
              <w:rPr>
                <w:rFonts w:ascii="Arial" w:cs="Arial" w:eastAsia="Arial" w:hAnsi="Arial"/>
                <w:sz w:val="14"/>
                <w:szCs w:val="14"/>
                <w:color w:val="auto"/>
              </w:rPr>
              <w:t>Adjusted net (loss) income</w:t>
            </w:r>
          </w:p>
        </w:tc>
        <w:tc>
          <w:tcPr>
            <w:tcW w:w="780" w:type="dxa"/>
            <w:vAlign w:val="bottom"/>
            <w:tcBorders>
              <w:top w:val="single" w:sz="8" w:color="auto"/>
              <w:bottom w:val="single" w:sz="8" w:color="auto"/>
            </w:tcBorders>
            <w:shd w:val="clear" w:color="auto" w:fill="CCFFCC"/>
          </w:tcPr>
          <w:p>
            <w:pPr>
              <w:jc w:val="right"/>
              <w:ind w:right="608"/>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w w:val="94"/>
              </w:rPr>
              <w:t>(2,947)</w:t>
            </w:r>
          </w:p>
        </w:tc>
        <w:tc>
          <w:tcPr>
            <w:tcW w:w="360" w:type="dxa"/>
            <w:vAlign w:val="bottom"/>
            <w:tcBorders>
              <w:top w:val="single" w:sz="8" w:color="CCFFCC"/>
              <w:bottom w:val="single" w:sz="8" w:color="CCFFCC"/>
            </w:tcBorders>
            <w:shd w:val="clear" w:color="auto" w:fill="CCFFCC"/>
          </w:tcPr>
          <w:p>
            <w:pPr>
              <w:spacing w:after="0"/>
              <w:rPr>
                <w:sz w:val="21"/>
                <w:szCs w:val="21"/>
                <w:color w:val="auto"/>
              </w:rPr>
            </w:pPr>
          </w:p>
        </w:tc>
        <w:tc>
          <w:tcPr>
            <w:tcW w:w="300" w:type="dxa"/>
            <w:vAlign w:val="bottom"/>
            <w:tcBorders>
              <w:top w:val="single" w:sz="8" w:color="auto"/>
              <w:bottom w:val="single" w:sz="8" w:color="auto"/>
            </w:tcBorders>
            <w:shd w:val="clear" w:color="auto" w:fill="CCFFCC"/>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FFCC"/>
          </w:tcPr>
          <w:p>
            <w:pPr>
              <w:jc w:val="right"/>
              <w:ind w:right="28"/>
              <w:spacing w:after="0"/>
              <w:rPr>
                <w:sz w:val="20"/>
                <w:szCs w:val="20"/>
                <w:color w:val="auto"/>
              </w:rPr>
            </w:pPr>
            <w:r>
              <w:rPr>
                <w:rFonts w:ascii="Arial" w:cs="Arial" w:eastAsia="Arial" w:hAnsi="Arial"/>
                <w:sz w:val="14"/>
                <w:szCs w:val="14"/>
                <w:color w:val="auto"/>
              </w:rPr>
              <w:t>2,052</w:t>
            </w:r>
          </w:p>
        </w:tc>
        <w:tc>
          <w:tcPr>
            <w:tcW w:w="340" w:type="dxa"/>
            <w:vAlign w:val="bottom"/>
            <w:tcBorders>
              <w:top w:val="single" w:sz="8" w:color="CCFFCC"/>
              <w:bottom w:val="single" w:sz="8" w:color="CCFFCC"/>
            </w:tcBorders>
            <w:shd w:val="clear" w:color="auto" w:fill="CCFFCC"/>
          </w:tcPr>
          <w:p>
            <w:pPr>
              <w:spacing w:after="0"/>
              <w:rPr>
                <w:sz w:val="21"/>
                <w:szCs w:val="21"/>
                <w:color w:val="auto"/>
              </w:rPr>
            </w:pPr>
          </w:p>
        </w:tc>
        <w:tc>
          <w:tcPr>
            <w:tcW w:w="1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(5,230)</w:t>
            </w:r>
          </w:p>
        </w:tc>
        <w:tc>
          <w:tcPr>
            <w:tcW w:w="340" w:type="dxa"/>
            <w:vAlign w:val="bottom"/>
            <w:tcBorders>
              <w:top w:val="single" w:sz="8" w:color="CCFFCC"/>
              <w:bottom w:val="single" w:sz="8" w:color="CCFFCC"/>
            </w:tcBorders>
            <w:shd w:val="clear" w:color="auto" w:fill="CCFFCC"/>
          </w:tcPr>
          <w:p>
            <w:pPr>
              <w:spacing w:after="0"/>
              <w:rPr>
                <w:sz w:val="21"/>
                <w:szCs w:val="21"/>
                <w:color w:val="auto"/>
              </w:rPr>
            </w:pPr>
          </w:p>
        </w:tc>
        <w:tc>
          <w:tcPr>
            <w:tcW w:w="260" w:type="dxa"/>
            <w:vAlign w:val="bottom"/>
            <w:tcBorders>
              <w:top w:val="single" w:sz="8" w:color="auto"/>
              <w:bottom w:val="single" w:sz="8" w:color="auto"/>
            </w:tcBorders>
            <w:shd w:val="clear" w:color="auto" w:fill="CCFFCC"/>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FFCC"/>
          </w:tcPr>
          <w:p>
            <w:pPr>
              <w:jc w:val="right"/>
              <w:ind w:right="28"/>
              <w:spacing w:after="0"/>
              <w:rPr>
                <w:sz w:val="20"/>
                <w:szCs w:val="20"/>
                <w:color w:val="auto"/>
              </w:rPr>
            </w:pPr>
            <w:r>
              <w:rPr>
                <w:rFonts w:ascii="Arial" w:cs="Arial" w:eastAsia="Arial" w:hAnsi="Arial"/>
                <w:sz w:val="14"/>
                <w:szCs w:val="14"/>
                <w:color w:val="auto"/>
              </w:rPr>
              <w:t>4,814</w:t>
            </w:r>
          </w:p>
        </w:tc>
        <w:tc>
          <w:tcPr>
            <w:tcW w:w="340" w:type="dxa"/>
            <w:vAlign w:val="bottom"/>
            <w:tcBorders>
              <w:top w:val="single" w:sz="8" w:color="CCFFCC"/>
              <w:bottom w:val="single" w:sz="8" w:color="CCFFCC"/>
            </w:tcBorders>
            <w:shd w:val="clear" w:color="auto" w:fill="CCFFCC"/>
          </w:tcPr>
          <w:p>
            <w:pPr>
              <w:spacing w:after="0"/>
              <w:rPr>
                <w:sz w:val="21"/>
                <w:szCs w:val="21"/>
                <w:color w:val="auto"/>
              </w:rPr>
            </w:pPr>
          </w:p>
        </w:tc>
      </w:tr>
      <w:tr>
        <w:trPr>
          <w:trHeight w:val="20"/>
        </w:trPr>
        <w:tc>
          <w:tcPr>
            <w:tcW w:w="52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39" w:lineRule="exact"/>
        <w:rPr>
          <w:sz w:val="20"/>
          <w:szCs w:val="20"/>
          <w:color w:val="auto"/>
        </w:rPr>
      </w:pPr>
    </w:p>
    <w:p>
      <w:pPr>
        <w:ind w:left="180" w:hanging="145"/>
        <w:spacing w:after="0"/>
        <w:tabs>
          <w:tab w:leader="none" w:pos="180" w:val="left"/>
        </w:tabs>
        <w:numPr>
          <w:ilvl w:val="0"/>
          <w:numId w:val="22"/>
        </w:numPr>
        <w:rPr>
          <w:rFonts w:ascii="Arial" w:cs="Arial" w:eastAsia="Arial" w:hAnsi="Arial"/>
          <w:sz w:val="9"/>
          <w:szCs w:val="9"/>
          <w:color w:val="auto"/>
        </w:rPr>
      </w:pPr>
      <w:r>
        <w:rPr>
          <w:rFonts w:ascii="Arial" w:cs="Arial" w:eastAsia="Arial" w:hAnsi="Arial"/>
          <w:sz w:val="14"/>
          <w:szCs w:val="14"/>
          <w:color w:val="auto"/>
        </w:rPr>
        <w:t>Includes litigation costs of $0.9 million for the three months ended.</w:t>
      </w:r>
    </w:p>
    <w:p>
      <w:pPr>
        <w:spacing w:after="0" w:line="41" w:lineRule="exact"/>
        <w:rPr>
          <w:rFonts w:ascii="Arial" w:cs="Arial" w:eastAsia="Arial" w:hAnsi="Arial"/>
          <w:sz w:val="9"/>
          <w:szCs w:val="9"/>
          <w:color w:val="auto"/>
        </w:rPr>
      </w:pPr>
    </w:p>
    <w:p>
      <w:pPr>
        <w:ind w:left="40" w:right="540" w:hanging="5"/>
        <w:spacing w:after="0" w:line="253" w:lineRule="auto"/>
        <w:tabs>
          <w:tab w:leader="none" w:pos="181" w:val="left"/>
        </w:tabs>
        <w:numPr>
          <w:ilvl w:val="0"/>
          <w:numId w:val="22"/>
        </w:numPr>
        <w:rPr>
          <w:rFonts w:ascii="Arial" w:cs="Arial" w:eastAsia="Arial" w:hAnsi="Arial"/>
          <w:sz w:val="9"/>
          <w:szCs w:val="9"/>
          <w:color w:val="auto"/>
        </w:rPr>
      </w:pPr>
      <w:r>
        <w:rPr>
          <w:rFonts w:ascii="Arial" w:cs="Arial" w:eastAsia="Arial" w:hAnsi="Arial"/>
          <w:sz w:val="14"/>
          <w:szCs w:val="14"/>
          <w:color w:val="auto"/>
        </w:rPr>
        <w:t>Includes litigation costs of $2.9 million, write off of office facility depreciation of $0.3 million and severance costs of $0.5 million for the nine months ended. For comparability, amounts have been reclassified where appropriate, to conform to current period presentation.</w:t>
      </w:r>
    </w:p>
    <w:p>
      <w:pPr>
        <w:spacing w:after="0" w:line="16" w:lineRule="exact"/>
        <w:rPr>
          <w:rFonts w:ascii="Arial" w:cs="Arial" w:eastAsia="Arial" w:hAnsi="Arial"/>
          <w:sz w:val="9"/>
          <w:szCs w:val="9"/>
          <w:color w:val="auto"/>
        </w:rPr>
      </w:pPr>
    </w:p>
    <w:p>
      <w:pPr>
        <w:ind w:left="200" w:hanging="165"/>
        <w:spacing w:after="0"/>
        <w:tabs>
          <w:tab w:leader="none" w:pos="200" w:val="left"/>
        </w:tabs>
        <w:numPr>
          <w:ilvl w:val="0"/>
          <w:numId w:val="22"/>
        </w:numPr>
        <w:rPr>
          <w:rFonts w:ascii="Arial" w:cs="Arial" w:eastAsia="Arial" w:hAnsi="Arial"/>
          <w:sz w:val="19"/>
          <w:szCs w:val="19"/>
          <w:color w:val="auto"/>
          <w:vertAlign w:val="superscript"/>
        </w:rPr>
      </w:pPr>
      <w:r>
        <w:rPr>
          <w:rFonts w:ascii="Arial" w:cs="Arial" w:eastAsia="Arial" w:hAnsi="Arial"/>
          <w:sz w:val="13"/>
          <w:szCs w:val="13"/>
          <w:color w:val="auto"/>
        </w:rPr>
        <w:t>Includes $0.4 million of cash collected on previously written off bad debt.</w:t>
      </w:r>
    </w:p>
    <w:p>
      <w:pPr>
        <w:spacing w:after="0" w:line="80" w:lineRule="exact"/>
        <w:rPr>
          <w:rFonts w:ascii="Arial" w:cs="Arial" w:eastAsia="Arial" w:hAnsi="Arial"/>
          <w:sz w:val="19"/>
          <w:szCs w:val="19"/>
          <w:color w:val="auto"/>
          <w:vertAlign w:val="superscript"/>
        </w:rPr>
      </w:pPr>
    </w:p>
    <w:p>
      <w:pPr>
        <w:ind w:left="200" w:hanging="165"/>
        <w:spacing w:after="0" w:line="193" w:lineRule="auto"/>
        <w:tabs>
          <w:tab w:leader="none" w:pos="200" w:val="left"/>
        </w:tabs>
        <w:numPr>
          <w:ilvl w:val="0"/>
          <w:numId w:val="22"/>
        </w:numPr>
        <w:rPr>
          <w:rFonts w:ascii="Arial" w:cs="Arial" w:eastAsia="Arial" w:hAnsi="Arial"/>
          <w:sz w:val="19"/>
          <w:szCs w:val="19"/>
          <w:color w:val="auto"/>
          <w:vertAlign w:val="superscript"/>
        </w:rPr>
      </w:pPr>
      <w:r>
        <w:rPr>
          <w:rFonts w:ascii="Arial" w:cs="Arial" w:eastAsia="Arial" w:hAnsi="Arial"/>
          <w:sz w:val="13"/>
          <w:szCs w:val="13"/>
          <w:color w:val="auto"/>
        </w:rPr>
        <w:t>Includes approximately $1.7 million of termination costs associated with a large customer contract that ended in 2015 and $1.3 million of severance and other associated costs.</w:t>
      </w:r>
    </w:p>
    <w:p>
      <w:pPr>
        <w:spacing w:after="0" w:line="263" w:lineRule="exact"/>
        <w:rPr>
          <w:rFonts w:ascii="Arial" w:cs="Arial" w:eastAsia="Arial" w:hAnsi="Arial"/>
          <w:sz w:val="19"/>
          <w:szCs w:val="19"/>
          <w:color w:val="auto"/>
          <w:vertAlign w:val="superscript"/>
        </w:rPr>
      </w:pPr>
    </w:p>
    <w:p>
      <w:pPr>
        <w:ind w:left="180" w:hanging="145"/>
        <w:spacing w:after="0"/>
        <w:tabs>
          <w:tab w:leader="none" w:pos="180" w:val="left"/>
        </w:tabs>
        <w:numPr>
          <w:ilvl w:val="0"/>
          <w:numId w:val="22"/>
        </w:numPr>
        <w:rPr>
          <w:rFonts w:ascii="Arial" w:cs="Arial" w:eastAsia="Arial" w:hAnsi="Arial"/>
          <w:sz w:val="9"/>
          <w:szCs w:val="9"/>
          <w:color w:val="auto"/>
        </w:rPr>
      </w:pPr>
      <w:r>
        <w:rPr>
          <w:rFonts w:ascii="Arial" w:cs="Arial" w:eastAsia="Arial" w:hAnsi="Arial"/>
          <w:sz w:val="14"/>
          <w:szCs w:val="14"/>
          <w:color w:val="auto"/>
        </w:rPr>
        <w:t>Our non-GAAP income tax effect uses a long-term projected tax rate of 35%.</w:t>
      </w:r>
    </w:p>
    <w:p>
      <w:pPr>
        <w:spacing w:after="0" w:line="257" w:lineRule="exact"/>
        <w:rPr>
          <w:rFonts w:ascii="Arial" w:cs="Arial" w:eastAsia="Arial" w:hAnsi="Arial"/>
          <w:sz w:val="9"/>
          <w:szCs w:val="9"/>
          <w:color w:val="auto"/>
        </w:rPr>
      </w:pPr>
    </w:p>
    <w:p>
      <w:pPr>
        <w:ind w:left="180" w:hanging="145"/>
        <w:spacing w:after="0"/>
        <w:tabs>
          <w:tab w:leader="none" w:pos="180" w:val="left"/>
        </w:tabs>
        <w:numPr>
          <w:ilvl w:val="0"/>
          <w:numId w:val="22"/>
        </w:numPr>
        <w:rPr>
          <w:rFonts w:ascii="Arial" w:cs="Arial" w:eastAsia="Arial" w:hAnsi="Arial"/>
          <w:sz w:val="9"/>
          <w:szCs w:val="9"/>
          <w:color w:val="auto"/>
        </w:rPr>
      </w:pPr>
      <w:r>
        <w:rPr>
          <w:rFonts w:ascii="Arial" w:cs="Arial" w:eastAsia="Arial" w:hAnsi="Arial"/>
          <w:sz w:val="14"/>
          <w:szCs w:val="14"/>
          <w:color w:val="auto"/>
        </w:rPr>
        <w:t>Our non-GAAP income tax effect was based on the effective tax rate, excluding discrete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-844550</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-372745</wp:posOffset>
            </wp:positionV>
            <wp:extent cx="7246620" cy="2660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6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condensed consolidated financial statements are prepared in conformity with accounting principles generally accepted in the United States of America. As such, we are required to make certain estimates, judgments and assumptions that management believes are reasonable based upon the information available. We base these estimates on our historical experience, future expectations and various other assumptions that we believe to be reasonable under the circumstances, the results of which form the basis for our judgments that may not be readily apparent from other sources. These estimates and assumptions affect the reported amounts of assets and liabilities and the disclosure of contingent assets and liabilities at the dates of the consolidated financial statements and the reported amounts of revenue and expenses during the reporting periods.</w:t>
      </w:r>
    </w:p>
    <w:p>
      <w:pPr>
        <w:spacing w:after="0" w:line="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believe that the assumptions and estimates associated with revenue recognition, depreciation, stock-based compensation, accounts receivable, the valuation of goodwill and intangible assets, income taxes and legal contingencies have the greatest potential impact on our consolidated financial statements. We evaluate these estimates on an ongoing basis. Actual results could differ from those estimates under different assumptions or conditions, and any differences could be material. The significant accounting policies which we believe are the most critical to aid in fully understanding and evaluating the reported consolidated financial results include the following:</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majority of our revenue is generated from monthly service revenues and related professional services from the sale of the LivePerson services. Because we provide our application as a service, we follow the provisions of ASC 605-10-S99, “Revenue Recognition” and ASC 605-25, “Revenue Recognition with Multiple-Element Arrangements.” We charge a monthly fee, which varies by type of service, the level of customer usage and website traffic, and in some cases, the number of orders placed via our online engagement solutions.</w:t>
      </w:r>
    </w:p>
    <w:p>
      <w:pPr>
        <w:spacing w:after="0" w:line="7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For certain of our larger customers, we may provide call center labor through an arrangement with one or more of several qualified vendors. For most of these customers, we pass the fee we incur with the labor provider and our fee for the hosted services through to our customers in the form of a fixed fee for each order placed via our online engagement solutions. For these Pay for Performance (“PFP”) arrangements, in accordance with ASC 605-45, “Principal Agent Considerations,” we record revenue for transactions in which we act as an agent on a net basis, and revenue for transactions in which we act as a principal on a gross basis.</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584" w:right="239" w:bottom="1440" w:gutter="0" w:footer="0" w:header="0"/>
        </w:sectPr>
      </w:pPr>
    </w:p>
    <w:bookmarkStart w:id="27" w:name="page28"/>
    <w:bookmarkEnd w:id="27"/>
    <w:p>
      <w:pPr>
        <w:jc w:val="both"/>
        <w:ind w:firstLine="648"/>
        <w:spacing w:after="0" w:line="302" w:lineRule="auto"/>
        <w:rPr>
          <w:sz w:val="20"/>
          <w:szCs w:val="20"/>
          <w:color w:val="auto"/>
        </w:rPr>
      </w:pPr>
      <w:r>
        <w:rPr>
          <w:rFonts w:ascii="Arial" w:cs="Arial" w:eastAsia="Arial" w:hAnsi="Arial"/>
          <w:sz w:val="16"/>
          <w:szCs w:val="16"/>
          <w:color w:val="auto"/>
        </w:rPr>
        <w:t>We also sell certain of the LivePerson services directly via Internet download. These services are marketed as LiveEngage for small to medium-sized businesses (“SMBs”), and are paid for almost exclusively by credit card. Credit card payments accelerate cash flow and reduce our collection risk, subject to the merchant bank's right to hold back cash pending settlement of the transactions. Sales of LiveEngage may occur with or without the assistance of an online sales representative, rather than through face-to-face or telephone contact that is typically required for traditional direct sales.</w:t>
      </w:r>
    </w:p>
    <w:p>
      <w:pPr>
        <w:spacing w:after="0" w:line="4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recognize monthly service revenue based upon the fee charged for the LivePerson services, provided that there is persuasive evidence of an arrangement, no significant obligations remain, collection of the resulting receivable is probable and the amount of fees to be paid is fixed or determinable. Our service agreements typically have twelve month terms and, in some cases, are terminable or may terminate upon 30 to 90 days’ notice without penalty. When professional service fees add value to the customer on a standalone basis, we recognize professional service fees upon completion of services. This guidance establishes a selling price hierarchy for determining the selling price of a deliverable, which is based on: (a) vendor-specific objective evidence; (b) third-party evidence; or (c) estimates. If a professional services arrangement does not qualify for separate accounting, we recognize the fees, and the related labor costs, ratably over the contracted period.</w:t>
      </w:r>
    </w:p>
    <w:p>
      <w:pPr>
        <w:spacing w:after="0" w:line="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For revenue from our Consumer segment generated from online transactions between Experts and Users, we recognize revenue net of Expert fees in accordance with ASC 605-45, “Principal Agent Considerations,” due primarily to the fact that the Expert is the primary obligor. Additionally, we perform as an agent without any risk of loss for collection, and are not involved in selecting the Expert or establishing the Expert’s fee. We collect a fee from the consumer and retain a portion of the fee, and then remit the balance to the Expert. Revenue from these transactions is recognized when there is persuasive evidence of an arrangement, no significant obligations remain, collection of the resulting receivable is probable and the amount of fees to be paid is fixed or determinable.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follow ASC 718-10, “Stock Compensation,” which addresses the accounting for transactions in which an entity exchanges its equity instruments for goods or services, with a primary focus on transactions in which an entity obtains employee services in share-based payment transactions. ASC 718-10 requires measurement of the cost of employee services received in exchange for an award of equity instruments based on the grant-date fair value of the award (with limited exceptions). Incremental compensation costs arising from subsequent modifications of awards after the grant date must be recognized.</w:t>
      </w:r>
    </w:p>
    <w:p>
      <w:pPr>
        <w:spacing w:after="0" w:line="4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September 30, 2016, there was approximately $8.4 million of total unrecognized compensation cost related to nonvested stock options. That cost is expected to be recognized over a weighted average period of approximately 2.0 years. As of September 30, 2016, there was approximately $10.3 million of total unrecognized compensation cost related to nonvested restricted stock units. That cost is expected to be recognized over a weighted average period of approximately 3.0 years.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11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Our customers are located primarily in the United States. We perform ongoing credit evaluations of our customers’ financial condition (except for customers who purchase the LivePerson services by credit card via Internet download) and have established an allowance for doubtful accounts based upon factors surrounding the credit risk of customers, historical trends and other information that we believe to be reasonable, although they may change in the future. If there is a deterioration of a customer’s credit worthiness or actual write-offs are higher than our historical experience, our estimates of recoverability for these receivables could be adversely affected. Although our large number of customers limits our concentration of credit risk we do have several large customers. If we experience a significant write-off from one of these large customers, it could have a material adverse impact on our condensed consolidated financial statements. No single customer accounted for or exceeded 10% of our total revenue in the nine months ended September 30, 2016 and 2015. No individual customer accounted for 10% or more of accounts receivable as of September 30, 2016 and December 31, 2015. During the nine months ended September 30, 2016, our allowance for doubtful accounts increased by $0.6 million primarily due to analysis of the accounts receivable aging.</w:t>
      </w:r>
    </w:p>
    <w:p>
      <w:pPr>
        <w:spacing w:after="0" w:line="5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large portion of receivables are due from larger corporate customers that typically have longer payment cycles.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accordance with ASC 350, “Goodwill and Other Intangible Assets,” goodwill and indefinite-lived intangible assets are not amortized, but reviewed for impairment upon the occurrence of events or changes in circumstances that would reduce the fair value below its carrying amount. Goodwill is required to be tested for impairment at least annually. In September 2011, FASB issued ASU No. 2011-08, Intangibles — Goodwill and Other (Topic 350). ASU 2011-08 permits an entity to first assess qualitative factors to determine whether it is “more likely than not” that the fair value of a reporting unit is less than its carrying amount as a basis for determining whether it is necessary to perform the two-step goodwill impairment test described in Topic 350. The more-likely-than-not threshold is defined as having a likelihood of more than 50%. If it is determined that the fair value of a reporting unit is more likely than not to be less than its carrying value (including unrecognized intangible assets) than it is necessary to perform the second step of the goodwill impairment test. The second step of the goodwill impairment test is judgmental in nature and often involves the use of significant estimates and assumptions. Similarly, estimates and assumptions are used in determining</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84" w:right="239" w:bottom="1440" w:gutter="0" w:footer="0" w:header="0"/>
        </w:sectPr>
      </w:pPr>
    </w:p>
    <w:bookmarkStart w:id="28" w:name="page29"/>
    <w:bookmarkEnd w:id="28"/>
    <w:p>
      <w:pPr>
        <w:jc w:val="both"/>
        <w:spacing w:after="0" w:line="297" w:lineRule="auto"/>
        <w:rPr>
          <w:sz w:val="20"/>
          <w:szCs w:val="20"/>
          <w:color w:val="auto"/>
        </w:rPr>
      </w:pPr>
      <w:r>
        <w:rPr>
          <w:rFonts w:ascii="Arial" w:cs="Arial" w:eastAsia="Arial" w:hAnsi="Arial"/>
          <w:sz w:val="16"/>
          <w:szCs w:val="16"/>
          <w:color w:val="auto"/>
        </w:rPr>
        <w:t>the fair value of other intangible assets. These estimates and assumptions could have a significant impact on whether or not an impairment charge is recognized and also the magnitude of any such charge. We perform internal valuation analysis and consider other market information that is publicly available. Estimates of fair value are primarily determined using discounted cash flows and market comparisons. These approaches use significant estimates and assumptions including projected future cash flows (including timing), discount rates reflecting the risk inherent in future cash flows, perpetual growth rates, determination of appropriate market comparables and the determination of whether a premium or discount should be applied to such comparables.</w:t>
      </w:r>
    </w:p>
    <w:p>
      <w:pPr>
        <w:spacing w:after="0" w:line="50"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17"/>
          <w:szCs w:val="17"/>
          <w:color w:val="auto"/>
        </w:rPr>
        <w:t>We evaluate for goodwill impairment annually at September 30</w:t>
      </w:r>
      <w:r>
        <w:rPr>
          <w:rFonts w:ascii="Arial" w:cs="Arial" w:eastAsia="Arial" w:hAnsi="Arial"/>
          <w:sz w:val="24"/>
          <w:szCs w:val="24"/>
          <w:color w:val="auto"/>
          <w:vertAlign w:val="superscript"/>
        </w:rPr>
        <w:t>th</w:t>
      </w:r>
      <w:r>
        <w:rPr>
          <w:rFonts w:ascii="Arial" w:cs="Arial" w:eastAsia="Arial" w:hAnsi="Arial"/>
          <w:sz w:val="17"/>
          <w:szCs w:val="17"/>
          <w:color w:val="auto"/>
        </w:rPr>
        <w:t>. At the end of the third quarter of 2016, we determined that it was not more-likely that the fair value of the reporting units are less than their carrying amount. Accordingly, we did not perform the two-step goodwill impairment test.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accordance with ASC 360-10, “Accounting for the Impairment or Disposal of Long-lived Assets,” long-lived assets, such as property, plant and equipment and purchased intangibles subject to amortization are reviewed for impairment whenever events or changes in circumstances indicate that the carrying value of an asset may not be recoverable. The amount of any impairment is measured as the difference between the carrying value and the fair value of the impaired asset. We do not have any long-lived assets, including intangible assets, which we consider to be impaired.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Contingencies</w:t>
      </w:r>
    </w:p>
    <w:p>
      <w:pPr>
        <w:spacing w:after="0" w:line="15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are subject to legal proceedings and litigation arising in the ordinary course of business. Periodically, we evaluate the status of each legal matter and assess our potential financial exposure. If the potential loss from any legal proceeding or litigation is considered probable and the amount can be reasonably estimated, we accrue a liability for the estimated loss. Significant judgment is required to determine the probability of a loss and whether the amount of the loss is reasonably estimable. The outcome of any proceeding is not determinable in advance. As a result, the assessment of a potential liability and the amount of accruals recorded are based only on the information available at the time. As additional information becomes available, we reassess the potential liability related to the legal proceeding or litigation, and may revise our estimates. Any revisions could have a material effect on our results of operations. See Note 13, Legal Matters, of the Notes to the Consolidated Financial Statements for additional information on our legal proceedings and litigation.</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11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August 2016, the Financial Accounting Standards Board (“FASB”) issued Accounting Standards Update No. 2016-15, “Statement of Cash Flows (Topic 230): Classification of Certain Cash Receipts and Cash Payments” (“ASU 2016-15”). Topic 230 addresses the following eight specific cash flow issues: debt prepayment or debt extinguishment costs; settlement of zero-coupon debt instruments or other debt instruments with coupon interest rates that are insignificant in relation to the effective interest rate of the borrowing; contingent consideration payments made after a business combination; proceeds from the settlement of insurance claims; proceeds from the settlement of corporate-owned life insurance policies (COLIs) (including bank-owned life insurance policies (BOLIs)); distributions received from equity method investees; beneficial interests in securitization transactions; and separately identifiable cash flows and application of the predominance principle. ASU 2016-15 is effective for financial statements issued for annual periods beginning after December 15, 2017, and interim periods within those annual periods. We are in the process of evaluating the impact of adoption of ASU 2016-15 on our financial statements.</w:t>
      </w:r>
    </w:p>
    <w:p>
      <w:pPr>
        <w:spacing w:after="0" w:line="8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March 2016, FASB issued Accounting Standards Update No. 2016-09, “Compensation -Stock Compensation (Topic 718): Improvements to Employee Share-Based Payment Accounting” (“ASU 2016-09”). This update is intended to improve the accounting for employee share-based payments and affects all organizations that issue share-based payment awards to their employees. Several aspects of the accounting for share-based payment award transactions are simplified, including: (a) income tax consequences; (b) classification of awards as either equity or liabilities; and (c) classification on the statement of cash flows. ASU 2016-09 is effective for financial statements issued for annual periods beginning after December 15, 2016. We are currently in the process of evaluating the impact of adoption of ASU 2016-09 on our financial statements.</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584" w:right="239" w:bottom="1440" w:gutter="0" w:footer="0" w:header="0"/>
        </w:sectPr>
      </w:pPr>
    </w:p>
    <w:bookmarkStart w:id="29" w:name="page30"/>
    <w:bookmarkEnd w:id="29"/>
    <w:p>
      <w:pPr>
        <w:jc w:val="both"/>
        <w:ind w:firstLine="648"/>
        <w:spacing w:after="0" w:line="269" w:lineRule="auto"/>
        <w:rPr>
          <w:sz w:val="20"/>
          <w:szCs w:val="20"/>
          <w:color w:val="auto"/>
        </w:rPr>
      </w:pPr>
      <w:r>
        <w:rPr>
          <w:rFonts w:ascii="Arial" w:cs="Arial" w:eastAsia="Arial" w:hAnsi="Arial"/>
          <w:sz w:val="17"/>
          <w:szCs w:val="17"/>
          <w:color w:val="auto"/>
        </w:rPr>
        <w:t>In February 2016, the FASB issued Accounting Standards Update No. 2016-02, "Leases" ("ASU 2016-02"). ASU 2016-02 requires lessees to recognize the following for all leases (with the exception of short-term leases) at the commencement date: a lease liability, which is a lessee‘s obligation to make lease payments arising from a lease, measured on a discounted basis; and a right-of-use asset, which is an asset that represents the lessee’s right to use, or control the use of, a specified asset for the lease term. Under the new guidance, lessor accounting is largely unchanged. Certain targeted improvements were made to align, where necessary, lessor accounting with the lessee accounting model and Topic 606, Revenue from Contracts with Customers. The new lease guidance also simplified the accounting for sale and leaseback transactions primarily because lessees must recognize lease assets and lease liabilities. Lessees will no longer be provided with a source of off-balance sheet financing. Lessees (for capital and operating leases) and lessors (for sales-type, direct financing, and operating leases) must apply a modified retrospective transition approach for leases existing at, or entered into after, the beginning of the earliest comparative period presented in the financial statements. The modified retrospective approach would not require any transition accounting for leases that expired before the earliest comparative period presented. Lessees and lessors may not apply a full retrospective transition approach. ASU 2016-02 is effective for financial statements issued for annual periods beginning after December 15, 2018. We are currently in the process of evaluating the impact of adoption of ASU 2016-02 on our financial statements.</w:t>
      </w:r>
    </w:p>
    <w:p>
      <w:pPr>
        <w:spacing w:after="0" w:line="7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November 2015, FASB issued Accounting Standards Update No. 2015-17, “Income taxes: Balance Sheet Classification of Deferred Taxes Business” (“ASU 2015-17”). Topic 740, Income Taxes, requires an entity to separate deferred income tax liabilities and assets into current and noncurrent amounts in a classified statement of financial position. Deferred tax liabilities and assets are classified as current or noncurrent based on the classification of the related asset or liability for financial reporting. Deferred tax liabilities and assets that are not related to an asset or liability for financial reporting are classified according to the expected reversal date of the temporary difference. To simplify the presentation of deferred income taxes, ASU 2015-17 requires that deferred income tax liabilities and assets be classified as noncurrent in a classified statement of financial position. ASU 2015-17 is effective for financial statements issued for annual periods beginning after December 15, 2016, and interim periods within those annual periods. We have elected to early adopt ASU 2015-17 on our financial statements during the second quarter of 2016 on a prospective basis.</w:t>
      </w:r>
    </w:p>
    <w:p>
      <w:pPr>
        <w:spacing w:after="0" w:line="7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September 2015, FASB issued Accounting Standards Update No. 2015-16, “Business Combinations: Simplifying the Accounting for Measurement-Period Adjustments” (“ASU 2015-16”). ASU 2015-16 requires that an acquirer recognize adjustments to provisional amounts that are identified during the measurement period in the reporting period in which the adjustment amounts are determined. The amendments in ASU 2015-16 require that the acquirer record, in the same period’s financial statements, the effect on earnings of changes in depreciation, amortization, or other income effects, if any, as a result of the change to the provisional amounts, calculated as if the accounting had been completed at the acquisition date. ASU 2015-16 is effective for annual reporting periods beginning after December 15, 2015. This standard became effective in the first quarter of 2016, and is applied on a prospective basis to adjustments to provisional amounts that occur after the effective date with no impact to our financial statements.</w:t>
      </w:r>
    </w:p>
    <w:p>
      <w:pPr>
        <w:spacing w:after="0" w:line="5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In February 2015, FASB issued Accounting Standards Update No. 2015-02, </w:t>
      </w:r>
      <w:r>
        <w:rPr>
          <w:rFonts w:ascii="Arial" w:cs="Arial" w:eastAsia="Arial" w:hAnsi="Arial"/>
          <w:sz w:val="18"/>
          <w:szCs w:val="18"/>
          <w:i w:val="1"/>
          <w:iCs w:val="1"/>
          <w:color w:val="auto"/>
        </w:rPr>
        <w:t>Consolidation: Amendments to the Consolidation Analysis</w:t>
      </w:r>
      <w:r>
        <w:rPr>
          <w:rFonts w:ascii="Arial" w:cs="Arial" w:eastAsia="Arial" w:hAnsi="Arial"/>
          <w:sz w:val="18"/>
          <w:szCs w:val="18"/>
          <w:color w:val="auto"/>
        </w:rPr>
        <w:t xml:space="preserve"> (“ASU 2015-02”), which affects reporting entities that are required to evaluate whether they should consolidate certain legal entities. All legal entities are subject to reevaluation under the revised consolidation model. The standard amends the consolidation requirements in ASC 810. ASU 2015-02 is effective for fiscal periods beginning after December 15, 2015 for public companies, and early adoption is permitted. We adopted this standard during the first quarter of 2016 and there was no material impact on our financial statements.</w:t>
      </w:r>
    </w:p>
    <w:p>
      <w:pPr>
        <w:spacing w:after="0" w:line="8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In May 2014, FASB issued Accounting Standards Update No. 2014-09, Revenue from Contracts with Customers (“ASU 2014-09”), which supersedes most existing revenue recognition guidance under GAAP. The core principle of ASU 2014-09 is to recognize revenues when promised goods or services are transferred to customers in an amount that reflects the consideration to which an entity expects to be entitled for those goods or services. ASU 2014-09 defines a five step process to achieve this core principle and, in doing so, more judgment and estimates may be required within the revenue recognition process than are required under existing GAAP. The standard is effective for annual periods beginning after December 15, 2017, and interim periods therein, using either of the following transition methods: (i) a full retrospective approach reflecting the application of the standard in each prior reporting period with the option to elect certain practical expedients, or (ii) a retrospective approach with the cumulative effect of initially adopting ASU 2014-09 recognized at the date of adoption (which includes additional footnote disclosures). In March 2016, the FASB issued implementation guidance that clarified the considerations in principal versus agent determination. In April 2016, the FASB issued guidance that clarified identifying performance obligations and licensing implementation guidance contained in the new revenue recognition standard. In May 2016, FASB issued guidance that addresses narrow-scope improvements to the guidance on collectability, noncash consideration, and completed contracts at transition. We will adopt this guidance at the beginning of its first quarter of fiscal year 2018. Adoption of this guidance is not expected to have a material impact on our financial statements.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584" w:right="239" w:bottom="1440" w:gutter="0" w:footer="0" w:header="0"/>
        </w:sectPr>
      </w:pPr>
    </w:p>
    <w:bookmarkStart w:id="30" w:name="page31"/>
    <w:bookmarkEnd w:id="30"/>
    <w:p>
      <w:pPr>
        <w:jc w:val="both"/>
        <w:ind w:firstLine="648"/>
        <w:spacing w:after="0" w:line="255" w:lineRule="auto"/>
        <w:rPr>
          <w:sz w:val="20"/>
          <w:szCs w:val="20"/>
          <w:color w:val="auto"/>
        </w:rPr>
      </w:pPr>
      <w:r>
        <w:rPr>
          <w:rFonts w:ascii="Arial" w:cs="Arial" w:eastAsia="Arial" w:hAnsi="Arial"/>
          <w:sz w:val="18"/>
          <w:szCs w:val="18"/>
          <w:color w:val="auto"/>
        </w:rPr>
        <w:t>The majority of our revenue is generated from monthly service revenues and related professional services from the sale of the LivePerson services. We charge a monthly, quarterly or annual fee, which varies by service and customer usage. The majority of our larger customers also pay a professional services fee related to implementation and ongoing optimization services. A large proportion of our revenue from new customers comes from large corporations. These companies typically have more significant implementation requirements and more stringent data security standards. Such customers also have more sophisticated data analysis and performance reporting requirements, and are likely to engage our professional services organization to provide such analysis and reporting on a recurring basis.</w:t>
      </w:r>
    </w:p>
    <w:p>
      <w:pPr>
        <w:spacing w:after="0" w:line="8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Revenue from our Business segment accounted for 93% of total revenue for the three and nine months ended September 30, 2016 and 94% of total revenue for the three and nine months ended September 30, 2015. Revenue attributable to our monthly hosted Business services accounted for 88% and 89% of total Business revenue for the three and nine months ended September 30, 2016, respectively, and 90% for the three and nine months ended September 30, 2015. Our service agreements typically have twelve month terms and, in some cases, are terminable or may terminate upon 30 to 90 days’ notice without penalty. Given the time required to schedule training for our customers’ operators and our customers’ resource constraints, we have historically experienced a lag between signing a customer contract and recognizing revenue from that customer. Although this lag typically ranges from 30 to 90 days, it may take more or less time between contract signing and recognizing revenue in certain situations.</w:t>
      </w:r>
    </w:p>
    <w:p>
      <w:pPr>
        <w:spacing w:after="0" w:line="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Revenue from our Consumer segment is generated from online transactions between Experts and Users and is recognized net of Expert fees and accounted for approximately 7% of total revenue for the three and nine months ended September 30, 2016 and 6% of total revenue for the three and nine months ended September 30, 2015.</w:t>
      </w:r>
    </w:p>
    <w:p>
      <w:pPr>
        <w:spacing w:after="0" w:line="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also have entered into contractual arrangements that complement our direct sales force and online sales efforts. These are primarily with call center service companies, pursuant to which LivePerson is paid a commission based on revenue generated by these service companies from our referrals. To date, revenue from such commissions has not been material.</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and Expenses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cost of revenue consists of:</w:t>
      </w:r>
    </w:p>
    <w:p>
      <w:pPr>
        <w:spacing w:after="0" w:line="117" w:lineRule="exact"/>
        <w:rPr>
          <w:sz w:val="20"/>
          <w:szCs w:val="20"/>
          <w:color w:val="auto"/>
        </w:rPr>
      </w:pPr>
    </w:p>
    <w:p>
      <w:pPr>
        <w:ind w:left="1220" w:hanging="321"/>
        <w:spacing w:after="0"/>
        <w:tabs>
          <w:tab w:leader="none" w:pos="12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compensation costs relating to employees who provide customer support and implementation services to our customers;</w:t>
      </w:r>
    </w:p>
    <w:p>
      <w:pPr>
        <w:spacing w:after="0" w:line="117" w:lineRule="exact"/>
        <w:rPr>
          <w:rFonts w:ascii="Arial" w:cs="Arial" w:eastAsia="Arial" w:hAnsi="Arial"/>
          <w:sz w:val="18"/>
          <w:szCs w:val="18"/>
          <w:color w:val="auto"/>
        </w:rPr>
      </w:pPr>
    </w:p>
    <w:p>
      <w:pPr>
        <w:ind w:left="1220" w:hanging="321"/>
        <w:spacing w:after="0"/>
        <w:tabs>
          <w:tab w:leader="none" w:pos="12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outside labor provider costs;</w:t>
      </w:r>
    </w:p>
    <w:p>
      <w:pPr>
        <w:spacing w:after="0" w:line="117" w:lineRule="exact"/>
        <w:rPr>
          <w:rFonts w:ascii="Arial" w:cs="Arial" w:eastAsia="Arial" w:hAnsi="Arial"/>
          <w:sz w:val="18"/>
          <w:szCs w:val="18"/>
          <w:color w:val="auto"/>
        </w:rPr>
      </w:pPr>
    </w:p>
    <w:p>
      <w:pPr>
        <w:ind w:left="1220" w:hanging="321"/>
        <w:spacing w:after="0"/>
        <w:tabs>
          <w:tab w:leader="none" w:pos="12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compensation costs relating to our network support staff;</w:t>
      </w:r>
    </w:p>
    <w:p>
      <w:pPr>
        <w:spacing w:after="0" w:line="117" w:lineRule="exact"/>
        <w:rPr>
          <w:rFonts w:ascii="Arial" w:cs="Arial" w:eastAsia="Arial" w:hAnsi="Arial"/>
          <w:sz w:val="18"/>
          <w:szCs w:val="18"/>
          <w:color w:val="auto"/>
        </w:rPr>
      </w:pPr>
    </w:p>
    <w:p>
      <w:pPr>
        <w:ind w:left="1220" w:hanging="321"/>
        <w:spacing w:after="0"/>
        <w:tabs>
          <w:tab w:leader="none" w:pos="12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depreciation of certain hardware and software;</w:t>
      </w:r>
    </w:p>
    <w:p>
      <w:pPr>
        <w:spacing w:after="0" w:line="117" w:lineRule="exact"/>
        <w:rPr>
          <w:rFonts w:ascii="Arial" w:cs="Arial" w:eastAsia="Arial" w:hAnsi="Arial"/>
          <w:sz w:val="18"/>
          <w:szCs w:val="18"/>
          <w:color w:val="auto"/>
        </w:rPr>
      </w:pPr>
    </w:p>
    <w:p>
      <w:pPr>
        <w:ind w:left="1220" w:hanging="321"/>
        <w:spacing w:after="0"/>
        <w:tabs>
          <w:tab w:leader="none" w:pos="12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allocated occupancy costs and related overhead;</w:t>
      </w:r>
    </w:p>
    <w:p>
      <w:pPr>
        <w:spacing w:after="0" w:line="117" w:lineRule="exact"/>
        <w:rPr>
          <w:rFonts w:ascii="Arial" w:cs="Arial" w:eastAsia="Arial" w:hAnsi="Arial"/>
          <w:sz w:val="18"/>
          <w:szCs w:val="18"/>
          <w:color w:val="auto"/>
        </w:rPr>
      </w:pPr>
    </w:p>
    <w:p>
      <w:pPr>
        <w:ind w:left="1220" w:hanging="321"/>
        <w:spacing w:after="0"/>
        <w:tabs>
          <w:tab w:leader="none" w:pos="12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cost of supporting our infrastructure, including expenses related to server leases, infrastructure support costs and Internet connectivity;</w:t>
      </w:r>
    </w:p>
    <w:p>
      <w:pPr>
        <w:spacing w:after="0" w:line="140" w:lineRule="exact"/>
        <w:rPr>
          <w:rFonts w:ascii="Arial" w:cs="Arial" w:eastAsia="Arial" w:hAnsi="Arial"/>
          <w:sz w:val="16"/>
          <w:szCs w:val="16"/>
          <w:color w:val="auto"/>
        </w:rPr>
      </w:pPr>
    </w:p>
    <w:p>
      <w:pPr>
        <w:ind w:left="1220" w:hanging="321"/>
        <w:spacing w:after="0"/>
        <w:tabs>
          <w:tab w:leader="none" w:pos="12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credit card fees and related payment processing costs associated with consumer and self-service customers; and</w:t>
      </w:r>
    </w:p>
    <w:p>
      <w:pPr>
        <w:spacing w:after="0" w:line="117" w:lineRule="exact"/>
        <w:rPr>
          <w:rFonts w:ascii="Arial" w:cs="Arial" w:eastAsia="Arial" w:hAnsi="Arial"/>
          <w:sz w:val="18"/>
          <w:szCs w:val="18"/>
          <w:color w:val="auto"/>
        </w:rPr>
      </w:pPr>
    </w:p>
    <w:p>
      <w:pPr>
        <w:ind w:left="1220" w:hanging="321"/>
        <w:spacing w:after="0"/>
        <w:tabs>
          <w:tab w:leader="none" w:pos="12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amortization of certain intangibles.</w:t>
      </w:r>
    </w:p>
    <w:p>
      <w:pPr>
        <w:spacing w:after="0" w:line="117" w:lineRule="exact"/>
        <w:rPr>
          <w:sz w:val="20"/>
          <w:szCs w:val="20"/>
          <w:color w:val="auto"/>
        </w:rPr>
      </w:pPr>
    </w:p>
    <w:p>
      <w:pPr>
        <w:jc w:val="both"/>
        <w:ind w:left="60" w:firstLine="648"/>
        <w:spacing w:after="0" w:line="264" w:lineRule="auto"/>
        <w:rPr>
          <w:sz w:val="20"/>
          <w:szCs w:val="20"/>
          <w:color w:val="auto"/>
        </w:rPr>
      </w:pPr>
      <w:r>
        <w:rPr>
          <w:rFonts w:ascii="Arial" w:cs="Arial" w:eastAsia="Arial" w:hAnsi="Arial"/>
          <w:sz w:val="18"/>
          <w:szCs w:val="18"/>
          <w:color w:val="auto"/>
        </w:rPr>
        <w:t>Our sales and marketing expenses consist of compensation and related expenses for sales personnel and marketing personnel, online marketing, allocated occupancy costs and related overhead, advertising, sales commissions, public relations, promotional materials, travel expenses and trade show exhibit expenses.</w:t>
      </w:r>
    </w:p>
    <w:p>
      <w:pPr>
        <w:spacing w:after="0" w:line="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general and administrative expenses consist primarily of compensation and related expenses for executive, accounting, legal, information technology and human resources personnel, allocated occupancy costs and related overhead, professional fees, provision for doubtful accounts and other general corporate expenses.</w:t>
      </w:r>
    </w:p>
    <w:p>
      <w:pPr>
        <w:spacing w:after="0" w:line="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product development expenses consist primarily of compensation and related expenses for product development personnel, allocated occupancy costs and related overhead, outsourced labor and expenses for testing new versions of our software. Product development expenses are charged to operations as incurred.</w:t>
      </w:r>
    </w:p>
    <w:p>
      <w:pPr>
        <w:spacing w:after="0" w:line="7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During the nine months ended September 30, 2016, our allowance for doubtful accounts increased by $0.6 million to approximately $1.7 million primarily due to analysis of the accounts receivable aging. During 2015, we increased our allowance for doubtful accounts by $0.7 million to approximately $1.2 million, principally due to an increase in the proportion of receivables due as a result of an increase in sales. A large proportion of receivables are due from larger corporate customers that typically have longer payment cycles. We base our allowance for doubtful accounts on specifically identified credit risks of customers, historical trends and other information that we believe to be reasonable. We adjust our allowance for doubtful accounts when accounts previously reserved have been collected.</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584"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Non-Cash Compensation Expense</w:t>
      </w:r>
    </w:p>
    <w:p>
      <w:pPr>
        <w:spacing w:after="0" w:line="117" w:lineRule="exact"/>
        <w:rPr>
          <w:sz w:val="20"/>
          <w:szCs w:val="20"/>
          <w:color w:val="auto"/>
        </w:rPr>
      </w:pPr>
    </w:p>
    <w:p>
      <w:pPr>
        <w:jc w:val="right"/>
        <w:ind w:right="6720"/>
        <w:spacing w:after="0"/>
        <w:rPr>
          <w:sz w:val="20"/>
          <w:szCs w:val="20"/>
          <w:color w:val="auto"/>
        </w:rPr>
      </w:pPr>
      <w:r>
        <w:rPr>
          <w:rFonts w:ascii="Arial" w:cs="Arial" w:eastAsia="Arial" w:hAnsi="Arial"/>
          <w:sz w:val="18"/>
          <w:szCs w:val="18"/>
          <w:color w:val="auto"/>
        </w:rPr>
        <w:t>The net non-cash compensation amounts are as follows:</w:t>
      </w:r>
    </w:p>
    <w:p>
      <w:pPr>
        <w:sectPr>
          <w:pgSz w:w="11900" w:h="16838" w:orient="portrait"/>
          <w:cols w:equalWidth="0" w:num="1">
            <w:col w:w="11420"/>
          </w:cols>
          <w:pgMar w:left="240" w:top="584" w:right="239" w:bottom="1440" w:gutter="0" w:footer="0" w:header="0"/>
        </w:sectPr>
      </w:pPr>
    </w:p>
    <w:p>
      <w:pPr>
        <w:spacing w:after="0" w:line="338" w:lineRule="exact"/>
        <w:rPr>
          <w:sz w:val="20"/>
          <w:szCs w:val="20"/>
          <w:color w:val="auto"/>
        </w:rPr>
      </w:pPr>
    </w:p>
    <w:p>
      <w:pPr>
        <w:jc w:val="center"/>
        <w:ind w:left="6300"/>
        <w:spacing w:after="0"/>
        <w:rPr>
          <w:sz w:val="20"/>
          <w:szCs w:val="20"/>
          <w:color w:val="auto"/>
        </w:rPr>
      </w:pPr>
      <w:r>
        <w:rPr>
          <w:rFonts w:ascii="Arial" w:cs="Arial" w:eastAsia="Arial" w:hAnsi="Arial"/>
          <w:sz w:val="13"/>
          <w:szCs w:val="13"/>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31115</wp:posOffset>
            </wp:positionV>
            <wp:extent cx="168973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689735" cy="8890"/>
                    </a:xfrm>
                    <a:prstGeom prst="rect">
                      <a:avLst/>
                    </a:prstGeom>
                    <a:noFill/>
                  </pic:spPr>
                </pic:pic>
              </a:graphicData>
            </a:graphic>
          </wp:anchor>
        </w:drawing>
      </w:r>
    </w:p>
    <w:p>
      <w:pPr>
        <w:spacing w:after="0" w:line="114" w:lineRule="exact"/>
        <w:rPr>
          <w:sz w:val="20"/>
          <w:szCs w:val="20"/>
          <w:color w:val="auto"/>
        </w:rPr>
      </w:pPr>
    </w:p>
    <w:p>
      <w:pPr>
        <w:ind w:left="6560"/>
        <w:spacing w:after="0"/>
        <w:tabs>
          <w:tab w:leader="none" w:pos="7920" w:val="left"/>
        </w:tabs>
        <w:rPr>
          <w:sz w:val="20"/>
          <w:szCs w:val="20"/>
          <w:color w:val="auto"/>
        </w:rPr>
      </w:pPr>
      <w:r>
        <w:rPr>
          <w:rFonts w:ascii="Arial" w:cs="Arial" w:eastAsia="Arial" w:hAnsi="Arial"/>
          <w:sz w:val="14"/>
          <w:szCs w:val="14"/>
          <w:b w:val="1"/>
          <w:bCs w:val="1"/>
          <w:color w:val="auto"/>
        </w:rPr>
        <w:t>2016</w:t>
      </w:r>
      <w:r>
        <w:rPr>
          <w:sz w:val="20"/>
          <w:szCs w:val="20"/>
          <w:color w:val="auto"/>
        </w:rPr>
        <w:tab/>
      </w:r>
      <w:r>
        <w:rPr>
          <w:rFonts w:ascii="Arial" w:cs="Arial" w:eastAsia="Arial" w:hAnsi="Arial"/>
          <w:sz w:val="14"/>
          <w:szCs w:val="14"/>
          <w:b w:val="1"/>
          <w:bCs w:val="1"/>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23495</wp:posOffset>
            </wp:positionV>
            <wp:extent cx="168973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89735" cy="8890"/>
                    </a:xfrm>
                    <a:prstGeom prst="rect">
                      <a:avLst/>
                    </a:prstGeom>
                    <a:noFill/>
                  </pic:spPr>
                </pic:pic>
              </a:graphicData>
            </a:graphic>
          </wp:anchor>
        </w:drawing>
      </w:r>
    </w:p>
    <w:p>
      <w:pPr>
        <w:spacing w:after="0" w:line="89" w:lineRule="exact"/>
        <w:rPr>
          <w:sz w:val="20"/>
          <w:szCs w:val="20"/>
          <w:color w:val="auto"/>
        </w:rPr>
      </w:pPr>
    </w:p>
    <w:p>
      <w:pPr>
        <w:ind w:left="696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803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-147320</wp:posOffset>
            </wp:positionH>
            <wp:positionV relativeFrom="paragraph">
              <wp:posOffset>31115</wp:posOffset>
            </wp:positionV>
            <wp:extent cx="16465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114" w:lineRule="exact"/>
        <w:rPr>
          <w:sz w:val="20"/>
          <w:szCs w:val="20"/>
          <w:color w:val="auto"/>
        </w:rPr>
      </w:pPr>
    </w:p>
    <w:p>
      <w:pPr>
        <w:ind w:left="240"/>
        <w:spacing w:after="0"/>
        <w:tabs>
          <w:tab w:leader="none" w:pos="1580" w:val="left"/>
        </w:tabs>
        <w:rPr>
          <w:sz w:val="20"/>
          <w:szCs w:val="20"/>
          <w:color w:val="auto"/>
        </w:rPr>
      </w:pPr>
      <w:r>
        <w:rPr>
          <w:rFonts w:ascii="Arial" w:cs="Arial" w:eastAsia="Arial" w:hAnsi="Arial"/>
          <w:sz w:val="14"/>
          <w:szCs w:val="14"/>
          <w:b w:val="1"/>
          <w:bCs w:val="1"/>
          <w:color w:val="auto"/>
        </w:rPr>
        <w:t>2016</w:t>
      </w:r>
      <w:r>
        <w:rPr>
          <w:sz w:val="20"/>
          <w:szCs w:val="20"/>
          <w:color w:val="auto"/>
        </w:rPr>
        <w:tab/>
      </w:r>
      <w:r>
        <w:rPr>
          <w:rFonts w:ascii="Arial" w:cs="Arial" w:eastAsia="Arial" w:hAnsi="Arial"/>
          <w:sz w:val="14"/>
          <w:szCs w:val="14"/>
          <w:b w:val="1"/>
          <w:bCs w:val="1"/>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-147320</wp:posOffset>
            </wp:positionH>
            <wp:positionV relativeFrom="paragraph">
              <wp:posOffset>23495</wp:posOffset>
            </wp:positionV>
            <wp:extent cx="16465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89"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(in thousands)</w:t>
      </w:r>
    </w:p>
    <w:p>
      <w:pPr>
        <w:spacing w:after="0" w:line="81" w:lineRule="exact"/>
        <w:rPr>
          <w:sz w:val="20"/>
          <w:szCs w:val="20"/>
          <w:color w:val="auto"/>
        </w:rPr>
      </w:pPr>
    </w:p>
    <w:p>
      <w:pPr>
        <w:sectPr>
          <w:pgSz w:w="11900" w:h="16838" w:orient="portrait"/>
          <w:cols w:equalWidth="0" w:num="2">
            <w:col w:w="8520" w:space="540"/>
            <w:col w:w="2360"/>
          </w:cols>
          <w:pgMar w:left="240" w:top="584" w:right="239" w:bottom="1440" w:gutter="0" w:footer="0" w:header="0"/>
          <w:type w:val="continuous"/>
        </w:sectPr>
      </w:pPr>
    </w:p>
    <w:p>
      <w:pPr>
        <w:ind w:left="40"/>
        <w:spacing w:after="0"/>
        <w:tabs>
          <w:tab w:leader="none" w:pos="6060" w:val="left"/>
          <w:tab w:leader="none" w:pos="6840" w:val="left"/>
          <w:tab w:leader="none" w:pos="7480" w:val="left"/>
          <w:tab w:leader="none" w:pos="8220" w:val="left"/>
          <w:tab w:leader="none" w:pos="8840" w:val="left"/>
          <w:tab w:leader="none" w:pos="9580" w:val="left"/>
          <w:tab w:leader="none" w:pos="10180" w:val="left"/>
          <w:tab w:leader="none" w:pos="10920" w:val="left"/>
        </w:tabs>
        <w:rPr>
          <w:sz w:val="20"/>
          <w:szCs w:val="20"/>
          <w:color w:val="auto"/>
        </w:rPr>
      </w:pPr>
      <w:r>
        <w:rPr>
          <w:rFonts w:ascii="Arial" w:cs="Arial" w:eastAsia="Arial" w:hAnsi="Arial"/>
          <w:sz w:val="16"/>
          <w:szCs w:val="16"/>
          <w:color w:val="auto"/>
        </w:rPr>
        <w:t>Stock-based compensation expense</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2,255</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2,886</w:t>
        <w:tab/>
        <w:t>$</w:t>
      </w:r>
      <w:r>
        <w:rPr>
          <w:sz w:val="20"/>
          <w:szCs w:val="20"/>
          <w:color w:val="auto"/>
        </w:rPr>
        <w:tab/>
      </w:r>
      <w:r>
        <w:rPr>
          <w:rFonts w:ascii="Arial" w:cs="Arial" w:eastAsia="Arial" w:hAnsi="Arial"/>
          <w:sz w:val="16"/>
          <w:szCs w:val="16"/>
          <w:color w:val="auto"/>
        </w:rPr>
        <w:t>7,600</w:t>
        <w:tab/>
        <w:t>$</w:t>
      </w:r>
      <w:r>
        <w:rPr>
          <w:sz w:val="20"/>
          <w:szCs w:val="20"/>
          <w:color w:val="auto"/>
        </w:rPr>
        <w:tab/>
      </w:r>
      <w:r>
        <w:rPr>
          <w:rFonts w:ascii="Arial" w:cs="Arial" w:eastAsia="Arial" w:hAnsi="Arial"/>
          <w:sz w:val="15"/>
          <w:szCs w:val="15"/>
          <w:color w:val="auto"/>
        </w:rPr>
        <w:t>8,793</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are organized into two operating segments: Business and Consumer. The Business segment facilitates real-time online interactions — chat, voice and content delivery, across multiple channels and screens for global corporations of all sizes. The Consumer segment facilitates online transactions between Experts and Users seeking information and knowledge for a fee via real-time chat.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and Nine Months Ended September 30, 2016 and 2015</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Revenue</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6"/>
          </w:tcPr>
          <w:p>
            <w:pPr>
              <w:jc w:val="right"/>
              <w:ind w:right="301"/>
              <w:spacing w:after="0"/>
              <w:rPr>
                <w:sz w:val="20"/>
                <w:szCs w:val="20"/>
                <w:color w:val="auto"/>
              </w:rPr>
            </w:pPr>
            <w:r>
              <w:rPr>
                <w:rFonts w:ascii="Arial" w:cs="Arial" w:eastAsia="Arial" w:hAnsi="Arial"/>
                <w:sz w:val="14"/>
                <w:szCs w:val="14"/>
                <w:b w:val="1"/>
                <w:bCs w:val="1"/>
                <w:color w:val="auto"/>
              </w:rPr>
              <w:t>Three Months Ended September 30,</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6"/>
          </w:tcPr>
          <w:p>
            <w:pPr>
              <w:jc w:val="right"/>
              <w:ind w:right="341"/>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52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102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102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rPr>
              <w:t>% Change</w:t>
            </w:r>
          </w:p>
        </w:tc>
      </w:tr>
      <w:tr>
        <w:trPr>
          <w:trHeight w:val="263"/>
        </w:trPr>
        <w:tc>
          <w:tcPr>
            <w:tcW w:w="5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80" w:type="dxa"/>
            <w:vAlign w:val="bottom"/>
            <w:gridSpan w:val="5"/>
          </w:tcPr>
          <w:p>
            <w:pPr>
              <w:ind w:left="300"/>
              <w:spacing w:after="0"/>
              <w:rPr>
                <w:sz w:val="20"/>
                <w:szCs w:val="20"/>
                <w:color w:val="auto"/>
              </w:rPr>
            </w:pPr>
            <w:r>
              <w:rPr>
                <w:rFonts w:ascii="Arial" w:cs="Arial" w:eastAsia="Arial" w:hAnsi="Arial"/>
                <w:sz w:val="14"/>
                <w:szCs w:val="14"/>
                <w:b w:val="1"/>
                <w:bCs w:val="1"/>
                <w:color w:val="auto"/>
              </w:rPr>
              <w:t>(in thousands)</w:t>
            </w: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0" w:type="dxa"/>
            <w:vAlign w:val="bottom"/>
            <w:gridSpan w:val="5"/>
          </w:tcPr>
          <w:p>
            <w:pPr>
              <w:ind w:left="320"/>
              <w:spacing w:after="0"/>
              <w:rPr>
                <w:sz w:val="20"/>
                <w:szCs w:val="20"/>
                <w:color w:val="auto"/>
              </w:rPr>
            </w:pPr>
            <w:r>
              <w:rPr>
                <w:rFonts w:ascii="Arial" w:cs="Arial" w:eastAsia="Arial" w:hAnsi="Arial"/>
                <w:sz w:val="14"/>
                <w:szCs w:val="14"/>
                <w:b w:val="1"/>
                <w:bCs w:val="1"/>
                <w:color w:val="auto"/>
              </w:rPr>
              <w:t>(in thousands)</w:t>
            </w:r>
          </w:p>
        </w:tc>
        <w:tc>
          <w:tcPr>
            <w:tcW w:w="1020" w:type="dxa"/>
            <w:vAlign w:val="bottom"/>
          </w:tcPr>
          <w:p>
            <w:pPr>
              <w:spacing w:after="0"/>
              <w:rPr>
                <w:sz w:val="22"/>
                <w:szCs w:val="22"/>
                <w:color w:val="auto"/>
              </w:rPr>
            </w:pPr>
          </w:p>
        </w:tc>
      </w:tr>
      <w:tr>
        <w:trPr>
          <w:trHeight w:val="237"/>
        </w:trPr>
        <w:tc>
          <w:tcPr>
            <w:tcW w:w="5280" w:type="dxa"/>
            <w:vAlign w:val="bottom"/>
          </w:tcPr>
          <w:p>
            <w:pPr>
              <w:ind w:left="40"/>
              <w:spacing w:after="0"/>
              <w:rPr>
                <w:sz w:val="20"/>
                <w:szCs w:val="20"/>
                <w:color w:val="auto"/>
              </w:rPr>
            </w:pPr>
            <w:r>
              <w:rPr>
                <w:rFonts w:ascii="Arial" w:cs="Arial" w:eastAsia="Arial" w:hAnsi="Arial"/>
                <w:sz w:val="16"/>
                <w:szCs w:val="16"/>
                <w:color w:val="auto"/>
              </w:rPr>
              <w:t>Revenue by Segment:</w:t>
            </w:r>
          </w:p>
        </w:tc>
        <w:tc>
          <w:tcPr>
            <w:tcW w:w="2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3"/>
        </w:trPr>
        <w:tc>
          <w:tcPr>
            <w:tcW w:w="5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28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Business</w:t>
            </w:r>
          </w:p>
        </w:tc>
        <w:tc>
          <w:tcPr>
            <w:tcW w:w="22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FFCC"/>
            </w:tcBorders>
            <w:shd w:val="clear" w:color="auto" w:fill="CCFFCC"/>
          </w:tcPr>
          <w:p>
            <w:pPr>
              <w:jc w:val="right"/>
              <w:ind w:right="23"/>
              <w:spacing w:after="0"/>
              <w:rPr>
                <w:sz w:val="20"/>
                <w:szCs w:val="20"/>
                <w:color w:val="auto"/>
              </w:rPr>
            </w:pPr>
            <w:r>
              <w:rPr>
                <w:rFonts w:ascii="Arial" w:cs="Arial" w:eastAsia="Arial" w:hAnsi="Arial"/>
                <w:sz w:val="16"/>
                <w:szCs w:val="16"/>
                <w:color w:val="auto"/>
              </w:rPr>
              <w:t>50,474</w:t>
            </w:r>
          </w:p>
        </w:tc>
        <w:tc>
          <w:tcPr>
            <w:tcW w:w="10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FFCC"/>
            </w:tcBorders>
            <w:shd w:val="clear" w:color="auto" w:fill="CCFFCC"/>
          </w:tcPr>
          <w:p>
            <w:pPr>
              <w:jc w:val="right"/>
              <w:ind w:right="21"/>
              <w:spacing w:after="0"/>
              <w:rPr>
                <w:sz w:val="20"/>
                <w:szCs w:val="20"/>
                <w:color w:val="auto"/>
              </w:rPr>
            </w:pPr>
            <w:r>
              <w:rPr>
                <w:rFonts w:ascii="Arial" w:cs="Arial" w:eastAsia="Arial" w:hAnsi="Arial"/>
                <w:sz w:val="16"/>
                <w:szCs w:val="16"/>
                <w:color w:val="auto"/>
              </w:rPr>
              <w:t>57,096</w:t>
            </w:r>
          </w:p>
        </w:tc>
        <w:tc>
          <w:tcPr>
            <w:tcW w:w="100" w:type="dxa"/>
            <w:vAlign w:val="bottom"/>
            <w:tcBorders>
              <w:bottom w:val="single" w:sz="8" w:color="CCFFCC"/>
            </w:tcBorders>
            <w:shd w:val="clear" w:color="auto" w:fill="CCFFCC"/>
          </w:tcPr>
          <w:p>
            <w:pPr>
              <w:spacing w:after="0"/>
              <w:rPr>
                <w:sz w:val="21"/>
                <w:szCs w:val="21"/>
                <w:color w:val="auto"/>
              </w:rPr>
            </w:pPr>
          </w:p>
        </w:tc>
        <w:tc>
          <w:tcPr>
            <w:tcW w:w="10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FFCC"/>
            </w:tcBorders>
            <w:shd w:val="clear" w:color="auto" w:fill="CCFFCC"/>
          </w:tcPr>
          <w:p>
            <w:pPr>
              <w:jc w:val="right"/>
              <w:ind w:right="23"/>
              <w:spacing w:after="0"/>
              <w:rPr>
                <w:sz w:val="20"/>
                <w:szCs w:val="20"/>
                <w:color w:val="auto"/>
              </w:rPr>
            </w:pPr>
            <w:r>
              <w:rPr>
                <w:rFonts w:ascii="Arial" w:cs="Arial" w:eastAsia="Arial" w:hAnsi="Arial"/>
                <w:sz w:val="16"/>
                <w:szCs w:val="16"/>
                <w:color w:val="auto"/>
              </w:rPr>
              <w:t>154,614</w:t>
            </w:r>
          </w:p>
        </w:tc>
        <w:tc>
          <w:tcPr>
            <w:tcW w:w="10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FFCC"/>
            </w:tcBorders>
            <w:shd w:val="clear" w:color="auto" w:fill="CCFFCC"/>
          </w:tcPr>
          <w:p>
            <w:pPr>
              <w:jc w:val="right"/>
              <w:ind w:right="21"/>
              <w:spacing w:after="0"/>
              <w:rPr>
                <w:sz w:val="20"/>
                <w:szCs w:val="20"/>
                <w:color w:val="auto"/>
              </w:rPr>
            </w:pPr>
            <w:r>
              <w:rPr>
                <w:rFonts w:ascii="Arial" w:cs="Arial" w:eastAsia="Arial" w:hAnsi="Arial"/>
                <w:sz w:val="16"/>
                <w:szCs w:val="16"/>
                <w:color w:val="auto"/>
              </w:rPr>
              <w:t>168,642</w:t>
            </w:r>
          </w:p>
        </w:tc>
        <w:tc>
          <w:tcPr>
            <w:tcW w:w="100" w:type="dxa"/>
            <w:vAlign w:val="bottom"/>
            <w:tcBorders>
              <w:bottom w:val="single" w:sz="8" w:color="CCFFCC"/>
            </w:tcBorders>
            <w:shd w:val="clear" w:color="auto" w:fill="CCFFCC"/>
          </w:tcPr>
          <w:p>
            <w:pPr>
              <w:spacing w:after="0"/>
              <w:rPr>
                <w:sz w:val="21"/>
                <w:szCs w:val="21"/>
                <w:color w:val="auto"/>
              </w:rPr>
            </w:pPr>
          </w:p>
        </w:tc>
        <w:tc>
          <w:tcPr>
            <w:tcW w:w="10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(8)%</w:t>
            </w:r>
          </w:p>
        </w:tc>
      </w:tr>
      <w:tr>
        <w:trPr>
          <w:trHeight w:val="237"/>
        </w:trPr>
        <w:tc>
          <w:tcPr>
            <w:tcW w:w="5280" w:type="dxa"/>
            <w:vAlign w:val="bottom"/>
          </w:tcPr>
          <w:p>
            <w:pPr>
              <w:ind w:left="280"/>
              <w:spacing w:after="0"/>
              <w:rPr>
                <w:sz w:val="20"/>
                <w:szCs w:val="20"/>
                <w:color w:val="auto"/>
              </w:rPr>
            </w:pPr>
            <w:r>
              <w:rPr>
                <w:rFonts w:ascii="Arial" w:cs="Arial" w:eastAsia="Arial" w:hAnsi="Arial"/>
                <w:sz w:val="16"/>
                <w:szCs w:val="16"/>
                <w:color w:val="auto"/>
              </w:rPr>
              <w:t>Consumer</w:t>
            </w:r>
          </w:p>
        </w:tc>
        <w:tc>
          <w:tcPr>
            <w:tcW w:w="220" w:type="dxa"/>
            <w:vAlign w:val="bottom"/>
          </w:tcPr>
          <w:p>
            <w:pPr>
              <w:spacing w:after="0"/>
              <w:rPr>
                <w:sz w:val="20"/>
                <w:szCs w:val="20"/>
                <w:color w:val="auto"/>
              </w:rPr>
            </w:pPr>
          </w:p>
        </w:tc>
        <w:tc>
          <w:tcPr>
            <w:tcW w:w="680" w:type="dxa"/>
            <w:vAlign w:val="bottom"/>
          </w:tcPr>
          <w:p>
            <w:pPr>
              <w:jc w:val="right"/>
              <w:ind w:right="23"/>
              <w:spacing w:after="0"/>
              <w:rPr>
                <w:sz w:val="20"/>
                <w:szCs w:val="20"/>
                <w:color w:val="auto"/>
              </w:rPr>
            </w:pPr>
            <w:r>
              <w:rPr>
                <w:rFonts w:ascii="Arial" w:cs="Arial" w:eastAsia="Arial" w:hAnsi="Arial"/>
                <w:sz w:val="16"/>
                <w:szCs w:val="16"/>
                <w:color w:val="auto"/>
              </w:rPr>
              <w:t>4,044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21"/>
              <w:spacing w:after="0"/>
              <w:rPr>
                <w:sz w:val="20"/>
                <w:szCs w:val="20"/>
                <w:color w:val="auto"/>
              </w:rPr>
            </w:pPr>
            <w:r>
              <w:rPr>
                <w:rFonts w:ascii="Arial" w:cs="Arial" w:eastAsia="Arial" w:hAnsi="Arial"/>
                <w:sz w:val="16"/>
                <w:szCs w:val="16"/>
                <w:color w:val="auto"/>
              </w:rPr>
              <w:t>3,661</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23"/>
              <w:spacing w:after="0"/>
              <w:rPr>
                <w:sz w:val="20"/>
                <w:szCs w:val="20"/>
                <w:color w:val="auto"/>
              </w:rPr>
            </w:pPr>
            <w:r>
              <w:rPr>
                <w:rFonts w:ascii="Arial" w:cs="Arial" w:eastAsia="Arial" w:hAnsi="Arial"/>
                <w:sz w:val="16"/>
                <w:szCs w:val="16"/>
                <w:color w:val="auto"/>
              </w:rPr>
              <w:t>12,048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21"/>
              <w:spacing w:after="0"/>
              <w:rPr>
                <w:sz w:val="20"/>
                <w:szCs w:val="20"/>
                <w:color w:val="auto"/>
              </w:rPr>
            </w:pPr>
            <w:r>
              <w:rPr>
                <w:rFonts w:ascii="Arial" w:cs="Arial" w:eastAsia="Arial" w:hAnsi="Arial"/>
                <w:sz w:val="16"/>
                <w:szCs w:val="16"/>
                <w:color w:val="auto"/>
              </w:rPr>
              <w:t>11,219</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7 %</w:t>
            </w:r>
          </w:p>
        </w:tc>
      </w:tr>
      <w:tr>
        <w:trPr>
          <w:trHeight w:val="33"/>
        </w:trPr>
        <w:tc>
          <w:tcPr>
            <w:tcW w:w="528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5280" w:type="dxa"/>
            <w:vAlign w:val="bottom"/>
            <w:tcBorders>
              <w:bottom w:val="single" w:sz="8" w:color="CCFFCC"/>
            </w:tcBorders>
            <w:shd w:val="clear" w:color="auto" w:fill="CCFFCC"/>
          </w:tcPr>
          <w:p>
            <w:pPr>
              <w:ind w:left="38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shd w:val="clear" w:color="auto" w:fill="CCFFCC"/>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CFFCC"/>
          </w:tcPr>
          <w:p>
            <w:pPr>
              <w:jc w:val="right"/>
              <w:ind w:right="23"/>
              <w:spacing w:after="0"/>
              <w:rPr>
                <w:sz w:val="20"/>
                <w:szCs w:val="20"/>
                <w:color w:val="auto"/>
              </w:rPr>
            </w:pPr>
            <w:r>
              <w:rPr>
                <w:rFonts w:ascii="Arial" w:cs="Arial" w:eastAsia="Arial" w:hAnsi="Arial"/>
                <w:sz w:val="16"/>
                <w:szCs w:val="16"/>
                <w:color w:val="auto"/>
              </w:rPr>
              <w:t>54,518</w:t>
            </w:r>
          </w:p>
        </w:tc>
        <w:tc>
          <w:tcPr>
            <w:tcW w:w="10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auto"/>
            </w:tcBorders>
            <w:shd w:val="clear" w:color="auto" w:fill="CCFFCC"/>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CFFCC"/>
          </w:tcPr>
          <w:p>
            <w:pPr>
              <w:jc w:val="right"/>
              <w:ind w:right="21"/>
              <w:spacing w:after="0"/>
              <w:rPr>
                <w:sz w:val="20"/>
                <w:szCs w:val="20"/>
                <w:color w:val="auto"/>
              </w:rPr>
            </w:pPr>
            <w:r>
              <w:rPr>
                <w:rFonts w:ascii="Arial" w:cs="Arial" w:eastAsia="Arial" w:hAnsi="Arial"/>
                <w:sz w:val="16"/>
                <w:szCs w:val="16"/>
                <w:color w:val="auto"/>
              </w:rPr>
              <w:t>60,757</w:t>
            </w:r>
          </w:p>
        </w:tc>
        <w:tc>
          <w:tcPr>
            <w:tcW w:w="100" w:type="dxa"/>
            <w:vAlign w:val="bottom"/>
            <w:tcBorders>
              <w:bottom w:val="single" w:sz="8" w:color="CCFFCC"/>
            </w:tcBorders>
            <w:shd w:val="clear" w:color="auto" w:fill="CCFFCC"/>
          </w:tcPr>
          <w:p>
            <w:pPr>
              <w:spacing w:after="0"/>
              <w:rPr>
                <w:sz w:val="21"/>
                <w:szCs w:val="21"/>
                <w:color w:val="auto"/>
              </w:rPr>
            </w:pPr>
          </w:p>
        </w:tc>
        <w:tc>
          <w:tcPr>
            <w:tcW w:w="10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FFCC"/>
          </w:tcPr>
          <w:p>
            <w:pPr>
              <w:jc w:val="right"/>
              <w:ind w:right="23"/>
              <w:spacing w:after="0"/>
              <w:rPr>
                <w:sz w:val="20"/>
                <w:szCs w:val="20"/>
                <w:color w:val="auto"/>
              </w:rPr>
            </w:pPr>
            <w:r>
              <w:rPr>
                <w:rFonts w:ascii="Arial" w:cs="Arial" w:eastAsia="Arial" w:hAnsi="Arial"/>
                <w:sz w:val="16"/>
                <w:szCs w:val="16"/>
                <w:color w:val="auto"/>
              </w:rPr>
              <w:t>166,662</w:t>
            </w:r>
          </w:p>
        </w:tc>
        <w:tc>
          <w:tcPr>
            <w:tcW w:w="10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FFCC"/>
          </w:tcPr>
          <w:p>
            <w:pPr>
              <w:jc w:val="right"/>
              <w:ind w:right="21"/>
              <w:spacing w:after="0"/>
              <w:rPr>
                <w:sz w:val="20"/>
                <w:szCs w:val="20"/>
                <w:color w:val="auto"/>
              </w:rPr>
            </w:pPr>
            <w:r>
              <w:rPr>
                <w:rFonts w:ascii="Arial" w:cs="Arial" w:eastAsia="Arial" w:hAnsi="Arial"/>
                <w:sz w:val="16"/>
                <w:szCs w:val="16"/>
                <w:color w:val="auto"/>
              </w:rPr>
              <w:t>179,861</w:t>
            </w:r>
          </w:p>
        </w:tc>
        <w:tc>
          <w:tcPr>
            <w:tcW w:w="100" w:type="dxa"/>
            <w:vAlign w:val="bottom"/>
            <w:tcBorders>
              <w:bottom w:val="single" w:sz="8" w:color="CCFFCC"/>
            </w:tcBorders>
            <w:shd w:val="clear" w:color="auto" w:fill="CCFFCC"/>
          </w:tcPr>
          <w:p>
            <w:pPr>
              <w:spacing w:after="0"/>
              <w:rPr>
                <w:sz w:val="21"/>
                <w:szCs w:val="21"/>
                <w:color w:val="auto"/>
              </w:rPr>
            </w:pPr>
          </w:p>
        </w:tc>
        <w:tc>
          <w:tcPr>
            <w:tcW w:w="10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(7)%</w:t>
            </w:r>
          </w:p>
        </w:tc>
      </w:tr>
      <w:tr>
        <w:trPr>
          <w:trHeight w:val="20"/>
        </w:trPr>
        <w:tc>
          <w:tcPr>
            <w:tcW w:w="5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Business revenue decreased by 12% to $50.5 million in the three months ended September 30, 2016, from $57.1 million in the comparable period in 2015. The decrease is primarily attributable to the decrease in revenue from existing customers by approximately $7.7 million, revenue that is variable based on pay for performance, and interactions and usage of approximately $2.7 million; offset partially by the increase of revenue from new customers and professional services of approximately $3.7 million. Overall decrease in business revenue is primarily attributable to delays in anticipated upsells and increases in cancellations from existing customers. This is a reflection of the rapid pace of migrations, and migration commitments we have seen in recent months, as customers typically prefer to complete upgrades before expanding services. Additionally, there was also a foreign exchange impact primarily tied to the British Pound.</w:t>
      </w:r>
    </w:p>
    <w:p>
      <w:pPr>
        <w:spacing w:after="0" w:line="8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Consumer revenue increased by 10% to $4.0 million in the three months ended September 30, 2016, from $3.7 million in the comparable period in 2015. The variance was driven by an increase in chat minutes along with an increase in gross fees and a decrease in fees charged by experts.</w:t>
      </w:r>
    </w:p>
    <w:p>
      <w:pPr>
        <w:spacing w:after="0" w:line="3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Business revenue decreased by 8% to $154.6 million in the nine months ended September 30, 2016, from $168.6 million in the comparable period in 2015. The decrease is primarily attributable to the decrease in revenue from existing customers by approximately $20.0 million and revenue that is variable based on pay for performance, interactions and usage of approximately $3.1 million; offset partially by the increase of revenue from new customers of approximately $8.1 million and professional services of approximately $0.9 million. Overall decrease in business revenue is primarily attributable to delays in anticipated upsells and increases in cancellations from existing customers. This is a reflection of the rapid pace of migrations, and migration commitments we have seen in recent months, as customers typically prefer to complete upgrades before expanding services. Additionally, there was also a foreign exchange impact primarily tied to the British Pound.</w:t>
      </w:r>
    </w:p>
    <w:p>
      <w:pPr>
        <w:spacing w:after="0" w:line="81"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Consumer revenue increased by 7% to $12.0 million in the nine months ended September 30, 2016, from $11.2 million in the comparable period in 2015. The variance was driven by an increase in chat minutes along with an increase in gross fees and a decrease in fees charged by experts.</w:t>
      </w:r>
    </w:p>
    <w:p>
      <w:pPr>
        <w:spacing w:after="0" w:line="1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Cost of Revenue - Business</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Cost of revenue consists of compensation costs relating to employees who provide customer service to our customers, compensation costs relating to our network support staff, outside labor provider costs, the cost of supporting our server and network infrastructure, and allocated occupancy costs and related overhead.</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584" w:right="239" w:bottom="1440" w:gutter="0" w:footer="0" w:header="0"/>
          <w:type w:val="continuous"/>
        </w:sectPr>
      </w:pPr>
    </w:p>
    <w:bookmarkStart w:id="32" w:name="page33"/>
    <w:bookmarkEnd w:id="32"/>
    <w:tbl>
      <w:tblPr>
        <w:tblLayout w:type="fixed"/>
        <w:tblInd w:w="0" w:type="dxa"/>
        <w:tblCellMar>
          <w:top w:w="0" w:type="dxa"/>
          <w:left w:w="0" w:type="dxa"/>
          <w:bottom w:w="0" w:type="dxa"/>
          <w:right w:w="0" w:type="dxa"/>
        </w:tblCellMar>
      </w:tblPr>
      <w:tr>
        <w:trPr>
          <w:trHeight w:val="192"/>
        </w:trPr>
        <w:tc>
          <w:tcPr>
            <w:tcW w:w="5100" w:type="dxa"/>
            <w:vAlign w:val="bottom"/>
          </w:tcPr>
          <w:p>
            <w:pPr>
              <w:spacing w:after="0"/>
              <w:rPr>
                <w:sz w:val="16"/>
                <w:szCs w:val="16"/>
                <w:color w:val="auto"/>
              </w:rPr>
            </w:pPr>
          </w:p>
        </w:tc>
        <w:tc>
          <w:tcPr>
            <w:tcW w:w="3100" w:type="dxa"/>
            <w:vAlign w:val="bottom"/>
            <w:tcBorders>
              <w:bottom w:val="single" w:sz="8" w:color="auto"/>
            </w:tcBorders>
            <w:gridSpan w:val="4"/>
          </w:tcPr>
          <w:p>
            <w:pPr>
              <w:jc w:val="right"/>
              <w:ind w:right="348"/>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388"/>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5100" w:type="dxa"/>
            <w:vAlign w:val="bottom"/>
          </w:tcPr>
          <w:p>
            <w:pPr>
              <w:spacing w:after="0"/>
              <w:rPr>
                <w:sz w:val="22"/>
                <w:szCs w:val="22"/>
                <w:color w:val="auto"/>
              </w:rPr>
            </w:pPr>
          </w:p>
        </w:tc>
        <w:tc>
          <w:tcPr>
            <w:tcW w:w="1000" w:type="dxa"/>
            <w:vAlign w:val="bottom"/>
          </w:tcPr>
          <w:p>
            <w:pPr>
              <w:jc w:val="right"/>
              <w:ind w:right="302"/>
              <w:spacing w:after="0"/>
              <w:rPr>
                <w:sz w:val="20"/>
                <w:szCs w:val="20"/>
                <w:color w:val="auto"/>
              </w:rPr>
            </w:pPr>
            <w:r>
              <w:rPr>
                <w:rFonts w:ascii="Arial" w:cs="Arial" w:eastAsia="Arial" w:hAnsi="Arial"/>
                <w:sz w:val="14"/>
                <w:szCs w:val="14"/>
                <w:b w:val="1"/>
                <w:bCs w:val="1"/>
                <w:color w:val="auto"/>
              </w:rPr>
              <w:t>2016</w:t>
            </w:r>
          </w:p>
        </w:tc>
        <w:tc>
          <w:tcPr>
            <w:tcW w:w="1000" w:type="dxa"/>
            <w:vAlign w:val="bottom"/>
          </w:tcPr>
          <w:p>
            <w:pPr>
              <w:jc w:val="right"/>
              <w:ind w:right="261"/>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134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 Change</w:t>
            </w:r>
          </w:p>
        </w:tc>
        <w:tc>
          <w:tcPr>
            <w:tcW w:w="780" w:type="dxa"/>
            <w:vAlign w:val="bottom"/>
          </w:tcPr>
          <w:p>
            <w:pPr>
              <w:jc w:val="right"/>
              <w:ind w:right="302"/>
              <w:spacing w:after="0"/>
              <w:rPr>
                <w:sz w:val="20"/>
                <w:szCs w:val="20"/>
                <w:color w:val="auto"/>
              </w:rPr>
            </w:pPr>
            <w:r>
              <w:rPr>
                <w:rFonts w:ascii="Arial" w:cs="Arial" w:eastAsia="Arial" w:hAnsi="Arial"/>
                <w:sz w:val="14"/>
                <w:szCs w:val="14"/>
                <w:b w:val="1"/>
                <w:bCs w:val="1"/>
                <w:color w:val="auto"/>
              </w:rPr>
              <w:t>2016</w:t>
            </w:r>
          </w:p>
        </w:tc>
        <w:tc>
          <w:tcPr>
            <w:tcW w:w="1000" w:type="dxa"/>
            <w:vAlign w:val="bottom"/>
          </w:tcPr>
          <w:p>
            <w:pPr>
              <w:jc w:val="right"/>
              <w:ind w:right="261"/>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b w:val="1"/>
                <w:bCs w:val="1"/>
                <w:color w:val="auto"/>
              </w:rPr>
              <w:t>% Change</w:t>
            </w:r>
          </w:p>
        </w:tc>
      </w:tr>
      <w:tr>
        <w:trPr>
          <w:trHeight w:val="264"/>
        </w:trPr>
        <w:tc>
          <w:tcPr>
            <w:tcW w:w="5100" w:type="dxa"/>
            <w:vAlign w:val="bottom"/>
          </w:tcPr>
          <w:p>
            <w:pPr>
              <w:spacing w:after="0"/>
              <w:rPr>
                <w:sz w:val="22"/>
                <w:szCs w:val="22"/>
                <w:color w:val="auto"/>
              </w:rPr>
            </w:pPr>
          </w:p>
        </w:tc>
        <w:tc>
          <w:tcPr>
            <w:tcW w:w="2000" w:type="dxa"/>
            <w:vAlign w:val="bottom"/>
            <w:tcBorders>
              <w:top w:val="single" w:sz="8" w:color="auto"/>
              <w:bottom w:val="single" w:sz="8" w:color="auto"/>
            </w:tcBorders>
            <w:gridSpan w:val="2"/>
          </w:tcPr>
          <w:p>
            <w:pPr>
              <w:jc w:val="right"/>
              <w:ind w:right="421"/>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780" w:type="dxa"/>
            <w:vAlign w:val="bottom"/>
            <w:tcBorders>
              <w:top w:val="single" w:sz="8" w:color="auto"/>
              <w:bottom w:val="single" w:sz="8" w:color="auto"/>
            </w:tcBorders>
            <w:gridSpan w:val="2"/>
          </w:tcPr>
          <w:p>
            <w:pPr>
              <w:jc w:val="right"/>
              <w:ind w:right="421"/>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r>
      <w:tr>
        <w:trPr>
          <w:trHeight w:val="237"/>
        </w:trPr>
        <w:tc>
          <w:tcPr>
            <w:tcW w:w="5100" w:type="dxa"/>
            <w:vAlign w:val="bottom"/>
          </w:tcPr>
          <w:p>
            <w:pPr>
              <w:ind w:left="40"/>
              <w:spacing w:after="0"/>
              <w:rPr>
                <w:sz w:val="20"/>
                <w:szCs w:val="20"/>
                <w:color w:val="auto"/>
              </w:rPr>
            </w:pPr>
            <w:r>
              <w:rPr>
                <w:rFonts w:ascii="Arial" w:cs="Arial" w:eastAsia="Arial" w:hAnsi="Arial"/>
                <w:sz w:val="16"/>
                <w:szCs w:val="16"/>
                <w:color w:val="auto"/>
              </w:rPr>
              <w:t>Cost of revenue - business</w:t>
            </w:r>
          </w:p>
        </w:tc>
        <w:tc>
          <w:tcPr>
            <w:tcW w:w="1000" w:type="dxa"/>
            <w:vAlign w:val="bottom"/>
          </w:tcPr>
          <w:p>
            <w:pPr>
              <w:jc w:val="right"/>
              <w:ind w:right="142"/>
              <w:spacing w:after="0"/>
              <w:rPr>
                <w:sz w:val="20"/>
                <w:szCs w:val="20"/>
                <w:color w:val="auto"/>
              </w:rPr>
            </w:pPr>
            <w:r>
              <w:rPr>
                <w:rFonts w:ascii="Arial" w:cs="Arial" w:eastAsia="Arial" w:hAnsi="Arial"/>
                <w:sz w:val="16"/>
                <w:szCs w:val="16"/>
                <w:color w:val="auto"/>
              </w:rPr>
              <w:t>$   14,215</w:t>
            </w:r>
          </w:p>
        </w:tc>
        <w:tc>
          <w:tcPr>
            <w:tcW w:w="1000" w:type="dxa"/>
            <w:vAlign w:val="bottom"/>
          </w:tcPr>
          <w:p>
            <w:pPr>
              <w:jc w:val="right"/>
              <w:ind w:right="81"/>
              <w:spacing w:after="0"/>
              <w:rPr>
                <w:sz w:val="20"/>
                <w:szCs w:val="20"/>
                <w:color w:val="auto"/>
              </w:rPr>
            </w:pPr>
            <w:r>
              <w:rPr>
                <w:rFonts w:ascii="Arial" w:cs="Arial" w:eastAsia="Arial" w:hAnsi="Arial"/>
                <w:sz w:val="16"/>
                <w:szCs w:val="16"/>
                <w:color w:val="auto"/>
              </w:rPr>
              <w:t>$   17,652</w:t>
            </w:r>
          </w:p>
        </w:tc>
        <w:tc>
          <w:tcPr>
            <w:tcW w:w="1440" w:type="dxa"/>
            <w:vAlign w:val="bottom"/>
            <w:gridSpan w:val="4"/>
          </w:tcPr>
          <w:p>
            <w:pPr>
              <w:jc w:val="right"/>
              <w:ind w:right="120"/>
              <w:spacing w:after="0"/>
              <w:rPr>
                <w:sz w:val="20"/>
                <w:szCs w:val="20"/>
                <w:color w:val="auto"/>
              </w:rPr>
            </w:pPr>
            <w:r>
              <w:rPr>
                <w:rFonts w:ascii="Arial" w:cs="Arial" w:eastAsia="Arial" w:hAnsi="Arial"/>
                <w:sz w:val="16"/>
                <w:szCs w:val="16"/>
                <w:color w:val="auto"/>
              </w:rPr>
              <w:t>(19)%  $</w:t>
            </w:r>
          </w:p>
        </w:tc>
        <w:tc>
          <w:tcPr>
            <w:tcW w:w="780" w:type="dxa"/>
            <w:vAlign w:val="bottom"/>
          </w:tcPr>
          <w:p>
            <w:pPr>
              <w:jc w:val="right"/>
              <w:ind w:right="142"/>
              <w:spacing w:after="0"/>
              <w:rPr>
                <w:sz w:val="20"/>
                <w:szCs w:val="20"/>
                <w:color w:val="auto"/>
              </w:rPr>
            </w:pPr>
            <w:r>
              <w:rPr>
                <w:rFonts w:ascii="Arial" w:cs="Arial" w:eastAsia="Arial" w:hAnsi="Arial"/>
                <w:sz w:val="16"/>
                <w:szCs w:val="16"/>
                <w:color w:val="auto"/>
              </w:rPr>
              <w:t>46,145</w:t>
            </w:r>
          </w:p>
        </w:tc>
        <w:tc>
          <w:tcPr>
            <w:tcW w:w="1000" w:type="dxa"/>
            <w:vAlign w:val="bottom"/>
          </w:tcPr>
          <w:p>
            <w:pPr>
              <w:jc w:val="right"/>
              <w:ind w:right="81"/>
              <w:spacing w:after="0"/>
              <w:rPr>
                <w:sz w:val="20"/>
                <w:szCs w:val="20"/>
                <w:color w:val="auto"/>
              </w:rPr>
            </w:pPr>
            <w:r>
              <w:rPr>
                <w:rFonts w:ascii="Arial" w:cs="Arial" w:eastAsia="Arial" w:hAnsi="Arial"/>
                <w:sz w:val="16"/>
                <w:szCs w:val="16"/>
                <w:color w:val="auto"/>
              </w:rPr>
              <w:t>$   50,752</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(9)%</w:t>
            </w:r>
          </w:p>
        </w:tc>
      </w:tr>
      <w:tr>
        <w:trPr>
          <w:trHeight w:val="33"/>
        </w:trPr>
        <w:tc>
          <w:tcPr>
            <w:tcW w:w="5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10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Percentage of total revenue</w:t>
            </w:r>
          </w:p>
        </w:tc>
        <w:tc>
          <w:tcPr>
            <w:tcW w:w="1000" w:type="dxa"/>
            <w:vAlign w:val="bottom"/>
            <w:tcBorders>
              <w:bottom w:val="single" w:sz="8" w:color="CCFFCC"/>
            </w:tcBorders>
            <w:shd w:val="clear" w:color="auto" w:fill="CCFFCC"/>
          </w:tcPr>
          <w:p>
            <w:pPr>
              <w:jc w:val="right"/>
              <w:ind w:right="2"/>
              <w:spacing w:after="0"/>
              <w:rPr>
                <w:sz w:val="20"/>
                <w:szCs w:val="20"/>
                <w:color w:val="auto"/>
              </w:rPr>
            </w:pPr>
            <w:r>
              <w:rPr>
                <w:rFonts w:ascii="Arial" w:cs="Arial" w:eastAsia="Arial" w:hAnsi="Arial"/>
                <w:sz w:val="16"/>
                <w:szCs w:val="16"/>
                <w:color w:val="auto"/>
              </w:rPr>
              <w:t>26%</w:t>
            </w:r>
          </w:p>
        </w:tc>
        <w:tc>
          <w:tcPr>
            <w:tcW w:w="10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FFCC"/>
            </w:tcBorders>
            <w:shd w:val="clear" w:color="auto" w:fill="CCFFCC"/>
          </w:tcPr>
          <w:p>
            <w:pPr>
              <w:spacing w:after="0"/>
              <w:rPr>
                <w:sz w:val="21"/>
                <w:szCs w:val="21"/>
                <w:color w:val="auto"/>
              </w:rPr>
            </w:pPr>
          </w:p>
        </w:tc>
        <w:tc>
          <w:tcPr>
            <w:tcW w:w="100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780" w:type="dxa"/>
            <w:vAlign w:val="bottom"/>
            <w:tcBorders>
              <w:bottom w:val="single" w:sz="8" w:color="CCFFCC"/>
            </w:tcBorders>
            <w:shd w:val="clear" w:color="auto" w:fill="CCFFCC"/>
          </w:tcPr>
          <w:p>
            <w:pPr>
              <w:jc w:val="right"/>
              <w:ind w:right="2"/>
              <w:spacing w:after="0"/>
              <w:rPr>
                <w:sz w:val="20"/>
                <w:szCs w:val="20"/>
                <w:color w:val="auto"/>
              </w:rPr>
            </w:pPr>
            <w:r>
              <w:rPr>
                <w:rFonts w:ascii="Arial" w:cs="Arial" w:eastAsia="Arial" w:hAnsi="Arial"/>
                <w:sz w:val="16"/>
                <w:szCs w:val="16"/>
                <w:color w:val="auto"/>
              </w:rPr>
              <w:t>28%</w:t>
            </w:r>
          </w:p>
        </w:tc>
        <w:tc>
          <w:tcPr>
            <w:tcW w:w="10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FFCC"/>
            </w:tcBorders>
            <w:shd w:val="clear" w:color="auto" w:fill="CCFFCC"/>
          </w:tcPr>
          <w:p>
            <w:pPr>
              <w:spacing w:after="0"/>
              <w:rPr>
                <w:sz w:val="21"/>
                <w:szCs w:val="21"/>
                <w:color w:val="auto"/>
              </w:rPr>
            </w:pPr>
          </w:p>
        </w:tc>
        <w:tc>
          <w:tcPr>
            <w:tcW w:w="1000" w:type="dxa"/>
            <w:vAlign w:val="bottom"/>
            <w:tcBorders>
              <w:bottom w:val="single" w:sz="8" w:color="CCFFCC"/>
            </w:tcBorders>
            <w:shd w:val="clear" w:color="auto" w:fill="CCFFCC"/>
          </w:tcPr>
          <w:p>
            <w:pPr>
              <w:spacing w:after="0"/>
              <w:rPr>
                <w:sz w:val="21"/>
                <w:szCs w:val="21"/>
                <w:color w:val="auto"/>
              </w:rPr>
            </w:pPr>
          </w:p>
        </w:tc>
      </w:tr>
      <w:tr>
        <w:trPr>
          <w:trHeight w:val="243"/>
        </w:trPr>
        <w:tc>
          <w:tcPr>
            <w:tcW w:w="5100" w:type="dxa"/>
            <w:vAlign w:val="bottom"/>
          </w:tcPr>
          <w:p>
            <w:pPr>
              <w:ind w:left="40"/>
              <w:spacing w:after="0"/>
              <w:rPr>
                <w:sz w:val="20"/>
                <w:szCs w:val="20"/>
                <w:color w:val="auto"/>
              </w:rPr>
            </w:pPr>
            <w:r>
              <w:rPr>
                <w:rFonts w:ascii="Arial" w:cs="Arial" w:eastAsia="Arial" w:hAnsi="Arial"/>
                <w:sz w:val="16"/>
                <w:szCs w:val="16"/>
                <w:color w:val="auto"/>
              </w:rPr>
              <w:t>Headcount (at period end):</w:t>
            </w:r>
          </w:p>
        </w:tc>
        <w:tc>
          <w:tcPr>
            <w:tcW w:w="1000" w:type="dxa"/>
            <w:vAlign w:val="bottom"/>
          </w:tcPr>
          <w:p>
            <w:pPr>
              <w:jc w:val="right"/>
              <w:ind w:right="142"/>
              <w:spacing w:after="0"/>
              <w:rPr>
                <w:sz w:val="20"/>
                <w:szCs w:val="20"/>
                <w:color w:val="auto"/>
              </w:rPr>
            </w:pPr>
            <w:r>
              <w:rPr>
                <w:rFonts w:ascii="Arial" w:cs="Arial" w:eastAsia="Arial" w:hAnsi="Arial"/>
                <w:sz w:val="18"/>
                <w:szCs w:val="18"/>
                <w:color w:val="auto"/>
              </w:rPr>
              <w:t>251</w:t>
            </w:r>
          </w:p>
        </w:tc>
        <w:tc>
          <w:tcPr>
            <w:tcW w:w="1000" w:type="dxa"/>
            <w:vAlign w:val="bottom"/>
          </w:tcPr>
          <w:p>
            <w:pPr>
              <w:jc w:val="right"/>
              <w:ind w:right="81"/>
              <w:spacing w:after="0"/>
              <w:rPr>
                <w:sz w:val="20"/>
                <w:szCs w:val="20"/>
                <w:color w:val="auto"/>
              </w:rPr>
            </w:pPr>
            <w:r>
              <w:rPr>
                <w:rFonts w:ascii="Arial" w:cs="Arial" w:eastAsia="Arial" w:hAnsi="Arial"/>
                <w:sz w:val="16"/>
                <w:szCs w:val="16"/>
                <w:color w:val="auto"/>
              </w:rPr>
              <w:t>263</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142"/>
              <w:spacing w:after="0"/>
              <w:rPr>
                <w:sz w:val="20"/>
                <w:szCs w:val="20"/>
                <w:color w:val="auto"/>
              </w:rPr>
            </w:pPr>
            <w:r>
              <w:rPr>
                <w:rFonts w:ascii="Arial" w:cs="Arial" w:eastAsia="Arial" w:hAnsi="Arial"/>
                <w:sz w:val="18"/>
                <w:szCs w:val="18"/>
                <w:color w:val="auto"/>
              </w:rPr>
              <w:t>251</w:t>
            </w:r>
          </w:p>
        </w:tc>
        <w:tc>
          <w:tcPr>
            <w:tcW w:w="1000" w:type="dxa"/>
            <w:vAlign w:val="bottom"/>
          </w:tcPr>
          <w:p>
            <w:pPr>
              <w:jc w:val="right"/>
              <w:ind w:right="81"/>
              <w:spacing w:after="0"/>
              <w:rPr>
                <w:sz w:val="20"/>
                <w:szCs w:val="20"/>
                <w:color w:val="auto"/>
              </w:rPr>
            </w:pPr>
            <w:r>
              <w:rPr>
                <w:rFonts w:ascii="Arial" w:cs="Arial" w:eastAsia="Arial" w:hAnsi="Arial"/>
                <w:sz w:val="16"/>
                <w:szCs w:val="16"/>
                <w:color w:val="auto"/>
              </w:rPr>
              <w:t>263</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(5)%</w:t>
            </w:r>
          </w:p>
        </w:tc>
      </w:tr>
    </w:tbl>
    <w:p>
      <w:pPr>
        <w:spacing w:after="0" w:line="12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Cost of revenue decreased by 19% to $14.2 million in the three months ended September 30, 2016, from $17.7 million in the comparable period in 2015. This decrease in expense is primarily attributable to a decrease in outside labor provider fees and other business services of approximately $2.3 million, depreciation and amortization by $0.7 million, and primary and backup server facilities and allocated overhead by $0.4 million.</w:t>
      </w:r>
    </w:p>
    <w:p>
      <w:pPr>
        <w:spacing w:after="0" w:line="3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Cost of revenue decreased by 9% to $46.1 million in the nine months ended September 30, 2016, from $50.8 million in the comparable period in 2015. This decrease in expense is primarily attributable to a decrease in outside labor provider fees and business services of approximately $4.9 million, depreciation and amortization by $0.5 million, and primary and backup server facilities and allocated overhead by $0.1 million.</w:t>
      </w:r>
    </w:p>
    <w:p>
      <w:pPr>
        <w:spacing w:after="0" w:line="5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Cost of Revenue - Consumer</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Cost of revenue consists of compensation costs relating to employees who provide customer service to Experts and Users, compensation costs relating to our network support staff, the cost of supporting our server and network infrastructure, credit card and transaction processing fees and related costs, and allocated occupancy costs and related overhead.</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5"/>
          </w:tcPr>
          <w:p>
            <w:pPr>
              <w:jc w:val="right"/>
              <w:ind w:right="308"/>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5"/>
          </w:tcPr>
          <w:p>
            <w:pPr>
              <w:jc w:val="right"/>
              <w:ind w:right="368"/>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5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jc w:val="right"/>
              <w:ind w:right="302"/>
              <w:spacing w:after="0"/>
              <w:rPr>
                <w:sz w:val="20"/>
                <w:szCs w:val="20"/>
                <w:color w:val="auto"/>
              </w:rPr>
            </w:pPr>
            <w:r>
              <w:rPr>
                <w:rFonts w:ascii="Arial" w:cs="Arial" w:eastAsia="Arial" w:hAnsi="Arial"/>
                <w:sz w:val="14"/>
                <w:szCs w:val="14"/>
                <w:b w:val="1"/>
                <w:bCs w:val="1"/>
                <w:color w:val="auto"/>
              </w:rPr>
              <w:t>2016</w:t>
            </w:r>
          </w:p>
        </w:tc>
        <w:tc>
          <w:tcPr>
            <w:tcW w:w="260" w:type="dxa"/>
            <w:vAlign w:val="bottom"/>
          </w:tcPr>
          <w:p>
            <w:pPr>
              <w:spacing w:after="0"/>
              <w:rPr>
                <w:sz w:val="22"/>
                <w:szCs w:val="22"/>
                <w:color w:val="auto"/>
              </w:rPr>
            </w:pPr>
          </w:p>
        </w:tc>
        <w:tc>
          <w:tcPr>
            <w:tcW w:w="720" w:type="dxa"/>
            <w:vAlign w:val="bottom"/>
          </w:tcPr>
          <w:p>
            <w:pPr>
              <w:jc w:val="right"/>
              <w:ind w:right="241"/>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1080" w:type="dxa"/>
            <w:vAlign w:val="bottom"/>
            <w:gridSpan w:val="2"/>
          </w:tcPr>
          <w:p>
            <w:pPr>
              <w:ind w:left="160"/>
              <w:spacing w:after="0"/>
              <w:rPr>
                <w:sz w:val="20"/>
                <w:szCs w:val="20"/>
                <w:color w:val="auto"/>
              </w:rPr>
            </w:pPr>
            <w:r>
              <w:rPr>
                <w:rFonts w:ascii="Arial" w:cs="Arial" w:eastAsia="Arial" w:hAnsi="Arial"/>
                <w:sz w:val="14"/>
                <w:szCs w:val="14"/>
                <w:b w:val="1"/>
                <w:bCs w:val="1"/>
                <w:color w:val="auto"/>
              </w:rPr>
              <w:t>% Change</w:t>
            </w:r>
          </w:p>
        </w:tc>
        <w:tc>
          <w:tcPr>
            <w:tcW w:w="220" w:type="dxa"/>
            <w:vAlign w:val="bottom"/>
          </w:tcPr>
          <w:p>
            <w:pPr>
              <w:spacing w:after="0"/>
              <w:rPr>
                <w:sz w:val="22"/>
                <w:szCs w:val="22"/>
                <w:color w:val="auto"/>
              </w:rPr>
            </w:pPr>
          </w:p>
        </w:tc>
        <w:tc>
          <w:tcPr>
            <w:tcW w:w="780" w:type="dxa"/>
            <w:vAlign w:val="bottom"/>
          </w:tcPr>
          <w:p>
            <w:pPr>
              <w:jc w:val="right"/>
              <w:ind w:right="302"/>
              <w:spacing w:after="0"/>
              <w:rPr>
                <w:sz w:val="20"/>
                <w:szCs w:val="20"/>
                <w:color w:val="auto"/>
              </w:rPr>
            </w:pPr>
            <w:r>
              <w:rPr>
                <w:rFonts w:ascii="Arial" w:cs="Arial" w:eastAsia="Arial" w:hAnsi="Arial"/>
                <w:sz w:val="14"/>
                <w:szCs w:val="14"/>
                <w:b w:val="1"/>
                <w:bCs w:val="1"/>
                <w:color w:val="auto"/>
              </w:rPr>
              <w:t>2016</w:t>
            </w:r>
          </w:p>
        </w:tc>
        <w:tc>
          <w:tcPr>
            <w:tcW w:w="260" w:type="dxa"/>
            <w:vAlign w:val="bottom"/>
          </w:tcPr>
          <w:p>
            <w:pPr>
              <w:spacing w:after="0"/>
              <w:rPr>
                <w:sz w:val="22"/>
                <w:szCs w:val="22"/>
                <w:color w:val="auto"/>
              </w:rPr>
            </w:pPr>
          </w:p>
        </w:tc>
        <w:tc>
          <w:tcPr>
            <w:tcW w:w="740" w:type="dxa"/>
            <w:vAlign w:val="bottom"/>
          </w:tcPr>
          <w:p>
            <w:pPr>
              <w:jc w:val="right"/>
              <w:ind w:right="261"/>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b w:val="1"/>
                <w:bCs w:val="1"/>
                <w:color w:val="auto"/>
              </w:rPr>
              <w:t>% Change</w:t>
            </w:r>
          </w:p>
        </w:tc>
      </w:tr>
      <w:tr>
        <w:trPr>
          <w:trHeight w:val="264"/>
        </w:trPr>
        <w:tc>
          <w:tcPr>
            <w:tcW w:w="520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760" w:type="dxa"/>
            <w:vAlign w:val="bottom"/>
            <w:tcBorders>
              <w:top w:val="single" w:sz="8" w:color="auto"/>
              <w:bottom w:val="single" w:sz="8" w:color="auto"/>
            </w:tcBorders>
            <w:gridSpan w:val="3"/>
          </w:tcPr>
          <w:p>
            <w:pPr>
              <w:jc w:val="right"/>
              <w:ind w:right="401"/>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780" w:type="dxa"/>
            <w:vAlign w:val="bottom"/>
            <w:tcBorders>
              <w:top w:val="single" w:sz="8" w:color="auto"/>
              <w:bottom w:val="single" w:sz="8" w:color="auto"/>
            </w:tcBorders>
            <w:gridSpan w:val="3"/>
          </w:tcPr>
          <w:p>
            <w:pPr>
              <w:jc w:val="right"/>
              <w:ind w:right="421"/>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r>
      <w:tr>
        <w:trPr>
          <w:trHeight w:val="237"/>
        </w:trPr>
        <w:tc>
          <w:tcPr>
            <w:tcW w:w="5200" w:type="dxa"/>
            <w:vAlign w:val="bottom"/>
          </w:tcPr>
          <w:p>
            <w:pPr>
              <w:ind w:left="40"/>
              <w:spacing w:after="0"/>
              <w:rPr>
                <w:sz w:val="20"/>
                <w:szCs w:val="20"/>
                <w:color w:val="auto"/>
              </w:rPr>
            </w:pPr>
            <w:r>
              <w:rPr>
                <w:rFonts w:ascii="Arial" w:cs="Arial" w:eastAsia="Arial" w:hAnsi="Arial"/>
                <w:sz w:val="16"/>
                <w:szCs w:val="16"/>
                <w:color w:val="auto"/>
              </w:rPr>
              <w:t>Cost of revenue - consumer</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42"/>
              <w:spacing w:after="0"/>
              <w:rPr>
                <w:sz w:val="20"/>
                <w:szCs w:val="20"/>
                <w:color w:val="auto"/>
              </w:rPr>
            </w:pPr>
            <w:r>
              <w:rPr>
                <w:rFonts w:ascii="Arial" w:cs="Arial" w:eastAsia="Arial" w:hAnsi="Arial"/>
                <w:sz w:val="16"/>
                <w:szCs w:val="16"/>
                <w:color w:val="auto"/>
              </w:rPr>
              <w:t>622</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81"/>
              <w:spacing w:after="0"/>
              <w:rPr>
                <w:sz w:val="20"/>
                <w:szCs w:val="20"/>
                <w:color w:val="auto"/>
              </w:rPr>
            </w:pPr>
            <w:r>
              <w:rPr>
                <w:rFonts w:ascii="Arial" w:cs="Arial" w:eastAsia="Arial" w:hAnsi="Arial"/>
                <w:sz w:val="16"/>
                <w:szCs w:val="16"/>
                <w:color w:val="auto"/>
              </w:rPr>
              <w:t>573</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142"/>
              <w:spacing w:after="0"/>
              <w:rPr>
                <w:sz w:val="20"/>
                <w:szCs w:val="20"/>
                <w:color w:val="auto"/>
              </w:rPr>
            </w:pPr>
            <w:r>
              <w:rPr>
                <w:rFonts w:ascii="Arial" w:cs="Arial" w:eastAsia="Arial" w:hAnsi="Arial"/>
                <w:sz w:val="16"/>
                <w:szCs w:val="16"/>
                <w:color w:val="auto"/>
              </w:rPr>
              <w:t>2,065</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81"/>
              <w:spacing w:after="0"/>
              <w:rPr>
                <w:sz w:val="20"/>
                <w:szCs w:val="20"/>
                <w:color w:val="auto"/>
              </w:rPr>
            </w:pPr>
            <w:r>
              <w:rPr>
                <w:rFonts w:ascii="Arial" w:cs="Arial" w:eastAsia="Arial" w:hAnsi="Arial"/>
                <w:sz w:val="16"/>
                <w:szCs w:val="16"/>
                <w:color w:val="auto"/>
              </w:rPr>
              <w:t>1,779</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16%</w:t>
            </w:r>
          </w:p>
        </w:tc>
      </w:tr>
      <w:tr>
        <w:trPr>
          <w:trHeight w:val="33"/>
        </w:trPr>
        <w:tc>
          <w:tcPr>
            <w:tcW w:w="5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20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Percentage of total revenue</w:t>
            </w:r>
          </w:p>
        </w:tc>
        <w:tc>
          <w:tcPr>
            <w:tcW w:w="220" w:type="dxa"/>
            <w:vAlign w:val="bottom"/>
            <w:tcBorders>
              <w:bottom w:val="single" w:sz="8" w:color="CCFFCC"/>
            </w:tcBorders>
            <w:shd w:val="clear" w:color="auto" w:fill="CCFFCC"/>
          </w:tcPr>
          <w:p>
            <w:pPr>
              <w:spacing w:after="0"/>
              <w:rPr>
                <w:sz w:val="21"/>
                <w:szCs w:val="21"/>
                <w:color w:val="auto"/>
              </w:rPr>
            </w:pPr>
          </w:p>
        </w:tc>
        <w:tc>
          <w:tcPr>
            <w:tcW w:w="780" w:type="dxa"/>
            <w:vAlign w:val="bottom"/>
            <w:tcBorders>
              <w:bottom w:val="single" w:sz="8" w:color="CCFFCC"/>
            </w:tcBorders>
            <w:shd w:val="clear" w:color="auto" w:fill="CCFFCC"/>
          </w:tcPr>
          <w:p>
            <w:pPr>
              <w:jc w:val="right"/>
              <w:ind w:right="2"/>
              <w:spacing w:after="0"/>
              <w:rPr>
                <w:sz w:val="20"/>
                <w:szCs w:val="20"/>
                <w:color w:val="auto"/>
              </w:rPr>
            </w:pPr>
            <w:r>
              <w:rPr>
                <w:rFonts w:ascii="Arial" w:cs="Arial" w:eastAsia="Arial" w:hAnsi="Arial"/>
                <w:sz w:val="16"/>
                <w:szCs w:val="16"/>
                <w:color w:val="auto"/>
              </w:rPr>
              <w:t>1%</w:t>
            </w:r>
          </w:p>
        </w:tc>
        <w:tc>
          <w:tcPr>
            <w:tcW w:w="260" w:type="dxa"/>
            <w:vAlign w:val="bottom"/>
            <w:tcBorders>
              <w:bottom w:val="single" w:sz="8" w:color="CCFFCC"/>
            </w:tcBorders>
            <w:shd w:val="clear" w:color="auto" w:fill="CCFFCC"/>
          </w:tcPr>
          <w:p>
            <w:pPr>
              <w:spacing w:after="0"/>
              <w:rPr>
                <w:sz w:val="21"/>
                <w:szCs w:val="21"/>
                <w:color w:val="auto"/>
              </w:rPr>
            </w:pPr>
          </w:p>
        </w:tc>
        <w:tc>
          <w:tcPr>
            <w:tcW w:w="7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FFCC"/>
            </w:tcBorders>
            <w:shd w:val="clear" w:color="auto" w:fill="CCFFCC"/>
          </w:tcPr>
          <w:p>
            <w:pPr>
              <w:spacing w:after="0"/>
              <w:rPr>
                <w:sz w:val="21"/>
                <w:szCs w:val="21"/>
                <w:color w:val="auto"/>
              </w:rPr>
            </w:pPr>
          </w:p>
        </w:tc>
        <w:tc>
          <w:tcPr>
            <w:tcW w:w="96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780" w:type="dxa"/>
            <w:vAlign w:val="bottom"/>
            <w:tcBorders>
              <w:bottom w:val="single" w:sz="8" w:color="CCFFCC"/>
            </w:tcBorders>
            <w:shd w:val="clear" w:color="auto" w:fill="CCFFCC"/>
          </w:tcPr>
          <w:p>
            <w:pPr>
              <w:jc w:val="right"/>
              <w:ind w:right="2"/>
              <w:spacing w:after="0"/>
              <w:rPr>
                <w:sz w:val="20"/>
                <w:szCs w:val="20"/>
                <w:color w:val="auto"/>
              </w:rPr>
            </w:pPr>
            <w:r>
              <w:rPr>
                <w:rFonts w:ascii="Arial" w:cs="Arial" w:eastAsia="Arial" w:hAnsi="Arial"/>
                <w:sz w:val="16"/>
                <w:szCs w:val="16"/>
                <w:color w:val="auto"/>
              </w:rPr>
              <w:t>1%</w:t>
            </w:r>
          </w:p>
        </w:tc>
        <w:tc>
          <w:tcPr>
            <w:tcW w:w="260" w:type="dxa"/>
            <w:vAlign w:val="bottom"/>
            <w:tcBorders>
              <w:bottom w:val="single" w:sz="8" w:color="CCFFCC"/>
            </w:tcBorders>
            <w:shd w:val="clear" w:color="auto" w:fill="CCFFCC"/>
          </w:tcPr>
          <w:p>
            <w:pPr>
              <w:spacing w:after="0"/>
              <w:rPr>
                <w:sz w:val="21"/>
                <w:szCs w:val="21"/>
                <w:color w:val="auto"/>
              </w:rPr>
            </w:pPr>
          </w:p>
        </w:tc>
        <w:tc>
          <w:tcPr>
            <w:tcW w:w="7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FFCC"/>
            </w:tcBorders>
            <w:shd w:val="clear" w:color="auto" w:fill="CCFFCC"/>
          </w:tcPr>
          <w:p>
            <w:pPr>
              <w:spacing w:after="0"/>
              <w:rPr>
                <w:sz w:val="21"/>
                <w:szCs w:val="21"/>
                <w:color w:val="auto"/>
              </w:rPr>
            </w:pPr>
          </w:p>
        </w:tc>
        <w:tc>
          <w:tcPr>
            <w:tcW w:w="960" w:type="dxa"/>
            <w:vAlign w:val="bottom"/>
            <w:tcBorders>
              <w:bottom w:val="single" w:sz="8" w:color="CCFFCC"/>
            </w:tcBorders>
            <w:shd w:val="clear" w:color="auto" w:fill="CCFFCC"/>
          </w:tcPr>
          <w:p>
            <w:pPr>
              <w:spacing w:after="0"/>
              <w:rPr>
                <w:sz w:val="21"/>
                <w:szCs w:val="21"/>
                <w:color w:val="auto"/>
              </w:rPr>
            </w:pPr>
          </w:p>
        </w:tc>
      </w:tr>
      <w:tr>
        <w:trPr>
          <w:trHeight w:val="243"/>
        </w:trPr>
        <w:tc>
          <w:tcPr>
            <w:tcW w:w="5200" w:type="dxa"/>
            <w:vAlign w:val="bottom"/>
          </w:tcPr>
          <w:p>
            <w:pPr>
              <w:ind w:left="40"/>
              <w:spacing w:after="0"/>
              <w:rPr>
                <w:sz w:val="20"/>
                <w:szCs w:val="20"/>
                <w:color w:val="auto"/>
              </w:rPr>
            </w:pPr>
            <w:r>
              <w:rPr>
                <w:rFonts w:ascii="Arial" w:cs="Arial" w:eastAsia="Arial" w:hAnsi="Arial"/>
                <w:sz w:val="16"/>
                <w:szCs w:val="16"/>
                <w:color w:val="auto"/>
              </w:rPr>
              <w:t>Headcount (at period end)</w:t>
            </w:r>
          </w:p>
        </w:tc>
        <w:tc>
          <w:tcPr>
            <w:tcW w:w="220" w:type="dxa"/>
            <w:vAlign w:val="bottom"/>
          </w:tcPr>
          <w:p>
            <w:pPr>
              <w:spacing w:after="0"/>
              <w:rPr>
                <w:sz w:val="21"/>
                <w:szCs w:val="21"/>
                <w:color w:val="auto"/>
              </w:rPr>
            </w:pPr>
          </w:p>
        </w:tc>
        <w:tc>
          <w:tcPr>
            <w:tcW w:w="780" w:type="dxa"/>
            <w:vAlign w:val="bottom"/>
          </w:tcPr>
          <w:p>
            <w:pPr>
              <w:jc w:val="right"/>
              <w:ind w:right="142"/>
              <w:spacing w:after="0"/>
              <w:rPr>
                <w:sz w:val="20"/>
                <w:szCs w:val="20"/>
                <w:color w:val="auto"/>
              </w:rPr>
            </w:pPr>
            <w:r>
              <w:rPr>
                <w:rFonts w:ascii="Arial" w:cs="Arial" w:eastAsia="Arial" w:hAnsi="Arial"/>
                <w:sz w:val="18"/>
                <w:szCs w:val="18"/>
                <w:color w:val="auto"/>
              </w:rPr>
              <w:t>18</w:t>
            </w:r>
          </w:p>
        </w:tc>
        <w:tc>
          <w:tcPr>
            <w:tcW w:w="260" w:type="dxa"/>
            <w:vAlign w:val="bottom"/>
          </w:tcPr>
          <w:p>
            <w:pPr>
              <w:spacing w:after="0"/>
              <w:rPr>
                <w:sz w:val="21"/>
                <w:szCs w:val="21"/>
                <w:color w:val="auto"/>
              </w:rPr>
            </w:pPr>
          </w:p>
        </w:tc>
        <w:tc>
          <w:tcPr>
            <w:tcW w:w="720" w:type="dxa"/>
            <w:vAlign w:val="bottom"/>
          </w:tcPr>
          <w:p>
            <w:pPr>
              <w:jc w:val="right"/>
              <w:ind w:right="81"/>
              <w:spacing w:after="0"/>
              <w:rPr>
                <w:sz w:val="20"/>
                <w:szCs w:val="20"/>
                <w:color w:val="auto"/>
              </w:rPr>
            </w:pPr>
            <w:r>
              <w:rPr>
                <w:rFonts w:ascii="Arial" w:cs="Arial" w:eastAsia="Arial" w:hAnsi="Arial"/>
                <w:sz w:val="16"/>
                <w:szCs w:val="16"/>
                <w:color w:val="auto"/>
              </w:rPr>
              <w:t>17</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142"/>
              <w:spacing w:after="0"/>
              <w:rPr>
                <w:sz w:val="20"/>
                <w:szCs w:val="20"/>
                <w:color w:val="auto"/>
              </w:rPr>
            </w:pPr>
            <w:r>
              <w:rPr>
                <w:rFonts w:ascii="Arial" w:cs="Arial" w:eastAsia="Arial" w:hAnsi="Arial"/>
                <w:sz w:val="18"/>
                <w:szCs w:val="18"/>
                <w:color w:val="auto"/>
              </w:rPr>
              <w:t>18</w:t>
            </w:r>
          </w:p>
        </w:tc>
        <w:tc>
          <w:tcPr>
            <w:tcW w:w="260" w:type="dxa"/>
            <w:vAlign w:val="bottom"/>
          </w:tcPr>
          <w:p>
            <w:pPr>
              <w:spacing w:after="0"/>
              <w:rPr>
                <w:sz w:val="21"/>
                <w:szCs w:val="21"/>
                <w:color w:val="auto"/>
              </w:rPr>
            </w:pPr>
          </w:p>
        </w:tc>
        <w:tc>
          <w:tcPr>
            <w:tcW w:w="740" w:type="dxa"/>
            <w:vAlign w:val="bottom"/>
          </w:tcPr>
          <w:p>
            <w:pPr>
              <w:jc w:val="right"/>
              <w:ind w:right="81"/>
              <w:spacing w:after="0"/>
              <w:rPr>
                <w:sz w:val="20"/>
                <w:szCs w:val="20"/>
                <w:color w:val="auto"/>
              </w:rPr>
            </w:pPr>
            <w:r>
              <w:rPr>
                <w:rFonts w:ascii="Arial" w:cs="Arial" w:eastAsia="Arial" w:hAnsi="Arial"/>
                <w:sz w:val="16"/>
                <w:szCs w:val="16"/>
                <w:color w:val="auto"/>
              </w:rPr>
              <w:t>17</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6%</w:t>
            </w:r>
          </w:p>
        </w:tc>
      </w:tr>
    </w:tbl>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Cost of revenue remained relatively flat at $0.6 million in the three months ended September 30, 2016 and 2015.</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Cost of revenue increased by 16% to $2.1 million in the nine months ended September 30, 2016 from $1.8 million in the comparable period in 2015. This increase in expense is due to increases in outsourcing and other business services of approximately $0.2 million and credit card processing and other bank fees of approximately $0.1 million.</w:t>
      </w:r>
    </w:p>
    <w:p>
      <w:pPr>
        <w:spacing w:after="0" w:line="7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Sales and Marketing - Business</w:t>
      </w:r>
    </w:p>
    <w:p>
      <w:pPr>
        <w:spacing w:after="0" w:line="11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sales and marketing expenses consist of compensation and related expenses for sales and marketing personnel, as well as advertising, public relations, trade show exhibit expenses and allocated occupancy costs and related overhead.</w:t>
      </w:r>
    </w:p>
    <w:p>
      <w:pPr>
        <w:spacing w:after="0" w:line="284" w:lineRule="exact"/>
        <w:rPr>
          <w:sz w:val="20"/>
          <w:szCs w:val="20"/>
          <w:color w:val="auto"/>
        </w:rPr>
      </w:pPr>
    </w:p>
    <w:tbl>
      <w:tblPr>
        <w:tblLayout w:type="fixed"/>
        <w:tblInd w:w="140" w:type="dxa"/>
        <w:tblCellMar>
          <w:top w:w="0" w:type="dxa"/>
          <w:left w:w="0" w:type="dxa"/>
          <w:bottom w:w="0" w:type="dxa"/>
          <w:right w:w="0" w:type="dxa"/>
        </w:tblCellMar>
      </w:tblPr>
      <w:tr>
        <w:trPr>
          <w:trHeight w:val="192"/>
        </w:trPr>
        <w:tc>
          <w:tcPr>
            <w:tcW w:w="5060" w:type="dxa"/>
            <w:vAlign w:val="bottom"/>
          </w:tcPr>
          <w:p>
            <w:pPr>
              <w:spacing w:after="0"/>
              <w:rPr>
                <w:sz w:val="16"/>
                <w:szCs w:val="16"/>
                <w:color w:val="auto"/>
              </w:rPr>
            </w:pPr>
          </w:p>
        </w:tc>
        <w:tc>
          <w:tcPr>
            <w:tcW w:w="3040" w:type="dxa"/>
            <w:vAlign w:val="bottom"/>
            <w:tcBorders>
              <w:bottom w:val="single" w:sz="8" w:color="auto"/>
            </w:tcBorders>
            <w:gridSpan w:val="4"/>
          </w:tcPr>
          <w:p>
            <w:pPr>
              <w:jc w:val="right"/>
              <w:ind w:right="328"/>
              <w:spacing w:after="0"/>
              <w:rPr>
                <w:sz w:val="20"/>
                <w:szCs w:val="20"/>
                <w:color w:val="auto"/>
              </w:rPr>
            </w:pPr>
            <w:r>
              <w:rPr>
                <w:rFonts w:ascii="Arial" w:cs="Arial" w:eastAsia="Arial" w:hAnsi="Arial"/>
                <w:sz w:val="14"/>
                <w:szCs w:val="14"/>
                <w:b w:val="1"/>
                <w:bCs w:val="1"/>
                <w:color w:val="auto"/>
              </w:rPr>
              <w:t>Three Months Ended September 30,</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328"/>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5060" w:type="dxa"/>
            <w:vAlign w:val="bottom"/>
          </w:tcPr>
          <w:p>
            <w:pPr>
              <w:spacing w:after="0"/>
              <w:rPr>
                <w:sz w:val="22"/>
                <w:szCs w:val="22"/>
                <w:color w:val="auto"/>
              </w:rPr>
            </w:pPr>
          </w:p>
        </w:tc>
        <w:tc>
          <w:tcPr>
            <w:tcW w:w="960" w:type="dxa"/>
            <w:vAlign w:val="bottom"/>
          </w:tcPr>
          <w:p>
            <w:pPr>
              <w:jc w:val="right"/>
              <w:ind w:right="283"/>
              <w:spacing w:after="0"/>
              <w:rPr>
                <w:sz w:val="20"/>
                <w:szCs w:val="20"/>
                <w:color w:val="auto"/>
              </w:rPr>
            </w:pPr>
            <w:r>
              <w:rPr>
                <w:rFonts w:ascii="Arial" w:cs="Arial" w:eastAsia="Arial" w:hAnsi="Arial"/>
                <w:sz w:val="14"/>
                <w:szCs w:val="14"/>
                <w:b w:val="1"/>
                <w:bCs w:val="1"/>
                <w:color w:val="auto"/>
              </w:rPr>
              <w:t>2016</w:t>
            </w:r>
          </w:p>
        </w:tc>
        <w:tc>
          <w:tcPr>
            <w:tcW w:w="1000" w:type="dxa"/>
            <w:vAlign w:val="bottom"/>
          </w:tcPr>
          <w:p>
            <w:pPr>
              <w:jc w:val="right"/>
              <w:ind w:right="261"/>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128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 Change</w:t>
            </w:r>
          </w:p>
        </w:tc>
        <w:tc>
          <w:tcPr>
            <w:tcW w:w="780" w:type="dxa"/>
            <w:vAlign w:val="bottom"/>
          </w:tcPr>
          <w:p>
            <w:pPr>
              <w:jc w:val="right"/>
              <w:ind w:right="303"/>
              <w:spacing w:after="0"/>
              <w:rPr>
                <w:sz w:val="20"/>
                <w:szCs w:val="20"/>
                <w:color w:val="auto"/>
              </w:rPr>
            </w:pPr>
            <w:r>
              <w:rPr>
                <w:rFonts w:ascii="Arial" w:cs="Arial" w:eastAsia="Arial" w:hAnsi="Arial"/>
                <w:sz w:val="14"/>
                <w:szCs w:val="14"/>
                <w:b w:val="1"/>
                <w:bCs w:val="1"/>
                <w:color w:val="auto"/>
              </w:rPr>
              <w:t>2016</w:t>
            </w:r>
          </w:p>
        </w:tc>
        <w:tc>
          <w:tcPr>
            <w:tcW w:w="1000" w:type="dxa"/>
            <w:vAlign w:val="bottom"/>
          </w:tcPr>
          <w:p>
            <w:pPr>
              <w:jc w:val="right"/>
              <w:ind w:right="261"/>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b w:val="1"/>
                <w:bCs w:val="1"/>
                <w:color w:val="auto"/>
              </w:rPr>
              <w:t>% Change</w:t>
            </w:r>
          </w:p>
        </w:tc>
      </w:tr>
      <w:tr>
        <w:trPr>
          <w:trHeight w:val="264"/>
        </w:trPr>
        <w:tc>
          <w:tcPr>
            <w:tcW w:w="5060" w:type="dxa"/>
            <w:vAlign w:val="bottom"/>
          </w:tcPr>
          <w:p>
            <w:pPr>
              <w:spacing w:after="0"/>
              <w:rPr>
                <w:sz w:val="22"/>
                <w:szCs w:val="22"/>
                <w:color w:val="auto"/>
              </w:rPr>
            </w:pPr>
          </w:p>
        </w:tc>
        <w:tc>
          <w:tcPr>
            <w:tcW w:w="1960" w:type="dxa"/>
            <w:vAlign w:val="bottom"/>
            <w:tcBorders>
              <w:top w:val="single" w:sz="8" w:color="auto"/>
              <w:bottom w:val="single" w:sz="8" w:color="auto"/>
            </w:tcBorders>
            <w:gridSpan w:val="2"/>
          </w:tcPr>
          <w:p>
            <w:pPr>
              <w:jc w:val="right"/>
              <w:ind w:right="401"/>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780" w:type="dxa"/>
            <w:vAlign w:val="bottom"/>
            <w:tcBorders>
              <w:top w:val="single" w:sz="8" w:color="auto"/>
              <w:bottom w:val="single" w:sz="8" w:color="auto"/>
            </w:tcBorders>
            <w:gridSpan w:val="2"/>
          </w:tcPr>
          <w:p>
            <w:pPr>
              <w:jc w:val="right"/>
              <w:ind w:right="421"/>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r>
      <w:tr>
        <w:trPr>
          <w:trHeight w:val="237"/>
        </w:trPr>
        <w:tc>
          <w:tcPr>
            <w:tcW w:w="5060" w:type="dxa"/>
            <w:vAlign w:val="bottom"/>
          </w:tcPr>
          <w:p>
            <w:pPr>
              <w:ind w:left="20"/>
              <w:spacing w:after="0"/>
              <w:rPr>
                <w:sz w:val="20"/>
                <w:szCs w:val="20"/>
                <w:color w:val="auto"/>
              </w:rPr>
            </w:pPr>
            <w:r>
              <w:rPr>
                <w:rFonts w:ascii="Arial" w:cs="Arial" w:eastAsia="Arial" w:hAnsi="Arial"/>
                <w:sz w:val="16"/>
                <w:szCs w:val="16"/>
                <w:color w:val="auto"/>
              </w:rPr>
              <w:t>Sales and marketing - business</w:t>
            </w:r>
          </w:p>
        </w:tc>
        <w:tc>
          <w:tcPr>
            <w:tcW w:w="960" w:type="dxa"/>
            <w:vAlign w:val="bottom"/>
          </w:tcPr>
          <w:p>
            <w:pPr>
              <w:jc w:val="right"/>
              <w:ind w:right="143"/>
              <w:spacing w:after="0"/>
              <w:rPr>
                <w:sz w:val="20"/>
                <w:szCs w:val="20"/>
                <w:color w:val="auto"/>
              </w:rPr>
            </w:pPr>
            <w:r>
              <w:rPr>
                <w:rFonts w:ascii="Arial" w:cs="Arial" w:eastAsia="Arial" w:hAnsi="Arial"/>
                <w:sz w:val="16"/>
                <w:szCs w:val="16"/>
                <w:color w:val="auto"/>
              </w:rPr>
              <w:t>$   20,278</w:t>
            </w:r>
          </w:p>
        </w:tc>
        <w:tc>
          <w:tcPr>
            <w:tcW w:w="1000" w:type="dxa"/>
            <w:vAlign w:val="bottom"/>
          </w:tcPr>
          <w:p>
            <w:pPr>
              <w:jc w:val="right"/>
              <w:ind w:right="101"/>
              <w:spacing w:after="0"/>
              <w:rPr>
                <w:sz w:val="20"/>
                <w:szCs w:val="20"/>
                <w:color w:val="auto"/>
              </w:rPr>
            </w:pPr>
            <w:r>
              <w:rPr>
                <w:rFonts w:ascii="Arial" w:cs="Arial" w:eastAsia="Arial" w:hAnsi="Arial"/>
                <w:sz w:val="16"/>
                <w:szCs w:val="16"/>
                <w:color w:val="auto"/>
              </w:rPr>
              <w:t>$   21,333</w:t>
            </w:r>
          </w:p>
        </w:tc>
        <w:tc>
          <w:tcPr>
            <w:tcW w:w="1380" w:type="dxa"/>
            <w:vAlign w:val="bottom"/>
            <w:gridSpan w:val="4"/>
          </w:tcPr>
          <w:p>
            <w:pPr>
              <w:jc w:val="right"/>
              <w:ind w:right="100"/>
              <w:spacing w:after="0"/>
              <w:rPr>
                <w:sz w:val="20"/>
                <w:szCs w:val="20"/>
                <w:color w:val="auto"/>
              </w:rPr>
            </w:pPr>
            <w:r>
              <w:rPr>
                <w:rFonts w:ascii="Arial" w:cs="Arial" w:eastAsia="Arial" w:hAnsi="Arial"/>
                <w:sz w:val="16"/>
                <w:szCs w:val="16"/>
                <w:color w:val="auto"/>
              </w:rPr>
              <w:t>(5)%  $</w:t>
            </w:r>
          </w:p>
        </w:tc>
        <w:tc>
          <w:tcPr>
            <w:tcW w:w="780" w:type="dxa"/>
            <w:vAlign w:val="bottom"/>
          </w:tcPr>
          <w:p>
            <w:pPr>
              <w:jc w:val="right"/>
              <w:ind w:right="143"/>
              <w:spacing w:after="0"/>
              <w:rPr>
                <w:sz w:val="20"/>
                <w:szCs w:val="20"/>
                <w:color w:val="auto"/>
              </w:rPr>
            </w:pPr>
            <w:r>
              <w:rPr>
                <w:rFonts w:ascii="Arial" w:cs="Arial" w:eastAsia="Arial" w:hAnsi="Arial"/>
                <w:sz w:val="16"/>
                <w:szCs w:val="16"/>
                <w:color w:val="auto"/>
              </w:rPr>
              <w:t>62,606</w:t>
            </w:r>
          </w:p>
        </w:tc>
        <w:tc>
          <w:tcPr>
            <w:tcW w:w="1000" w:type="dxa"/>
            <w:vAlign w:val="bottom"/>
          </w:tcPr>
          <w:p>
            <w:pPr>
              <w:jc w:val="right"/>
              <w:ind w:right="101"/>
              <w:spacing w:after="0"/>
              <w:rPr>
                <w:sz w:val="20"/>
                <w:szCs w:val="20"/>
                <w:color w:val="auto"/>
              </w:rPr>
            </w:pPr>
            <w:r>
              <w:rPr>
                <w:rFonts w:ascii="Arial" w:cs="Arial" w:eastAsia="Arial" w:hAnsi="Arial"/>
                <w:sz w:val="16"/>
                <w:szCs w:val="16"/>
                <w:color w:val="auto"/>
              </w:rPr>
              <w:t>$   66,865</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(6)%</w:t>
            </w:r>
          </w:p>
        </w:tc>
      </w:tr>
      <w:tr>
        <w:trPr>
          <w:trHeight w:val="33"/>
        </w:trPr>
        <w:tc>
          <w:tcPr>
            <w:tcW w:w="50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06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6"/>
                <w:szCs w:val="16"/>
                <w:color w:val="auto"/>
              </w:rPr>
              <w:t>Percentage of total revenue</w:t>
            </w:r>
          </w:p>
        </w:tc>
        <w:tc>
          <w:tcPr>
            <w:tcW w:w="960" w:type="dxa"/>
            <w:vAlign w:val="bottom"/>
            <w:tcBorders>
              <w:bottom w:val="single" w:sz="8" w:color="CCFFCC"/>
            </w:tcBorders>
            <w:shd w:val="clear" w:color="auto" w:fill="CCFFCC"/>
          </w:tcPr>
          <w:p>
            <w:pPr>
              <w:jc w:val="right"/>
              <w:ind w:right="3"/>
              <w:spacing w:after="0"/>
              <w:rPr>
                <w:sz w:val="20"/>
                <w:szCs w:val="20"/>
                <w:color w:val="auto"/>
              </w:rPr>
            </w:pPr>
            <w:r>
              <w:rPr>
                <w:rFonts w:ascii="Arial" w:cs="Arial" w:eastAsia="Arial" w:hAnsi="Arial"/>
                <w:sz w:val="16"/>
                <w:szCs w:val="16"/>
                <w:color w:val="auto"/>
              </w:rPr>
              <w:t>37%</w:t>
            </w:r>
          </w:p>
        </w:tc>
        <w:tc>
          <w:tcPr>
            <w:tcW w:w="10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35%</w:t>
            </w:r>
          </w:p>
        </w:tc>
        <w:tc>
          <w:tcPr>
            <w:tcW w:w="100" w:type="dxa"/>
            <w:vAlign w:val="bottom"/>
            <w:tcBorders>
              <w:bottom w:val="single" w:sz="8" w:color="CCFFCC"/>
            </w:tcBorders>
            <w:shd w:val="clear" w:color="auto" w:fill="CCFFCC"/>
          </w:tcPr>
          <w:p>
            <w:pPr>
              <w:spacing w:after="0"/>
              <w:rPr>
                <w:sz w:val="21"/>
                <w:szCs w:val="21"/>
                <w:color w:val="auto"/>
              </w:rPr>
            </w:pPr>
          </w:p>
        </w:tc>
        <w:tc>
          <w:tcPr>
            <w:tcW w:w="98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780" w:type="dxa"/>
            <w:vAlign w:val="bottom"/>
            <w:tcBorders>
              <w:bottom w:val="single" w:sz="8" w:color="CCFFCC"/>
            </w:tcBorders>
            <w:shd w:val="clear" w:color="auto" w:fill="CCFFCC"/>
          </w:tcPr>
          <w:p>
            <w:pPr>
              <w:jc w:val="right"/>
              <w:ind w:right="3"/>
              <w:spacing w:after="0"/>
              <w:rPr>
                <w:sz w:val="20"/>
                <w:szCs w:val="20"/>
                <w:color w:val="auto"/>
              </w:rPr>
            </w:pPr>
            <w:r>
              <w:rPr>
                <w:rFonts w:ascii="Arial" w:cs="Arial" w:eastAsia="Arial" w:hAnsi="Arial"/>
                <w:sz w:val="16"/>
                <w:szCs w:val="16"/>
                <w:color w:val="auto"/>
              </w:rPr>
              <w:t>38%</w:t>
            </w:r>
          </w:p>
        </w:tc>
        <w:tc>
          <w:tcPr>
            <w:tcW w:w="10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CCFFCC"/>
            </w:tcBorders>
            <w:shd w:val="clear" w:color="auto" w:fill="CCFFCC"/>
          </w:tcPr>
          <w:p>
            <w:pPr>
              <w:spacing w:after="0"/>
              <w:rPr>
                <w:sz w:val="21"/>
                <w:szCs w:val="21"/>
                <w:color w:val="auto"/>
              </w:rPr>
            </w:pPr>
          </w:p>
        </w:tc>
        <w:tc>
          <w:tcPr>
            <w:tcW w:w="880" w:type="dxa"/>
            <w:vAlign w:val="bottom"/>
            <w:tcBorders>
              <w:bottom w:val="single" w:sz="8" w:color="CCFFCC"/>
            </w:tcBorders>
            <w:shd w:val="clear" w:color="auto" w:fill="CCFFCC"/>
          </w:tcPr>
          <w:p>
            <w:pPr>
              <w:spacing w:after="0"/>
              <w:rPr>
                <w:sz w:val="21"/>
                <w:szCs w:val="21"/>
                <w:color w:val="auto"/>
              </w:rPr>
            </w:pPr>
          </w:p>
        </w:tc>
      </w:tr>
      <w:tr>
        <w:trPr>
          <w:trHeight w:val="237"/>
        </w:trPr>
        <w:tc>
          <w:tcPr>
            <w:tcW w:w="5060" w:type="dxa"/>
            <w:vAlign w:val="bottom"/>
          </w:tcPr>
          <w:p>
            <w:pPr>
              <w:ind w:left="20"/>
              <w:spacing w:after="0"/>
              <w:rPr>
                <w:sz w:val="20"/>
                <w:szCs w:val="20"/>
                <w:color w:val="auto"/>
              </w:rPr>
            </w:pPr>
            <w:r>
              <w:rPr>
                <w:rFonts w:ascii="Arial" w:cs="Arial" w:eastAsia="Arial" w:hAnsi="Arial"/>
                <w:sz w:val="16"/>
                <w:szCs w:val="16"/>
                <w:color w:val="auto"/>
              </w:rPr>
              <w:t>Headcount (at period end):</w:t>
            </w:r>
          </w:p>
        </w:tc>
        <w:tc>
          <w:tcPr>
            <w:tcW w:w="960" w:type="dxa"/>
            <w:vAlign w:val="bottom"/>
          </w:tcPr>
          <w:p>
            <w:pPr>
              <w:jc w:val="right"/>
              <w:ind w:right="143"/>
              <w:spacing w:after="0"/>
              <w:rPr>
                <w:sz w:val="20"/>
                <w:szCs w:val="20"/>
                <w:color w:val="auto"/>
              </w:rPr>
            </w:pPr>
            <w:r>
              <w:rPr>
                <w:rFonts w:ascii="Arial" w:cs="Arial" w:eastAsia="Arial" w:hAnsi="Arial"/>
                <w:sz w:val="16"/>
                <w:szCs w:val="16"/>
                <w:color w:val="auto"/>
              </w:rPr>
              <w:t>317</w:t>
            </w:r>
          </w:p>
        </w:tc>
        <w:tc>
          <w:tcPr>
            <w:tcW w:w="1000" w:type="dxa"/>
            <w:vAlign w:val="bottom"/>
          </w:tcPr>
          <w:p>
            <w:pPr>
              <w:jc w:val="right"/>
              <w:ind w:right="101"/>
              <w:spacing w:after="0"/>
              <w:rPr>
                <w:sz w:val="20"/>
                <w:szCs w:val="20"/>
                <w:color w:val="auto"/>
              </w:rPr>
            </w:pPr>
            <w:r>
              <w:rPr>
                <w:rFonts w:ascii="Arial" w:cs="Arial" w:eastAsia="Arial" w:hAnsi="Arial"/>
                <w:sz w:val="16"/>
                <w:szCs w:val="16"/>
                <w:color w:val="auto"/>
              </w:rPr>
              <w:t>356</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ind w:right="143"/>
              <w:spacing w:after="0"/>
              <w:rPr>
                <w:sz w:val="20"/>
                <w:szCs w:val="20"/>
                <w:color w:val="auto"/>
              </w:rPr>
            </w:pPr>
            <w:r>
              <w:rPr>
                <w:rFonts w:ascii="Arial" w:cs="Arial" w:eastAsia="Arial" w:hAnsi="Arial"/>
                <w:sz w:val="16"/>
                <w:szCs w:val="16"/>
                <w:color w:val="auto"/>
              </w:rPr>
              <w:t>317</w:t>
            </w:r>
          </w:p>
        </w:tc>
        <w:tc>
          <w:tcPr>
            <w:tcW w:w="1000" w:type="dxa"/>
            <w:vAlign w:val="bottom"/>
          </w:tcPr>
          <w:p>
            <w:pPr>
              <w:jc w:val="right"/>
              <w:ind w:right="101"/>
              <w:spacing w:after="0"/>
              <w:rPr>
                <w:sz w:val="20"/>
                <w:szCs w:val="20"/>
                <w:color w:val="auto"/>
              </w:rPr>
            </w:pPr>
            <w:r>
              <w:rPr>
                <w:rFonts w:ascii="Arial" w:cs="Arial" w:eastAsia="Arial" w:hAnsi="Arial"/>
                <w:sz w:val="16"/>
                <w:szCs w:val="16"/>
                <w:color w:val="auto"/>
              </w:rPr>
              <w:t>356</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(11)%</w:t>
            </w:r>
          </w:p>
        </w:tc>
      </w:tr>
    </w:tbl>
    <w:p>
      <w:pPr>
        <w:spacing w:after="0" w:line="12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Sales and marketing expenses decreased by 5% to $20.3 million in the three months ended September 30, 2016, from $21.3 million in the comparable period in 2015. The decrease was primarily due to advertising expense of approximately $1.5 million and compensation and related costs for sales and marketing personnel of $0.4 million directly related to a decrease in headcount as result of our increased focus on strengthening our profitability as the scalability of our operating model and recent investments materialize. This was partially offset by outsourced labor and other business services of approximately $1.1 million.</w:t>
      </w:r>
    </w:p>
    <w:p>
      <w:pPr>
        <w:spacing w:after="0" w:line="80"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Sales and marketing expenses decreased by 6% to $62.6 million in the nine months ended September 30, 2016, from $66.9 million in the comparable period in 2015. The decrease was primarily due to compensation and related costs for sales and marketing personnel of approximately $5.9 million and advertising expense of $0.8 million directly related to a decrease in</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806" w:right="239" w:bottom="1440" w:gutter="0" w:footer="0" w:header="0"/>
        </w:sectPr>
      </w:pPr>
    </w:p>
    <w:bookmarkStart w:id="33" w:name="page34"/>
    <w:bookmarkEnd w:id="33"/>
    <w:p>
      <w:pPr>
        <w:jc w:val="both"/>
        <w:spacing w:after="0" w:line="277" w:lineRule="auto"/>
        <w:rPr>
          <w:sz w:val="20"/>
          <w:szCs w:val="20"/>
          <w:color w:val="auto"/>
        </w:rPr>
      </w:pPr>
      <w:r>
        <w:rPr>
          <w:rFonts w:ascii="Arial" w:cs="Arial" w:eastAsia="Arial" w:hAnsi="Arial"/>
          <w:sz w:val="18"/>
          <w:szCs w:val="18"/>
          <w:color w:val="auto"/>
        </w:rPr>
        <w:t>headcount as result of our increased focus on strengthening our profitability as the scalability of our operating model and recent investments materialize. This was partially offset by an increase in business services expense of approximately $2.7 million.</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Sales and Marketing - Consumer</w:t>
      </w:r>
    </w:p>
    <w:p>
      <w:pPr>
        <w:spacing w:after="0" w:line="11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sales and marketing expenses consist of compensation and related expenses for marketing personnel, as well as online promotion, public relations and allocated occupancy costs and related overhead.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5"/>
          </w:tcPr>
          <w:p>
            <w:pPr>
              <w:jc w:val="right"/>
              <w:ind w:right="288"/>
              <w:spacing w:after="0"/>
              <w:rPr>
                <w:sz w:val="20"/>
                <w:szCs w:val="20"/>
                <w:color w:val="auto"/>
              </w:rPr>
            </w:pPr>
            <w:r>
              <w:rPr>
                <w:rFonts w:ascii="Arial" w:cs="Arial" w:eastAsia="Arial" w:hAnsi="Arial"/>
                <w:sz w:val="14"/>
                <w:szCs w:val="14"/>
                <w:b w:val="1"/>
                <w:bCs w:val="1"/>
                <w:color w:val="auto"/>
                <w:w w:val="99"/>
              </w:rPr>
              <w:t>Three Months Ended September 30,</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5"/>
          </w:tcPr>
          <w:p>
            <w:pPr>
              <w:jc w:val="right"/>
              <w:ind w:right="308"/>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53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jc w:val="right"/>
              <w:ind w:right="283"/>
              <w:spacing w:after="0"/>
              <w:rPr>
                <w:sz w:val="20"/>
                <w:szCs w:val="20"/>
                <w:color w:val="auto"/>
              </w:rPr>
            </w:pPr>
            <w:r>
              <w:rPr>
                <w:rFonts w:ascii="Arial" w:cs="Arial" w:eastAsia="Arial" w:hAnsi="Arial"/>
                <w:sz w:val="14"/>
                <w:szCs w:val="14"/>
                <w:b w:val="1"/>
                <w:bCs w:val="1"/>
                <w:color w:val="auto"/>
              </w:rPr>
              <w:t>2016</w:t>
            </w:r>
          </w:p>
        </w:tc>
        <w:tc>
          <w:tcPr>
            <w:tcW w:w="280" w:type="dxa"/>
            <w:vAlign w:val="bottom"/>
          </w:tcPr>
          <w:p>
            <w:pPr>
              <w:spacing w:after="0"/>
              <w:rPr>
                <w:sz w:val="22"/>
                <w:szCs w:val="22"/>
                <w:color w:val="auto"/>
              </w:rPr>
            </w:pPr>
          </w:p>
        </w:tc>
        <w:tc>
          <w:tcPr>
            <w:tcW w:w="720" w:type="dxa"/>
            <w:vAlign w:val="bottom"/>
          </w:tcPr>
          <w:p>
            <w:pPr>
              <w:jc w:val="right"/>
              <w:ind w:right="241"/>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22"/>
                <w:szCs w:val="22"/>
                <w:color w:val="auto"/>
              </w:rPr>
            </w:pPr>
          </w:p>
        </w:tc>
        <w:tc>
          <w:tcPr>
            <w:tcW w:w="122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 Change</w:t>
            </w:r>
          </w:p>
        </w:tc>
        <w:tc>
          <w:tcPr>
            <w:tcW w:w="780" w:type="dxa"/>
            <w:vAlign w:val="bottom"/>
          </w:tcPr>
          <w:p>
            <w:pPr>
              <w:jc w:val="right"/>
              <w:ind w:right="303"/>
              <w:spacing w:after="0"/>
              <w:rPr>
                <w:sz w:val="20"/>
                <w:szCs w:val="20"/>
                <w:color w:val="auto"/>
              </w:rPr>
            </w:pPr>
            <w:r>
              <w:rPr>
                <w:rFonts w:ascii="Arial" w:cs="Arial" w:eastAsia="Arial" w:hAnsi="Arial"/>
                <w:sz w:val="14"/>
                <w:szCs w:val="14"/>
                <w:b w:val="1"/>
                <w:bCs w:val="1"/>
                <w:color w:val="auto"/>
              </w:rPr>
              <w:t>2016</w:t>
            </w:r>
          </w:p>
        </w:tc>
        <w:tc>
          <w:tcPr>
            <w:tcW w:w="260" w:type="dxa"/>
            <w:vAlign w:val="bottom"/>
          </w:tcPr>
          <w:p>
            <w:pPr>
              <w:spacing w:after="0"/>
              <w:rPr>
                <w:sz w:val="22"/>
                <w:szCs w:val="22"/>
                <w:color w:val="auto"/>
              </w:rPr>
            </w:pPr>
          </w:p>
        </w:tc>
        <w:tc>
          <w:tcPr>
            <w:tcW w:w="740" w:type="dxa"/>
            <w:vAlign w:val="bottom"/>
          </w:tcPr>
          <w:p>
            <w:pPr>
              <w:jc w:val="right"/>
              <w:ind w:right="261"/>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b w:val="1"/>
                <w:bCs w:val="1"/>
                <w:color w:val="auto"/>
              </w:rPr>
              <w:t>% Change</w:t>
            </w:r>
          </w:p>
        </w:tc>
      </w:tr>
      <w:tr>
        <w:trPr>
          <w:trHeight w:val="264"/>
        </w:trPr>
        <w:tc>
          <w:tcPr>
            <w:tcW w:w="538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760" w:type="dxa"/>
            <w:vAlign w:val="bottom"/>
            <w:tcBorders>
              <w:top w:val="single" w:sz="8" w:color="auto"/>
              <w:bottom w:val="single" w:sz="8" w:color="auto"/>
            </w:tcBorders>
            <w:gridSpan w:val="3"/>
          </w:tcPr>
          <w:p>
            <w:pPr>
              <w:jc w:val="right"/>
              <w:ind w:right="401"/>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780" w:type="dxa"/>
            <w:vAlign w:val="bottom"/>
            <w:tcBorders>
              <w:top w:val="single" w:sz="8" w:color="auto"/>
              <w:bottom w:val="single" w:sz="8" w:color="auto"/>
            </w:tcBorders>
            <w:gridSpan w:val="3"/>
          </w:tcPr>
          <w:p>
            <w:pPr>
              <w:jc w:val="right"/>
              <w:ind w:right="421"/>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r>
      <w:tr>
        <w:trPr>
          <w:trHeight w:val="237"/>
        </w:trPr>
        <w:tc>
          <w:tcPr>
            <w:tcW w:w="5380" w:type="dxa"/>
            <w:vAlign w:val="bottom"/>
          </w:tcPr>
          <w:p>
            <w:pPr>
              <w:ind w:left="40"/>
              <w:spacing w:after="0"/>
              <w:rPr>
                <w:sz w:val="20"/>
                <w:szCs w:val="20"/>
                <w:color w:val="auto"/>
              </w:rPr>
            </w:pPr>
            <w:r>
              <w:rPr>
                <w:rFonts w:ascii="Arial" w:cs="Arial" w:eastAsia="Arial" w:hAnsi="Arial"/>
                <w:sz w:val="16"/>
                <w:szCs w:val="16"/>
                <w:color w:val="auto"/>
              </w:rPr>
              <w:t>Sales and marketing - consumer</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23"/>
              <w:spacing w:after="0"/>
              <w:rPr>
                <w:sz w:val="20"/>
                <w:szCs w:val="20"/>
                <w:color w:val="auto"/>
              </w:rPr>
            </w:pPr>
            <w:r>
              <w:rPr>
                <w:rFonts w:ascii="Arial" w:cs="Arial" w:eastAsia="Arial" w:hAnsi="Arial"/>
                <w:sz w:val="16"/>
                <w:szCs w:val="16"/>
                <w:color w:val="auto"/>
              </w:rPr>
              <w:t>1,789</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81"/>
              <w:spacing w:after="0"/>
              <w:rPr>
                <w:sz w:val="20"/>
                <w:szCs w:val="20"/>
                <w:color w:val="auto"/>
              </w:rPr>
            </w:pPr>
            <w:r>
              <w:rPr>
                <w:rFonts w:ascii="Arial" w:cs="Arial" w:eastAsia="Arial" w:hAnsi="Arial"/>
                <w:sz w:val="16"/>
                <w:szCs w:val="16"/>
                <w:color w:val="auto"/>
              </w:rPr>
              <w:t>1,953</w:t>
            </w:r>
          </w:p>
        </w:tc>
        <w:tc>
          <w:tcPr>
            <w:tcW w:w="1340" w:type="dxa"/>
            <w:vAlign w:val="bottom"/>
            <w:gridSpan w:val="4"/>
          </w:tcPr>
          <w:p>
            <w:pPr>
              <w:jc w:val="right"/>
              <w:ind w:right="120"/>
              <w:spacing w:after="0"/>
              <w:rPr>
                <w:sz w:val="20"/>
                <w:szCs w:val="20"/>
                <w:color w:val="auto"/>
              </w:rPr>
            </w:pPr>
            <w:r>
              <w:rPr>
                <w:rFonts w:ascii="Arial" w:cs="Arial" w:eastAsia="Arial" w:hAnsi="Arial"/>
                <w:sz w:val="16"/>
                <w:szCs w:val="16"/>
                <w:color w:val="auto"/>
              </w:rPr>
              <w:t>(8)%  $</w:t>
            </w:r>
          </w:p>
        </w:tc>
        <w:tc>
          <w:tcPr>
            <w:tcW w:w="780" w:type="dxa"/>
            <w:vAlign w:val="bottom"/>
          </w:tcPr>
          <w:p>
            <w:pPr>
              <w:jc w:val="right"/>
              <w:ind w:right="143"/>
              <w:spacing w:after="0"/>
              <w:rPr>
                <w:sz w:val="20"/>
                <w:szCs w:val="20"/>
                <w:color w:val="auto"/>
              </w:rPr>
            </w:pPr>
            <w:r>
              <w:rPr>
                <w:rFonts w:ascii="Arial" w:cs="Arial" w:eastAsia="Arial" w:hAnsi="Arial"/>
                <w:sz w:val="16"/>
                <w:szCs w:val="16"/>
                <w:color w:val="auto"/>
              </w:rPr>
              <w:t>5,225</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81"/>
              <w:spacing w:after="0"/>
              <w:rPr>
                <w:sz w:val="20"/>
                <w:szCs w:val="20"/>
                <w:color w:val="auto"/>
              </w:rPr>
            </w:pPr>
            <w:r>
              <w:rPr>
                <w:rFonts w:ascii="Arial" w:cs="Arial" w:eastAsia="Arial" w:hAnsi="Arial"/>
                <w:sz w:val="16"/>
                <w:szCs w:val="16"/>
                <w:color w:val="auto"/>
              </w:rPr>
              <w:t>5,097</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3%</w:t>
            </w:r>
          </w:p>
        </w:tc>
      </w:tr>
      <w:tr>
        <w:trPr>
          <w:trHeight w:val="33"/>
        </w:trPr>
        <w:tc>
          <w:tcPr>
            <w:tcW w:w="5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38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Percentage of total revenue</w:t>
            </w:r>
          </w:p>
        </w:tc>
        <w:tc>
          <w:tcPr>
            <w:tcW w:w="220" w:type="dxa"/>
            <w:vAlign w:val="bottom"/>
            <w:tcBorders>
              <w:bottom w:val="single" w:sz="8" w:color="CCFFCC"/>
            </w:tcBorders>
            <w:shd w:val="clear" w:color="auto" w:fill="CCFFCC"/>
          </w:tcPr>
          <w:p>
            <w:pPr>
              <w:spacing w:after="0"/>
              <w:rPr>
                <w:sz w:val="21"/>
                <w:szCs w:val="21"/>
                <w:color w:val="auto"/>
              </w:rPr>
            </w:pPr>
          </w:p>
        </w:tc>
        <w:tc>
          <w:tcPr>
            <w:tcW w:w="760" w:type="dxa"/>
            <w:vAlign w:val="bottom"/>
            <w:tcBorders>
              <w:bottom w:val="single" w:sz="8" w:color="CCFFCC"/>
            </w:tcBorders>
            <w:shd w:val="clear" w:color="auto" w:fill="CCFFCC"/>
          </w:tcPr>
          <w:p>
            <w:pPr>
              <w:jc w:val="right"/>
              <w:ind w:right="3"/>
              <w:spacing w:after="0"/>
              <w:rPr>
                <w:sz w:val="20"/>
                <w:szCs w:val="20"/>
                <w:color w:val="auto"/>
              </w:rPr>
            </w:pPr>
            <w:r>
              <w:rPr>
                <w:rFonts w:ascii="Arial" w:cs="Arial" w:eastAsia="Arial" w:hAnsi="Arial"/>
                <w:sz w:val="16"/>
                <w:szCs w:val="16"/>
                <w:color w:val="auto"/>
              </w:rPr>
              <w:t>3%</w:t>
            </w:r>
          </w:p>
        </w:tc>
        <w:tc>
          <w:tcPr>
            <w:tcW w:w="280" w:type="dxa"/>
            <w:vAlign w:val="bottom"/>
            <w:tcBorders>
              <w:bottom w:val="single" w:sz="8" w:color="CCFFCC"/>
            </w:tcBorders>
            <w:shd w:val="clear" w:color="auto" w:fill="CCFFCC"/>
          </w:tcPr>
          <w:p>
            <w:pPr>
              <w:spacing w:after="0"/>
              <w:rPr>
                <w:sz w:val="21"/>
                <w:szCs w:val="21"/>
                <w:color w:val="auto"/>
              </w:rPr>
            </w:pPr>
          </w:p>
        </w:tc>
        <w:tc>
          <w:tcPr>
            <w:tcW w:w="7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FFCC"/>
            </w:tcBorders>
            <w:shd w:val="clear" w:color="auto" w:fill="CCFFCC"/>
          </w:tcPr>
          <w:p>
            <w:pPr>
              <w:spacing w:after="0"/>
              <w:rPr>
                <w:sz w:val="21"/>
                <w:szCs w:val="21"/>
                <w:color w:val="auto"/>
              </w:rPr>
            </w:pPr>
          </w:p>
        </w:tc>
        <w:tc>
          <w:tcPr>
            <w:tcW w:w="88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780" w:type="dxa"/>
            <w:vAlign w:val="bottom"/>
            <w:tcBorders>
              <w:bottom w:val="single" w:sz="8" w:color="CCFFCC"/>
            </w:tcBorders>
            <w:shd w:val="clear" w:color="auto" w:fill="CCFFCC"/>
          </w:tcPr>
          <w:p>
            <w:pPr>
              <w:jc w:val="right"/>
              <w:ind w:right="3"/>
              <w:spacing w:after="0"/>
              <w:rPr>
                <w:sz w:val="20"/>
                <w:szCs w:val="20"/>
                <w:color w:val="auto"/>
              </w:rPr>
            </w:pPr>
            <w:r>
              <w:rPr>
                <w:rFonts w:ascii="Arial" w:cs="Arial" w:eastAsia="Arial" w:hAnsi="Arial"/>
                <w:sz w:val="16"/>
                <w:szCs w:val="16"/>
                <w:color w:val="auto"/>
              </w:rPr>
              <w:t>3%</w:t>
            </w:r>
          </w:p>
        </w:tc>
        <w:tc>
          <w:tcPr>
            <w:tcW w:w="260" w:type="dxa"/>
            <w:vAlign w:val="bottom"/>
            <w:tcBorders>
              <w:bottom w:val="single" w:sz="8" w:color="CCFFCC"/>
            </w:tcBorders>
            <w:shd w:val="clear" w:color="auto" w:fill="CCFFCC"/>
          </w:tcPr>
          <w:p>
            <w:pPr>
              <w:spacing w:after="0"/>
              <w:rPr>
                <w:sz w:val="21"/>
                <w:szCs w:val="21"/>
                <w:color w:val="auto"/>
              </w:rPr>
            </w:pPr>
          </w:p>
        </w:tc>
        <w:tc>
          <w:tcPr>
            <w:tcW w:w="7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FFCC"/>
            </w:tcBorders>
            <w:shd w:val="clear" w:color="auto" w:fill="CCFFCC"/>
          </w:tcPr>
          <w:p>
            <w:pPr>
              <w:spacing w:after="0"/>
              <w:rPr>
                <w:sz w:val="21"/>
                <w:szCs w:val="21"/>
                <w:color w:val="auto"/>
              </w:rPr>
            </w:pPr>
          </w:p>
        </w:tc>
        <w:tc>
          <w:tcPr>
            <w:tcW w:w="840" w:type="dxa"/>
            <w:vAlign w:val="bottom"/>
            <w:tcBorders>
              <w:bottom w:val="single" w:sz="8" w:color="CCFFCC"/>
            </w:tcBorders>
            <w:shd w:val="clear" w:color="auto" w:fill="CCFFCC"/>
          </w:tcPr>
          <w:p>
            <w:pPr>
              <w:spacing w:after="0"/>
              <w:rPr>
                <w:sz w:val="21"/>
                <w:szCs w:val="21"/>
                <w:color w:val="auto"/>
              </w:rPr>
            </w:pPr>
          </w:p>
        </w:tc>
      </w:tr>
      <w:tr>
        <w:trPr>
          <w:trHeight w:val="237"/>
        </w:trPr>
        <w:tc>
          <w:tcPr>
            <w:tcW w:w="5380" w:type="dxa"/>
            <w:vAlign w:val="bottom"/>
          </w:tcPr>
          <w:p>
            <w:pPr>
              <w:ind w:left="40"/>
              <w:spacing w:after="0"/>
              <w:rPr>
                <w:sz w:val="20"/>
                <w:szCs w:val="20"/>
                <w:color w:val="auto"/>
              </w:rPr>
            </w:pPr>
            <w:r>
              <w:rPr>
                <w:rFonts w:ascii="Arial" w:cs="Arial" w:eastAsia="Arial" w:hAnsi="Arial"/>
                <w:sz w:val="16"/>
                <w:szCs w:val="16"/>
                <w:color w:val="auto"/>
              </w:rPr>
              <w:t>Headcount (at period end):</w:t>
            </w:r>
          </w:p>
        </w:tc>
        <w:tc>
          <w:tcPr>
            <w:tcW w:w="220" w:type="dxa"/>
            <w:vAlign w:val="bottom"/>
          </w:tcPr>
          <w:p>
            <w:pPr>
              <w:spacing w:after="0"/>
              <w:rPr>
                <w:sz w:val="20"/>
                <w:szCs w:val="20"/>
                <w:color w:val="auto"/>
              </w:rPr>
            </w:pPr>
          </w:p>
        </w:tc>
        <w:tc>
          <w:tcPr>
            <w:tcW w:w="760" w:type="dxa"/>
            <w:vAlign w:val="bottom"/>
          </w:tcPr>
          <w:p>
            <w:pPr>
              <w:jc w:val="right"/>
              <w:ind w:right="123"/>
              <w:spacing w:after="0"/>
              <w:rPr>
                <w:sz w:val="20"/>
                <w:szCs w:val="20"/>
                <w:color w:val="auto"/>
              </w:rPr>
            </w:pPr>
            <w:r>
              <w:rPr>
                <w:rFonts w:ascii="Arial" w:cs="Arial" w:eastAsia="Arial" w:hAnsi="Arial"/>
                <w:sz w:val="16"/>
                <w:szCs w:val="16"/>
                <w:color w:val="auto"/>
              </w:rPr>
              <w:t>10</w:t>
            </w:r>
          </w:p>
        </w:tc>
        <w:tc>
          <w:tcPr>
            <w:tcW w:w="280" w:type="dxa"/>
            <w:vAlign w:val="bottom"/>
          </w:tcPr>
          <w:p>
            <w:pPr>
              <w:spacing w:after="0"/>
              <w:rPr>
                <w:sz w:val="20"/>
                <w:szCs w:val="20"/>
                <w:color w:val="auto"/>
              </w:rPr>
            </w:pPr>
          </w:p>
        </w:tc>
        <w:tc>
          <w:tcPr>
            <w:tcW w:w="720" w:type="dxa"/>
            <w:vAlign w:val="bottom"/>
          </w:tcPr>
          <w:p>
            <w:pPr>
              <w:jc w:val="right"/>
              <w:ind w:right="81"/>
              <w:spacing w:after="0"/>
              <w:rPr>
                <w:sz w:val="20"/>
                <w:szCs w:val="20"/>
                <w:color w:val="auto"/>
              </w:rPr>
            </w:pPr>
            <w:r>
              <w:rPr>
                <w:rFonts w:ascii="Arial" w:cs="Arial" w:eastAsia="Arial" w:hAnsi="Arial"/>
                <w:sz w:val="16"/>
                <w:szCs w:val="16"/>
                <w:color w:val="auto"/>
              </w:rPr>
              <w:t>8</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25 %</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143"/>
              <w:spacing w:after="0"/>
              <w:rPr>
                <w:sz w:val="20"/>
                <w:szCs w:val="20"/>
                <w:color w:val="auto"/>
              </w:rPr>
            </w:pPr>
            <w:r>
              <w:rPr>
                <w:rFonts w:ascii="Arial" w:cs="Arial" w:eastAsia="Arial" w:hAnsi="Arial"/>
                <w:sz w:val="16"/>
                <w:szCs w:val="16"/>
                <w:color w:val="auto"/>
              </w:rPr>
              <w:t>10</w:t>
            </w:r>
          </w:p>
        </w:tc>
        <w:tc>
          <w:tcPr>
            <w:tcW w:w="260" w:type="dxa"/>
            <w:vAlign w:val="bottom"/>
          </w:tcPr>
          <w:p>
            <w:pPr>
              <w:spacing w:after="0"/>
              <w:rPr>
                <w:sz w:val="20"/>
                <w:szCs w:val="20"/>
                <w:color w:val="auto"/>
              </w:rPr>
            </w:pPr>
          </w:p>
        </w:tc>
        <w:tc>
          <w:tcPr>
            <w:tcW w:w="740" w:type="dxa"/>
            <w:vAlign w:val="bottom"/>
          </w:tcPr>
          <w:p>
            <w:pPr>
              <w:jc w:val="right"/>
              <w:ind w:right="81"/>
              <w:spacing w:after="0"/>
              <w:rPr>
                <w:sz w:val="20"/>
                <w:szCs w:val="20"/>
                <w:color w:val="auto"/>
              </w:rPr>
            </w:pPr>
            <w:r>
              <w:rPr>
                <w:rFonts w:ascii="Arial" w:cs="Arial" w:eastAsia="Arial" w:hAnsi="Arial"/>
                <w:sz w:val="16"/>
                <w:szCs w:val="16"/>
                <w:color w:val="auto"/>
              </w:rPr>
              <w:t>8</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25%</w:t>
            </w:r>
          </w:p>
        </w:tc>
      </w:tr>
    </w:tbl>
    <w:p>
      <w:pPr>
        <w:spacing w:after="0" w:line="12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Sales and marketing expenses decreased by 8% to $1.8 million in the three months ended September 30, 2016 from $2.0 million to the comparable period in 2015. The decrease was attributable to adverting expense of approximately $0.1 million, and compensation and related expenses for sales and marketing personnel and outsourcing and subcontracted labor of $0.1 million.</w:t>
      </w:r>
    </w:p>
    <w:p>
      <w:pPr>
        <w:spacing w:after="0" w:line="7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Sales and marketing expenses increased by 3% to $5.2 million in the nine months ended September 30, 2016, from $5.1 million in the comparable period in 2015. This increase is primarily attributable to an increases in advertising expenses of approximately $0.2 million.</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general and administrative expenses consist of compensation and related expenses for executive, accounting, legal, human resources and administrative personnel, professional fees and other general corporate expenses.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3040" w:type="dxa"/>
            <w:vAlign w:val="bottom"/>
            <w:tcBorders>
              <w:bottom w:val="single" w:sz="8" w:color="auto"/>
            </w:tcBorders>
            <w:gridSpan w:val="5"/>
          </w:tcPr>
          <w:p>
            <w:pPr>
              <w:jc w:val="right"/>
              <w:ind w:right="328"/>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368"/>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5200" w:type="dxa"/>
            <w:vAlign w:val="bottom"/>
          </w:tcPr>
          <w:p>
            <w:pPr>
              <w:spacing w:after="0"/>
              <w:rPr>
                <w:sz w:val="22"/>
                <w:szCs w:val="22"/>
                <w:color w:val="auto"/>
              </w:rPr>
            </w:pPr>
          </w:p>
        </w:tc>
        <w:tc>
          <w:tcPr>
            <w:tcW w:w="1000" w:type="dxa"/>
            <w:vAlign w:val="bottom"/>
          </w:tcPr>
          <w:p>
            <w:pPr>
              <w:jc w:val="right"/>
              <w:ind w:right="303"/>
              <w:spacing w:after="0"/>
              <w:rPr>
                <w:sz w:val="20"/>
                <w:szCs w:val="20"/>
                <w:color w:val="auto"/>
              </w:rPr>
            </w:pPr>
            <w:r>
              <w:rPr>
                <w:rFonts w:ascii="Arial" w:cs="Arial" w:eastAsia="Arial" w:hAnsi="Arial"/>
                <w:sz w:val="14"/>
                <w:szCs w:val="14"/>
                <w:b w:val="1"/>
                <w:bCs w:val="1"/>
                <w:color w:val="auto"/>
              </w:rPr>
              <w:t>2016</w:t>
            </w:r>
          </w:p>
        </w:tc>
        <w:tc>
          <w:tcPr>
            <w:tcW w:w="300" w:type="dxa"/>
            <w:vAlign w:val="bottom"/>
          </w:tcPr>
          <w:p>
            <w:pPr>
              <w:spacing w:after="0"/>
              <w:rPr>
                <w:sz w:val="22"/>
                <w:szCs w:val="22"/>
                <w:color w:val="auto"/>
              </w:rPr>
            </w:pPr>
          </w:p>
        </w:tc>
        <w:tc>
          <w:tcPr>
            <w:tcW w:w="800" w:type="dxa"/>
            <w:vAlign w:val="bottom"/>
          </w:tcPr>
          <w:p>
            <w:pPr>
              <w:jc w:val="right"/>
              <w:ind w:right="301"/>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960" w:type="dxa"/>
            <w:vAlign w:val="bottom"/>
            <w:gridSpan w:val="2"/>
          </w:tcPr>
          <w:p>
            <w:pPr>
              <w:ind w:left="100"/>
              <w:spacing w:after="0"/>
              <w:rPr>
                <w:sz w:val="20"/>
                <w:szCs w:val="20"/>
                <w:color w:val="auto"/>
              </w:rPr>
            </w:pPr>
            <w:r>
              <w:rPr>
                <w:rFonts w:ascii="Arial" w:cs="Arial" w:eastAsia="Arial" w:hAnsi="Arial"/>
                <w:sz w:val="14"/>
                <w:szCs w:val="14"/>
                <w:b w:val="1"/>
                <w:bCs w:val="1"/>
                <w:color w:val="auto"/>
              </w:rPr>
              <w:t>% Change</w:t>
            </w:r>
          </w:p>
        </w:tc>
        <w:tc>
          <w:tcPr>
            <w:tcW w:w="220" w:type="dxa"/>
            <w:vAlign w:val="bottom"/>
          </w:tcPr>
          <w:p>
            <w:pPr>
              <w:spacing w:after="0"/>
              <w:rPr>
                <w:sz w:val="22"/>
                <w:szCs w:val="22"/>
                <w:color w:val="auto"/>
              </w:rPr>
            </w:pPr>
          </w:p>
        </w:tc>
        <w:tc>
          <w:tcPr>
            <w:tcW w:w="780" w:type="dxa"/>
            <w:vAlign w:val="bottom"/>
          </w:tcPr>
          <w:p>
            <w:pPr>
              <w:jc w:val="right"/>
              <w:ind w:right="303"/>
              <w:spacing w:after="0"/>
              <w:rPr>
                <w:sz w:val="20"/>
                <w:szCs w:val="20"/>
                <w:color w:val="auto"/>
              </w:rPr>
            </w:pPr>
            <w:r>
              <w:rPr>
                <w:rFonts w:ascii="Arial" w:cs="Arial" w:eastAsia="Arial" w:hAnsi="Arial"/>
                <w:sz w:val="14"/>
                <w:szCs w:val="14"/>
                <w:b w:val="1"/>
                <w:bCs w:val="1"/>
                <w:color w:val="auto"/>
              </w:rPr>
              <w:t>2016</w:t>
            </w:r>
          </w:p>
        </w:tc>
        <w:tc>
          <w:tcPr>
            <w:tcW w:w="1000" w:type="dxa"/>
            <w:vAlign w:val="bottom"/>
          </w:tcPr>
          <w:p>
            <w:pPr>
              <w:jc w:val="right"/>
              <w:ind w:right="261"/>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b w:val="1"/>
                <w:bCs w:val="1"/>
                <w:color w:val="auto"/>
              </w:rPr>
              <w:t>% Change</w:t>
            </w:r>
          </w:p>
        </w:tc>
      </w:tr>
      <w:tr>
        <w:trPr>
          <w:trHeight w:val="264"/>
        </w:trPr>
        <w:tc>
          <w:tcPr>
            <w:tcW w:w="5200" w:type="dxa"/>
            <w:vAlign w:val="bottom"/>
          </w:tcPr>
          <w:p>
            <w:pPr>
              <w:spacing w:after="0"/>
              <w:rPr>
                <w:sz w:val="22"/>
                <w:szCs w:val="22"/>
                <w:color w:val="auto"/>
              </w:rPr>
            </w:pPr>
          </w:p>
        </w:tc>
        <w:tc>
          <w:tcPr>
            <w:tcW w:w="2100" w:type="dxa"/>
            <w:vAlign w:val="bottom"/>
            <w:tcBorders>
              <w:top w:val="single" w:sz="8" w:color="auto"/>
              <w:bottom w:val="single" w:sz="8" w:color="auto"/>
            </w:tcBorders>
            <w:gridSpan w:val="3"/>
          </w:tcPr>
          <w:p>
            <w:pPr>
              <w:jc w:val="right"/>
              <w:ind w:right="461"/>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780" w:type="dxa"/>
            <w:vAlign w:val="bottom"/>
            <w:tcBorders>
              <w:top w:val="single" w:sz="8" w:color="auto"/>
              <w:bottom w:val="single" w:sz="8" w:color="auto"/>
            </w:tcBorders>
            <w:gridSpan w:val="2"/>
          </w:tcPr>
          <w:p>
            <w:pPr>
              <w:jc w:val="right"/>
              <w:ind w:right="421"/>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r>
      <w:tr>
        <w:trPr>
          <w:trHeight w:val="237"/>
        </w:trPr>
        <w:tc>
          <w:tcPr>
            <w:tcW w:w="5200" w:type="dxa"/>
            <w:vAlign w:val="bottom"/>
          </w:tcPr>
          <w:p>
            <w:pPr>
              <w:ind w:left="40"/>
              <w:spacing w:after="0"/>
              <w:rPr>
                <w:sz w:val="20"/>
                <w:szCs w:val="20"/>
                <w:color w:val="auto"/>
              </w:rPr>
            </w:pPr>
            <w:r>
              <w:rPr>
                <w:rFonts w:ascii="Arial" w:cs="Arial" w:eastAsia="Arial" w:hAnsi="Arial"/>
                <w:sz w:val="16"/>
                <w:szCs w:val="16"/>
                <w:color w:val="auto"/>
              </w:rPr>
              <w:t>General and administrative</w:t>
            </w:r>
          </w:p>
        </w:tc>
        <w:tc>
          <w:tcPr>
            <w:tcW w:w="1000" w:type="dxa"/>
            <w:vAlign w:val="bottom"/>
          </w:tcPr>
          <w:p>
            <w:pPr>
              <w:jc w:val="right"/>
              <w:ind w:right="143"/>
              <w:spacing w:after="0"/>
              <w:rPr>
                <w:sz w:val="20"/>
                <w:szCs w:val="20"/>
                <w:color w:val="auto"/>
              </w:rPr>
            </w:pPr>
            <w:r>
              <w:rPr>
                <w:rFonts w:ascii="Arial" w:cs="Arial" w:eastAsia="Arial" w:hAnsi="Arial"/>
                <w:sz w:val="16"/>
                <w:szCs w:val="16"/>
                <w:color w:val="auto"/>
              </w:rPr>
              <w:t>$   10,069</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81"/>
              <w:spacing w:after="0"/>
              <w:rPr>
                <w:sz w:val="20"/>
                <w:szCs w:val="20"/>
                <w:color w:val="auto"/>
              </w:rPr>
            </w:pPr>
            <w:r>
              <w:rPr>
                <w:rFonts w:ascii="Arial" w:cs="Arial" w:eastAsia="Arial" w:hAnsi="Arial"/>
                <w:sz w:val="16"/>
                <w:szCs w:val="16"/>
                <w:color w:val="auto"/>
              </w:rPr>
              <w:t>6,587</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53%</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143"/>
              <w:spacing w:after="0"/>
              <w:rPr>
                <w:sz w:val="20"/>
                <w:szCs w:val="20"/>
                <w:color w:val="auto"/>
              </w:rPr>
            </w:pPr>
            <w:r>
              <w:rPr>
                <w:rFonts w:ascii="Arial" w:cs="Arial" w:eastAsia="Arial" w:hAnsi="Arial"/>
                <w:sz w:val="16"/>
                <w:szCs w:val="16"/>
                <w:color w:val="auto"/>
              </w:rPr>
              <w:t>29,758</w:t>
            </w:r>
          </w:p>
        </w:tc>
        <w:tc>
          <w:tcPr>
            <w:tcW w:w="1000" w:type="dxa"/>
            <w:vAlign w:val="bottom"/>
          </w:tcPr>
          <w:p>
            <w:pPr>
              <w:jc w:val="right"/>
              <w:ind w:right="81"/>
              <w:spacing w:after="0"/>
              <w:rPr>
                <w:sz w:val="20"/>
                <w:szCs w:val="20"/>
                <w:color w:val="auto"/>
              </w:rPr>
            </w:pPr>
            <w:r>
              <w:rPr>
                <w:rFonts w:ascii="Arial" w:cs="Arial" w:eastAsia="Arial" w:hAnsi="Arial"/>
                <w:sz w:val="16"/>
                <w:szCs w:val="16"/>
                <w:color w:val="auto"/>
              </w:rPr>
              <w:t>$   27,057</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10%</w:t>
            </w:r>
          </w:p>
        </w:tc>
      </w:tr>
      <w:tr>
        <w:trPr>
          <w:trHeight w:val="33"/>
        </w:trPr>
        <w:tc>
          <w:tcPr>
            <w:tcW w:w="5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20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Percentage of total revenue</w:t>
            </w:r>
          </w:p>
        </w:tc>
        <w:tc>
          <w:tcPr>
            <w:tcW w:w="1000" w:type="dxa"/>
            <w:vAlign w:val="bottom"/>
            <w:tcBorders>
              <w:bottom w:val="single" w:sz="8" w:color="CCFFCC"/>
            </w:tcBorders>
            <w:shd w:val="clear" w:color="auto" w:fill="CCFFCC"/>
          </w:tcPr>
          <w:p>
            <w:pPr>
              <w:jc w:val="right"/>
              <w:ind w:right="3"/>
              <w:spacing w:after="0"/>
              <w:rPr>
                <w:sz w:val="20"/>
                <w:szCs w:val="20"/>
                <w:color w:val="auto"/>
              </w:rPr>
            </w:pPr>
            <w:r>
              <w:rPr>
                <w:rFonts w:ascii="Arial" w:cs="Arial" w:eastAsia="Arial" w:hAnsi="Arial"/>
                <w:sz w:val="16"/>
                <w:szCs w:val="16"/>
                <w:color w:val="auto"/>
              </w:rPr>
              <w:t>18%</w:t>
            </w:r>
          </w:p>
        </w:tc>
        <w:tc>
          <w:tcPr>
            <w:tcW w:w="300" w:type="dxa"/>
            <w:vAlign w:val="bottom"/>
            <w:tcBorders>
              <w:bottom w:val="single" w:sz="8" w:color="CCFFCC"/>
            </w:tcBorders>
            <w:shd w:val="clear" w:color="auto" w:fill="CCFFCC"/>
          </w:tcPr>
          <w:p>
            <w:pPr>
              <w:spacing w:after="0"/>
              <w:rPr>
                <w:sz w:val="21"/>
                <w:szCs w:val="21"/>
                <w:color w:val="auto"/>
              </w:rPr>
            </w:pPr>
          </w:p>
        </w:tc>
        <w:tc>
          <w:tcPr>
            <w:tcW w:w="8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FFCC"/>
            </w:tcBorders>
            <w:shd w:val="clear" w:color="auto" w:fill="CCFFCC"/>
          </w:tcPr>
          <w:p>
            <w:pPr>
              <w:spacing w:after="0"/>
              <w:rPr>
                <w:sz w:val="21"/>
                <w:szCs w:val="21"/>
                <w:color w:val="auto"/>
              </w:rPr>
            </w:pPr>
          </w:p>
        </w:tc>
        <w:tc>
          <w:tcPr>
            <w:tcW w:w="84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780" w:type="dxa"/>
            <w:vAlign w:val="bottom"/>
            <w:tcBorders>
              <w:bottom w:val="single" w:sz="8" w:color="CCFFCC"/>
            </w:tcBorders>
            <w:shd w:val="clear" w:color="auto" w:fill="CCFFCC"/>
          </w:tcPr>
          <w:p>
            <w:pPr>
              <w:jc w:val="right"/>
              <w:ind w:right="3"/>
              <w:spacing w:after="0"/>
              <w:rPr>
                <w:sz w:val="20"/>
                <w:szCs w:val="20"/>
                <w:color w:val="auto"/>
              </w:rPr>
            </w:pPr>
            <w:r>
              <w:rPr>
                <w:rFonts w:ascii="Arial" w:cs="Arial" w:eastAsia="Arial" w:hAnsi="Arial"/>
                <w:sz w:val="16"/>
                <w:szCs w:val="16"/>
                <w:color w:val="auto"/>
              </w:rPr>
              <w:t>18%</w:t>
            </w:r>
          </w:p>
        </w:tc>
        <w:tc>
          <w:tcPr>
            <w:tcW w:w="10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FFCC"/>
            </w:tcBorders>
            <w:shd w:val="clear" w:color="auto" w:fill="CCFFCC"/>
          </w:tcPr>
          <w:p>
            <w:pPr>
              <w:spacing w:after="0"/>
              <w:rPr>
                <w:sz w:val="21"/>
                <w:szCs w:val="21"/>
                <w:color w:val="auto"/>
              </w:rPr>
            </w:pPr>
          </w:p>
        </w:tc>
        <w:tc>
          <w:tcPr>
            <w:tcW w:w="960" w:type="dxa"/>
            <w:vAlign w:val="bottom"/>
            <w:tcBorders>
              <w:bottom w:val="single" w:sz="8" w:color="CCFFCC"/>
            </w:tcBorders>
            <w:shd w:val="clear" w:color="auto" w:fill="CCFFCC"/>
          </w:tcPr>
          <w:p>
            <w:pPr>
              <w:spacing w:after="0"/>
              <w:rPr>
                <w:sz w:val="21"/>
                <w:szCs w:val="21"/>
                <w:color w:val="auto"/>
              </w:rPr>
            </w:pPr>
          </w:p>
        </w:tc>
      </w:tr>
      <w:tr>
        <w:trPr>
          <w:trHeight w:val="237"/>
        </w:trPr>
        <w:tc>
          <w:tcPr>
            <w:tcW w:w="5200" w:type="dxa"/>
            <w:vAlign w:val="bottom"/>
          </w:tcPr>
          <w:p>
            <w:pPr>
              <w:ind w:left="40"/>
              <w:spacing w:after="0"/>
              <w:rPr>
                <w:sz w:val="20"/>
                <w:szCs w:val="20"/>
                <w:color w:val="auto"/>
              </w:rPr>
            </w:pPr>
            <w:r>
              <w:rPr>
                <w:rFonts w:ascii="Arial" w:cs="Arial" w:eastAsia="Arial" w:hAnsi="Arial"/>
                <w:sz w:val="16"/>
                <w:szCs w:val="16"/>
                <w:color w:val="auto"/>
              </w:rPr>
              <w:t>Headcount (at period end):</w:t>
            </w:r>
          </w:p>
        </w:tc>
        <w:tc>
          <w:tcPr>
            <w:tcW w:w="1000" w:type="dxa"/>
            <w:vAlign w:val="bottom"/>
          </w:tcPr>
          <w:p>
            <w:pPr>
              <w:jc w:val="right"/>
              <w:ind w:right="143"/>
              <w:spacing w:after="0"/>
              <w:rPr>
                <w:sz w:val="20"/>
                <w:szCs w:val="20"/>
                <w:color w:val="auto"/>
              </w:rPr>
            </w:pPr>
            <w:r>
              <w:rPr>
                <w:rFonts w:ascii="Arial" w:cs="Arial" w:eastAsia="Arial" w:hAnsi="Arial"/>
                <w:sz w:val="16"/>
                <w:szCs w:val="16"/>
                <w:color w:val="auto"/>
              </w:rPr>
              <w:t>113</w:t>
            </w:r>
          </w:p>
        </w:tc>
        <w:tc>
          <w:tcPr>
            <w:tcW w:w="300" w:type="dxa"/>
            <w:vAlign w:val="bottom"/>
          </w:tcPr>
          <w:p>
            <w:pPr>
              <w:spacing w:after="0"/>
              <w:rPr>
                <w:sz w:val="20"/>
                <w:szCs w:val="20"/>
                <w:color w:val="auto"/>
              </w:rPr>
            </w:pPr>
          </w:p>
        </w:tc>
        <w:tc>
          <w:tcPr>
            <w:tcW w:w="800" w:type="dxa"/>
            <w:vAlign w:val="bottom"/>
          </w:tcPr>
          <w:p>
            <w:pPr>
              <w:jc w:val="right"/>
              <w:ind w:right="81"/>
              <w:spacing w:after="0"/>
              <w:rPr>
                <w:sz w:val="20"/>
                <w:szCs w:val="20"/>
                <w:color w:val="auto"/>
              </w:rPr>
            </w:pPr>
            <w:r>
              <w:rPr>
                <w:rFonts w:ascii="Arial" w:cs="Arial" w:eastAsia="Arial" w:hAnsi="Arial"/>
                <w:sz w:val="16"/>
                <w:szCs w:val="16"/>
                <w:color w:val="auto"/>
              </w:rPr>
              <w:t>112</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143"/>
              <w:spacing w:after="0"/>
              <w:rPr>
                <w:sz w:val="20"/>
                <w:szCs w:val="20"/>
                <w:color w:val="auto"/>
              </w:rPr>
            </w:pPr>
            <w:r>
              <w:rPr>
                <w:rFonts w:ascii="Arial" w:cs="Arial" w:eastAsia="Arial" w:hAnsi="Arial"/>
                <w:sz w:val="16"/>
                <w:szCs w:val="16"/>
                <w:color w:val="auto"/>
              </w:rPr>
              <w:t>113</w:t>
            </w:r>
          </w:p>
        </w:tc>
        <w:tc>
          <w:tcPr>
            <w:tcW w:w="1000" w:type="dxa"/>
            <w:vAlign w:val="bottom"/>
          </w:tcPr>
          <w:p>
            <w:pPr>
              <w:jc w:val="right"/>
              <w:ind w:right="81"/>
              <w:spacing w:after="0"/>
              <w:rPr>
                <w:sz w:val="20"/>
                <w:szCs w:val="20"/>
                <w:color w:val="auto"/>
              </w:rPr>
            </w:pPr>
            <w:r>
              <w:rPr>
                <w:rFonts w:ascii="Arial" w:cs="Arial" w:eastAsia="Arial" w:hAnsi="Arial"/>
                <w:sz w:val="16"/>
                <w:szCs w:val="16"/>
                <w:color w:val="auto"/>
              </w:rPr>
              <w:t>112</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1%</w:t>
            </w:r>
          </w:p>
        </w:tc>
      </w:tr>
    </w:tbl>
    <w:p>
      <w:pPr>
        <w:spacing w:after="0" w:line="12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General and administrative expenses increased by 53% to $10.1 million in the three months ended September 30, 2016 from $6.6 million in the comparable period in 2015. This increase is primarily attributable to the contingent earn-outs fair value re-measurement adjustments assessed in connection with our acquisitions of approximately $3.1 million for the three months ended September 30, 2015 which was recorded in operating income as a decrease to general and administrative expenses. Furthermore, there was an increase in one time litigation costs of approximately $0.9 million and allocated occupancy costs, related overhead, and other general corporate expenses of approximately $0.6 million. This was partially offset by decreases in professional fees of $0.7 million and in salary and related employee expenses of $0.6 million.</w:t>
      </w:r>
    </w:p>
    <w:p>
      <w:pPr>
        <w:spacing w:after="0" w:line="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General and administrative expenses increased by 10% to $29.8 million in the nine months ended September 30, 2016 from $27.1 million in the comparable period in 2015. This increase is primarily attributable to the contingent earn-outs fair value re-measurement adjustments assessed in connection with our acquisitions of approximately $3.8 million for the nine months ended September 30, 2015 which was recorded in operating income as a decrease to general and administrative expenses. Furthermore, there was an increase in one time litigation costs of approximately $2.9 million and allocated occupancy costs, related overhead, and other general corporate expenses of approximately $0.4 million. This was partially offset by decreases in professional fees of $2.5 million and in salary and related employee expenses of $2.0 million.</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584" w:right="239" w:bottom="1440" w:gutter="0" w:footer="0" w:header="0"/>
        </w:sectPr>
      </w:pPr>
    </w:p>
    <w:bookmarkStart w:id="34" w:name="page35"/>
    <w:bookmarkEnd w:id="34"/>
    <w:p>
      <w:pPr>
        <w:ind w:left="660"/>
        <w:spacing w:after="0"/>
        <w:rPr>
          <w:sz w:val="20"/>
          <w:szCs w:val="20"/>
          <w:color w:val="auto"/>
        </w:rPr>
      </w:pPr>
      <w:r>
        <w:rPr>
          <w:rFonts w:ascii="Arial" w:cs="Arial" w:eastAsia="Arial" w:hAnsi="Arial"/>
          <w:sz w:val="18"/>
          <w:szCs w:val="18"/>
          <w:b w:val="1"/>
          <w:bCs w:val="1"/>
          <w:i w:val="1"/>
          <w:iCs w:val="1"/>
          <w:color w:val="auto"/>
        </w:rPr>
        <w:t>Product Development</w:t>
      </w:r>
    </w:p>
    <w:p>
      <w:pPr>
        <w:spacing w:after="0" w:line="11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product development expenses consist of compensation and related expenses for product development personnel as well as allocated occupancy costs and related overhead and outsourced labor and expenses for testing new versions of our software.</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5"/>
          </w:tcPr>
          <w:p>
            <w:pPr>
              <w:jc w:val="right"/>
              <w:ind w:right="408"/>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323"/>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5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jc w:val="right"/>
              <w:ind w:right="363"/>
              <w:spacing w:after="0"/>
              <w:rPr>
                <w:sz w:val="20"/>
                <w:szCs w:val="20"/>
                <w:color w:val="auto"/>
              </w:rPr>
            </w:pPr>
            <w:r>
              <w:rPr>
                <w:rFonts w:ascii="Arial" w:cs="Arial" w:eastAsia="Arial" w:hAnsi="Arial"/>
                <w:sz w:val="14"/>
                <w:szCs w:val="14"/>
                <w:b w:val="1"/>
                <w:bCs w:val="1"/>
                <w:color w:val="auto"/>
              </w:rPr>
              <w:t>2016</w:t>
            </w:r>
          </w:p>
        </w:tc>
        <w:tc>
          <w:tcPr>
            <w:tcW w:w="300" w:type="dxa"/>
            <w:vAlign w:val="bottom"/>
          </w:tcPr>
          <w:p>
            <w:pPr>
              <w:spacing w:after="0"/>
              <w:rPr>
                <w:sz w:val="22"/>
                <w:szCs w:val="22"/>
                <w:color w:val="auto"/>
              </w:rPr>
            </w:pPr>
          </w:p>
        </w:tc>
        <w:tc>
          <w:tcPr>
            <w:tcW w:w="800" w:type="dxa"/>
            <w:vAlign w:val="bottom"/>
          </w:tcPr>
          <w:p>
            <w:pPr>
              <w:jc w:val="right"/>
              <w:ind w:right="301"/>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22"/>
                <w:szCs w:val="22"/>
                <w:color w:val="auto"/>
              </w:rPr>
            </w:pPr>
          </w:p>
        </w:tc>
        <w:tc>
          <w:tcPr>
            <w:tcW w:w="122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 Change</w:t>
            </w:r>
          </w:p>
        </w:tc>
        <w:tc>
          <w:tcPr>
            <w:tcW w:w="780" w:type="dxa"/>
            <w:vAlign w:val="bottom"/>
          </w:tcPr>
          <w:p>
            <w:pPr>
              <w:jc w:val="right"/>
              <w:ind w:right="303"/>
              <w:spacing w:after="0"/>
              <w:rPr>
                <w:sz w:val="20"/>
                <w:szCs w:val="20"/>
                <w:color w:val="auto"/>
              </w:rPr>
            </w:pPr>
            <w:r>
              <w:rPr>
                <w:rFonts w:ascii="Arial" w:cs="Arial" w:eastAsia="Arial" w:hAnsi="Arial"/>
                <w:sz w:val="14"/>
                <w:szCs w:val="14"/>
                <w:b w:val="1"/>
                <w:bCs w:val="1"/>
                <w:color w:val="auto"/>
              </w:rPr>
              <w:t>2016</w:t>
            </w:r>
          </w:p>
        </w:tc>
        <w:tc>
          <w:tcPr>
            <w:tcW w:w="1000" w:type="dxa"/>
            <w:vAlign w:val="bottom"/>
          </w:tcPr>
          <w:p>
            <w:pPr>
              <w:jc w:val="right"/>
              <w:ind w:right="261"/>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880" w:type="dxa"/>
            <w:vAlign w:val="bottom"/>
          </w:tcPr>
          <w:p>
            <w:pPr>
              <w:jc w:val="right"/>
              <w:ind w:right="43"/>
              <w:spacing w:after="0"/>
              <w:rPr>
                <w:sz w:val="20"/>
                <w:szCs w:val="20"/>
                <w:color w:val="auto"/>
              </w:rPr>
            </w:pPr>
            <w:r>
              <w:rPr>
                <w:rFonts w:ascii="Arial" w:cs="Arial" w:eastAsia="Arial" w:hAnsi="Arial"/>
                <w:sz w:val="14"/>
                <w:szCs w:val="14"/>
                <w:b w:val="1"/>
                <w:bCs w:val="1"/>
                <w:color w:val="auto"/>
              </w:rPr>
              <w:t>% Change</w:t>
            </w:r>
          </w:p>
        </w:tc>
      </w:tr>
      <w:tr>
        <w:trPr>
          <w:trHeight w:val="264"/>
        </w:trPr>
        <w:tc>
          <w:tcPr>
            <w:tcW w:w="512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960" w:type="dxa"/>
            <w:vAlign w:val="bottom"/>
            <w:tcBorders>
              <w:top w:val="single" w:sz="8" w:color="auto"/>
              <w:bottom w:val="single" w:sz="8" w:color="auto"/>
            </w:tcBorders>
            <w:gridSpan w:val="3"/>
          </w:tcPr>
          <w:p>
            <w:pPr>
              <w:jc w:val="right"/>
              <w:ind w:right="521"/>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780" w:type="dxa"/>
            <w:vAlign w:val="bottom"/>
            <w:tcBorders>
              <w:top w:val="single" w:sz="8" w:color="auto"/>
              <w:bottom w:val="single" w:sz="8" w:color="auto"/>
            </w:tcBorders>
            <w:gridSpan w:val="2"/>
          </w:tcPr>
          <w:p>
            <w:pPr>
              <w:jc w:val="right"/>
              <w:ind w:right="421"/>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r>
      <w:tr>
        <w:trPr>
          <w:trHeight w:val="237"/>
        </w:trPr>
        <w:tc>
          <w:tcPr>
            <w:tcW w:w="5120" w:type="dxa"/>
            <w:vAlign w:val="bottom"/>
          </w:tcPr>
          <w:p>
            <w:pPr>
              <w:ind w:left="40"/>
              <w:spacing w:after="0"/>
              <w:rPr>
                <w:sz w:val="20"/>
                <w:szCs w:val="20"/>
                <w:color w:val="auto"/>
              </w:rPr>
            </w:pPr>
            <w:r>
              <w:rPr>
                <w:rFonts w:ascii="Arial" w:cs="Arial" w:eastAsia="Arial" w:hAnsi="Arial"/>
                <w:sz w:val="16"/>
                <w:szCs w:val="16"/>
                <w:color w:val="auto"/>
              </w:rPr>
              <w:t>Product development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43"/>
              <w:spacing w:after="0"/>
              <w:rPr>
                <w:sz w:val="20"/>
                <w:szCs w:val="20"/>
                <w:color w:val="auto"/>
              </w:rPr>
            </w:pPr>
            <w:r>
              <w:rPr>
                <w:rFonts w:ascii="Arial" w:cs="Arial" w:eastAsia="Arial" w:hAnsi="Arial"/>
                <w:sz w:val="16"/>
                <w:szCs w:val="16"/>
                <w:color w:val="auto"/>
              </w:rPr>
              <w:t>9,495</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81"/>
              <w:spacing w:after="0"/>
              <w:rPr>
                <w:sz w:val="20"/>
                <w:szCs w:val="20"/>
                <w:color w:val="auto"/>
              </w:rPr>
            </w:pPr>
            <w:r>
              <w:rPr>
                <w:rFonts w:ascii="Arial" w:cs="Arial" w:eastAsia="Arial" w:hAnsi="Arial"/>
                <w:sz w:val="16"/>
                <w:szCs w:val="16"/>
                <w:color w:val="auto"/>
              </w:rPr>
              <w:t>9,567</w:t>
            </w:r>
          </w:p>
        </w:tc>
        <w:tc>
          <w:tcPr>
            <w:tcW w:w="1340" w:type="dxa"/>
            <w:vAlign w:val="bottom"/>
            <w:gridSpan w:val="4"/>
          </w:tcPr>
          <w:p>
            <w:pPr>
              <w:jc w:val="right"/>
              <w:ind w:right="120"/>
              <w:spacing w:after="0"/>
              <w:rPr>
                <w:sz w:val="20"/>
                <w:szCs w:val="20"/>
                <w:color w:val="auto"/>
              </w:rPr>
            </w:pPr>
            <w:r>
              <w:rPr>
                <w:rFonts w:ascii="Arial" w:cs="Arial" w:eastAsia="Arial" w:hAnsi="Arial"/>
                <w:sz w:val="16"/>
                <w:szCs w:val="16"/>
                <w:color w:val="auto"/>
              </w:rPr>
              <w:t>(1)%  $</w:t>
            </w:r>
          </w:p>
        </w:tc>
        <w:tc>
          <w:tcPr>
            <w:tcW w:w="780" w:type="dxa"/>
            <w:vAlign w:val="bottom"/>
          </w:tcPr>
          <w:p>
            <w:pPr>
              <w:jc w:val="right"/>
              <w:ind w:right="143"/>
              <w:spacing w:after="0"/>
              <w:rPr>
                <w:sz w:val="20"/>
                <w:szCs w:val="20"/>
                <w:color w:val="auto"/>
              </w:rPr>
            </w:pPr>
            <w:r>
              <w:rPr>
                <w:rFonts w:ascii="Arial" w:cs="Arial" w:eastAsia="Arial" w:hAnsi="Arial"/>
                <w:sz w:val="16"/>
                <w:szCs w:val="16"/>
                <w:color w:val="auto"/>
              </w:rPr>
              <w:t>29,428</w:t>
            </w:r>
          </w:p>
        </w:tc>
        <w:tc>
          <w:tcPr>
            <w:tcW w:w="1000" w:type="dxa"/>
            <w:vAlign w:val="bottom"/>
          </w:tcPr>
          <w:p>
            <w:pPr>
              <w:jc w:val="right"/>
              <w:ind w:right="81"/>
              <w:spacing w:after="0"/>
              <w:rPr>
                <w:sz w:val="20"/>
                <w:szCs w:val="20"/>
                <w:color w:val="auto"/>
              </w:rPr>
            </w:pPr>
            <w:r>
              <w:rPr>
                <w:rFonts w:ascii="Arial" w:cs="Arial" w:eastAsia="Arial" w:hAnsi="Arial"/>
                <w:sz w:val="16"/>
                <w:szCs w:val="16"/>
                <w:color w:val="auto"/>
              </w:rPr>
              <w:t>$   29,476</w:t>
            </w: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33"/>
        </w:trPr>
        <w:tc>
          <w:tcPr>
            <w:tcW w:w="5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12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Percentage of total revenue</w:t>
            </w:r>
          </w:p>
        </w:tc>
        <w:tc>
          <w:tcPr>
            <w:tcW w:w="240" w:type="dxa"/>
            <w:vAlign w:val="bottom"/>
            <w:tcBorders>
              <w:bottom w:val="single" w:sz="8" w:color="CCFFCC"/>
            </w:tcBorders>
            <w:shd w:val="clear" w:color="auto" w:fill="CCFFCC"/>
          </w:tcPr>
          <w:p>
            <w:pPr>
              <w:spacing w:after="0"/>
              <w:rPr>
                <w:sz w:val="21"/>
                <w:szCs w:val="21"/>
                <w:color w:val="auto"/>
              </w:rPr>
            </w:pPr>
          </w:p>
        </w:tc>
        <w:tc>
          <w:tcPr>
            <w:tcW w:w="860" w:type="dxa"/>
            <w:vAlign w:val="bottom"/>
            <w:tcBorders>
              <w:bottom w:val="single" w:sz="8" w:color="CCFFCC"/>
            </w:tcBorders>
            <w:shd w:val="clear" w:color="auto" w:fill="CCFFCC"/>
          </w:tcPr>
          <w:p>
            <w:pPr>
              <w:jc w:val="right"/>
              <w:ind w:right="3"/>
              <w:spacing w:after="0"/>
              <w:rPr>
                <w:sz w:val="20"/>
                <w:szCs w:val="20"/>
                <w:color w:val="auto"/>
              </w:rPr>
            </w:pPr>
            <w:r>
              <w:rPr>
                <w:rFonts w:ascii="Arial" w:cs="Arial" w:eastAsia="Arial" w:hAnsi="Arial"/>
                <w:sz w:val="16"/>
                <w:szCs w:val="16"/>
                <w:color w:val="auto"/>
              </w:rPr>
              <w:t>17%</w:t>
            </w:r>
          </w:p>
        </w:tc>
        <w:tc>
          <w:tcPr>
            <w:tcW w:w="300" w:type="dxa"/>
            <w:vAlign w:val="bottom"/>
            <w:tcBorders>
              <w:bottom w:val="single" w:sz="8" w:color="CCFFCC"/>
            </w:tcBorders>
            <w:shd w:val="clear" w:color="auto" w:fill="CCFFCC"/>
          </w:tcPr>
          <w:p>
            <w:pPr>
              <w:spacing w:after="0"/>
              <w:rPr>
                <w:sz w:val="21"/>
                <w:szCs w:val="21"/>
                <w:color w:val="auto"/>
              </w:rPr>
            </w:pPr>
          </w:p>
        </w:tc>
        <w:tc>
          <w:tcPr>
            <w:tcW w:w="8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FFCC"/>
            </w:tcBorders>
            <w:shd w:val="clear" w:color="auto" w:fill="CCFFCC"/>
          </w:tcPr>
          <w:p>
            <w:pPr>
              <w:spacing w:after="0"/>
              <w:rPr>
                <w:sz w:val="21"/>
                <w:szCs w:val="21"/>
                <w:color w:val="auto"/>
              </w:rPr>
            </w:pPr>
          </w:p>
        </w:tc>
        <w:tc>
          <w:tcPr>
            <w:tcW w:w="88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780" w:type="dxa"/>
            <w:vAlign w:val="bottom"/>
            <w:tcBorders>
              <w:bottom w:val="single" w:sz="8" w:color="CCFFCC"/>
            </w:tcBorders>
            <w:shd w:val="clear" w:color="auto" w:fill="CCFFCC"/>
          </w:tcPr>
          <w:p>
            <w:pPr>
              <w:jc w:val="right"/>
              <w:ind w:right="3"/>
              <w:spacing w:after="0"/>
              <w:rPr>
                <w:sz w:val="20"/>
                <w:szCs w:val="20"/>
                <w:color w:val="auto"/>
              </w:rPr>
            </w:pPr>
            <w:r>
              <w:rPr>
                <w:rFonts w:ascii="Arial" w:cs="Arial" w:eastAsia="Arial" w:hAnsi="Arial"/>
                <w:sz w:val="16"/>
                <w:szCs w:val="16"/>
                <w:color w:val="auto"/>
              </w:rPr>
              <w:t>18%</w:t>
            </w:r>
          </w:p>
        </w:tc>
        <w:tc>
          <w:tcPr>
            <w:tcW w:w="10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FFCC"/>
            </w:tcBorders>
            <w:shd w:val="clear" w:color="auto" w:fill="CCFFCC"/>
          </w:tcPr>
          <w:p>
            <w:pPr>
              <w:spacing w:after="0"/>
              <w:rPr>
                <w:sz w:val="21"/>
                <w:szCs w:val="21"/>
                <w:color w:val="auto"/>
              </w:rPr>
            </w:pPr>
          </w:p>
        </w:tc>
        <w:tc>
          <w:tcPr>
            <w:tcW w:w="880" w:type="dxa"/>
            <w:vAlign w:val="bottom"/>
            <w:tcBorders>
              <w:bottom w:val="single" w:sz="8" w:color="CCFFCC"/>
            </w:tcBorders>
            <w:shd w:val="clear" w:color="auto" w:fill="CCFFCC"/>
          </w:tcPr>
          <w:p>
            <w:pPr>
              <w:spacing w:after="0"/>
              <w:rPr>
                <w:sz w:val="21"/>
                <w:szCs w:val="21"/>
                <w:color w:val="auto"/>
              </w:rPr>
            </w:pPr>
          </w:p>
        </w:tc>
      </w:tr>
      <w:tr>
        <w:trPr>
          <w:trHeight w:val="237"/>
        </w:trPr>
        <w:tc>
          <w:tcPr>
            <w:tcW w:w="5120" w:type="dxa"/>
            <w:vAlign w:val="bottom"/>
          </w:tcPr>
          <w:p>
            <w:pPr>
              <w:ind w:left="40"/>
              <w:spacing w:after="0"/>
              <w:rPr>
                <w:sz w:val="20"/>
                <w:szCs w:val="20"/>
                <w:color w:val="auto"/>
              </w:rPr>
            </w:pPr>
            <w:r>
              <w:rPr>
                <w:rFonts w:ascii="Arial" w:cs="Arial" w:eastAsia="Arial" w:hAnsi="Arial"/>
                <w:sz w:val="16"/>
                <w:szCs w:val="16"/>
                <w:color w:val="auto"/>
              </w:rPr>
              <w:t>Headcount (at period end):</w:t>
            </w:r>
          </w:p>
        </w:tc>
        <w:tc>
          <w:tcPr>
            <w:tcW w:w="240" w:type="dxa"/>
            <w:vAlign w:val="bottom"/>
          </w:tcPr>
          <w:p>
            <w:pPr>
              <w:spacing w:after="0"/>
              <w:rPr>
                <w:sz w:val="20"/>
                <w:szCs w:val="20"/>
                <w:color w:val="auto"/>
              </w:rPr>
            </w:pPr>
          </w:p>
        </w:tc>
        <w:tc>
          <w:tcPr>
            <w:tcW w:w="860" w:type="dxa"/>
            <w:vAlign w:val="bottom"/>
          </w:tcPr>
          <w:p>
            <w:pPr>
              <w:jc w:val="right"/>
              <w:ind w:right="143"/>
              <w:spacing w:after="0"/>
              <w:rPr>
                <w:sz w:val="20"/>
                <w:szCs w:val="20"/>
                <w:color w:val="auto"/>
              </w:rPr>
            </w:pPr>
            <w:r>
              <w:rPr>
                <w:rFonts w:ascii="Arial" w:cs="Arial" w:eastAsia="Arial" w:hAnsi="Arial"/>
                <w:sz w:val="16"/>
                <w:szCs w:val="16"/>
                <w:color w:val="auto"/>
              </w:rPr>
              <w:t>312</w:t>
            </w:r>
          </w:p>
        </w:tc>
        <w:tc>
          <w:tcPr>
            <w:tcW w:w="300" w:type="dxa"/>
            <w:vAlign w:val="bottom"/>
          </w:tcPr>
          <w:p>
            <w:pPr>
              <w:spacing w:after="0"/>
              <w:rPr>
                <w:sz w:val="20"/>
                <w:szCs w:val="20"/>
                <w:color w:val="auto"/>
              </w:rPr>
            </w:pPr>
          </w:p>
        </w:tc>
        <w:tc>
          <w:tcPr>
            <w:tcW w:w="800" w:type="dxa"/>
            <w:vAlign w:val="bottom"/>
          </w:tcPr>
          <w:p>
            <w:pPr>
              <w:jc w:val="right"/>
              <w:ind w:right="81"/>
              <w:spacing w:after="0"/>
              <w:rPr>
                <w:sz w:val="20"/>
                <w:szCs w:val="20"/>
                <w:color w:val="auto"/>
              </w:rPr>
            </w:pPr>
            <w:r>
              <w:rPr>
                <w:rFonts w:ascii="Arial" w:cs="Arial" w:eastAsia="Arial" w:hAnsi="Arial"/>
                <w:sz w:val="16"/>
                <w:szCs w:val="16"/>
                <w:color w:val="auto"/>
              </w:rPr>
              <w:t>259</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20 %</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143"/>
              <w:spacing w:after="0"/>
              <w:rPr>
                <w:sz w:val="20"/>
                <w:szCs w:val="20"/>
                <w:color w:val="auto"/>
              </w:rPr>
            </w:pPr>
            <w:r>
              <w:rPr>
                <w:rFonts w:ascii="Arial" w:cs="Arial" w:eastAsia="Arial" w:hAnsi="Arial"/>
                <w:sz w:val="16"/>
                <w:szCs w:val="16"/>
                <w:color w:val="auto"/>
              </w:rPr>
              <w:t>312</w:t>
            </w:r>
          </w:p>
        </w:tc>
        <w:tc>
          <w:tcPr>
            <w:tcW w:w="1000" w:type="dxa"/>
            <w:vAlign w:val="bottom"/>
          </w:tcPr>
          <w:p>
            <w:pPr>
              <w:jc w:val="right"/>
              <w:ind w:right="81"/>
              <w:spacing w:after="0"/>
              <w:rPr>
                <w:sz w:val="20"/>
                <w:szCs w:val="20"/>
                <w:color w:val="auto"/>
              </w:rPr>
            </w:pPr>
            <w:r>
              <w:rPr>
                <w:rFonts w:ascii="Arial" w:cs="Arial" w:eastAsia="Arial" w:hAnsi="Arial"/>
                <w:sz w:val="16"/>
                <w:szCs w:val="16"/>
                <w:color w:val="auto"/>
              </w:rPr>
              <w:t>259</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20 %</w:t>
            </w:r>
          </w:p>
        </w:tc>
      </w:tr>
    </w:tbl>
    <w:p>
      <w:pPr>
        <w:spacing w:after="0" w:line="12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Product development costs decreased by 1% to $9.5 million in the three months ended September 30, 2016, from $9.6 million in the comparable period in 2015. This decreases relates to compensation, outside labor, and associated costs for existing product development personnel of approximately $0.4 million, partially offset by increases in allocated occupancy costs and related overhead expenses by $0.3 million. During the three months ended September 30, 2016, payroll expenses of approximately $1.0 million were capitalized as it related to internally developed software.</w:t>
      </w:r>
    </w:p>
    <w:p>
      <w:pPr>
        <w:spacing w:after="0" w:line="6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Product development costs remained relatively flat in the nine months ended September 30, 2016 when compared to the same period in 2015. There were decreases in compensation, outside labor, and associated costs for existing product development personnel of approximately $0.3 million offset by increases in allocated occupancy costs and related overhead expenses by $0.3 million. During the nine months ended September 30, 2016, payroll expenses of approximately $1.0 million were capitalized as it related to internally developed software.</w:t>
      </w:r>
    </w:p>
    <w:p>
      <w:pPr>
        <w:spacing w:after="0" w:line="6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Restructuring Costs</w:t>
      </w:r>
    </w:p>
    <w:p>
      <w:pPr>
        <w:spacing w:after="0" w:line="117"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Restructuring costs consist of termination costs associated with a large customer contract that ended, as well as re-prioritizing and reallocating resources to focus on areas showing high growth potential.</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5"/>
          </w:tcPr>
          <w:p>
            <w:pPr>
              <w:ind w:left="240"/>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5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jc w:val="right"/>
              <w:ind w:right="324"/>
              <w:spacing w:after="0"/>
              <w:rPr>
                <w:sz w:val="20"/>
                <w:szCs w:val="20"/>
                <w:color w:val="auto"/>
              </w:rPr>
            </w:pPr>
            <w:r>
              <w:rPr>
                <w:rFonts w:ascii="Arial" w:cs="Arial" w:eastAsia="Arial" w:hAnsi="Arial"/>
                <w:sz w:val="14"/>
                <w:szCs w:val="14"/>
                <w:b w:val="1"/>
                <w:bCs w:val="1"/>
                <w:color w:val="auto"/>
              </w:rPr>
              <w:t>2016</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2015</w:t>
            </w: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gridSpan w:val="3"/>
          </w:tcPr>
          <w:p>
            <w:pPr>
              <w:ind w:left="80"/>
              <w:spacing w:after="0"/>
              <w:rPr>
                <w:sz w:val="20"/>
                <w:szCs w:val="20"/>
                <w:color w:val="auto"/>
              </w:rPr>
            </w:pPr>
            <w:r>
              <w:rPr>
                <w:rFonts w:ascii="Arial" w:cs="Arial" w:eastAsia="Arial" w:hAnsi="Arial"/>
                <w:sz w:val="14"/>
                <w:szCs w:val="14"/>
                <w:b w:val="1"/>
                <w:bCs w:val="1"/>
                <w:color w:val="auto"/>
              </w:rPr>
              <w:t>% Change</w:t>
            </w:r>
          </w:p>
        </w:tc>
        <w:tc>
          <w:tcPr>
            <w:tcW w:w="880" w:type="dxa"/>
            <w:vAlign w:val="bottom"/>
          </w:tcPr>
          <w:p>
            <w:pPr>
              <w:jc w:val="right"/>
              <w:ind w:right="364"/>
              <w:spacing w:after="0"/>
              <w:rPr>
                <w:sz w:val="20"/>
                <w:szCs w:val="20"/>
                <w:color w:val="auto"/>
              </w:rPr>
            </w:pPr>
            <w:r>
              <w:rPr>
                <w:rFonts w:ascii="Arial" w:cs="Arial" w:eastAsia="Arial" w:hAnsi="Arial"/>
                <w:sz w:val="14"/>
                <w:szCs w:val="14"/>
                <w:b w:val="1"/>
                <w:bCs w:val="1"/>
                <w:color w:val="auto"/>
              </w:rPr>
              <w:t>2016</w:t>
            </w:r>
          </w:p>
        </w:tc>
        <w:tc>
          <w:tcPr>
            <w:tcW w:w="280" w:type="dxa"/>
            <w:vAlign w:val="bottom"/>
          </w:tcPr>
          <w:p>
            <w:pPr>
              <w:spacing w:after="0"/>
              <w:rPr>
                <w:sz w:val="22"/>
                <w:szCs w:val="22"/>
                <w:color w:val="auto"/>
              </w:rPr>
            </w:pPr>
          </w:p>
        </w:tc>
        <w:tc>
          <w:tcPr>
            <w:tcW w:w="720" w:type="dxa"/>
            <w:vAlign w:val="bottom"/>
          </w:tcPr>
          <w:p>
            <w:pPr>
              <w:jc w:val="right"/>
              <w:ind w:right="24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b w:val="1"/>
                <w:bCs w:val="1"/>
                <w:color w:val="auto"/>
              </w:rPr>
              <w:t>% Change</w:t>
            </w:r>
          </w:p>
        </w:tc>
      </w:tr>
      <w:tr>
        <w:trPr>
          <w:trHeight w:val="264"/>
        </w:trPr>
        <w:tc>
          <w:tcPr>
            <w:tcW w:w="522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480" w:type="dxa"/>
            <w:vAlign w:val="bottom"/>
            <w:tcBorders>
              <w:top w:val="single" w:sz="8" w:color="auto"/>
              <w:bottom w:val="single" w:sz="8" w:color="auto"/>
            </w:tcBorders>
            <w:gridSpan w:val="2"/>
          </w:tcPr>
          <w:p>
            <w:pPr>
              <w:jc w:val="right"/>
              <w:ind w:right="103"/>
              <w:spacing w:after="0"/>
              <w:rPr>
                <w:sz w:val="20"/>
                <w:szCs w:val="20"/>
                <w:color w:val="auto"/>
              </w:rPr>
            </w:pPr>
            <w:r>
              <w:rPr>
                <w:rFonts w:ascii="Arial" w:cs="Arial" w:eastAsia="Arial" w:hAnsi="Arial"/>
                <w:sz w:val="14"/>
                <w:szCs w:val="14"/>
                <w:b w:val="1"/>
                <w:bCs w:val="1"/>
                <w:color w:val="auto"/>
              </w:rPr>
              <w:t>($ in thousands)</w:t>
            </w:r>
          </w:p>
        </w:tc>
        <w:tc>
          <w:tcPr>
            <w:tcW w:w="32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880" w:type="dxa"/>
            <w:vAlign w:val="bottom"/>
            <w:tcBorders>
              <w:top w:val="single" w:sz="8" w:color="auto"/>
              <w:bottom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r>
      <w:tr>
        <w:trPr>
          <w:trHeight w:val="237"/>
        </w:trPr>
        <w:tc>
          <w:tcPr>
            <w:tcW w:w="5220" w:type="dxa"/>
            <w:vAlign w:val="bottom"/>
          </w:tcPr>
          <w:p>
            <w:pPr>
              <w:ind w:left="40"/>
              <w:spacing w:after="0"/>
              <w:rPr>
                <w:sz w:val="20"/>
                <w:szCs w:val="20"/>
                <w:color w:val="auto"/>
              </w:rPr>
            </w:pPr>
            <w:r>
              <w:rPr>
                <w:rFonts w:ascii="Arial" w:cs="Arial" w:eastAsia="Arial" w:hAnsi="Arial"/>
                <w:sz w:val="16"/>
                <w:szCs w:val="16"/>
                <w:color w:val="auto"/>
              </w:rPr>
              <w:t>Restructuring Costs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44"/>
              <w:spacing w:after="0"/>
              <w:rPr>
                <w:sz w:val="20"/>
                <w:szCs w:val="20"/>
                <w:color w:val="auto"/>
              </w:rPr>
            </w:pPr>
            <w:r>
              <w:rPr>
                <w:rFonts w:ascii="Arial" w:cs="Arial" w:eastAsia="Arial" w:hAnsi="Arial"/>
                <w:sz w:val="16"/>
                <w:szCs w:val="16"/>
                <w:color w:val="auto"/>
              </w:rPr>
              <w:t>(384)</w:t>
            </w:r>
          </w:p>
        </w:tc>
        <w:tc>
          <w:tcPr>
            <w:tcW w:w="660" w:type="dxa"/>
            <w:vAlign w:val="bottom"/>
          </w:tcPr>
          <w:p>
            <w:pPr>
              <w:jc w:val="right"/>
              <w:ind w:right="423"/>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00" w:type="dxa"/>
            <w:vAlign w:val="bottom"/>
            <w:gridSpan w:val="3"/>
          </w:tcPr>
          <w:p>
            <w:pPr>
              <w:ind w:left="500"/>
              <w:spacing w:after="0"/>
              <w:rPr>
                <w:sz w:val="20"/>
                <w:szCs w:val="20"/>
                <w:color w:val="auto"/>
              </w:rPr>
            </w:pPr>
            <w:r>
              <w:rPr>
                <w:rFonts w:ascii="Arial" w:cs="Arial" w:eastAsia="Arial" w:hAnsi="Arial"/>
                <w:sz w:val="16"/>
                <w:szCs w:val="16"/>
                <w:color w:val="auto"/>
              </w:rPr>
              <w:t>—%  $</w:t>
            </w:r>
          </w:p>
        </w:tc>
        <w:tc>
          <w:tcPr>
            <w:tcW w:w="880" w:type="dxa"/>
            <w:vAlign w:val="bottom"/>
          </w:tcPr>
          <w:p>
            <w:pPr>
              <w:ind w:left="340"/>
              <w:spacing w:after="0"/>
              <w:rPr>
                <w:sz w:val="20"/>
                <w:szCs w:val="20"/>
                <w:color w:val="auto"/>
              </w:rPr>
            </w:pPr>
            <w:r>
              <w:rPr>
                <w:rFonts w:ascii="Arial" w:cs="Arial" w:eastAsia="Arial" w:hAnsi="Arial"/>
                <w:sz w:val="16"/>
                <w:szCs w:val="16"/>
                <w:color w:val="auto"/>
              </w:rPr>
              <w:t>(384)</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82"/>
              <w:spacing w:after="0"/>
              <w:rPr>
                <w:sz w:val="20"/>
                <w:szCs w:val="20"/>
                <w:color w:val="auto"/>
              </w:rPr>
            </w:pPr>
            <w:r>
              <w:rPr>
                <w:rFonts w:ascii="Arial" w:cs="Arial" w:eastAsia="Arial" w:hAnsi="Arial"/>
                <w:sz w:val="16"/>
                <w:szCs w:val="16"/>
                <w:color w:val="auto"/>
              </w:rPr>
              <w:t>2,988</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(113)%</w:t>
            </w:r>
          </w:p>
        </w:tc>
      </w:tr>
      <w:tr>
        <w:trPr>
          <w:trHeight w:val="33"/>
        </w:trPr>
        <w:tc>
          <w:tcPr>
            <w:tcW w:w="5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37"/>
        </w:trPr>
        <w:tc>
          <w:tcPr>
            <w:tcW w:w="5220" w:type="dxa"/>
            <w:vAlign w:val="bottom"/>
            <w:shd w:val="clear" w:color="auto" w:fill="CCFFCC"/>
          </w:tcPr>
          <w:p>
            <w:pPr>
              <w:ind w:left="40"/>
              <w:spacing w:after="0"/>
              <w:rPr>
                <w:sz w:val="20"/>
                <w:szCs w:val="20"/>
                <w:color w:val="auto"/>
              </w:rPr>
            </w:pPr>
            <w:r>
              <w:rPr>
                <w:rFonts w:ascii="Arial" w:cs="Arial" w:eastAsia="Arial" w:hAnsi="Arial"/>
                <w:sz w:val="16"/>
                <w:szCs w:val="16"/>
                <w:color w:val="auto"/>
              </w:rPr>
              <w:t>Percentage of total revenue</w:t>
            </w:r>
          </w:p>
        </w:tc>
        <w:tc>
          <w:tcPr>
            <w:tcW w:w="220" w:type="dxa"/>
            <w:vAlign w:val="bottom"/>
            <w:shd w:val="clear" w:color="auto" w:fill="CCFFCC"/>
          </w:tcPr>
          <w:p>
            <w:pPr>
              <w:spacing w:after="0"/>
              <w:rPr>
                <w:sz w:val="20"/>
                <w:szCs w:val="20"/>
                <w:color w:val="auto"/>
              </w:rPr>
            </w:pPr>
          </w:p>
        </w:tc>
        <w:tc>
          <w:tcPr>
            <w:tcW w:w="820" w:type="dxa"/>
            <w:vAlign w:val="bottom"/>
            <w:shd w:val="clear" w:color="auto" w:fill="CCFFCC"/>
          </w:tcPr>
          <w:p>
            <w:pPr>
              <w:jc w:val="right"/>
              <w:ind w:right="4"/>
              <w:spacing w:after="0"/>
              <w:rPr>
                <w:sz w:val="20"/>
                <w:szCs w:val="20"/>
                <w:color w:val="auto"/>
              </w:rPr>
            </w:pPr>
            <w:r>
              <w:rPr>
                <w:rFonts w:ascii="Arial" w:cs="Arial" w:eastAsia="Arial" w:hAnsi="Arial"/>
                <w:sz w:val="16"/>
                <w:szCs w:val="16"/>
                <w:color w:val="auto"/>
              </w:rPr>
              <w:t>(1)%</w:t>
            </w:r>
          </w:p>
        </w:tc>
        <w:tc>
          <w:tcPr>
            <w:tcW w:w="660" w:type="dxa"/>
            <w:vAlign w:val="bottom"/>
            <w:shd w:val="clear" w:color="auto" w:fill="CCFFCC"/>
          </w:tcPr>
          <w:p>
            <w:pPr>
              <w:spacing w:after="0"/>
              <w:rPr>
                <w:sz w:val="20"/>
                <w:szCs w:val="20"/>
                <w:color w:val="auto"/>
              </w:rPr>
            </w:pPr>
          </w:p>
        </w:tc>
        <w:tc>
          <w:tcPr>
            <w:tcW w:w="320" w:type="dxa"/>
            <w:vAlign w:val="bottom"/>
            <w:shd w:val="clear" w:color="auto" w:fill="CCFFCC"/>
          </w:tcPr>
          <w:p>
            <w:pPr>
              <w:spacing w:after="0"/>
              <w:rPr>
                <w:sz w:val="20"/>
                <w:szCs w:val="20"/>
                <w:color w:val="auto"/>
              </w:rPr>
            </w:pPr>
            <w:r>
              <w:rPr>
                <w:rFonts w:ascii="Arial" w:cs="Arial" w:eastAsia="Arial" w:hAnsi="Arial"/>
                <w:sz w:val="16"/>
                <w:szCs w:val="16"/>
                <w:color w:val="auto"/>
                <w:w w:val="99"/>
              </w:rPr>
              <w:t>—%</w:t>
            </w:r>
          </w:p>
        </w:tc>
        <w:tc>
          <w:tcPr>
            <w:tcW w:w="120" w:type="dxa"/>
            <w:vAlign w:val="bottom"/>
            <w:shd w:val="clear" w:color="auto" w:fill="CCFFCC"/>
          </w:tcPr>
          <w:p>
            <w:pPr>
              <w:spacing w:after="0"/>
              <w:rPr>
                <w:sz w:val="20"/>
                <w:szCs w:val="20"/>
                <w:color w:val="auto"/>
              </w:rPr>
            </w:pPr>
          </w:p>
        </w:tc>
        <w:tc>
          <w:tcPr>
            <w:tcW w:w="84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260" w:type="dxa"/>
            <w:vAlign w:val="bottom"/>
            <w:shd w:val="clear" w:color="auto" w:fill="CCFFCC"/>
          </w:tcPr>
          <w:p>
            <w:pPr>
              <w:spacing w:after="0"/>
              <w:rPr>
                <w:sz w:val="20"/>
                <w:szCs w:val="20"/>
                <w:color w:val="auto"/>
              </w:rPr>
            </w:pPr>
          </w:p>
        </w:tc>
        <w:tc>
          <w:tcPr>
            <w:tcW w:w="880" w:type="dxa"/>
            <w:vAlign w:val="bottom"/>
            <w:shd w:val="clear" w:color="auto" w:fill="CCFFCC"/>
          </w:tcPr>
          <w:p>
            <w:pPr>
              <w:ind w:left="460"/>
              <w:spacing w:after="0"/>
              <w:rPr>
                <w:sz w:val="20"/>
                <w:szCs w:val="20"/>
                <w:color w:val="auto"/>
              </w:rPr>
            </w:pPr>
            <w:r>
              <w:rPr>
                <w:rFonts w:ascii="Arial" w:cs="Arial" w:eastAsia="Arial" w:hAnsi="Arial"/>
                <w:sz w:val="16"/>
                <w:szCs w:val="16"/>
                <w:color w:val="auto"/>
              </w:rPr>
              <w:t>— %</w:t>
            </w:r>
          </w:p>
        </w:tc>
        <w:tc>
          <w:tcPr>
            <w:tcW w:w="280" w:type="dxa"/>
            <w:vAlign w:val="bottom"/>
            <w:shd w:val="clear" w:color="auto" w:fill="CCFFCC"/>
          </w:tcPr>
          <w:p>
            <w:pPr>
              <w:spacing w:after="0"/>
              <w:rPr>
                <w:sz w:val="20"/>
                <w:szCs w:val="20"/>
                <w:color w:val="auto"/>
              </w:rPr>
            </w:pPr>
          </w:p>
        </w:tc>
        <w:tc>
          <w:tcPr>
            <w:tcW w:w="7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FFCC"/>
          </w:tcPr>
          <w:p>
            <w:pPr>
              <w:spacing w:after="0"/>
              <w:rPr>
                <w:sz w:val="20"/>
                <w:szCs w:val="20"/>
                <w:color w:val="auto"/>
              </w:rPr>
            </w:pPr>
          </w:p>
        </w:tc>
        <w:tc>
          <w:tcPr>
            <w:tcW w:w="880" w:type="dxa"/>
            <w:vAlign w:val="bottom"/>
            <w:shd w:val="clear" w:color="auto" w:fill="CCFFCC"/>
          </w:tcPr>
          <w:p>
            <w:pPr>
              <w:spacing w:after="0"/>
              <w:rPr>
                <w:sz w:val="20"/>
                <w:szCs w:val="20"/>
                <w:color w:val="auto"/>
              </w:rPr>
            </w:pPr>
          </w:p>
        </w:tc>
      </w:tr>
      <w:tr>
        <w:trPr>
          <w:trHeight w:val="33"/>
        </w:trPr>
        <w:tc>
          <w:tcPr>
            <w:tcW w:w="5220" w:type="dxa"/>
            <w:vAlign w:val="bottom"/>
            <w:shd w:val="clear" w:color="auto" w:fill="CCFFCC"/>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820" w:type="dxa"/>
            <w:vAlign w:val="bottom"/>
            <w:shd w:val="clear" w:color="auto" w:fill="CCFFCC"/>
          </w:tcPr>
          <w:p>
            <w:pPr>
              <w:spacing w:after="0"/>
              <w:rPr>
                <w:sz w:val="2"/>
                <w:szCs w:val="2"/>
                <w:color w:val="auto"/>
              </w:rPr>
            </w:pPr>
          </w:p>
        </w:tc>
        <w:tc>
          <w:tcPr>
            <w:tcW w:w="660" w:type="dxa"/>
            <w:vAlign w:val="bottom"/>
            <w:shd w:val="clear" w:color="auto" w:fill="CCFFCC"/>
          </w:tcPr>
          <w:p>
            <w:pPr>
              <w:spacing w:after="0"/>
              <w:rPr>
                <w:sz w:val="2"/>
                <w:szCs w:val="2"/>
                <w:color w:val="auto"/>
              </w:rPr>
            </w:pPr>
          </w:p>
        </w:tc>
        <w:tc>
          <w:tcPr>
            <w:tcW w:w="32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84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880" w:type="dxa"/>
            <w:vAlign w:val="bottom"/>
            <w:shd w:val="clear" w:color="auto" w:fill="CCFFCC"/>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72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880" w:type="dxa"/>
            <w:vAlign w:val="bottom"/>
            <w:shd w:val="clear" w:color="auto" w:fill="CCFFCC"/>
          </w:tcPr>
          <w:p>
            <w:pPr>
              <w:spacing w:after="0"/>
              <w:rPr>
                <w:sz w:val="2"/>
                <w:szCs w:val="2"/>
                <w:color w:val="auto"/>
              </w:rPr>
            </w:pPr>
          </w:p>
        </w:tc>
      </w:tr>
    </w:tbl>
    <w:p>
      <w:pPr>
        <w:spacing w:after="0" w:line="94" w:lineRule="exact"/>
        <w:rPr>
          <w:sz w:val="20"/>
          <w:szCs w:val="20"/>
          <w:color w:val="auto"/>
        </w:rPr>
      </w:pPr>
    </w:p>
    <w:p>
      <w:pPr>
        <w:ind w:right="680" w:firstLine="648"/>
        <w:spacing w:after="0" w:line="312" w:lineRule="auto"/>
        <w:rPr>
          <w:sz w:val="20"/>
          <w:szCs w:val="20"/>
          <w:color w:val="auto"/>
        </w:rPr>
      </w:pPr>
      <w:r>
        <w:rPr>
          <w:rFonts w:ascii="Arial" w:cs="Arial" w:eastAsia="Arial" w:hAnsi="Arial"/>
          <w:sz w:val="16"/>
          <w:szCs w:val="16"/>
          <w:color w:val="auto"/>
        </w:rPr>
        <w:t>Restructuring costs incurred during the nine months ended September 30, 2015 amounted to approximately $3.0 million. This consisted of approximately $1.7 million of termination costs associated with a large customer contract that ended in 2015 and $0.8 million of severance and other associated costs. During the three and nine months ended September 30, 2016, $0.4 million of cost that were previously written off was collected.</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Amortization of Purchased Intangibles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5"/>
          </w:tcPr>
          <w:p>
            <w:pPr>
              <w:jc w:val="right"/>
              <w:ind w:right="408"/>
              <w:spacing w:after="0"/>
              <w:rPr>
                <w:sz w:val="20"/>
                <w:szCs w:val="20"/>
                <w:color w:val="auto"/>
              </w:rPr>
            </w:pPr>
            <w:r>
              <w:rPr>
                <w:rFonts w:ascii="Arial" w:cs="Arial" w:eastAsia="Arial" w:hAnsi="Arial"/>
                <w:sz w:val="14"/>
                <w:szCs w:val="14"/>
                <w:b w:val="1"/>
                <w:bCs w:val="1"/>
                <w:color w:val="auto"/>
              </w:rPr>
              <w:t>Three Months Ended September 30,</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5"/>
          </w:tcPr>
          <w:p>
            <w:pPr>
              <w:jc w:val="right"/>
              <w:ind w:right="328"/>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5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364"/>
              <w:spacing w:after="0"/>
              <w:rPr>
                <w:sz w:val="20"/>
                <w:szCs w:val="20"/>
                <w:color w:val="auto"/>
              </w:rPr>
            </w:pPr>
            <w:r>
              <w:rPr>
                <w:rFonts w:ascii="Arial" w:cs="Arial" w:eastAsia="Arial" w:hAnsi="Arial"/>
                <w:sz w:val="14"/>
                <w:szCs w:val="14"/>
                <w:b w:val="1"/>
                <w:bCs w:val="1"/>
                <w:color w:val="auto"/>
              </w:rPr>
              <w:t>2016</w:t>
            </w:r>
          </w:p>
        </w:tc>
        <w:tc>
          <w:tcPr>
            <w:tcW w:w="300" w:type="dxa"/>
            <w:vAlign w:val="bottom"/>
          </w:tcPr>
          <w:p>
            <w:pPr>
              <w:spacing w:after="0"/>
              <w:rPr>
                <w:sz w:val="22"/>
                <w:szCs w:val="22"/>
                <w:color w:val="auto"/>
              </w:rPr>
            </w:pPr>
          </w:p>
        </w:tc>
        <w:tc>
          <w:tcPr>
            <w:tcW w:w="800" w:type="dxa"/>
            <w:vAlign w:val="bottom"/>
          </w:tcPr>
          <w:p>
            <w:pPr>
              <w:jc w:val="right"/>
              <w:ind w:right="30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122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 Change</w:t>
            </w:r>
          </w:p>
        </w:tc>
        <w:tc>
          <w:tcPr>
            <w:tcW w:w="780" w:type="dxa"/>
            <w:vAlign w:val="bottom"/>
          </w:tcPr>
          <w:p>
            <w:pPr>
              <w:jc w:val="right"/>
              <w:ind w:right="304"/>
              <w:spacing w:after="0"/>
              <w:rPr>
                <w:sz w:val="20"/>
                <w:szCs w:val="20"/>
                <w:color w:val="auto"/>
              </w:rPr>
            </w:pPr>
            <w:r>
              <w:rPr>
                <w:rFonts w:ascii="Arial" w:cs="Arial" w:eastAsia="Arial" w:hAnsi="Arial"/>
                <w:sz w:val="14"/>
                <w:szCs w:val="14"/>
                <w:b w:val="1"/>
                <w:bCs w:val="1"/>
                <w:color w:val="auto"/>
              </w:rPr>
              <w:t>2016</w:t>
            </w:r>
          </w:p>
        </w:tc>
        <w:tc>
          <w:tcPr>
            <w:tcW w:w="260" w:type="dxa"/>
            <w:vAlign w:val="bottom"/>
          </w:tcPr>
          <w:p>
            <w:pPr>
              <w:spacing w:after="0"/>
              <w:rPr>
                <w:sz w:val="22"/>
                <w:szCs w:val="22"/>
                <w:color w:val="auto"/>
              </w:rPr>
            </w:pPr>
          </w:p>
        </w:tc>
        <w:tc>
          <w:tcPr>
            <w:tcW w:w="720" w:type="dxa"/>
            <w:vAlign w:val="bottom"/>
          </w:tcPr>
          <w:p>
            <w:pPr>
              <w:jc w:val="right"/>
              <w:ind w:right="24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b w:val="1"/>
                <w:bCs w:val="1"/>
                <w:color w:val="auto"/>
              </w:rPr>
              <w:t>% Change</w:t>
            </w:r>
          </w:p>
        </w:tc>
      </w:tr>
      <w:tr>
        <w:trPr>
          <w:trHeight w:val="264"/>
        </w:trPr>
        <w:tc>
          <w:tcPr>
            <w:tcW w:w="5120" w:type="dxa"/>
            <w:vAlign w:val="bottom"/>
            <w:tcBorders>
              <w:bottom w:val="single" w:sz="8" w:color="CCFFCC"/>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960" w:type="dxa"/>
            <w:vAlign w:val="bottom"/>
            <w:tcBorders>
              <w:top w:val="single" w:sz="8" w:color="auto"/>
              <w:bottom w:val="single" w:sz="8" w:color="auto"/>
            </w:tcBorders>
            <w:gridSpan w:val="3"/>
          </w:tcPr>
          <w:p>
            <w:pPr>
              <w:jc w:val="right"/>
              <w:ind w:right="522"/>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Borders>
              <w:bottom w:val="single" w:sz="8" w:color="CCFFCC"/>
            </w:tcBorders>
          </w:tcPr>
          <w:p>
            <w:pPr>
              <w:spacing w:after="0"/>
              <w:rPr>
                <w:sz w:val="22"/>
                <w:szCs w:val="22"/>
                <w:color w:val="auto"/>
              </w:rPr>
            </w:pPr>
          </w:p>
        </w:tc>
        <w:tc>
          <w:tcPr>
            <w:tcW w:w="900" w:type="dxa"/>
            <w:vAlign w:val="bottom"/>
            <w:tcBorders>
              <w:top w:val="single" w:sz="8" w:color="auto"/>
              <w:bottom w:val="single" w:sz="8" w:color="CCFFCC"/>
            </w:tcBorders>
          </w:tcPr>
          <w:p>
            <w:pPr>
              <w:spacing w:after="0"/>
              <w:rPr>
                <w:sz w:val="22"/>
                <w:szCs w:val="22"/>
                <w:color w:val="auto"/>
              </w:rPr>
            </w:pPr>
          </w:p>
        </w:tc>
        <w:tc>
          <w:tcPr>
            <w:tcW w:w="100" w:type="dxa"/>
            <w:vAlign w:val="bottom"/>
            <w:tcBorders>
              <w:bottom w:val="single" w:sz="8" w:color="CCFFCC"/>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760" w:type="dxa"/>
            <w:vAlign w:val="bottom"/>
            <w:tcBorders>
              <w:top w:val="single" w:sz="8" w:color="auto"/>
              <w:bottom w:val="single" w:sz="8" w:color="auto"/>
            </w:tcBorders>
            <w:gridSpan w:val="3"/>
          </w:tcPr>
          <w:p>
            <w:pPr>
              <w:jc w:val="right"/>
              <w:ind w:right="402"/>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Borders>
              <w:bottom w:val="single" w:sz="8" w:color="CCFFCC"/>
            </w:tcBorders>
          </w:tcPr>
          <w:p>
            <w:pPr>
              <w:spacing w:after="0"/>
              <w:rPr>
                <w:sz w:val="22"/>
                <w:szCs w:val="22"/>
                <w:color w:val="auto"/>
              </w:rPr>
            </w:pPr>
          </w:p>
        </w:tc>
        <w:tc>
          <w:tcPr>
            <w:tcW w:w="900" w:type="dxa"/>
            <w:vAlign w:val="bottom"/>
            <w:tcBorders>
              <w:top w:val="single" w:sz="8" w:color="auto"/>
              <w:bottom w:val="single" w:sz="8" w:color="CCFFCC"/>
            </w:tcBorders>
          </w:tcPr>
          <w:p>
            <w:pPr>
              <w:spacing w:after="0"/>
              <w:rPr>
                <w:sz w:val="22"/>
                <w:szCs w:val="22"/>
                <w:color w:val="auto"/>
              </w:rPr>
            </w:pPr>
          </w:p>
        </w:tc>
      </w:tr>
      <w:tr>
        <w:trPr>
          <w:trHeight w:val="250"/>
        </w:trPr>
        <w:tc>
          <w:tcPr>
            <w:tcW w:w="512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Amortization of purchased intangibles</w:t>
            </w:r>
          </w:p>
        </w:tc>
        <w:tc>
          <w:tcPr>
            <w:tcW w:w="260" w:type="dxa"/>
            <w:vAlign w:val="bottom"/>
            <w:tcBorders>
              <w:bottom w:val="single" w:sz="8" w:color="CCFFCC"/>
            </w:tcBorders>
            <w:shd w:val="clear" w:color="auto" w:fill="CCFFCC"/>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FFCC"/>
            </w:tcBorders>
            <w:shd w:val="clear" w:color="auto" w:fill="CCFFCC"/>
          </w:tcPr>
          <w:p>
            <w:pPr>
              <w:jc w:val="right"/>
              <w:ind w:right="144"/>
              <w:spacing w:after="0"/>
              <w:rPr>
                <w:sz w:val="20"/>
                <w:szCs w:val="20"/>
                <w:color w:val="auto"/>
              </w:rPr>
            </w:pPr>
            <w:r>
              <w:rPr>
                <w:rFonts w:ascii="Arial" w:cs="Arial" w:eastAsia="Arial" w:hAnsi="Arial"/>
                <w:sz w:val="16"/>
                <w:szCs w:val="16"/>
                <w:color w:val="auto"/>
              </w:rPr>
              <w:t>1,013</w:t>
            </w:r>
          </w:p>
        </w:tc>
        <w:tc>
          <w:tcPr>
            <w:tcW w:w="300" w:type="dxa"/>
            <w:vAlign w:val="bottom"/>
            <w:tcBorders>
              <w:bottom w:val="single" w:sz="8" w:color="CCFFCC"/>
            </w:tcBorders>
            <w:shd w:val="clear" w:color="auto" w:fill="CCFFCC"/>
          </w:tcPr>
          <w:p>
            <w:pPr>
              <w:jc w:val="right"/>
              <w:ind w:right="5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FFCC"/>
            </w:tcBorders>
            <w:shd w:val="clear" w:color="auto" w:fill="CCFFCC"/>
          </w:tcPr>
          <w:p>
            <w:pPr>
              <w:jc w:val="right"/>
              <w:ind w:right="82"/>
              <w:spacing w:after="0"/>
              <w:rPr>
                <w:sz w:val="20"/>
                <w:szCs w:val="20"/>
                <w:color w:val="auto"/>
              </w:rPr>
            </w:pPr>
            <w:r>
              <w:rPr>
                <w:rFonts w:ascii="Arial" w:cs="Arial" w:eastAsia="Arial" w:hAnsi="Arial"/>
                <w:sz w:val="16"/>
                <w:szCs w:val="16"/>
                <w:color w:val="auto"/>
              </w:rPr>
              <w:t>1,193</w:t>
            </w:r>
          </w:p>
        </w:tc>
        <w:tc>
          <w:tcPr>
            <w:tcW w:w="1320" w:type="dxa"/>
            <w:vAlign w:val="bottom"/>
            <w:tcBorders>
              <w:bottom w:val="single" w:sz="8" w:color="CCFFCC"/>
            </w:tcBorders>
            <w:gridSpan w:val="4"/>
            <w:shd w:val="clear" w:color="auto" w:fill="CCFFCC"/>
          </w:tcPr>
          <w:p>
            <w:pPr>
              <w:jc w:val="right"/>
              <w:ind w:right="100"/>
              <w:spacing w:after="0"/>
              <w:rPr>
                <w:sz w:val="20"/>
                <w:szCs w:val="20"/>
                <w:color w:val="auto"/>
              </w:rPr>
            </w:pPr>
            <w:r>
              <w:rPr>
                <w:rFonts w:ascii="Arial" w:cs="Arial" w:eastAsia="Arial" w:hAnsi="Arial"/>
                <w:sz w:val="16"/>
                <w:szCs w:val="16"/>
                <w:color w:val="auto"/>
              </w:rPr>
              <w:t>(15)%  $</w:t>
            </w:r>
          </w:p>
        </w:tc>
        <w:tc>
          <w:tcPr>
            <w:tcW w:w="780" w:type="dxa"/>
            <w:vAlign w:val="bottom"/>
            <w:tcBorders>
              <w:bottom w:val="single" w:sz="8" w:color="CCFFCC"/>
            </w:tcBorders>
            <w:shd w:val="clear" w:color="auto" w:fill="CCFFCC"/>
          </w:tcPr>
          <w:p>
            <w:pPr>
              <w:jc w:val="right"/>
              <w:ind w:right="144"/>
              <w:spacing w:after="0"/>
              <w:rPr>
                <w:sz w:val="20"/>
                <w:szCs w:val="20"/>
                <w:color w:val="auto"/>
              </w:rPr>
            </w:pPr>
            <w:r>
              <w:rPr>
                <w:rFonts w:ascii="Arial" w:cs="Arial" w:eastAsia="Arial" w:hAnsi="Arial"/>
                <w:sz w:val="16"/>
                <w:szCs w:val="16"/>
                <w:color w:val="auto"/>
              </w:rPr>
              <w:t>2,954</w:t>
            </w:r>
          </w:p>
        </w:tc>
        <w:tc>
          <w:tcPr>
            <w:tcW w:w="26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FFCC"/>
            </w:tcBorders>
            <w:shd w:val="clear" w:color="auto" w:fill="CCFFCC"/>
          </w:tcPr>
          <w:p>
            <w:pPr>
              <w:jc w:val="right"/>
              <w:ind w:right="82"/>
              <w:spacing w:after="0"/>
              <w:rPr>
                <w:sz w:val="20"/>
                <w:szCs w:val="20"/>
                <w:color w:val="auto"/>
              </w:rPr>
            </w:pPr>
            <w:r>
              <w:rPr>
                <w:rFonts w:ascii="Arial" w:cs="Arial" w:eastAsia="Arial" w:hAnsi="Arial"/>
                <w:sz w:val="16"/>
                <w:szCs w:val="16"/>
                <w:color w:val="auto"/>
              </w:rPr>
              <w:t>3,683</w:t>
            </w:r>
          </w:p>
        </w:tc>
        <w:tc>
          <w:tcPr>
            <w:tcW w:w="100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6"/>
                <w:szCs w:val="16"/>
                <w:color w:val="auto"/>
              </w:rPr>
              <w:t>(20)%</w:t>
            </w:r>
          </w:p>
        </w:tc>
      </w:tr>
      <w:tr>
        <w:trPr>
          <w:trHeight w:val="237"/>
        </w:trPr>
        <w:tc>
          <w:tcPr>
            <w:tcW w:w="5120" w:type="dxa"/>
            <w:vAlign w:val="bottom"/>
          </w:tcPr>
          <w:p>
            <w:pPr>
              <w:ind w:left="40"/>
              <w:spacing w:after="0"/>
              <w:rPr>
                <w:sz w:val="20"/>
                <w:szCs w:val="20"/>
                <w:color w:val="auto"/>
              </w:rPr>
            </w:pPr>
            <w:r>
              <w:rPr>
                <w:rFonts w:ascii="Arial" w:cs="Arial" w:eastAsia="Arial" w:hAnsi="Arial"/>
                <w:sz w:val="16"/>
                <w:szCs w:val="16"/>
                <w:color w:val="auto"/>
              </w:rPr>
              <w:t>Percentage of total revenues</w:t>
            </w:r>
          </w:p>
        </w:tc>
        <w:tc>
          <w:tcPr>
            <w:tcW w:w="260" w:type="dxa"/>
            <w:vAlign w:val="bottom"/>
          </w:tcPr>
          <w:p>
            <w:pPr>
              <w:spacing w:after="0"/>
              <w:rPr>
                <w:sz w:val="20"/>
                <w:szCs w:val="20"/>
                <w:color w:val="auto"/>
              </w:rPr>
            </w:pPr>
          </w:p>
        </w:tc>
        <w:tc>
          <w:tcPr>
            <w:tcW w:w="860" w:type="dxa"/>
            <w:vAlign w:val="bottom"/>
          </w:tcPr>
          <w:p>
            <w:pPr>
              <w:jc w:val="right"/>
              <w:ind w:right="4"/>
              <w:spacing w:after="0"/>
              <w:rPr>
                <w:sz w:val="20"/>
                <w:szCs w:val="20"/>
                <w:color w:val="auto"/>
              </w:rPr>
            </w:pPr>
            <w:r>
              <w:rPr>
                <w:rFonts w:ascii="Arial" w:cs="Arial" w:eastAsia="Arial" w:hAnsi="Arial"/>
                <w:sz w:val="16"/>
                <w:szCs w:val="16"/>
                <w:color w:val="auto"/>
              </w:rPr>
              <w:t>2%</w:t>
            </w:r>
          </w:p>
        </w:tc>
        <w:tc>
          <w:tcPr>
            <w:tcW w:w="3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4"/>
              <w:spacing w:after="0"/>
              <w:rPr>
                <w:sz w:val="20"/>
                <w:szCs w:val="20"/>
                <w:color w:val="auto"/>
              </w:rPr>
            </w:pPr>
            <w:r>
              <w:rPr>
                <w:rFonts w:ascii="Arial" w:cs="Arial" w:eastAsia="Arial" w:hAnsi="Arial"/>
                <w:sz w:val="16"/>
                <w:szCs w:val="16"/>
                <w:color w:val="auto"/>
              </w:rPr>
              <w:t>2%</w:t>
            </w:r>
          </w:p>
        </w:tc>
        <w:tc>
          <w:tcPr>
            <w:tcW w:w="2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r>
    </w:tbl>
    <w:p>
      <w:pPr>
        <w:spacing w:after="0" w:line="12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Amortization expense for purchased intangibles decreased by 15% to $1.0 million in the three months ended September 30, 2016 from $1.2 million in the comparable period in 2015. The decrease is primarily attributable to the full amortization of Engage technology intangible, along with continued amortization of our 2014 acquisitions of CAO!, Synchronite and our investments in technology licenses.</w:t>
      </w:r>
    </w:p>
    <w:p>
      <w:pPr>
        <w:spacing w:after="0" w:line="7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Amortization expense for purchased intangibles decreased by 20% to $3.0 million in the nine months ended September 30, 2016 from $3.7 million in the comparable period in 2015. The decrease is primarily attributable to the full amortization of Look.Io, NexGraph and Engage technology intangible, along with continued amortization of our 2014 acquisitions of CAO!, Synchronite and our investments in technology licenses.</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584" w:right="239" w:bottom="1440" w:gutter="0" w:footer="0" w:header="0"/>
        </w:sectPr>
      </w:pPr>
    </w:p>
    <w:bookmarkStart w:id="35" w:name="page36"/>
    <w:bookmarkEnd w:id="35"/>
    <w:p>
      <w:pPr>
        <w:jc w:val="both"/>
        <w:ind w:firstLine="648"/>
        <w:spacing w:after="0" w:line="277" w:lineRule="auto"/>
        <w:rPr>
          <w:sz w:val="20"/>
          <w:szCs w:val="20"/>
          <w:color w:val="auto"/>
        </w:rPr>
      </w:pPr>
      <w:r>
        <w:rPr>
          <w:rFonts w:ascii="Arial" w:cs="Arial" w:eastAsia="Arial" w:hAnsi="Arial"/>
          <w:sz w:val="18"/>
          <w:szCs w:val="18"/>
          <w:color w:val="auto"/>
        </w:rPr>
        <w:t>Additional amortization expense in the amount of $0.7 million and $0.8 million and $2.1 million and $2.4 million is included in cost of revenue for the three and nine months ended September 30, 2016 and 2015, respectively.</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Expense</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Other expense consists of interest income on cash and cash equivalents, investment income and financial (expense) income which is a result of currency rate fluctuations associated with exchange rate movement of the U.S. dollar against the New Israeli Shekel, British Pound, Euro, Australian Dollar and Japanese Yen.</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5"/>
          </w:tcPr>
          <w:p>
            <w:pPr>
              <w:ind w:left="200"/>
              <w:spacing w:after="0"/>
              <w:rPr>
                <w:sz w:val="20"/>
                <w:szCs w:val="20"/>
                <w:color w:val="auto"/>
              </w:rPr>
            </w:pPr>
            <w:r>
              <w:rPr>
                <w:rFonts w:ascii="Arial" w:cs="Arial" w:eastAsia="Arial" w:hAnsi="Arial"/>
                <w:sz w:val="14"/>
                <w:szCs w:val="14"/>
                <w:b w:val="1"/>
                <w:bCs w:val="1"/>
                <w:color w:val="auto"/>
              </w:rPr>
              <w:t>Three Months Ended September 30,</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5"/>
          </w:tcPr>
          <w:p>
            <w:pPr>
              <w:ind w:left="240"/>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5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266"/>
              <w:spacing w:after="0"/>
              <w:rPr>
                <w:sz w:val="20"/>
                <w:szCs w:val="20"/>
                <w:color w:val="auto"/>
              </w:rPr>
            </w:pPr>
            <w:r>
              <w:rPr>
                <w:rFonts w:ascii="Arial" w:cs="Arial" w:eastAsia="Arial" w:hAnsi="Arial"/>
                <w:sz w:val="14"/>
                <w:szCs w:val="14"/>
                <w:b w:val="1"/>
                <w:bCs w:val="1"/>
                <w:color w:val="auto"/>
              </w:rPr>
              <w:t>2016</w:t>
            </w:r>
          </w:p>
        </w:tc>
        <w:tc>
          <w:tcPr>
            <w:tcW w:w="280" w:type="dxa"/>
            <w:vAlign w:val="bottom"/>
          </w:tcPr>
          <w:p>
            <w:pPr>
              <w:spacing w:after="0"/>
              <w:rPr>
                <w:sz w:val="22"/>
                <w:szCs w:val="22"/>
                <w:color w:val="auto"/>
              </w:rPr>
            </w:pPr>
          </w:p>
        </w:tc>
        <w:tc>
          <w:tcPr>
            <w:tcW w:w="680" w:type="dxa"/>
            <w:vAlign w:val="bottom"/>
          </w:tcPr>
          <w:p>
            <w:pPr>
              <w:jc w:val="right"/>
              <w:ind w:right="223"/>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134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 Change</w:t>
            </w:r>
          </w:p>
        </w:tc>
        <w:tc>
          <w:tcPr>
            <w:tcW w:w="720" w:type="dxa"/>
            <w:vAlign w:val="bottom"/>
          </w:tcPr>
          <w:p>
            <w:pPr>
              <w:jc w:val="right"/>
              <w:ind w:right="266"/>
              <w:spacing w:after="0"/>
              <w:rPr>
                <w:sz w:val="20"/>
                <w:szCs w:val="20"/>
                <w:color w:val="auto"/>
              </w:rPr>
            </w:pPr>
            <w:r>
              <w:rPr>
                <w:rFonts w:ascii="Arial" w:cs="Arial" w:eastAsia="Arial" w:hAnsi="Arial"/>
                <w:sz w:val="14"/>
                <w:szCs w:val="14"/>
                <w:b w:val="1"/>
                <w:bCs w:val="1"/>
                <w:color w:val="auto"/>
              </w:rPr>
              <w:t>2016</w:t>
            </w:r>
          </w:p>
        </w:tc>
        <w:tc>
          <w:tcPr>
            <w:tcW w:w="280" w:type="dxa"/>
            <w:vAlign w:val="bottom"/>
          </w:tcPr>
          <w:p>
            <w:pPr>
              <w:spacing w:after="0"/>
              <w:rPr>
                <w:sz w:val="22"/>
                <w:szCs w:val="22"/>
                <w:color w:val="auto"/>
              </w:rPr>
            </w:pPr>
          </w:p>
        </w:tc>
        <w:tc>
          <w:tcPr>
            <w:tcW w:w="680" w:type="dxa"/>
            <w:vAlign w:val="bottom"/>
          </w:tcPr>
          <w:p>
            <w:pPr>
              <w:jc w:val="right"/>
              <w:ind w:right="223"/>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b w:val="1"/>
                <w:bCs w:val="1"/>
                <w:color w:val="auto"/>
              </w:rPr>
              <w:t>% Change</w:t>
            </w:r>
          </w:p>
        </w:tc>
      </w:tr>
      <w:tr>
        <w:trPr>
          <w:trHeight w:val="264"/>
        </w:trPr>
        <w:tc>
          <w:tcPr>
            <w:tcW w:w="5280" w:type="dxa"/>
            <w:vAlign w:val="bottom"/>
            <w:tcBorders>
              <w:bottom w:val="single" w:sz="8" w:color="CCFFCC"/>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680" w:type="dxa"/>
            <w:vAlign w:val="bottom"/>
            <w:tcBorders>
              <w:top w:val="single" w:sz="8" w:color="auto"/>
              <w:bottom w:val="single" w:sz="8" w:color="auto"/>
            </w:tcBorders>
            <w:gridSpan w:val="3"/>
          </w:tcPr>
          <w:p>
            <w:pPr>
              <w:ind w:left="26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Borders>
              <w:bottom w:val="single" w:sz="8" w:color="CCFFCC"/>
            </w:tcBorders>
          </w:tcPr>
          <w:p>
            <w:pPr>
              <w:spacing w:after="0"/>
              <w:rPr>
                <w:sz w:val="22"/>
                <w:szCs w:val="22"/>
                <w:color w:val="auto"/>
              </w:rPr>
            </w:pPr>
          </w:p>
        </w:tc>
        <w:tc>
          <w:tcPr>
            <w:tcW w:w="1020" w:type="dxa"/>
            <w:vAlign w:val="bottom"/>
            <w:tcBorders>
              <w:top w:val="single" w:sz="8" w:color="auto"/>
              <w:bottom w:val="single" w:sz="8" w:color="CCFFCC"/>
            </w:tcBorders>
          </w:tcPr>
          <w:p>
            <w:pPr>
              <w:spacing w:after="0"/>
              <w:rPr>
                <w:sz w:val="22"/>
                <w:szCs w:val="22"/>
                <w:color w:val="auto"/>
              </w:rPr>
            </w:pPr>
          </w:p>
        </w:tc>
        <w:tc>
          <w:tcPr>
            <w:tcW w:w="100" w:type="dxa"/>
            <w:vAlign w:val="bottom"/>
            <w:tcBorders>
              <w:bottom w:val="single" w:sz="8" w:color="CCFFCC"/>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680" w:type="dxa"/>
            <w:vAlign w:val="bottom"/>
            <w:tcBorders>
              <w:top w:val="single" w:sz="8" w:color="auto"/>
              <w:bottom w:val="single" w:sz="8" w:color="auto"/>
            </w:tcBorders>
            <w:gridSpan w:val="3"/>
          </w:tcPr>
          <w:p>
            <w:pPr>
              <w:ind w:left="26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Borders>
              <w:bottom w:val="single" w:sz="8" w:color="CCFFCC"/>
            </w:tcBorders>
          </w:tcPr>
          <w:p>
            <w:pPr>
              <w:spacing w:after="0"/>
              <w:rPr>
                <w:sz w:val="22"/>
                <w:szCs w:val="22"/>
                <w:color w:val="auto"/>
              </w:rPr>
            </w:pPr>
          </w:p>
        </w:tc>
        <w:tc>
          <w:tcPr>
            <w:tcW w:w="1020" w:type="dxa"/>
            <w:vAlign w:val="bottom"/>
            <w:tcBorders>
              <w:top w:val="single" w:sz="8" w:color="auto"/>
              <w:bottom w:val="single" w:sz="8" w:color="CCFFCC"/>
            </w:tcBorders>
          </w:tcPr>
          <w:p>
            <w:pPr>
              <w:spacing w:after="0"/>
              <w:rPr>
                <w:sz w:val="22"/>
                <w:szCs w:val="22"/>
                <w:color w:val="auto"/>
              </w:rPr>
            </w:pPr>
          </w:p>
        </w:tc>
      </w:tr>
      <w:tr>
        <w:trPr>
          <w:trHeight w:val="237"/>
        </w:trPr>
        <w:tc>
          <w:tcPr>
            <w:tcW w:w="5280" w:type="dxa"/>
            <w:vAlign w:val="bottom"/>
            <w:shd w:val="clear" w:color="auto" w:fill="CCFFCC"/>
          </w:tcPr>
          <w:p>
            <w:pPr>
              <w:ind w:left="40"/>
              <w:spacing w:after="0"/>
              <w:rPr>
                <w:sz w:val="20"/>
                <w:szCs w:val="20"/>
                <w:color w:val="auto"/>
              </w:rPr>
            </w:pPr>
            <w:r>
              <w:rPr>
                <w:rFonts w:ascii="Arial" w:cs="Arial" w:eastAsia="Arial" w:hAnsi="Arial"/>
                <w:sz w:val="16"/>
                <w:szCs w:val="16"/>
                <w:color w:val="auto"/>
              </w:rPr>
              <w:t>Other expense</w:t>
            </w:r>
          </w:p>
        </w:tc>
        <w:tc>
          <w:tcPr>
            <w:tcW w:w="220" w:type="dxa"/>
            <w:vAlign w:val="bottom"/>
            <w:shd w:val="clear" w:color="auto" w:fill="CCFFCC"/>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shd w:val="clear" w:color="auto" w:fill="CCFFCC"/>
          </w:tcPr>
          <w:p>
            <w:pPr>
              <w:ind w:left="280"/>
              <w:spacing w:after="0"/>
              <w:rPr>
                <w:sz w:val="20"/>
                <w:szCs w:val="20"/>
                <w:color w:val="auto"/>
              </w:rPr>
            </w:pPr>
            <w:r>
              <w:rPr>
                <w:rFonts w:ascii="Arial" w:cs="Arial" w:eastAsia="Arial" w:hAnsi="Arial"/>
                <w:sz w:val="16"/>
                <w:szCs w:val="16"/>
                <w:color w:val="auto"/>
              </w:rPr>
              <w:t>(123)</w:t>
            </w:r>
          </w:p>
        </w:tc>
        <w:tc>
          <w:tcPr>
            <w:tcW w:w="280" w:type="dxa"/>
            <w:vAlign w:val="bottom"/>
            <w:shd w:val="clear" w:color="auto" w:fill="CCFFCC"/>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shd w:val="clear" w:color="auto" w:fill="CCFFCC"/>
          </w:tcPr>
          <w:p>
            <w:pPr>
              <w:jc w:val="right"/>
              <w:spacing w:after="0"/>
              <w:rPr>
                <w:sz w:val="20"/>
                <w:szCs w:val="20"/>
                <w:color w:val="auto"/>
              </w:rPr>
            </w:pPr>
            <w:r>
              <w:rPr>
                <w:rFonts w:ascii="Arial" w:cs="Arial" w:eastAsia="Arial" w:hAnsi="Arial"/>
                <w:sz w:val="16"/>
                <w:szCs w:val="16"/>
                <w:color w:val="auto"/>
              </w:rPr>
              <w:t>(369)</w:t>
            </w:r>
          </w:p>
        </w:tc>
        <w:tc>
          <w:tcPr>
            <w:tcW w:w="1440" w:type="dxa"/>
            <w:vAlign w:val="bottom"/>
            <w:gridSpan w:val="4"/>
            <w:shd w:val="clear" w:color="auto" w:fill="CCFFCC"/>
          </w:tcPr>
          <w:p>
            <w:pPr>
              <w:jc w:val="right"/>
              <w:ind w:right="100"/>
              <w:spacing w:after="0"/>
              <w:rPr>
                <w:sz w:val="20"/>
                <w:szCs w:val="20"/>
                <w:color w:val="auto"/>
              </w:rPr>
            </w:pPr>
            <w:r>
              <w:rPr>
                <w:rFonts w:ascii="Arial" w:cs="Arial" w:eastAsia="Arial" w:hAnsi="Arial"/>
                <w:sz w:val="16"/>
                <w:szCs w:val="16"/>
                <w:color w:val="auto"/>
              </w:rPr>
              <w:t>(67)%  $</w:t>
            </w:r>
          </w:p>
        </w:tc>
        <w:tc>
          <w:tcPr>
            <w:tcW w:w="720" w:type="dxa"/>
            <w:vAlign w:val="bottom"/>
            <w:shd w:val="clear" w:color="auto" w:fill="CCFFCC"/>
          </w:tcPr>
          <w:p>
            <w:pPr>
              <w:ind w:left="280"/>
              <w:spacing w:after="0"/>
              <w:rPr>
                <w:sz w:val="20"/>
                <w:szCs w:val="20"/>
                <w:color w:val="auto"/>
              </w:rPr>
            </w:pPr>
            <w:r>
              <w:rPr>
                <w:rFonts w:ascii="Arial" w:cs="Arial" w:eastAsia="Arial" w:hAnsi="Arial"/>
                <w:sz w:val="16"/>
                <w:szCs w:val="16"/>
                <w:color w:val="auto"/>
              </w:rPr>
              <w:t>(135)</w:t>
            </w:r>
          </w:p>
        </w:tc>
        <w:tc>
          <w:tcPr>
            <w:tcW w:w="280" w:type="dxa"/>
            <w:vAlign w:val="bottom"/>
            <w:shd w:val="clear" w:color="auto" w:fill="CCFFCC"/>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shd w:val="clear" w:color="auto" w:fill="CCFFCC"/>
          </w:tcPr>
          <w:p>
            <w:pPr>
              <w:jc w:val="right"/>
              <w:spacing w:after="0"/>
              <w:rPr>
                <w:sz w:val="20"/>
                <w:szCs w:val="20"/>
                <w:color w:val="auto"/>
              </w:rPr>
            </w:pPr>
            <w:r>
              <w:rPr>
                <w:rFonts w:ascii="Arial" w:cs="Arial" w:eastAsia="Arial" w:hAnsi="Arial"/>
                <w:sz w:val="16"/>
                <w:szCs w:val="16"/>
                <w:color w:val="auto"/>
              </w:rPr>
              <w:t>(371)</w:t>
            </w:r>
          </w:p>
        </w:tc>
        <w:tc>
          <w:tcPr>
            <w:tcW w:w="11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(64)%</w:t>
            </w:r>
          </w:p>
        </w:tc>
      </w:tr>
      <w:tr>
        <w:trPr>
          <w:trHeight w:val="33"/>
        </w:trPr>
        <w:tc>
          <w:tcPr>
            <w:tcW w:w="5280" w:type="dxa"/>
            <w:vAlign w:val="bottom"/>
            <w:shd w:val="clear" w:color="auto" w:fill="CCFFCC"/>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720" w:type="dxa"/>
            <w:vAlign w:val="bottom"/>
            <w:shd w:val="clear" w:color="auto" w:fill="CCFFCC"/>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68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02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720" w:type="dxa"/>
            <w:vAlign w:val="bottom"/>
            <w:shd w:val="clear" w:color="auto" w:fill="CCFFCC"/>
          </w:tcPr>
          <w:p>
            <w:pPr>
              <w:spacing w:after="0"/>
              <w:rPr>
                <w:sz w:val="2"/>
                <w:szCs w:val="2"/>
                <w:color w:val="auto"/>
              </w:rPr>
            </w:pPr>
          </w:p>
        </w:tc>
        <w:tc>
          <w:tcPr>
            <w:tcW w:w="280" w:type="dxa"/>
            <w:vAlign w:val="bottom"/>
            <w:shd w:val="clear" w:color="auto" w:fill="CCFFCC"/>
          </w:tcPr>
          <w:p>
            <w:pPr>
              <w:spacing w:after="0"/>
              <w:rPr>
                <w:sz w:val="2"/>
                <w:szCs w:val="2"/>
                <w:color w:val="auto"/>
              </w:rPr>
            </w:pPr>
          </w:p>
        </w:tc>
        <w:tc>
          <w:tcPr>
            <w:tcW w:w="68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020" w:type="dxa"/>
            <w:vAlign w:val="bottom"/>
            <w:shd w:val="clear" w:color="auto" w:fill="CCFFCC"/>
          </w:tcPr>
          <w:p>
            <w:pPr>
              <w:spacing w:after="0"/>
              <w:rPr>
                <w:sz w:val="2"/>
                <w:szCs w:val="2"/>
                <w:color w:val="auto"/>
              </w:rPr>
            </w:pPr>
          </w:p>
        </w:tc>
      </w:tr>
    </w:tbl>
    <w:p>
      <w:pPr>
        <w:spacing w:after="0" w:line="9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variance in other expense in the three and nine months ended September 30, 2016 from the comparable period in 2015 is attributable to a increase in financial income from currency exchange and hedging of approximately $0.3 million.</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Provision For (Benefit From) Income Taxes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5"/>
          </w:tcPr>
          <w:p>
            <w:pPr>
              <w:ind w:left="300"/>
              <w:spacing w:after="0"/>
              <w:rPr>
                <w:sz w:val="20"/>
                <w:szCs w:val="20"/>
                <w:color w:val="auto"/>
              </w:rPr>
            </w:pPr>
            <w:r>
              <w:rPr>
                <w:rFonts w:ascii="Arial" w:cs="Arial" w:eastAsia="Arial" w:hAnsi="Arial"/>
                <w:sz w:val="14"/>
                <w:szCs w:val="14"/>
                <w:b w:val="1"/>
                <w:bCs w:val="1"/>
                <w:color w:val="auto"/>
              </w:rPr>
              <w:t>Three Months Ended September 30,</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5"/>
          </w:tcPr>
          <w:p>
            <w:pPr>
              <w:jc w:val="center"/>
              <w:ind w:right="128"/>
              <w:spacing w:after="0"/>
              <w:rPr>
                <w:sz w:val="20"/>
                <w:szCs w:val="20"/>
                <w:color w:val="auto"/>
              </w:rPr>
            </w:pPr>
            <w:r>
              <w:rPr>
                <w:rFonts w:ascii="Arial" w:cs="Arial" w:eastAsia="Arial" w:hAnsi="Arial"/>
                <w:sz w:val="14"/>
                <w:szCs w:val="14"/>
                <w:b w:val="1"/>
                <w:bCs w:val="1"/>
                <w:color w:val="auto"/>
                <w:w w:val="92"/>
              </w:rPr>
              <w:t>Nine Months Ended September 30,</w:t>
            </w:r>
          </w:p>
        </w:tc>
      </w:tr>
      <w:tr>
        <w:trPr>
          <w:trHeight w:val="264"/>
        </w:trPr>
        <w:tc>
          <w:tcPr>
            <w:tcW w:w="48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6"/>
              <w:spacing w:after="0"/>
              <w:rPr>
                <w:sz w:val="20"/>
                <w:szCs w:val="20"/>
                <w:color w:val="auto"/>
              </w:rPr>
            </w:pPr>
            <w:r>
              <w:rPr>
                <w:rFonts w:ascii="Arial" w:cs="Arial" w:eastAsia="Arial" w:hAnsi="Arial"/>
                <w:sz w:val="14"/>
                <w:szCs w:val="14"/>
                <w:b w:val="1"/>
                <w:bCs w:val="1"/>
                <w:color w:val="auto"/>
              </w:rPr>
              <w:t>2016</w:t>
            </w:r>
          </w:p>
        </w:tc>
        <w:tc>
          <w:tcPr>
            <w:tcW w:w="340" w:type="dxa"/>
            <w:vAlign w:val="bottom"/>
          </w:tcPr>
          <w:p>
            <w:pPr>
              <w:spacing w:after="0"/>
              <w:rPr>
                <w:sz w:val="22"/>
                <w:szCs w:val="22"/>
                <w:color w:val="auto"/>
              </w:rPr>
            </w:pPr>
          </w:p>
        </w:tc>
        <w:tc>
          <w:tcPr>
            <w:tcW w:w="780" w:type="dxa"/>
            <w:vAlign w:val="bottom"/>
          </w:tcPr>
          <w:p>
            <w:pPr>
              <w:jc w:val="right"/>
              <w:ind w:right="283"/>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136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 Change</w:t>
            </w:r>
          </w:p>
        </w:tc>
        <w:tc>
          <w:tcPr>
            <w:tcW w:w="800" w:type="dxa"/>
            <w:vAlign w:val="bottom"/>
          </w:tcPr>
          <w:p>
            <w:pPr>
              <w:jc w:val="right"/>
              <w:ind w:right="306"/>
              <w:spacing w:after="0"/>
              <w:rPr>
                <w:sz w:val="20"/>
                <w:szCs w:val="20"/>
                <w:color w:val="auto"/>
              </w:rPr>
            </w:pPr>
            <w:r>
              <w:rPr>
                <w:rFonts w:ascii="Arial" w:cs="Arial" w:eastAsia="Arial" w:hAnsi="Arial"/>
                <w:sz w:val="14"/>
                <w:szCs w:val="14"/>
                <w:b w:val="1"/>
                <w:bCs w:val="1"/>
                <w:color w:val="auto"/>
              </w:rPr>
              <w:t>2016</w:t>
            </w:r>
          </w:p>
        </w:tc>
        <w:tc>
          <w:tcPr>
            <w:tcW w:w="320" w:type="dxa"/>
            <w:vAlign w:val="bottom"/>
          </w:tcPr>
          <w:p>
            <w:pPr>
              <w:spacing w:after="0"/>
              <w:rPr>
                <w:sz w:val="22"/>
                <w:szCs w:val="22"/>
                <w:color w:val="auto"/>
              </w:rPr>
            </w:pPr>
          </w:p>
        </w:tc>
        <w:tc>
          <w:tcPr>
            <w:tcW w:w="780" w:type="dxa"/>
            <w:vAlign w:val="bottom"/>
          </w:tcPr>
          <w:p>
            <w:pPr>
              <w:jc w:val="right"/>
              <w:ind w:right="283"/>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b w:val="1"/>
                <w:bCs w:val="1"/>
                <w:color w:val="auto"/>
              </w:rPr>
              <w:t>% Change</w:t>
            </w:r>
          </w:p>
        </w:tc>
      </w:tr>
      <w:tr>
        <w:trPr>
          <w:trHeight w:val="264"/>
        </w:trPr>
        <w:tc>
          <w:tcPr>
            <w:tcW w:w="4800" w:type="dxa"/>
            <w:vAlign w:val="bottom"/>
            <w:tcBorders>
              <w:bottom w:val="single" w:sz="8" w:color="CCFFCC"/>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900" w:type="dxa"/>
            <w:vAlign w:val="bottom"/>
            <w:tcBorders>
              <w:top w:val="single" w:sz="8" w:color="auto"/>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Borders>
              <w:bottom w:val="single" w:sz="8" w:color="CCFFCC"/>
            </w:tcBorders>
          </w:tcPr>
          <w:p>
            <w:pPr>
              <w:spacing w:after="0"/>
              <w:rPr>
                <w:sz w:val="22"/>
                <w:szCs w:val="22"/>
                <w:color w:val="auto"/>
              </w:rPr>
            </w:pPr>
          </w:p>
        </w:tc>
        <w:tc>
          <w:tcPr>
            <w:tcW w:w="1020" w:type="dxa"/>
            <w:vAlign w:val="bottom"/>
            <w:tcBorders>
              <w:top w:val="single" w:sz="8" w:color="auto"/>
              <w:bottom w:val="single" w:sz="8" w:color="CCFFCC"/>
            </w:tcBorders>
          </w:tcPr>
          <w:p>
            <w:pPr>
              <w:spacing w:after="0"/>
              <w:rPr>
                <w:sz w:val="22"/>
                <w:szCs w:val="22"/>
                <w:color w:val="auto"/>
              </w:rPr>
            </w:pPr>
          </w:p>
        </w:tc>
        <w:tc>
          <w:tcPr>
            <w:tcW w:w="100" w:type="dxa"/>
            <w:vAlign w:val="bottom"/>
            <w:tcBorders>
              <w:bottom w:val="single" w:sz="8" w:color="CCFFCC"/>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900" w:type="dxa"/>
            <w:vAlign w:val="bottom"/>
            <w:tcBorders>
              <w:top w:val="single" w:sz="8" w:color="auto"/>
              <w:bottom w:val="single" w:sz="8" w:color="auto"/>
            </w:tcBorders>
            <w:gridSpan w:val="3"/>
          </w:tcPr>
          <w:p>
            <w:pPr>
              <w:jc w:val="right"/>
              <w:ind w:right="483"/>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Borders>
              <w:bottom w:val="single" w:sz="8" w:color="CCFFCC"/>
            </w:tcBorders>
          </w:tcPr>
          <w:p>
            <w:pPr>
              <w:spacing w:after="0"/>
              <w:rPr>
                <w:sz w:val="22"/>
                <w:szCs w:val="22"/>
                <w:color w:val="auto"/>
              </w:rPr>
            </w:pPr>
          </w:p>
        </w:tc>
        <w:tc>
          <w:tcPr>
            <w:tcW w:w="1020" w:type="dxa"/>
            <w:vAlign w:val="bottom"/>
            <w:tcBorders>
              <w:top w:val="single" w:sz="8" w:color="auto"/>
              <w:bottom w:val="single" w:sz="8" w:color="CCFFCC"/>
            </w:tcBorders>
          </w:tcPr>
          <w:p>
            <w:pPr>
              <w:spacing w:after="0"/>
              <w:rPr>
                <w:sz w:val="22"/>
                <w:szCs w:val="22"/>
                <w:color w:val="auto"/>
              </w:rPr>
            </w:pPr>
          </w:p>
        </w:tc>
      </w:tr>
      <w:tr>
        <w:trPr>
          <w:trHeight w:val="237"/>
        </w:trPr>
        <w:tc>
          <w:tcPr>
            <w:tcW w:w="4800" w:type="dxa"/>
            <w:vAlign w:val="bottom"/>
            <w:shd w:val="clear" w:color="auto" w:fill="CCFFCC"/>
          </w:tcPr>
          <w:p>
            <w:pPr>
              <w:ind w:left="40"/>
              <w:spacing w:after="0"/>
              <w:rPr>
                <w:sz w:val="20"/>
                <w:szCs w:val="20"/>
                <w:color w:val="auto"/>
              </w:rPr>
            </w:pPr>
            <w:r>
              <w:rPr>
                <w:rFonts w:ascii="Arial" w:cs="Arial" w:eastAsia="Arial" w:hAnsi="Arial"/>
                <w:sz w:val="16"/>
                <w:szCs w:val="16"/>
                <w:color w:val="auto"/>
              </w:rPr>
              <w:t>Provision for (benefit from) income taxes</w:t>
            </w:r>
          </w:p>
        </w:tc>
        <w:tc>
          <w:tcPr>
            <w:tcW w:w="240" w:type="dxa"/>
            <w:vAlign w:val="bottom"/>
            <w:shd w:val="clear" w:color="auto" w:fill="CCFFCC"/>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FFCC"/>
          </w:tcPr>
          <w:p>
            <w:pPr>
              <w:ind w:left="300"/>
              <w:spacing w:after="0"/>
              <w:rPr>
                <w:sz w:val="20"/>
                <w:szCs w:val="20"/>
                <w:color w:val="auto"/>
              </w:rPr>
            </w:pPr>
            <w:r>
              <w:rPr>
                <w:rFonts w:ascii="Arial" w:cs="Arial" w:eastAsia="Arial" w:hAnsi="Arial"/>
                <w:sz w:val="16"/>
                <w:szCs w:val="16"/>
                <w:color w:val="auto"/>
              </w:rPr>
              <w:t>3,177</w:t>
            </w:r>
          </w:p>
        </w:tc>
        <w:tc>
          <w:tcPr>
            <w:tcW w:w="340" w:type="dxa"/>
            <w:vAlign w:val="bottom"/>
            <w:shd w:val="clear" w:color="auto" w:fill="CCFFCC"/>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FFCC"/>
          </w:tcPr>
          <w:p>
            <w:pPr>
              <w:jc w:val="right"/>
              <w:spacing w:after="0"/>
              <w:rPr>
                <w:sz w:val="20"/>
                <w:szCs w:val="20"/>
                <w:color w:val="auto"/>
              </w:rPr>
            </w:pPr>
            <w:r>
              <w:rPr>
                <w:rFonts w:ascii="Arial" w:cs="Arial" w:eastAsia="Arial" w:hAnsi="Arial"/>
                <w:sz w:val="16"/>
                <w:szCs w:val="16"/>
                <w:color w:val="auto"/>
              </w:rPr>
              <w:t>(395)</w:t>
            </w:r>
          </w:p>
        </w:tc>
        <w:tc>
          <w:tcPr>
            <w:tcW w:w="1460" w:type="dxa"/>
            <w:vAlign w:val="bottom"/>
            <w:gridSpan w:val="4"/>
            <w:shd w:val="clear" w:color="auto" w:fill="CCFFCC"/>
          </w:tcPr>
          <w:p>
            <w:pPr>
              <w:jc w:val="right"/>
              <w:ind w:right="120"/>
              <w:spacing w:after="0"/>
              <w:rPr>
                <w:sz w:val="20"/>
                <w:szCs w:val="20"/>
                <w:color w:val="auto"/>
              </w:rPr>
            </w:pPr>
            <w:r>
              <w:rPr>
                <w:rFonts w:ascii="Arial" w:cs="Arial" w:eastAsia="Arial" w:hAnsi="Arial"/>
                <w:sz w:val="16"/>
                <w:szCs w:val="16"/>
                <w:color w:val="auto"/>
              </w:rPr>
              <w:t>(904)%  $</w:t>
            </w:r>
          </w:p>
        </w:tc>
        <w:tc>
          <w:tcPr>
            <w:tcW w:w="800" w:type="dxa"/>
            <w:vAlign w:val="bottom"/>
            <w:shd w:val="clear" w:color="auto" w:fill="CCFFCC"/>
          </w:tcPr>
          <w:p>
            <w:pPr>
              <w:jc w:val="right"/>
              <w:ind w:right="46"/>
              <w:spacing w:after="0"/>
              <w:rPr>
                <w:sz w:val="20"/>
                <w:szCs w:val="20"/>
                <w:color w:val="auto"/>
              </w:rPr>
            </w:pPr>
            <w:r>
              <w:rPr>
                <w:rFonts w:ascii="Arial" w:cs="Arial" w:eastAsia="Arial" w:hAnsi="Arial"/>
                <w:sz w:val="16"/>
                <w:szCs w:val="16"/>
                <w:color w:val="auto"/>
              </w:rPr>
              <w:t>5,038</w:t>
            </w:r>
          </w:p>
        </w:tc>
        <w:tc>
          <w:tcPr>
            <w:tcW w:w="320" w:type="dxa"/>
            <w:vAlign w:val="bottom"/>
            <w:shd w:val="clear" w:color="auto" w:fill="CCFFCC"/>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FFCC"/>
          </w:tcPr>
          <w:p>
            <w:pPr>
              <w:jc w:val="right"/>
              <w:spacing w:after="0"/>
              <w:rPr>
                <w:sz w:val="20"/>
                <w:szCs w:val="20"/>
                <w:color w:val="auto"/>
              </w:rPr>
            </w:pPr>
            <w:r>
              <w:rPr>
                <w:rFonts w:ascii="Arial" w:cs="Arial" w:eastAsia="Arial" w:hAnsi="Arial"/>
                <w:sz w:val="16"/>
                <w:szCs w:val="16"/>
                <w:color w:val="auto"/>
              </w:rPr>
              <w:t>(2,721)</w:t>
            </w:r>
          </w:p>
        </w:tc>
        <w:tc>
          <w:tcPr>
            <w:tcW w:w="11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(285)%</w:t>
            </w:r>
          </w:p>
        </w:tc>
      </w:tr>
      <w:tr>
        <w:trPr>
          <w:trHeight w:val="33"/>
        </w:trPr>
        <w:tc>
          <w:tcPr>
            <w:tcW w:w="4800" w:type="dxa"/>
            <w:vAlign w:val="bottom"/>
            <w:shd w:val="clear" w:color="auto" w:fill="CCFFCC"/>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780" w:type="dxa"/>
            <w:vAlign w:val="bottom"/>
            <w:shd w:val="clear" w:color="auto" w:fill="CCFFCC"/>
          </w:tcPr>
          <w:p>
            <w:pPr>
              <w:spacing w:after="0"/>
              <w:rPr>
                <w:sz w:val="2"/>
                <w:szCs w:val="2"/>
                <w:color w:val="auto"/>
              </w:rPr>
            </w:pPr>
          </w:p>
        </w:tc>
        <w:tc>
          <w:tcPr>
            <w:tcW w:w="340" w:type="dxa"/>
            <w:vAlign w:val="bottom"/>
            <w:shd w:val="clear" w:color="auto" w:fill="CCFFCC"/>
          </w:tcPr>
          <w:p>
            <w:pPr>
              <w:spacing w:after="0"/>
              <w:rPr>
                <w:sz w:val="2"/>
                <w:szCs w:val="2"/>
                <w:color w:val="auto"/>
              </w:rPr>
            </w:pPr>
          </w:p>
        </w:tc>
        <w:tc>
          <w:tcPr>
            <w:tcW w:w="78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02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800" w:type="dxa"/>
            <w:vAlign w:val="bottom"/>
            <w:shd w:val="clear" w:color="auto" w:fill="CCFFCC"/>
          </w:tcPr>
          <w:p>
            <w:pPr>
              <w:spacing w:after="0"/>
              <w:rPr>
                <w:sz w:val="2"/>
                <w:szCs w:val="2"/>
                <w:color w:val="auto"/>
              </w:rPr>
            </w:pPr>
          </w:p>
        </w:tc>
        <w:tc>
          <w:tcPr>
            <w:tcW w:w="320" w:type="dxa"/>
            <w:vAlign w:val="bottom"/>
            <w:shd w:val="clear" w:color="auto" w:fill="CCFFCC"/>
          </w:tcPr>
          <w:p>
            <w:pPr>
              <w:spacing w:after="0"/>
              <w:rPr>
                <w:sz w:val="2"/>
                <w:szCs w:val="2"/>
                <w:color w:val="auto"/>
              </w:rPr>
            </w:pPr>
          </w:p>
        </w:tc>
        <w:tc>
          <w:tcPr>
            <w:tcW w:w="78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020" w:type="dxa"/>
            <w:vAlign w:val="bottom"/>
            <w:shd w:val="clear" w:color="auto" w:fill="CCFFCC"/>
          </w:tcPr>
          <w:p>
            <w:pPr>
              <w:spacing w:after="0"/>
              <w:rPr>
                <w:sz w:val="2"/>
                <w:szCs w:val="2"/>
                <w:color w:val="auto"/>
              </w:rPr>
            </w:pPr>
          </w:p>
        </w:tc>
      </w:tr>
    </w:tbl>
    <w:p>
      <w:pPr>
        <w:spacing w:after="0" w:line="9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Provision for income taxes is approximately $3.2 million and $5.0 million for the three and nine months ended September 30, 2016, respectively, a decrease from the tax benefit from income taxes of $0.4 million and $2.7 million for the three and nine months ended September 30, 2015, respectively. Our consolidated effective tax rate is impacted by the statutory income tax rates applicable to each of the jurisdictions in which we operate. During the three months ended September 30, 2016, we incurred a higher overall tax expense due to a larger increase in the taxable income in foreign jurisdictions in relation to the overall loss and the adjustment of prior net operating losses.</w:t>
      </w:r>
    </w:p>
    <w:p>
      <w:pPr>
        <w:spacing w:after="0" w:line="8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(Loss)/Income</w:t>
      </w:r>
    </w:p>
    <w:p>
      <w:pPr>
        <w:spacing w:after="0" w:line="11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had net losses of $5.9 million and $16.3 million for the three and nine months ended September 30, 2016, respectively, compared to net income of $1.9 million and net loss of $5.5 million for the three and nine months ended September 30, 2015, respectively. During the three months ended September 30, 2016, revenue decreased by approximately $6.2 million and operating expenses decreased by $1.8 million. Other expense decreased by $0.2 million and the provision for (benefit from) income taxes increased by $3.6 million, contributing to an increase in net loss of $7.8 million. During the nine months ended September 30, 2016, revenue decreased by approximately $13.2 million and operating expenses decreased by $9.9 million. Other expense decreased by $0.2 million and the provision for (benefit from) income taxes increased by $7.8 million, contributing to an increase in net loss of $10.8 million.</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584" w:right="239" w:bottom="1440" w:gutter="0" w:footer="0" w:header="0"/>
        </w:sectPr>
      </w:pPr>
    </w:p>
    <w:bookmarkStart w:id="36" w:name="page37"/>
    <w:bookmarkEnd w:id="36"/>
    <w:p>
      <w:pPr>
        <w:spacing w:after="0"/>
        <w:rPr>
          <w:sz w:val="20"/>
          <w:szCs w:val="20"/>
          <w:color w:val="auto"/>
        </w:rPr>
      </w:pPr>
      <w:r>
        <w:rPr>
          <w:rFonts w:ascii="Arial" w:cs="Arial" w:eastAsia="Arial" w:hAnsi="Arial"/>
          <w:sz w:val="16"/>
          <w:szCs w:val="16"/>
          <w:b w:val="1"/>
          <w:bCs w:val="1"/>
          <w:color w:val="auto"/>
        </w:rPr>
        <w:t>Liquidity and Capital Resources</w:t>
      </w:r>
    </w:p>
    <w:p>
      <w:pPr>
        <w:sectPr>
          <w:pgSz w:w="11900" w:h="16838" w:orient="portrait"/>
          <w:cols w:equalWidth="0" w:num="1">
            <w:col w:w="11420"/>
          </w:cols>
          <w:pgMar w:left="240" w:top="58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0"/>
        <w:spacing w:after="0"/>
        <w:rPr>
          <w:sz w:val="20"/>
          <w:szCs w:val="20"/>
          <w:color w:val="auto"/>
        </w:rPr>
      </w:pPr>
      <w:r>
        <w:rPr>
          <w:rFonts w:ascii="Arial" w:cs="Arial" w:eastAsia="Arial" w:hAnsi="Arial"/>
          <w:sz w:val="14"/>
          <w:szCs w:val="14"/>
          <w:b w:val="1"/>
          <w:bCs w:val="1"/>
          <w:u w:val="single" w:color="auto"/>
          <w:color w:val="auto"/>
        </w:rPr>
        <w:t>Consolidated Statements of Cash Flows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246620" cy="1803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93" w:lineRule="exact"/>
        <w:rPr>
          <w:sz w:val="20"/>
          <w:szCs w:val="20"/>
          <w:color w:val="auto"/>
        </w:rPr>
      </w:pPr>
    </w:p>
    <w:p>
      <w:pPr>
        <w:ind w:left="40"/>
        <w:spacing w:after="0"/>
        <w:rPr>
          <w:sz w:val="20"/>
          <w:szCs w:val="20"/>
          <w:color w:val="auto"/>
        </w:rPr>
      </w:pPr>
      <w:r>
        <w:rPr>
          <w:rFonts w:ascii="Arial" w:cs="Arial" w:eastAsia="Arial" w:hAnsi="Arial"/>
          <w:sz w:val="16"/>
          <w:szCs w:val="16"/>
          <w:color w:val="auto"/>
        </w:rPr>
        <w:t>Cash flows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Cash flows used in investing activities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Cash flows used in financing activities</w:t>
      </w:r>
    </w:p>
    <w:p>
      <w:pPr>
        <w:spacing w:after="0" w:line="20" w:lineRule="exact"/>
        <w:rPr>
          <w:sz w:val="20"/>
          <w:szCs w:val="20"/>
          <w:color w:val="auto"/>
        </w:rPr>
      </w:pPr>
      <w:r>
        <w:rPr>
          <w:sz w:val="20"/>
          <w:szCs w:val="20"/>
          <w:color w:val="auto"/>
        </w:rPr>
        <w:br w:type="column"/>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Nine Months Ended</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23495</wp:posOffset>
            </wp:positionV>
            <wp:extent cx="1663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103" w:lineRule="exact"/>
        <w:rPr>
          <w:sz w:val="20"/>
          <w:szCs w:val="20"/>
          <w:color w:val="auto"/>
        </w:rPr>
      </w:pPr>
    </w:p>
    <w:p>
      <w:pPr>
        <w:ind w:left="420"/>
        <w:spacing w:after="0"/>
        <w:tabs>
          <w:tab w:leader="none" w:pos="1880" w:val="left"/>
        </w:tabs>
        <w:rPr>
          <w:sz w:val="20"/>
          <w:szCs w:val="20"/>
          <w:color w:val="auto"/>
        </w:rPr>
      </w:pPr>
      <w:r>
        <w:rPr>
          <w:rFonts w:ascii="Arial" w:cs="Arial" w:eastAsia="Arial" w:hAnsi="Arial"/>
          <w:sz w:val="14"/>
          <w:szCs w:val="14"/>
          <w:b w:val="1"/>
          <w:bCs w:val="1"/>
          <w:color w:val="auto"/>
        </w:rPr>
        <w:t>2016</w:t>
      </w:r>
      <w:r>
        <w:rPr>
          <w:sz w:val="20"/>
          <w:szCs w:val="20"/>
          <w:color w:val="auto"/>
        </w:rPr>
        <w:tab/>
      </w:r>
      <w:r>
        <w:rPr>
          <w:rFonts w:ascii="Arial" w:cs="Arial" w:eastAsia="Arial" w:hAnsi="Arial"/>
          <w:sz w:val="14"/>
          <w:szCs w:val="14"/>
          <w:b w:val="1"/>
          <w:bCs w:val="1"/>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23495</wp:posOffset>
            </wp:positionV>
            <wp:extent cx="1663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89" w:lineRule="exact"/>
        <w:rPr>
          <w:sz w:val="20"/>
          <w:szCs w:val="20"/>
          <w:color w:val="auto"/>
        </w:rPr>
      </w:pPr>
    </w:p>
    <w:p>
      <w:pPr>
        <w:ind w:left="860"/>
        <w:spacing w:after="0"/>
        <w:rPr>
          <w:sz w:val="20"/>
          <w:szCs w:val="20"/>
          <w:color w:val="auto"/>
        </w:rPr>
      </w:pPr>
      <w:r>
        <w:rPr>
          <w:rFonts w:ascii="Arial" w:cs="Arial" w:eastAsia="Arial" w:hAnsi="Arial"/>
          <w:sz w:val="14"/>
          <w:szCs w:val="14"/>
          <w:b w:val="1"/>
          <w:bCs w:val="1"/>
          <w:color w:val="auto"/>
        </w:rPr>
        <w:t>(in thousands)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40" w:type="dxa"/>
            <w:vAlign w:val="bottom"/>
          </w:tcPr>
          <w:p>
            <w:pPr>
              <w:jc w:val="right"/>
              <w:ind w:right="184"/>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16,550</w:t>
            </w:r>
          </w:p>
        </w:tc>
        <w:tc>
          <w:tcPr>
            <w:tcW w:w="5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10,865</w:t>
            </w:r>
          </w:p>
        </w:tc>
      </w:tr>
      <w:tr>
        <w:trPr>
          <w:trHeight w:val="270"/>
        </w:trPr>
        <w:tc>
          <w:tcPr>
            <w:tcW w:w="340" w:type="dxa"/>
            <w:vAlign w:val="bottom"/>
          </w:tcPr>
          <w:p>
            <w:pPr>
              <w:spacing w:after="0"/>
              <w:rPr>
                <w:sz w:val="23"/>
                <w:szCs w:val="23"/>
                <w:color w:val="auto"/>
              </w:rPr>
            </w:pP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(8,219)</w:t>
            </w:r>
          </w:p>
        </w:tc>
        <w:tc>
          <w:tcPr>
            <w:tcW w:w="5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(16,597)</w:t>
            </w:r>
          </w:p>
        </w:tc>
      </w:tr>
      <w:tr>
        <w:trPr>
          <w:trHeight w:val="270"/>
        </w:trPr>
        <w:tc>
          <w:tcPr>
            <w:tcW w:w="340" w:type="dxa"/>
            <w:vAlign w:val="bottom"/>
          </w:tcPr>
          <w:p>
            <w:pPr>
              <w:spacing w:after="0"/>
              <w:rPr>
                <w:sz w:val="23"/>
                <w:szCs w:val="23"/>
                <w:color w:val="auto"/>
              </w:rPr>
            </w:pP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(4,935)</w:t>
            </w:r>
          </w:p>
        </w:tc>
        <w:tc>
          <w:tcPr>
            <w:tcW w:w="5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(2,014)</w:t>
            </w:r>
          </w:p>
        </w:tc>
      </w:tr>
    </w:tbl>
    <w:p>
      <w:pPr>
        <w:spacing w:after="0" w:line="127" w:lineRule="exact"/>
        <w:rPr>
          <w:sz w:val="20"/>
          <w:szCs w:val="20"/>
          <w:color w:val="auto"/>
        </w:rPr>
      </w:pPr>
    </w:p>
    <w:p>
      <w:pPr>
        <w:sectPr>
          <w:pgSz w:w="11900" w:h="16838" w:orient="portrait"/>
          <w:cols w:equalWidth="0" w:num="2">
            <w:col w:w="8100" w:space="720"/>
            <w:col w:w="2600"/>
          </w:cols>
          <w:pgMar w:left="240" w:top="580" w:right="239" w:bottom="1440" w:gutter="0" w:footer="0" w:header="0"/>
          <w:type w:val="continuous"/>
        </w:sectPr>
      </w:pPr>
    </w:p>
    <w:p>
      <w:pPr>
        <w:jc w:val="both"/>
        <w:ind w:firstLine="648"/>
        <w:spacing w:after="0" w:line="257" w:lineRule="auto"/>
        <w:rPr>
          <w:sz w:val="20"/>
          <w:szCs w:val="20"/>
          <w:color w:val="auto"/>
        </w:rPr>
      </w:pPr>
      <w:r>
        <w:rPr>
          <w:rFonts w:ascii="Arial" w:cs="Arial" w:eastAsia="Arial" w:hAnsi="Arial"/>
          <w:sz w:val="18"/>
          <w:szCs w:val="18"/>
          <w:color w:val="auto"/>
        </w:rPr>
        <w:t>As of September 30, 2016, we had approximately $51.4 million in cash and cash equivalents, an increase of approximately $2.6 million from December 31, 2015. The increase is primarily attributable to a decrease in net cash used in investing activities relating to purchases of fixed assets related to the build-out of our co-location facility as well as cash held for collateral for foreign exchange fund contracts when compared to 2015 and to an increase in net cash provided by operating activities relating to movement towards larger and annual contracts. This is offset partially by an increase in repurchase of common stock.</w:t>
      </w:r>
    </w:p>
    <w:p>
      <w:pPr>
        <w:spacing w:after="0" w:line="8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Net cash provided by operating activities was $16.6 million for the nine months ended September 30, 2016 and consisted primarily of net loss, non-cash expenses related to ASC 718-10, amortization of purchased intangibles and depreciation, increases in deferred revenue and prepaid expenses, and decreases in accounts receivable, accounts payable, and accrued expenses. Net cash provided by operating activities was $10.9 million for the nine months ended September 30, 2015 and consisted primarily of net loss, non-cash expenses related to ASC 718-10, amortization of purchased intangibles and depreciation, an increase in accounts receivable, prepaid expenses, and a decrease in accounts payable and deferred revenue.</w:t>
      </w:r>
    </w:p>
    <w:p>
      <w:pPr>
        <w:spacing w:after="0" w:line="5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Net cash used in investing activities was $8.2 million in the nine months ended September 30, 2016 and was due primarily to the purchase of fixed assets for our co-location facilities and partial release of restricted cash used with foreign currency forward contracts. Net cash used in investing activities was $16.6 million in the nine months ended September 30, 2015 and was due primarily to the purchase of fixed assets for our co-location facilities and restricted cash associated with foreign currency forward contracts.</w:t>
      </w:r>
    </w:p>
    <w:p>
      <w:pPr>
        <w:spacing w:after="0" w:line="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Net cash used in financing activities was $4.9 million in the nine months ended September 30, 2016 and consisted primarily of the repurchase of our common stock offset partially by issuance of common stock. Net cash provided by financing activities was $2.0 million in the nine months ended September 30, 2015 and consisted primarily of the issuance of common stock and excess tax benefit for exercise of employee stock options, offset by the repurchase of our common stock and acquisition related payments.</w:t>
      </w:r>
    </w:p>
    <w:p>
      <w:pPr>
        <w:spacing w:after="0" w:line="7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have incurred significant expenses to develop our technology and services, to hire employees in our customer service, sales, marketing and administration departments, and for the amortization of purchased intangible assets, as well as non-cash compensation costs. Historically, we incurred significant quarterly net losses from inception through June 30, 2003, significant negative cash flows from operations in our quarterly periods from inception through December 31, 2002 and negative cash flows from operations of $0.1 million in the quarterly period ended March 31, 2004. We also incurred a net loss and negative cash flow from operations in the quarterly periods ended March 31, 2014, June 30, 2014, March 31, 2015, June 30, 2015, December 31, 2015, and March 31, 2016. We incurred a net loss in the quarterly periods ended June 30, 2013, September 30, 2013, December 31, 2013, as well as in the quarterly periods ended September 30, 2014, December 31, 2014, March 31, 2015, June 30, 2015, December 31, 2015, March 31, 2016, June 30, 2016, and September 30, 2016. As of September 30, 2016, we had an accumulated deficit of approximately $135.4 million.</w:t>
      </w:r>
    </w:p>
    <w:p>
      <w:pPr>
        <w:spacing w:after="0" w:line="5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anticipate that our current cash and cash equivalents will be sufficient to satisfy our working capital and capital requirements for at least the next twelve (12) months. However, we cannot assure you that we will not require additional funds prior to such time, and we would then seek to sell additional equity or debt securities through public financings, or seek alternative sources of financing. We cannot assure you that additional funding will be available on favorable terms, when needed, if at all. If we are unable to obtain any necessary additional financing, we may be required to further reduce the scope of our planned sales and marketing and product development efforts, which could materially adversely affect our business, financial condition and operating results. In addition, we may require additional funds in order to fund more rapid expansion, to develop new or enhanced services or products or to invest in or acquire complementary businesses, technologies, services or products.</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do not have any special purposes entities, and other than operating leases, which are described below, we do not engage in off-balance sheet financing arrangements.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580" w:right="239" w:bottom="1440" w:gutter="0" w:footer="0" w:header="0"/>
          <w:type w:val="continuous"/>
        </w:sectPr>
      </w:pPr>
    </w:p>
    <w:bookmarkStart w:id="37" w:name="page38"/>
    <w:bookmarkEnd w:id="37"/>
    <w:p>
      <w:pPr>
        <w:jc w:val="both"/>
        <w:ind w:firstLine="648"/>
        <w:spacing w:after="0" w:line="259" w:lineRule="auto"/>
        <w:rPr>
          <w:sz w:val="20"/>
          <w:szCs w:val="20"/>
          <w:color w:val="auto"/>
        </w:rPr>
      </w:pPr>
      <w:r>
        <w:rPr>
          <w:rFonts w:ascii="Arial" w:cs="Arial" w:eastAsia="Arial" w:hAnsi="Arial"/>
          <w:sz w:val="18"/>
          <w:szCs w:val="18"/>
          <w:color w:val="auto"/>
        </w:rPr>
        <w:t>We lease facilities and certain equipment under agreements accounted for as operating leases. These leases generally require us to pay all executory costs such as maintenance and insurance. Rental expense for operating leases for the three and nine months ended September 30, 2016 was approximately $2.4 million and $7.6 million, respectively. Rental expense for operating leases for the three and nine months ended September 30, 2015 was approximately $2.4 million and $5.9 million, respectively.</w:t>
      </w:r>
    </w:p>
    <w:p>
      <w:pPr>
        <w:spacing w:after="0" w:line="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September 30, 2016, our principal commitments were approximately $29.8 million under various operating leases, of which approximately $2.1 million is due in 2016. We currently expect that our principal commitments for the year ending December 31, 2016 will not exceed $10.0 million in the aggregate.</w:t>
      </w:r>
    </w:p>
    <w:p>
      <w:pPr>
        <w:spacing w:after="0" w:line="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contractual obligations at September 30, 2016 are summarized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w w:val="91"/>
              </w:rPr>
              <w:t>Payments due by period</w:t>
            </w: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r>
      <w:tr>
        <w:trPr>
          <w:trHeight w:val="250"/>
        </w:trPr>
        <w:tc>
          <w:tcPr>
            <w:tcW w:w="35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91"/>
              </w:rPr>
              <w:t>(in thousands)</w:t>
            </w:r>
          </w:p>
        </w:tc>
        <w:tc>
          <w:tcPr>
            <w:tcW w:w="2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r>
      <w:tr>
        <w:trPr>
          <w:trHeight w:val="215"/>
        </w:trPr>
        <w:tc>
          <w:tcPr>
            <w:tcW w:w="3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ind w:right="279"/>
              <w:spacing w:after="0"/>
              <w:rPr>
                <w:sz w:val="20"/>
                <w:szCs w:val="20"/>
                <w:color w:val="auto"/>
              </w:rPr>
            </w:pPr>
            <w:r>
              <w:rPr>
                <w:rFonts w:ascii="Arial" w:cs="Arial" w:eastAsia="Arial" w:hAnsi="Arial"/>
                <w:sz w:val="16"/>
                <w:szCs w:val="16"/>
                <w:b w:val="1"/>
                <w:bCs w:val="1"/>
                <w:color w:val="auto"/>
                <w:w w:val="99"/>
              </w:rPr>
              <w:t>Less than 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ind w:right="219"/>
              <w:spacing w:after="0"/>
              <w:rPr>
                <w:sz w:val="20"/>
                <w:szCs w:val="20"/>
                <w:color w:val="auto"/>
              </w:rPr>
            </w:pPr>
            <w:r>
              <w:rPr>
                <w:rFonts w:ascii="Arial" w:cs="Arial" w:eastAsia="Arial" w:hAnsi="Arial"/>
                <w:sz w:val="16"/>
                <w:szCs w:val="16"/>
                <w:b w:val="1"/>
                <w:bCs w:val="1"/>
                <w:color w:val="auto"/>
              </w:rPr>
              <w:t>More than 5</w:t>
            </w:r>
          </w:p>
        </w:tc>
      </w:tr>
      <w:tr>
        <w:trPr>
          <w:trHeight w:val="210"/>
        </w:trPr>
        <w:tc>
          <w:tcPr>
            <w:tcW w:w="3540" w:type="dxa"/>
            <w:vAlign w:val="bottom"/>
          </w:tcPr>
          <w:p>
            <w:pPr>
              <w:ind w:left="40"/>
              <w:spacing w:after="0"/>
              <w:rPr>
                <w:sz w:val="20"/>
                <w:szCs w:val="20"/>
                <w:color w:val="auto"/>
              </w:rPr>
            </w:pPr>
            <w:r>
              <w:rPr>
                <w:rFonts w:ascii="Arial" w:cs="Arial" w:eastAsia="Arial" w:hAnsi="Arial"/>
                <w:sz w:val="16"/>
                <w:szCs w:val="16"/>
                <w:b w:val="1"/>
                <w:bCs w:val="1"/>
                <w:color w:val="auto"/>
              </w:rPr>
              <w:t>Contractual Obligations</w:t>
            </w:r>
          </w:p>
        </w:tc>
        <w:tc>
          <w:tcPr>
            <w:tcW w:w="340" w:type="dxa"/>
            <w:vAlign w:val="bottom"/>
          </w:tcPr>
          <w:p>
            <w:pPr>
              <w:spacing w:after="0"/>
              <w:rPr>
                <w:sz w:val="18"/>
                <w:szCs w:val="18"/>
                <w:color w:val="auto"/>
              </w:rPr>
            </w:pPr>
          </w:p>
        </w:tc>
        <w:tc>
          <w:tcPr>
            <w:tcW w:w="1280" w:type="dxa"/>
            <w:vAlign w:val="bottom"/>
            <w:gridSpan w:val="2"/>
          </w:tcPr>
          <w:p>
            <w:pPr>
              <w:ind w:left="240"/>
              <w:spacing w:after="0"/>
              <w:rPr>
                <w:sz w:val="20"/>
                <w:szCs w:val="20"/>
                <w:color w:val="auto"/>
              </w:rPr>
            </w:pPr>
            <w:r>
              <w:rPr>
                <w:rFonts w:ascii="Arial" w:cs="Arial" w:eastAsia="Arial" w:hAnsi="Arial"/>
                <w:sz w:val="16"/>
                <w:szCs w:val="16"/>
                <w:b w:val="1"/>
                <w:bCs w:val="1"/>
                <w:color w:val="auto"/>
              </w:rPr>
              <w:t>Total</w:t>
            </w:r>
          </w:p>
        </w:tc>
        <w:tc>
          <w:tcPr>
            <w:tcW w:w="240" w:type="dxa"/>
            <w:vAlign w:val="bottom"/>
          </w:tcPr>
          <w:p>
            <w:pPr>
              <w:spacing w:after="0"/>
              <w:rPr>
                <w:sz w:val="18"/>
                <w:szCs w:val="18"/>
                <w:color w:val="auto"/>
              </w:rPr>
            </w:pPr>
          </w:p>
        </w:tc>
        <w:tc>
          <w:tcPr>
            <w:tcW w:w="1260" w:type="dxa"/>
            <w:vAlign w:val="bottom"/>
          </w:tcPr>
          <w:p>
            <w:pPr>
              <w:jc w:val="right"/>
              <w:ind w:right="519"/>
              <w:spacing w:after="0"/>
              <w:rPr>
                <w:sz w:val="20"/>
                <w:szCs w:val="20"/>
                <w:color w:val="auto"/>
              </w:rPr>
            </w:pPr>
            <w:r>
              <w:rPr>
                <w:rFonts w:ascii="Arial" w:cs="Arial" w:eastAsia="Arial" w:hAnsi="Arial"/>
                <w:sz w:val="16"/>
                <w:szCs w:val="16"/>
                <w:b w:val="1"/>
                <w:bCs w:val="1"/>
                <w:color w:val="auto"/>
              </w:rPr>
              <w:t>year</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ind w:left="240"/>
              <w:spacing w:after="0"/>
              <w:rPr>
                <w:sz w:val="20"/>
                <w:szCs w:val="20"/>
                <w:color w:val="auto"/>
              </w:rPr>
            </w:pPr>
            <w:r>
              <w:rPr>
                <w:rFonts w:ascii="Arial" w:cs="Arial" w:eastAsia="Arial" w:hAnsi="Arial"/>
                <w:sz w:val="16"/>
                <w:szCs w:val="16"/>
                <w:b w:val="1"/>
                <w:bCs w:val="1"/>
                <w:color w:val="auto"/>
              </w:rPr>
              <w:t>1-3 years</w:t>
            </w:r>
          </w:p>
        </w:tc>
        <w:tc>
          <w:tcPr>
            <w:tcW w:w="260" w:type="dxa"/>
            <w:vAlign w:val="bottom"/>
          </w:tcPr>
          <w:p>
            <w:pPr>
              <w:spacing w:after="0"/>
              <w:rPr>
                <w:sz w:val="18"/>
                <w:szCs w:val="18"/>
                <w:color w:val="auto"/>
              </w:rPr>
            </w:pPr>
          </w:p>
        </w:tc>
        <w:tc>
          <w:tcPr>
            <w:tcW w:w="1300" w:type="dxa"/>
            <w:vAlign w:val="bottom"/>
            <w:gridSpan w:val="2"/>
          </w:tcPr>
          <w:p>
            <w:pPr>
              <w:ind w:left="160"/>
              <w:spacing w:after="0"/>
              <w:rPr>
                <w:sz w:val="20"/>
                <w:szCs w:val="20"/>
                <w:color w:val="auto"/>
              </w:rPr>
            </w:pPr>
            <w:r>
              <w:rPr>
                <w:rFonts w:ascii="Arial" w:cs="Arial" w:eastAsia="Arial" w:hAnsi="Arial"/>
                <w:sz w:val="16"/>
                <w:szCs w:val="16"/>
                <w:b w:val="1"/>
                <w:bCs w:val="1"/>
                <w:color w:val="auto"/>
              </w:rPr>
              <w:t>3-5 years</w:t>
            </w:r>
          </w:p>
        </w:tc>
        <w:tc>
          <w:tcPr>
            <w:tcW w:w="200" w:type="dxa"/>
            <w:vAlign w:val="bottom"/>
          </w:tcPr>
          <w:p>
            <w:pPr>
              <w:spacing w:after="0"/>
              <w:rPr>
                <w:sz w:val="18"/>
                <w:szCs w:val="18"/>
                <w:color w:val="auto"/>
              </w:rPr>
            </w:pPr>
          </w:p>
        </w:tc>
        <w:tc>
          <w:tcPr>
            <w:tcW w:w="1260" w:type="dxa"/>
            <w:vAlign w:val="bottom"/>
          </w:tcPr>
          <w:p>
            <w:pPr>
              <w:jc w:val="right"/>
              <w:ind w:right="459"/>
              <w:spacing w:after="0"/>
              <w:rPr>
                <w:sz w:val="20"/>
                <w:szCs w:val="20"/>
                <w:color w:val="auto"/>
              </w:rPr>
            </w:pPr>
            <w:r>
              <w:rPr>
                <w:rFonts w:ascii="Arial" w:cs="Arial" w:eastAsia="Arial" w:hAnsi="Arial"/>
                <w:sz w:val="16"/>
                <w:szCs w:val="16"/>
                <w:b w:val="1"/>
                <w:bCs w:val="1"/>
                <w:color w:val="auto"/>
              </w:rPr>
              <w:t>years</w:t>
            </w:r>
          </w:p>
        </w:tc>
      </w:tr>
      <w:tr>
        <w:trPr>
          <w:trHeight w:val="33"/>
        </w:trPr>
        <w:tc>
          <w:tcPr>
            <w:tcW w:w="35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Operating leases</w:t>
            </w:r>
          </w:p>
        </w:tc>
        <w:tc>
          <w:tcPr>
            <w:tcW w:w="340" w:type="dxa"/>
            <w:vAlign w:val="bottom"/>
            <w:tcBorders>
              <w:bottom w:val="single" w:sz="8" w:color="auto"/>
            </w:tcBorders>
            <w:shd w:val="clear" w:color="auto" w:fill="CCFFCC"/>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FFCC"/>
          </w:tcPr>
          <w:p>
            <w:pPr>
              <w:jc w:val="right"/>
              <w:ind w:right="39"/>
              <w:spacing w:after="0"/>
              <w:rPr>
                <w:sz w:val="20"/>
                <w:szCs w:val="20"/>
                <w:color w:val="auto"/>
              </w:rPr>
            </w:pPr>
            <w:r>
              <w:rPr>
                <w:rFonts w:ascii="Arial" w:cs="Arial" w:eastAsia="Arial" w:hAnsi="Arial"/>
                <w:sz w:val="16"/>
                <w:szCs w:val="16"/>
                <w:color w:val="auto"/>
              </w:rPr>
              <w:t>29,798</w:t>
            </w:r>
          </w:p>
        </w:tc>
        <w:tc>
          <w:tcPr>
            <w:tcW w:w="120" w:type="dxa"/>
            <w:vAlign w:val="bottom"/>
            <w:tcBorders>
              <w:bottom w:val="single" w:sz="8" w:color="CCFFCC"/>
            </w:tcBorders>
            <w:shd w:val="clear" w:color="auto" w:fill="CCFFCC"/>
          </w:tcPr>
          <w:p>
            <w:pPr>
              <w:spacing w:after="0"/>
              <w:rPr>
                <w:sz w:val="21"/>
                <w:szCs w:val="21"/>
                <w:color w:val="auto"/>
              </w:rPr>
            </w:pPr>
          </w:p>
        </w:tc>
        <w:tc>
          <w:tcPr>
            <w:tcW w:w="240" w:type="dxa"/>
            <w:vAlign w:val="bottom"/>
            <w:tcBorders>
              <w:bottom w:val="single" w:sz="8" w:color="auto"/>
            </w:tcBorders>
            <w:shd w:val="clear" w:color="auto" w:fill="CCFFCC"/>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FFCC"/>
          </w:tcPr>
          <w:p>
            <w:pPr>
              <w:jc w:val="right"/>
              <w:ind w:right="39"/>
              <w:spacing w:after="0"/>
              <w:rPr>
                <w:sz w:val="20"/>
                <w:szCs w:val="20"/>
                <w:color w:val="auto"/>
              </w:rPr>
            </w:pPr>
            <w:r>
              <w:rPr>
                <w:rFonts w:ascii="Arial" w:cs="Arial" w:eastAsia="Arial" w:hAnsi="Arial"/>
                <w:sz w:val="16"/>
                <w:szCs w:val="16"/>
                <w:color w:val="auto"/>
              </w:rPr>
              <w:t>8,163</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FFCC"/>
          </w:tcPr>
          <w:p>
            <w:pPr>
              <w:jc w:val="right"/>
              <w:ind w:right="41"/>
              <w:spacing w:after="0"/>
              <w:rPr>
                <w:sz w:val="20"/>
                <w:szCs w:val="20"/>
                <w:color w:val="auto"/>
              </w:rPr>
            </w:pPr>
            <w:r>
              <w:rPr>
                <w:rFonts w:ascii="Arial" w:cs="Arial" w:eastAsia="Arial" w:hAnsi="Arial"/>
                <w:sz w:val="16"/>
                <w:szCs w:val="16"/>
                <w:color w:val="auto"/>
              </w:rPr>
              <w:t>13,541</w:t>
            </w:r>
          </w:p>
        </w:tc>
        <w:tc>
          <w:tcPr>
            <w:tcW w:w="120" w:type="dxa"/>
            <w:vAlign w:val="bottom"/>
            <w:tcBorders>
              <w:bottom w:val="single" w:sz="8" w:color="CCFFCC"/>
            </w:tcBorders>
            <w:shd w:val="clear" w:color="auto" w:fill="CCFFCC"/>
          </w:tcPr>
          <w:p>
            <w:pPr>
              <w:spacing w:after="0"/>
              <w:rPr>
                <w:sz w:val="21"/>
                <w:szCs w:val="21"/>
                <w:color w:val="auto"/>
              </w:rPr>
            </w:pPr>
          </w:p>
        </w:tc>
        <w:tc>
          <w:tcPr>
            <w:tcW w:w="260" w:type="dxa"/>
            <w:vAlign w:val="bottom"/>
            <w:tcBorders>
              <w:bottom w:val="single" w:sz="8" w:color="auto"/>
            </w:tcBorders>
            <w:shd w:val="clear" w:color="auto" w:fill="CCFFCC"/>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FFCC"/>
          </w:tcPr>
          <w:p>
            <w:pPr>
              <w:jc w:val="right"/>
              <w:ind w:right="39"/>
              <w:spacing w:after="0"/>
              <w:rPr>
                <w:sz w:val="20"/>
                <w:szCs w:val="20"/>
                <w:color w:val="auto"/>
              </w:rPr>
            </w:pPr>
            <w:r>
              <w:rPr>
                <w:rFonts w:ascii="Arial" w:cs="Arial" w:eastAsia="Arial" w:hAnsi="Arial"/>
                <w:sz w:val="16"/>
                <w:szCs w:val="16"/>
                <w:color w:val="auto"/>
              </w:rPr>
              <w:t>4,923</w:t>
            </w:r>
          </w:p>
        </w:tc>
        <w:tc>
          <w:tcPr>
            <w:tcW w:w="10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auto"/>
            </w:tcBorders>
            <w:shd w:val="clear" w:color="auto" w:fill="CCFFCC"/>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FFCC"/>
          </w:tcPr>
          <w:p>
            <w:pPr>
              <w:jc w:val="right"/>
              <w:ind w:right="19"/>
              <w:spacing w:after="0"/>
              <w:rPr>
                <w:sz w:val="20"/>
                <w:szCs w:val="20"/>
                <w:color w:val="auto"/>
              </w:rPr>
            </w:pPr>
            <w:r>
              <w:rPr>
                <w:rFonts w:ascii="Arial" w:cs="Arial" w:eastAsia="Arial" w:hAnsi="Arial"/>
                <w:sz w:val="16"/>
                <w:szCs w:val="16"/>
                <w:color w:val="auto"/>
              </w:rPr>
              <w:t>3,171</w:t>
            </w:r>
          </w:p>
        </w:tc>
      </w:tr>
      <w:tr>
        <w:trPr>
          <w:trHeight w:val="20"/>
        </w:trPr>
        <w:tc>
          <w:tcPr>
            <w:tcW w:w="35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Total</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29,798</w:t>
            </w:r>
          </w:p>
        </w:tc>
        <w:tc>
          <w:tcPr>
            <w:tcW w:w="12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8,163</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13,541</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4,923</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3,171</w:t>
            </w:r>
          </w:p>
        </w:tc>
      </w:tr>
      <w:tr>
        <w:trPr>
          <w:trHeight w:val="20"/>
        </w:trPr>
        <w:tc>
          <w:tcPr>
            <w:tcW w:w="35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Risks</w:t>
      </w:r>
    </w:p>
    <w:p>
      <w:pPr>
        <w:spacing w:after="0" w:line="11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As a result of the expanded scope of our Israeli operations, our currency rate fluctuation risk associated with the exchange rate movement of the U.S. dollar against the New Israeli Shekel (“NIS”) has increased. During the three and nine months ended September 30, 2016, the U.S. dollar depreciated by approximately 2% as compared to the NIS. During the three and nine months ended September 30, 2016, expenses generated by our Israeli operations totaled approximately $14.4 million and $43.4 million, respectively. During 2016, we hedged this foreign currency risk exposure along with the hedging of the U.S dollar against the Euro, the British Pound (“GBP”), and the Australian Dollar (“AUD”). We actively monitor the movement of the U.S. dollar against the NIS, the British Pound, Euro, AUS dollar and Japanese Yen and have considered the use of financial instruments, including but not limited to derivative financial instruments, which could mitigate such risk. If we determine that our risk of exposure materially exceeds the potential cost of derivative financial instruments, we may continue to enter in to these types of investments. The functional currency of our wholly-owned Israeli subsidiaries, LivePerson Ltd. (formerly HumanClick Ltd.) and Kasamba Ltd., is the U.S. dollar; the functional currency of our operations in the United Kingdom is the British Pound; the functional currency of our operations in the Netherlands, Germany, Italy and France is the Euro; the functional currency of our operations in Australia is the Australian Dollar; and the functional currency of our operations in Japan is the Japanese Yen.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Collection Risk</w:t>
      </w:r>
    </w:p>
    <w:p>
      <w:pPr>
        <w:spacing w:after="0" w:line="11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accounts receivable are subject, in the normal course of business, to collection risks. We regularly assess these risks and have established policies and business practices to protect against the adverse effects of collection risks. During the nine months ended September 30, 2016, our allowance for doubtful accounts increased by $0.6 million to approximately $1.7 million primarily due to analysis of the accounts receivable aging. During 2015, we decreased our allowance for doubtful accounts from $1.3 million to approximately $1.2 million, principally due to an increase in write-offs compared to 2014. A larger proportion of receivables are due from larger corporate customers that typically have longer payment cycles. We base our allowance for doubtful accounts on specifically identified credit risks of customers, historical trends and other information that we believe to be reasonable. We adjust our allowance for doubtful accounts when accounts previously reserved have been collected.</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investments consist of cash and cash equivalents. Therefore, changes in the market’s interest rates do not affect in any material respect the value of the investments as recorded by us.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 Risk</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do not believe that inflation has had a material effect on our business, financial conditions or results of operations.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management, including the Chief Executive Officer and Chief Financial Officer, evaluated the effectiveness of our “disclosure controls and procedures,” as that term is defined in Rule 13a-15(e) promulgated under the Securities Exchange Act of 1934, as amended (the “Exchange Act”), as of September 30, 2016. Based on that evaluation, the Chief Executive Officer and</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584" w:right="239" w:bottom="1440" w:gutter="0" w:footer="0" w:header="0"/>
        </w:sectPr>
      </w:pPr>
    </w:p>
    <w:bookmarkStart w:id="38" w:name="page39"/>
    <w:bookmarkEnd w:id="38"/>
    <w:p>
      <w:pPr>
        <w:jc w:val="both"/>
        <w:spacing w:after="0" w:line="302" w:lineRule="auto"/>
        <w:rPr>
          <w:sz w:val="20"/>
          <w:szCs w:val="20"/>
          <w:color w:val="auto"/>
        </w:rPr>
      </w:pPr>
      <w:r>
        <w:rPr>
          <w:rFonts w:ascii="Arial" w:cs="Arial" w:eastAsia="Arial" w:hAnsi="Arial"/>
          <w:sz w:val="16"/>
          <w:szCs w:val="16"/>
          <w:color w:val="auto"/>
        </w:rPr>
        <w:t>Chief Financial Officer concluded that our disclosure controls and procedures were effective as of September 30, 2016 to ensure that the information we are required to disclose in the reports that we file or submit under the Exchange Act is recorded, processed, summarized and reported, within the time periods specified in the Securities and Exchange Commission’s rules and forms, and to ensure that such information is accumulated and communicated to our management, including the Chief Executive Officer and Chief Financial Officer, as appropriate to allow timely decisions regarding required disclosure.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There were no changes in our internal control over financial reporting during the quarter ended September 30, 2016 identified in connection with the evaluation thereof by our management, including the Chief Executive Officer and Chief Financial Officer, that have materially affected, or are reasonably likely to materially affect, our internal control over financial reporting.</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of the Effectiveness of Internal Control</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 control system, no matter how well conceived and operated, can only provide reasonable, not absolute, assurance that the objectives of the internal control system are met. Because of the inherent limitations of any internal control system, no evaluation of controls can provide absolute assurance that all control issues, if any, have been detected.</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filed an intellectual property suit against [24]7 Customer, Inc. in the Southern District of New York on March 6, 2014 seeking damages on the grounds that [24]7 reverse engineered and misappropriated our technology to develop competing products and misused our business information. Discovery in the New York case is in process. On June 22, 2015, [24]7 Customer, Inc. filed suit against us in the Northern District of California alleging patent infringement. On December 7, 2015, [24]7 Customer Inc. filed a second patent infringement suit against us, also in the Northern District of California. On January 5, 2016, the two California cases were consolidated for all pre-trial purposes. We believe the claims filed by [24]7 Customer Inc. are without merit and intend to defend them vigorously.</w:t>
      </w:r>
    </w:p>
    <w:p>
      <w:pPr>
        <w:spacing w:after="0" w:line="1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routinely assess all of our litigation and threatened litigation as to the probability of ultimately incurring a liability, and record our best estimate of the ultimate loss in situations where we assess the likelihood of loss as probable.</w:t>
      </w:r>
    </w:p>
    <w:p>
      <w:pPr>
        <w:spacing w:after="0" w:line="17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From time to time, we are involved in or subject to legal, administrative and regulatory proceedings, claims, demands and investigations arising in the ordinary course of business, including direct claims brought by or against us with respect to intellectual property, contracts, employment and other matters, as well as claims brought against our customers for whom we have a contractual indemnification obligation. We accrue for a liability when it is both probable that a liability has been incurred and the amount of the loss can be reasonably estimated. Significant judgment is required in both the determination of probability and the determination as to whether a loss is reasonably estimable. In addition, in the event we determine that a loss is not probable, but is reasonably possible, and it becomes possible to develop what we believe to be a reasonable range of possible loss, then we will include disclosure related to such matter as appropriate and in compliance with ASC 450. The accruals or estimates, if any, resulting from the foregoing analysis, are reviewed at least quarterly and adjusted to reflect the impact of negotiations, settlements, rulings, advice of legal counsel and other information and events pertaining to a particular matter. To the extent there is a reasonable possibility that the losses could exceed the amounts already accrued, we will, as applicable, adjust the accrual in the period the determination is made, disclose an estimate of the additional loss or range of loss, indicate that the estimate is immaterial with respect to our financial statements as a whole or, if the amount of such adjustment cannot be reasonably estimated, disclose that an estimate cannot be made.</w:t>
      </w:r>
    </w:p>
    <w:p>
      <w:pPr>
        <w:spacing w:after="0" w:line="17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From time to time, third parties assert claims against us regarding intellectual property rights, privacy issues and other matters arising in the ordinary course of business. Although we cannot be certain of the outcome of any litigation or the disposition of any claims, nor the amount of damages and exposure, if any, that we could incur, we currently believe that the final disposition of all existing matters will not have a material adverse effect on our business, results of operations, financial condition or cash flows. In addition, in the ordinary course of our business, we are also subject to periodic threats of lawsuits, investigations and claims. Regardless of the outcome, litigation can have an adverse impact on us because of defense and settlement costs, diversion of management resources and other factors.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584"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operations and financial results are subject to various risks and uncertainties, including those described in Part I, Item 1A. “Risk Factors” in our Annual Report on Form 10-K for the year ended December 31, 2015, filed on March 15, 2016, which could adversely affect our business, financial condition, results of operations, cash flows, and the trading price of our common stock.</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supplementing those risk factors by adding the risk factor set forth below.</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Economic conditions and regulatory changes caused by the United Kingdom’s likely exit from the European Union could negatively impact our business.</w:t>
      </w:r>
    </w:p>
    <w:p>
      <w:pPr>
        <w:spacing w:after="0" w:line="26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United Kingdom (“U.K.”) held a referendum on June 23, 2016 on its membership in the European Union (“E.U.”), in which a majority of U.K. voters voted to exit the E.U. (commonly referred to as “Brexit”). The referendum was advisory, and the terms of any withdrawal are subject to a negotiation period that could last at least two years after the government of the U.K. formally initiates a withdrawal process. These negotiations will determine the future terms of the U.K.’s relationship with the E.U., including the terms of trade between the U.K. and the E.U.</w:t>
      </w:r>
    </w:p>
    <w:p>
      <w:pPr>
        <w:spacing w:after="0" w:line="17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announcement of Brexit has resulted in significant volatility in global stock market and currency exchange rate fluctuations that resulted in strengthening of the U.S. dollar relative to other foreign currencies in which we conduct business. The announcement of Brexit and likely withdrawal of the U.K. from the E.U. has also created global economic uncertainty, which may cause our customers to closely monitor their costs and reduce their spending budgets. This could negatively impact our business, including affecting our relationships with our existing and future customers, suppliers and employees, which could have a negative impact on our business, prospects, results of operations, financial condition and cash flows.</w:t>
      </w:r>
    </w:p>
    <w:p>
      <w:pPr>
        <w:spacing w:after="0" w:line="17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effects of Brexit will depend on any agreements the U.K. makes to retain access to E.U. markets either during a transitional period or more permanently. The measures could potentially disrupt the markets we serve and the tax jurisdictions in which we operate and adversely change tax benefits or liabilities in these or other jurisdictions, and may cause us to lose customers, suppliers and/or employees. In addition, Brexit could lead to legal uncertainty and potentially divergent national laws and regulations as the U.K. determines which E.U. laws to replace or replicate. Any of these effects of Brexit, among others, could negatively impact our business, prospects, results of operations, financial condition and cash flows.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Except as otherwise described herein, there were no material changes to the risk factors previously disclosed in our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Unregistered Sales of Equity Securities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of Equity Securities by the Issuer</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our repurchase activity for the three months ended September 30, 2016 appears below:</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Total Number of</w:t>
            </w:r>
          </w:p>
        </w:tc>
        <w:tc>
          <w:tcPr>
            <w:tcW w:w="280" w:type="dxa"/>
            <w:vAlign w:val="bottom"/>
          </w:tcPr>
          <w:p>
            <w:pPr>
              <w:spacing w:after="0"/>
              <w:rPr>
                <w:sz w:val="14"/>
                <w:szCs w:val="14"/>
                <w:color w:val="auto"/>
              </w:rPr>
            </w:pPr>
          </w:p>
        </w:tc>
        <w:tc>
          <w:tcPr>
            <w:tcW w:w="1880" w:type="dxa"/>
            <w:vAlign w:val="bottom"/>
          </w:tcPr>
          <w:p>
            <w:pPr>
              <w:jc w:val="center"/>
              <w:ind w:right="200"/>
              <w:spacing w:after="0"/>
              <w:rPr>
                <w:sz w:val="20"/>
                <w:szCs w:val="20"/>
                <w:color w:val="auto"/>
              </w:rPr>
            </w:pPr>
            <w:r>
              <w:rPr>
                <w:rFonts w:ascii="Arial" w:cs="Arial" w:eastAsia="Arial" w:hAnsi="Arial"/>
                <w:sz w:val="14"/>
                <w:szCs w:val="14"/>
                <w:b w:val="1"/>
                <w:bCs w:val="1"/>
                <w:color w:val="auto"/>
                <w:w w:val="95"/>
              </w:rPr>
              <w:t>Approximate Dollar</w:t>
            </w: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6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880" w:type="dxa"/>
            <w:vAlign w:val="bottom"/>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Value of Shares that</w:t>
            </w: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Shares Purchased</w:t>
            </w:r>
          </w:p>
        </w:tc>
        <w:tc>
          <w:tcPr>
            <w:tcW w:w="280" w:type="dxa"/>
            <w:vAlign w:val="bottom"/>
          </w:tcPr>
          <w:p>
            <w:pPr>
              <w:spacing w:after="0"/>
              <w:rPr>
                <w:sz w:val="12"/>
                <w:szCs w:val="12"/>
                <w:color w:val="auto"/>
              </w:rPr>
            </w:pPr>
          </w:p>
        </w:tc>
        <w:tc>
          <w:tcPr>
            <w:tcW w:w="1880" w:type="dxa"/>
            <w:vAlign w:val="bottom"/>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May Yet Be</w:t>
            </w: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Total Number of</w:t>
            </w:r>
          </w:p>
        </w:tc>
        <w:tc>
          <w:tcPr>
            <w:tcW w:w="240" w:type="dxa"/>
            <w:vAlign w:val="bottom"/>
          </w:tcPr>
          <w:p>
            <w:pPr>
              <w:spacing w:after="0"/>
              <w:rPr>
                <w:sz w:val="12"/>
                <w:szCs w:val="12"/>
                <w:color w:val="auto"/>
              </w:rPr>
            </w:pPr>
          </w:p>
        </w:tc>
        <w:tc>
          <w:tcPr>
            <w:tcW w:w="20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1"/>
              </w:rPr>
              <w:t>Average Price Paid per</w:t>
            </w:r>
          </w:p>
        </w:tc>
        <w:tc>
          <w:tcPr>
            <w:tcW w:w="22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as Part of Publicly</w:t>
            </w:r>
          </w:p>
        </w:tc>
        <w:tc>
          <w:tcPr>
            <w:tcW w:w="280" w:type="dxa"/>
            <w:vAlign w:val="bottom"/>
          </w:tcPr>
          <w:p>
            <w:pPr>
              <w:spacing w:after="0"/>
              <w:rPr>
                <w:sz w:val="12"/>
                <w:szCs w:val="12"/>
                <w:color w:val="auto"/>
              </w:rPr>
            </w:pPr>
          </w:p>
        </w:tc>
        <w:tc>
          <w:tcPr>
            <w:tcW w:w="1880" w:type="dxa"/>
            <w:vAlign w:val="bottom"/>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Purchased Under</w:t>
            </w:r>
          </w:p>
        </w:tc>
        <w:tc>
          <w:tcPr>
            <w:tcW w:w="0" w:type="dxa"/>
            <w:vAlign w:val="bottom"/>
          </w:tcPr>
          <w:p>
            <w:pPr>
              <w:spacing w:after="0"/>
              <w:rPr>
                <w:sz w:val="1"/>
                <w:szCs w:val="1"/>
                <w:color w:val="auto"/>
              </w:rPr>
            </w:pPr>
          </w:p>
        </w:tc>
      </w:tr>
      <w:tr>
        <w:trPr>
          <w:trHeight w:val="149"/>
        </w:trPr>
        <w:tc>
          <w:tcPr>
            <w:tcW w:w="2420" w:type="dxa"/>
            <w:vAlign w:val="bottom"/>
            <w:gridSpan w:val="2"/>
            <w:vMerge w:val="restart"/>
          </w:tcPr>
          <w:p>
            <w:pPr>
              <w:ind w:left="960"/>
              <w:spacing w:after="0"/>
              <w:rPr>
                <w:sz w:val="20"/>
                <w:szCs w:val="20"/>
                <w:color w:val="auto"/>
              </w:rPr>
            </w:pPr>
            <w:r>
              <w:rPr>
                <w:rFonts w:ascii="Arial" w:cs="Arial" w:eastAsia="Arial" w:hAnsi="Arial"/>
                <w:sz w:val="14"/>
                <w:szCs w:val="14"/>
                <w:b w:val="1"/>
                <w:bCs w:val="1"/>
                <w:color w:val="auto"/>
              </w:rPr>
              <w:t>Period</w:t>
            </w:r>
          </w:p>
        </w:tc>
        <w:tc>
          <w:tcPr>
            <w:tcW w:w="23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2040" w:type="dxa"/>
            <w:vAlign w:val="bottom"/>
            <w:gridSpan w:val="2"/>
            <w:vMerge w:val="continue"/>
          </w:tcPr>
          <w:p>
            <w:pPr>
              <w:spacing w:after="0"/>
              <w:rPr>
                <w:sz w:val="12"/>
                <w:szCs w:val="12"/>
                <w:color w:val="auto"/>
              </w:rPr>
            </w:pPr>
          </w:p>
        </w:tc>
        <w:tc>
          <w:tcPr>
            <w:tcW w:w="22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Announced Plans or</w:t>
            </w:r>
          </w:p>
        </w:tc>
        <w:tc>
          <w:tcPr>
            <w:tcW w:w="280" w:type="dxa"/>
            <w:vAlign w:val="bottom"/>
          </w:tcPr>
          <w:p>
            <w:pPr>
              <w:spacing w:after="0"/>
              <w:rPr>
                <w:sz w:val="12"/>
                <w:szCs w:val="12"/>
                <w:color w:val="auto"/>
              </w:rPr>
            </w:pPr>
          </w:p>
        </w:tc>
        <w:tc>
          <w:tcPr>
            <w:tcW w:w="1880" w:type="dxa"/>
            <w:vAlign w:val="bottom"/>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the Plans or</w:t>
            </w:r>
          </w:p>
        </w:tc>
        <w:tc>
          <w:tcPr>
            <w:tcW w:w="0" w:type="dxa"/>
            <w:vAlign w:val="bottom"/>
          </w:tcPr>
          <w:p>
            <w:pPr>
              <w:spacing w:after="0"/>
              <w:rPr>
                <w:sz w:val="1"/>
                <w:szCs w:val="1"/>
                <w:color w:val="auto"/>
              </w:rPr>
            </w:pPr>
          </w:p>
        </w:tc>
      </w:tr>
      <w:tr>
        <w:trPr>
          <w:trHeight w:val="192"/>
        </w:trPr>
        <w:tc>
          <w:tcPr>
            <w:tcW w:w="2420" w:type="dxa"/>
            <w:vAlign w:val="bottom"/>
            <w:gridSpan w:val="2"/>
            <w:vMerge w:val="continue"/>
          </w:tcPr>
          <w:p>
            <w:pPr>
              <w:spacing w:after="0"/>
              <w:rPr>
                <w:sz w:val="16"/>
                <w:szCs w:val="16"/>
                <w:color w:val="auto"/>
              </w:rPr>
            </w:pPr>
          </w:p>
        </w:tc>
        <w:tc>
          <w:tcPr>
            <w:tcW w:w="23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 xml:space="preserve">Shares Purchased </w:t>
            </w:r>
            <w:r>
              <w:rPr>
                <w:rFonts w:ascii="Arial" w:cs="Arial" w:eastAsia="Arial" w:hAnsi="Arial"/>
                <w:sz w:val="8"/>
                <w:szCs w:val="8"/>
                <w:b w:val="1"/>
                <w:bCs w:val="1"/>
                <w:color w:val="auto"/>
                <w:w w:val="91"/>
              </w:rPr>
              <w:t>(1) (2)</w:t>
            </w:r>
          </w:p>
        </w:tc>
        <w:tc>
          <w:tcPr>
            <w:tcW w:w="240" w:type="dxa"/>
            <w:vAlign w:val="bottom"/>
          </w:tcPr>
          <w:p>
            <w:pPr>
              <w:spacing w:after="0"/>
              <w:rPr>
                <w:sz w:val="16"/>
                <w:szCs w:val="16"/>
                <w:color w:val="auto"/>
              </w:rPr>
            </w:pPr>
          </w:p>
        </w:tc>
        <w:tc>
          <w:tcPr>
            <w:tcW w:w="20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9"/>
              </w:rPr>
              <w:t xml:space="preserve">Share </w:t>
            </w:r>
            <w:r>
              <w:rPr>
                <w:rFonts w:ascii="Arial" w:cs="Arial" w:eastAsia="Arial" w:hAnsi="Arial"/>
                <w:sz w:val="8"/>
                <w:szCs w:val="8"/>
                <w:b w:val="1"/>
                <w:bCs w:val="1"/>
                <w:color w:val="auto"/>
                <w:w w:val="99"/>
              </w:rPr>
              <w:t>(1) (2)</w:t>
            </w:r>
          </w:p>
        </w:tc>
        <w:tc>
          <w:tcPr>
            <w:tcW w:w="2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 xml:space="preserve">Programs </w:t>
            </w:r>
            <w:r>
              <w:rPr>
                <w:rFonts w:ascii="Arial" w:cs="Arial" w:eastAsia="Arial" w:hAnsi="Arial"/>
                <w:sz w:val="8"/>
                <w:szCs w:val="8"/>
                <w:b w:val="1"/>
                <w:bCs w:val="1"/>
                <w:color w:val="auto"/>
                <w:w w:val="94"/>
              </w:rPr>
              <w:t>(1) (2)</w:t>
            </w:r>
          </w:p>
        </w:tc>
        <w:tc>
          <w:tcPr>
            <w:tcW w:w="280" w:type="dxa"/>
            <w:vAlign w:val="bottom"/>
          </w:tcPr>
          <w:p>
            <w:pPr>
              <w:spacing w:after="0"/>
              <w:rPr>
                <w:sz w:val="16"/>
                <w:szCs w:val="16"/>
                <w:color w:val="auto"/>
              </w:rPr>
            </w:pPr>
          </w:p>
        </w:tc>
        <w:tc>
          <w:tcPr>
            <w:tcW w:w="1880" w:type="dxa"/>
            <w:vAlign w:val="bottom"/>
          </w:tcPr>
          <w:p>
            <w:pPr>
              <w:jc w:val="center"/>
              <w:ind w:right="160"/>
              <w:spacing w:after="0"/>
              <w:rPr>
                <w:sz w:val="20"/>
                <w:szCs w:val="20"/>
                <w:color w:val="auto"/>
              </w:rPr>
            </w:pPr>
            <w:r>
              <w:rPr>
                <w:rFonts w:ascii="Arial" w:cs="Arial" w:eastAsia="Arial" w:hAnsi="Arial"/>
                <w:sz w:val="14"/>
                <w:szCs w:val="14"/>
                <w:b w:val="1"/>
                <w:bCs w:val="1"/>
                <w:color w:val="auto"/>
                <w:w w:val="97"/>
              </w:rPr>
              <w:t xml:space="preserve">Programs </w:t>
            </w:r>
            <w:r>
              <w:rPr>
                <w:rFonts w:ascii="Arial" w:cs="Arial" w:eastAsia="Arial" w:hAnsi="Arial"/>
                <w:sz w:val="8"/>
                <w:szCs w:val="8"/>
                <w:b w:val="1"/>
                <w:bCs w:val="1"/>
                <w:color w:val="auto"/>
                <w:w w:val="97"/>
              </w:rPr>
              <w:t>(1) (2) (3)</w:t>
            </w:r>
          </w:p>
        </w:tc>
        <w:tc>
          <w:tcPr>
            <w:tcW w:w="0" w:type="dxa"/>
            <w:vAlign w:val="bottom"/>
          </w:tcPr>
          <w:p>
            <w:pPr>
              <w:spacing w:after="0"/>
              <w:rPr>
                <w:sz w:val="1"/>
                <w:szCs w:val="1"/>
                <w:color w:val="auto"/>
              </w:rPr>
            </w:pPr>
          </w:p>
        </w:tc>
      </w:tr>
      <w:tr>
        <w:trPr>
          <w:trHeight w:val="250"/>
        </w:trPr>
        <w:tc>
          <w:tcPr>
            <w:tcW w:w="2300" w:type="dxa"/>
            <w:vAlign w:val="bottom"/>
            <w:tcBorders>
              <w:top w:val="single" w:sz="8" w:color="auto"/>
              <w:bottom w:val="single" w:sz="8" w:color="CCFFCC"/>
            </w:tcBorders>
            <w:shd w:val="clear" w:color="auto" w:fill="CCFFCC"/>
          </w:tcPr>
          <w:p>
            <w:pPr>
              <w:spacing w:after="0"/>
              <w:rPr>
                <w:sz w:val="21"/>
                <w:szCs w:val="21"/>
                <w:color w:val="auto"/>
              </w:rPr>
            </w:pP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2200" w:type="dxa"/>
            <w:vAlign w:val="bottom"/>
            <w:tcBorders>
              <w:top w:val="single" w:sz="8" w:color="auto"/>
              <w:bottom w:val="single" w:sz="8" w:color="CCFFCC"/>
            </w:tcBorders>
            <w:shd w:val="clear" w:color="auto" w:fill="CCFFCC"/>
          </w:tcPr>
          <w:p>
            <w:pPr>
              <w:spacing w:after="0"/>
              <w:rPr>
                <w:sz w:val="21"/>
                <w:szCs w:val="21"/>
                <w:color w:val="auto"/>
              </w:rPr>
            </w:pPr>
          </w:p>
        </w:tc>
        <w:tc>
          <w:tcPr>
            <w:tcW w:w="100" w:type="dxa"/>
            <w:vAlign w:val="bottom"/>
            <w:tcBorders>
              <w:top w:val="single" w:sz="8" w:color="CCFFCC"/>
              <w:bottom w:val="single" w:sz="8" w:color="CCFFCC"/>
            </w:tcBorders>
            <w:shd w:val="clear" w:color="auto" w:fill="CCFFCC"/>
          </w:tcPr>
          <w:p>
            <w:pPr>
              <w:spacing w:after="0"/>
              <w:rPr>
                <w:sz w:val="21"/>
                <w:szCs w:val="21"/>
                <w:color w:val="auto"/>
              </w:rPr>
            </w:pPr>
          </w:p>
        </w:tc>
        <w:tc>
          <w:tcPr>
            <w:tcW w:w="240" w:type="dxa"/>
            <w:vAlign w:val="bottom"/>
            <w:tcBorders>
              <w:top w:val="single" w:sz="8" w:color="auto"/>
              <w:bottom w:val="single" w:sz="8" w:color="CCFFCC"/>
            </w:tcBorders>
            <w:shd w:val="clear" w:color="auto" w:fill="CCFFCC"/>
          </w:tcPr>
          <w:p>
            <w:pPr>
              <w:spacing w:after="0"/>
              <w:rPr>
                <w:sz w:val="21"/>
                <w:szCs w:val="21"/>
                <w:color w:val="auto"/>
              </w:rPr>
            </w:pPr>
          </w:p>
        </w:tc>
        <w:tc>
          <w:tcPr>
            <w:tcW w:w="1920" w:type="dxa"/>
            <w:vAlign w:val="bottom"/>
            <w:tcBorders>
              <w:top w:val="single" w:sz="8" w:color="auto"/>
              <w:bottom w:val="single" w:sz="8" w:color="CCFFCC"/>
            </w:tcBorders>
            <w:shd w:val="clear" w:color="auto" w:fill="CCFFCC"/>
          </w:tcPr>
          <w:p>
            <w:pPr>
              <w:spacing w:after="0"/>
              <w:rPr>
                <w:sz w:val="21"/>
                <w:szCs w:val="21"/>
                <w:color w:val="auto"/>
              </w:rPr>
            </w:pP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2160" w:type="dxa"/>
            <w:vAlign w:val="bottom"/>
            <w:tcBorders>
              <w:top w:val="single" w:sz="8" w:color="auto"/>
              <w:bottom w:val="single" w:sz="8" w:color="CCFFCC"/>
            </w:tcBorders>
            <w:shd w:val="clear" w:color="auto" w:fill="CCFFCC"/>
          </w:tcPr>
          <w:p>
            <w:pPr>
              <w:spacing w:after="0"/>
              <w:rPr>
                <w:sz w:val="21"/>
                <w:szCs w:val="21"/>
                <w:color w:val="auto"/>
              </w:rPr>
            </w:pPr>
          </w:p>
        </w:tc>
        <w:tc>
          <w:tcPr>
            <w:tcW w:w="100" w:type="dxa"/>
            <w:vAlign w:val="bottom"/>
            <w:tcBorders>
              <w:top w:val="single" w:sz="8" w:color="CCFFCC"/>
              <w:bottom w:val="single" w:sz="8" w:color="CCFFCC"/>
            </w:tcBorders>
            <w:shd w:val="clear" w:color="auto" w:fill="CCFFCC"/>
          </w:tcPr>
          <w:p>
            <w:pPr>
              <w:spacing w:after="0"/>
              <w:rPr>
                <w:sz w:val="21"/>
                <w:szCs w:val="21"/>
                <w:color w:val="auto"/>
              </w:rPr>
            </w:pPr>
          </w:p>
        </w:tc>
        <w:tc>
          <w:tcPr>
            <w:tcW w:w="280" w:type="dxa"/>
            <w:vAlign w:val="bottom"/>
            <w:tcBorders>
              <w:top w:val="single" w:sz="8" w:color="auto"/>
              <w:bottom w:val="single" w:sz="8" w:color="CCFFCC"/>
            </w:tcBorders>
            <w:shd w:val="clear" w:color="auto" w:fill="CCFFCC"/>
          </w:tcPr>
          <w:p>
            <w:pPr>
              <w:jc w:val="right"/>
              <w:ind w:right="70"/>
              <w:spacing w:after="0"/>
              <w:rPr>
                <w:sz w:val="20"/>
                <w:szCs w:val="20"/>
                <w:color w:val="auto"/>
              </w:rPr>
            </w:pPr>
            <w:r>
              <w:rPr>
                <w:rFonts w:ascii="Arial" w:cs="Arial" w:eastAsia="Arial" w:hAnsi="Arial"/>
                <w:sz w:val="18"/>
                <w:szCs w:val="18"/>
                <w:color w:val="auto"/>
                <w:w w:val="99"/>
              </w:rPr>
              <w:t>$</w:t>
            </w:r>
          </w:p>
        </w:tc>
        <w:tc>
          <w:tcPr>
            <w:tcW w:w="1880" w:type="dxa"/>
            <w:vAlign w:val="bottom"/>
            <w:tcBorders>
              <w:top w:val="single" w:sz="8" w:color="auto"/>
              <w:bottom w:val="single" w:sz="8" w:color="CCFFCC"/>
            </w:tcBorders>
            <w:shd w:val="clear" w:color="auto" w:fill="CCFFCC"/>
          </w:tcPr>
          <w:p>
            <w:pPr>
              <w:jc w:val="right"/>
              <w:ind w:right="20"/>
              <w:spacing w:after="0"/>
              <w:rPr>
                <w:sz w:val="20"/>
                <w:szCs w:val="20"/>
                <w:color w:val="auto"/>
              </w:rPr>
            </w:pPr>
            <w:r>
              <w:rPr>
                <w:rFonts w:ascii="Arial" w:cs="Arial" w:eastAsia="Arial" w:hAnsi="Arial"/>
                <w:sz w:val="18"/>
                <w:szCs w:val="18"/>
                <w:color w:val="auto"/>
              </w:rPr>
              <w:t>15,531,870</w:t>
            </w:r>
          </w:p>
        </w:tc>
        <w:tc>
          <w:tcPr>
            <w:tcW w:w="0" w:type="dxa"/>
            <w:vAlign w:val="bottom"/>
          </w:tcPr>
          <w:p>
            <w:pPr>
              <w:spacing w:after="0"/>
              <w:rPr>
                <w:sz w:val="1"/>
                <w:szCs w:val="1"/>
                <w:color w:val="auto"/>
              </w:rPr>
            </w:pPr>
          </w:p>
        </w:tc>
      </w:tr>
      <w:tr>
        <w:trPr>
          <w:trHeight w:val="243"/>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7/1/2016 – 7/31/2016</w:t>
            </w:r>
          </w:p>
        </w:tc>
        <w:tc>
          <w:tcPr>
            <w:tcW w:w="2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2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880" w:type="dxa"/>
            <w:vAlign w:val="bottom"/>
          </w:tcPr>
          <w:p>
            <w:pPr>
              <w:jc w:val="right"/>
              <w:ind w:right="20"/>
              <w:spacing w:after="0"/>
              <w:rPr>
                <w:sz w:val="20"/>
                <w:szCs w:val="20"/>
                <w:color w:val="auto"/>
              </w:rPr>
            </w:pPr>
            <w:r>
              <w:rPr>
                <w:rFonts w:ascii="Arial" w:cs="Arial" w:eastAsia="Arial" w:hAnsi="Arial"/>
                <w:sz w:val="18"/>
                <w:szCs w:val="18"/>
                <w:color w:val="auto"/>
              </w:rPr>
              <w:t>15,531,870</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FFCC"/>
            </w:tcBorders>
            <w:gridSpan w:val="2"/>
            <w:shd w:val="clear" w:color="auto" w:fill="CCFFCC"/>
          </w:tcPr>
          <w:p>
            <w:pPr>
              <w:ind w:left="40"/>
              <w:spacing w:after="0"/>
              <w:rPr>
                <w:sz w:val="20"/>
                <w:szCs w:val="20"/>
                <w:color w:val="auto"/>
              </w:rPr>
            </w:pPr>
            <w:r>
              <w:rPr>
                <w:rFonts w:ascii="Arial" w:cs="Arial" w:eastAsia="Arial" w:hAnsi="Arial"/>
                <w:sz w:val="18"/>
                <w:szCs w:val="18"/>
                <w:color w:val="auto"/>
              </w:rPr>
              <w:t>8/1/2016 – 8/31/2016</w:t>
            </w:r>
          </w:p>
        </w:tc>
        <w:tc>
          <w:tcPr>
            <w:tcW w:w="2200" w:type="dxa"/>
            <w:vAlign w:val="bottom"/>
            <w:tcBorders>
              <w:bottom w:val="single" w:sz="8" w:color="CCFFCC"/>
            </w:tcBorders>
            <w:shd w:val="clear" w:color="auto" w:fill="CCFFCC"/>
          </w:tcPr>
          <w:p>
            <w:pPr>
              <w:jc w:val="right"/>
              <w:ind w:right="36"/>
              <w:spacing w:after="0"/>
              <w:rPr>
                <w:sz w:val="20"/>
                <w:szCs w:val="20"/>
                <w:color w:val="auto"/>
              </w:rPr>
            </w:pPr>
            <w:r>
              <w:rPr>
                <w:rFonts w:ascii="Arial" w:cs="Arial" w:eastAsia="Arial" w:hAnsi="Arial"/>
                <w:sz w:val="18"/>
                <w:szCs w:val="18"/>
                <w:color w:val="auto"/>
              </w:rPr>
              <w:t>189,576</w:t>
            </w:r>
          </w:p>
        </w:tc>
        <w:tc>
          <w:tcPr>
            <w:tcW w:w="100" w:type="dxa"/>
            <w:vAlign w:val="bottom"/>
            <w:tcBorders>
              <w:bottom w:val="single" w:sz="8" w:color="CCFFCC"/>
            </w:tcBorders>
            <w:shd w:val="clear" w:color="auto" w:fill="CCFFCC"/>
          </w:tcPr>
          <w:p>
            <w:pPr>
              <w:spacing w:after="0"/>
              <w:rPr>
                <w:sz w:val="21"/>
                <w:szCs w:val="21"/>
                <w:color w:val="auto"/>
              </w:rPr>
            </w:pPr>
          </w:p>
        </w:tc>
        <w:tc>
          <w:tcPr>
            <w:tcW w:w="240" w:type="dxa"/>
            <w:vAlign w:val="bottom"/>
            <w:tcBorders>
              <w:bottom w:val="single" w:sz="8" w:color="CCFFCC"/>
            </w:tcBorders>
            <w:shd w:val="clear" w:color="auto" w:fill="CCFFCC"/>
          </w:tcPr>
          <w:p>
            <w:pPr>
              <w:spacing w:after="0"/>
              <w:rPr>
                <w:sz w:val="21"/>
                <w:szCs w:val="21"/>
                <w:color w:val="auto"/>
              </w:rPr>
            </w:pPr>
          </w:p>
        </w:tc>
        <w:tc>
          <w:tcPr>
            <w:tcW w:w="1920" w:type="dxa"/>
            <w:vAlign w:val="bottom"/>
            <w:tcBorders>
              <w:bottom w:val="single" w:sz="8" w:color="CCFFCC"/>
            </w:tcBorders>
            <w:shd w:val="clear" w:color="auto" w:fill="CCFFCC"/>
          </w:tcPr>
          <w:p>
            <w:pPr>
              <w:jc w:val="right"/>
              <w:ind w:right="16"/>
              <w:spacing w:after="0"/>
              <w:rPr>
                <w:sz w:val="20"/>
                <w:szCs w:val="20"/>
                <w:color w:val="auto"/>
              </w:rPr>
            </w:pPr>
            <w:r>
              <w:rPr>
                <w:rFonts w:ascii="Arial" w:cs="Arial" w:eastAsia="Arial" w:hAnsi="Arial"/>
                <w:sz w:val="18"/>
                <w:szCs w:val="18"/>
                <w:color w:val="auto"/>
              </w:rPr>
              <w:t>6.34</w:t>
            </w:r>
          </w:p>
        </w:tc>
        <w:tc>
          <w:tcPr>
            <w:tcW w:w="120" w:type="dxa"/>
            <w:vAlign w:val="bottom"/>
            <w:tcBorders>
              <w:bottom w:val="single" w:sz="8" w:color="CCFFCC"/>
            </w:tcBorders>
            <w:shd w:val="clear" w:color="auto" w:fill="CCFFCC"/>
          </w:tcPr>
          <w:p>
            <w:pPr>
              <w:spacing w:after="0"/>
              <w:rPr>
                <w:sz w:val="21"/>
                <w:szCs w:val="21"/>
                <w:color w:val="auto"/>
              </w:rPr>
            </w:pPr>
          </w:p>
        </w:tc>
        <w:tc>
          <w:tcPr>
            <w:tcW w:w="216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8"/>
                <w:szCs w:val="18"/>
                <w:color w:val="auto"/>
              </w:rPr>
              <w:t>189,576</w:t>
            </w:r>
          </w:p>
        </w:tc>
        <w:tc>
          <w:tcPr>
            <w:tcW w:w="100" w:type="dxa"/>
            <w:vAlign w:val="bottom"/>
            <w:tcBorders>
              <w:bottom w:val="single" w:sz="8" w:color="CCFFCC"/>
            </w:tcBorders>
            <w:shd w:val="clear" w:color="auto" w:fill="CCFFCC"/>
          </w:tcPr>
          <w:p>
            <w:pPr>
              <w:spacing w:after="0"/>
              <w:rPr>
                <w:sz w:val="21"/>
                <w:szCs w:val="21"/>
                <w:color w:val="auto"/>
              </w:rPr>
            </w:pPr>
          </w:p>
        </w:tc>
        <w:tc>
          <w:tcPr>
            <w:tcW w:w="280" w:type="dxa"/>
            <w:vAlign w:val="bottom"/>
            <w:tcBorders>
              <w:bottom w:val="single" w:sz="8" w:color="CCFFCC"/>
            </w:tcBorders>
            <w:shd w:val="clear" w:color="auto" w:fill="CCFFCC"/>
          </w:tcPr>
          <w:p>
            <w:pPr>
              <w:spacing w:after="0"/>
              <w:rPr>
                <w:sz w:val="21"/>
                <w:szCs w:val="21"/>
                <w:color w:val="auto"/>
              </w:rPr>
            </w:pPr>
          </w:p>
        </w:tc>
        <w:tc>
          <w:tcPr>
            <w:tcW w:w="188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8"/>
                <w:szCs w:val="18"/>
                <w:color w:val="auto"/>
              </w:rPr>
              <w:t>14,329,958</w:t>
            </w:r>
          </w:p>
        </w:tc>
        <w:tc>
          <w:tcPr>
            <w:tcW w:w="0" w:type="dxa"/>
            <w:vAlign w:val="bottom"/>
          </w:tcPr>
          <w:p>
            <w:pPr>
              <w:spacing w:after="0"/>
              <w:rPr>
                <w:sz w:val="1"/>
                <w:szCs w:val="1"/>
                <w:color w:val="auto"/>
              </w:rPr>
            </w:pPr>
          </w:p>
        </w:tc>
      </w:tr>
      <w:tr>
        <w:trPr>
          <w:trHeight w:val="243"/>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9/1/2016 – 9/30/2016</w:t>
            </w:r>
          </w:p>
        </w:tc>
        <w:tc>
          <w:tcPr>
            <w:tcW w:w="2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2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880" w:type="dxa"/>
            <w:vAlign w:val="bottom"/>
          </w:tcPr>
          <w:p>
            <w:pPr>
              <w:jc w:val="right"/>
              <w:ind w:right="20"/>
              <w:spacing w:after="0"/>
              <w:rPr>
                <w:sz w:val="20"/>
                <w:szCs w:val="20"/>
                <w:color w:val="auto"/>
              </w:rPr>
            </w:pPr>
            <w:r>
              <w:rPr>
                <w:rFonts w:ascii="Arial" w:cs="Arial" w:eastAsia="Arial" w:hAnsi="Arial"/>
                <w:sz w:val="18"/>
                <w:szCs w:val="18"/>
                <w:color w:val="auto"/>
              </w:rPr>
              <w:t>14,329,958</w:t>
            </w:r>
          </w:p>
        </w:tc>
        <w:tc>
          <w:tcPr>
            <w:tcW w:w="0" w:type="dxa"/>
            <w:vAlign w:val="bottom"/>
          </w:tcPr>
          <w:p>
            <w:pPr>
              <w:spacing w:after="0"/>
              <w:rPr>
                <w:sz w:val="1"/>
                <w:szCs w:val="1"/>
                <w:color w:val="auto"/>
              </w:rPr>
            </w:pPr>
          </w:p>
        </w:tc>
      </w:tr>
      <w:tr>
        <w:trPr>
          <w:trHeight w:val="27"/>
        </w:trPr>
        <w:tc>
          <w:tcPr>
            <w:tcW w:w="2300" w:type="dxa"/>
            <w:vAlign w:val="bottom"/>
            <w:tcBorders>
              <w:bottom w:val="single" w:sz="8" w:color="CCFFCC"/>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420" w:type="dxa"/>
            <w:vAlign w:val="bottom"/>
            <w:tcBorders>
              <w:bottom w:val="single" w:sz="8" w:color="CCFFCC"/>
            </w:tcBorders>
            <w:gridSpan w:val="2"/>
            <w:shd w:val="clear" w:color="auto" w:fill="CCFFCC"/>
          </w:tcPr>
          <w:p>
            <w:pPr>
              <w:ind w:left="40"/>
              <w:spacing w:after="0"/>
              <w:rPr>
                <w:sz w:val="20"/>
                <w:szCs w:val="20"/>
                <w:color w:val="auto"/>
              </w:rPr>
            </w:pPr>
            <w:r>
              <w:rPr>
                <w:rFonts w:ascii="Arial" w:cs="Arial" w:eastAsia="Arial" w:hAnsi="Arial"/>
                <w:sz w:val="18"/>
                <w:szCs w:val="18"/>
                <w:color w:val="auto"/>
              </w:rPr>
              <w:t>Total</w:t>
            </w:r>
          </w:p>
        </w:tc>
        <w:tc>
          <w:tcPr>
            <w:tcW w:w="2200" w:type="dxa"/>
            <w:vAlign w:val="bottom"/>
            <w:tcBorders>
              <w:bottom w:val="single" w:sz="8" w:color="CCFFCC"/>
            </w:tcBorders>
            <w:shd w:val="clear" w:color="auto" w:fill="CCFFCC"/>
          </w:tcPr>
          <w:p>
            <w:pPr>
              <w:jc w:val="right"/>
              <w:ind w:right="36"/>
              <w:spacing w:after="0"/>
              <w:rPr>
                <w:sz w:val="20"/>
                <w:szCs w:val="20"/>
                <w:color w:val="auto"/>
              </w:rPr>
            </w:pPr>
            <w:r>
              <w:rPr>
                <w:rFonts w:ascii="Arial" w:cs="Arial" w:eastAsia="Arial" w:hAnsi="Arial"/>
                <w:sz w:val="18"/>
                <w:szCs w:val="18"/>
                <w:color w:val="auto"/>
              </w:rPr>
              <w:t>189,576</w:t>
            </w:r>
          </w:p>
        </w:tc>
        <w:tc>
          <w:tcPr>
            <w:tcW w:w="100" w:type="dxa"/>
            <w:vAlign w:val="bottom"/>
            <w:tcBorders>
              <w:bottom w:val="single" w:sz="8" w:color="CCFFCC"/>
            </w:tcBorders>
            <w:shd w:val="clear" w:color="auto" w:fill="CCFFCC"/>
          </w:tcPr>
          <w:p>
            <w:pPr>
              <w:spacing w:after="0"/>
              <w:rPr>
                <w:sz w:val="21"/>
                <w:szCs w:val="21"/>
                <w:color w:val="auto"/>
              </w:rPr>
            </w:pPr>
          </w:p>
        </w:tc>
        <w:tc>
          <w:tcPr>
            <w:tcW w:w="240" w:type="dxa"/>
            <w:vAlign w:val="bottom"/>
            <w:tcBorders>
              <w:bottom w:val="single" w:sz="8" w:color="CCFFCC"/>
            </w:tcBorders>
            <w:shd w:val="clear" w:color="auto" w:fill="CCFFCC"/>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FFCC"/>
            </w:tcBorders>
            <w:shd w:val="clear" w:color="auto" w:fill="CCFFCC"/>
          </w:tcPr>
          <w:p>
            <w:pPr>
              <w:jc w:val="right"/>
              <w:ind w:right="16"/>
              <w:spacing w:after="0"/>
              <w:rPr>
                <w:sz w:val="20"/>
                <w:szCs w:val="20"/>
                <w:color w:val="auto"/>
              </w:rPr>
            </w:pPr>
            <w:r>
              <w:rPr>
                <w:rFonts w:ascii="Arial" w:cs="Arial" w:eastAsia="Arial" w:hAnsi="Arial"/>
                <w:sz w:val="18"/>
                <w:szCs w:val="18"/>
                <w:color w:val="auto"/>
              </w:rPr>
              <w:t>6.34</w:t>
            </w:r>
          </w:p>
        </w:tc>
        <w:tc>
          <w:tcPr>
            <w:tcW w:w="120" w:type="dxa"/>
            <w:vAlign w:val="bottom"/>
            <w:tcBorders>
              <w:bottom w:val="single" w:sz="8" w:color="CCFFCC"/>
            </w:tcBorders>
            <w:shd w:val="clear" w:color="auto" w:fill="CCFFCC"/>
          </w:tcPr>
          <w:p>
            <w:pPr>
              <w:spacing w:after="0"/>
              <w:rPr>
                <w:sz w:val="21"/>
                <w:szCs w:val="21"/>
                <w:color w:val="auto"/>
              </w:rPr>
            </w:pPr>
          </w:p>
        </w:tc>
        <w:tc>
          <w:tcPr>
            <w:tcW w:w="216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8"/>
                <w:szCs w:val="18"/>
                <w:color w:val="auto"/>
              </w:rPr>
              <w:t>189,576</w:t>
            </w:r>
          </w:p>
        </w:tc>
        <w:tc>
          <w:tcPr>
            <w:tcW w:w="100" w:type="dxa"/>
            <w:vAlign w:val="bottom"/>
            <w:tcBorders>
              <w:bottom w:val="single" w:sz="8" w:color="CCFFCC"/>
            </w:tcBorders>
            <w:shd w:val="clear" w:color="auto" w:fill="CCFFCC"/>
          </w:tcPr>
          <w:p>
            <w:pPr>
              <w:spacing w:after="0"/>
              <w:rPr>
                <w:sz w:val="21"/>
                <w:szCs w:val="21"/>
                <w:color w:val="auto"/>
              </w:rPr>
            </w:pPr>
          </w:p>
        </w:tc>
        <w:tc>
          <w:tcPr>
            <w:tcW w:w="280" w:type="dxa"/>
            <w:vAlign w:val="bottom"/>
            <w:tcBorders>
              <w:bottom w:val="single" w:sz="8" w:color="CCFFCC"/>
            </w:tcBorders>
            <w:shd w:val="clear" w:color="auto" w:fill="CCFFCC"/>
          </w:tcPr>
          <w:p>
            <w:pPr>
              <w:jc w:val="right"/>
              <w:ind w:right="7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8"/>
                <w:szCs w:val="18"/>
                <w:color w:val="auto"/>
              </w:rPr>
              <w:t>14,329,958</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1300" w:hanging="644"/>
        <w:spacing w:after="0" w:line="277"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On December 10, 2012, we announced that our Board of Directors approved a share repurchase program through June 30, 2014. Under the stock repurchase program, we were authorized to repurchase shares of the our common</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580" w:right="239" w:bottom="1440" w:gutter="0" w:footer="0" w:header="0"/>
        </w:sectPr>
      </w:pPr>
    </w:p>
    <w:bookmarkStart w:id="40" w:name="page41"/>
    <w:bookmarkEnd w:id="40"/>
    <w:p>
      <w:pPr>
        <w:ind w:left="1300" w:right="20"/>
        <w:spacing w:after="0" w:line="324" w:lineRule="auto"/>
        <w:rPr>
          <w:sz w:val="20"/>
          <w:szCs w:val="20"/>
          <w:color w:val="auto"/>
        </w:rPr>
      </w:pPr>
      <w:r>
        <w:rPr>
          <w:rFonts w:ascii="Arial" w:cs="Arial" w:eastAsia="Arial" w:hAnsi="Arial"/>
          <w:sz w:val="18"/>
          <w:szCs w:val="18"/>
          <w:color w:val="auto"/>
        </w:rPr>
        <w:t>stock, in the open market or privately negotiated transactions, at times and prices considered appropriate by the Board of Directors depending upon prevailing market conditions and other corporate considerations.</w:t>
      </w:r>
    </w:p>
    <w:p>
      <w:pPr>
        <w:spacing w:after="0" w:line="35" w:lineRule="exact"/>
        <w:rPr>
          <w:sz w:val="20"/>
          <w:szCs w:val="20"/>
          <w:color w:val="auto"/>
        </w:rPr>
      </w:pPr>
    </w:p>
    <w:p>
      <w:pPr>
        <w:jc w:val="both"/>
        <w:ind w:left="1300" w:hanging="644"/>
        <w:spacing w:after="0" w:line="255"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As of June 30, 2014, approximately $1.1 million remained available for purchases under the program as in effect at that time. On July 23, 2014, our Board of Directors extended the expiration date of the program out to December 31, 2014 and also increased the aggregate purchase price of the stock repurchase program from $40.0 million to $50.0 million. On March 5, 2015, our Board of Directors extended the expiration date of the program out to December 31, 2016. On February 16, 2016, our Board of Directors increased the aggregate purchase price of the total stock repurchase program by an additional $14.0 million. As of September 30, 2016, approximately $14.3 million remained available for purchases under the program.</w:t>
      </w:r>
    </w:p>
    <w:p>
      <w:pPr>
        <w:spacing w:after="0" w:line="85" w:lineRule="exact"/>
        <w:rPr>
          <w:rFonts w:ascii="Arial" w:cs="Arial" w:eastAsia="Arial" w:hAnsi="Arial"/>
          <w:sz w:val="18"/>
          <w:szCs w:val="18"/>
          <w:color w:val="auto"/>
        </w:rPr>
      </w:pPr>
    </w:p>
    <w:p>
      <w:pPr>
        <w:ind w:left="1300" w:hanging="64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Transaction fees related to the share purchases are deducted from the total remaining allowable expenditure amount.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611"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exhibits are filed as part of this Quarterly Report on Form 10-Q:</w:t>
      </w:r>
    </w:p>
    <w:p>
      <w:pPr>
        <w:sectPr>
          <w:pgSz w:w="11900" w:h="16838" w:orient="portrait"/>
          <w:cols w:equalWidth="0" w:num="1">
            <w:col w:w="11320"/>
          </w:cols>
          <w:pgMar w:left="240" w:top="580" w:right="339" w:bottom="1440" w:gutter="0" w:footer="0" w:header="0"/>
        </w:sectPr>
      </w:pPr>
    </w:p>
    <w:p>
      <w:pPr>
        <w:spacing w:after="0" w:line="302" w:lineRule="exact"/>
        <w:rPr>
          <w:sz w:val="20"/>
          <w:szCs w:val="20"/>
          <w:color w:val="auto"/>
        </w:rPr>
      </w:pPr>
    </w:p>
    <w:p>
      <w:pPr>
        <w:ind w:left="40"/>
        <w:spacing w:after="0"/>
        <w:rPr>
          <w:sz w:val="20"/>
          <w:szCs w:val="20"/>
          <w:color w:val="auto"/>
        </w:rPr>
      </w:pPr>
      <w:r>
        <w:rPr>
          <w:rFonts w:ascii="Arial" w:cs="Arial" w:eastAsia="Arial" w:hAnsi="Arial"/>
          <w:sz w:val="16"/>
          <w:szCs w:val="16"/>
          <w:color w:val="auto"/>
        </w:rPr>
        <w:t>31.1</w:t>
      </w:r>
    </w:p>
    <w:p>
      <w:pPr>
        <w:spacing w:after="0" w:line="20" w:lineRule="exact"/>
        <w:rPr>
          <w:sz w:val="20"/>
          <w:szCs w:val="20"/>
          <w:color w:val="auto"/>
        </w:rPr>
      </w:pPr>
      <w:r>
        <w:rPr>
          <w:sz w:val="20"/>
          <w:szCs w:val="20"/>
          <w:color w:val="auto"/>
        </w:rPr>
        <w:br w:type="column"/>
      </w:r>
    </w:p>
    <w:p>
      <w:pPr>
        <w:spacing w:after="0" w:line="28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Certification by Chief Executive Officer pursuant to Exchange Act Rule 13a-14(a), as adopted pursuant to Section 302 of the Sarbanes-Oxley Act of 2002</w:t>
      </w:r>
    </w:p>
    <w:p>
      <w:pPr>
        <w:spacing w:after="0" w:line="200" w:lineRule="exact"/>
        <w:rPr>
          <w:sz w:val="20"/>
          <w:szCs w:val="20"/>
          <w:color w:val="auto"/>
        </w:rPr>
      </w:pPr>
    </w:p>
    <w:p>
      <w:pPr>
        <w:sectPr>
          <w:pgSz w:w="11900" w:h="16838" w:orient="portrait"/>
          <w:cols w:equalWidth="0" w:num="2">
            <w:col w:w="800" w:space="720"/>
            <w:col w:w="9800"/>
          </w:cols>
          <w:pgMar w:left="240" w:top="580" w:right="339" w:bottom="1440" w:gutter="0" w:footer="0" w:header="0"/>
          <w:type w:val="continuous"/>
        </w:sectPr>
      </w:pPr>
    </w:p>
    <w:p>
      <w:pPr>
        <w:spacing w:after="0" w:line="133" w:lineRule="exact"/>
        <w:rPr>
          <w:sz w:val="20"/>
          <w:szCs w:val="20"/>
          <w:color w:val="auto"/>
        </w:rPr>
      </w:pPr>
    </w:p>
    <w:p>
      <w:pPr>
        <w:ind w:left="40"/>
        <w:spacing w:after="0"/>
        <w:rPr>
          <w:sz w:val="20"/>
          <w:szCs w:val="20"/>
          <w:color w:val="auto"/>
        </w:rPr>
      </w:pPr>
      <w:r>
        <w:rPr>
          <w:rFonts w:ascii="Arial" w:cs="Arial" w:eastAsia="Arial" w:hAnsi="Arial"/>
          <w:sz w:val="16"/>
          <w:szCs w:val="16"/>
          <w:color w:val="auto"/>
        </w:rPr>
        <w:t>31.2</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Certification by Chief Financial Officer pursuant to Exchange Act Rule 13a-14(a), as adopted pursuant to Section 302 of the Sarbanes-Oxley Act of 2002</w:t>
      </w:r>
    </w:p>
    <w:p>
      <w:pPr>
        <w:spacing w:after="0" w:line="200" w:lineRule="exact"/>
        <w:rPr>
          <w:sz w:val="20"/>
          <w:szCs w:val="20"/>
          <w:color w:val="auto"/>
        </w:rPr>
      </w:pPr>
    </w:p>
    <w:p>
      <w:pPr>
        <w:sectPr>
          <w:pgSz w:w="11900" w:h="16838" w:orient="portrait"/>
          <w:cols w:equalWidth="0" w:num="2">
            <w:col w:w="800" w:space="720"/>
            <w:col w:w="9800"/>
          </w:cols>
          <w:pgMar w:left="240" w:top="580" w:right="339" w:bottom="1440" w:gutter="0" w:footer="0" w:header="0"/>
          <w:type w:val="continuous"/>
        </w:sectPr>
      </w:pPr>
    </w:p>
    <w:p>
      <w:pPr>
        <w:spacing w:after="0" w:line="1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32.1**</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Certification by Chief Executive Officer pursuant to 18 U.S.C. Section 1350, as adopted pursuant to Section 906 of the Sarbanes-Oxley Act of 2002</w:t>
      </w:r>
    </w:p>
    <w:p>
      <w:pPr>
        <w:spacing w:after="0" w:line="200" w:lineRule="exact"/>
        <w:rPr>
          <w:sz w:val="20"/>
          <w:szCs w:val="20"/>
          <w:color w:val="auto"/>
        </w:rPr>
      </w:pPr>
    </w:p>
    <w:p>
      <w:pPr>
        <w:sectPr>
          <w:pgSz w:w="11900" w:h="16838" w:orient="portrait"/>
          <w:cols w:equalWidth="0" w:num="2">
            <w:col w:w="800" w:space="720"/>
            <w:col w:w="9800"/>
          </w:cols>
          <w:pgMar w:left="240" w:top="580" w:right="339" w:bottom="1440" w:gutter="0" w:footer="0" w:header="0"/>
          <w:type w:val="continuous"/>
        </w:sectPr>
      </w:pPr>
    </w:p>
    <w:p>
      <w:pPr>
        <w:spacing w:after="0" w:line="1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32.2**</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Certification by Chief Financial Officer pursuant to 18 U.S.C. Section 1350, as adopted pursuant to Section 906 of the Sarbanes-Oxley Act of 2002</w:t>
      </w:r>
    </w:p>
    <w:p>
      <w:pPr>
        <w:spacing w:after="0" w:line="200" w:lineRule="exact"/>
        <w:rPr>
          <w:sz w:val="20"/>
          <w:szCs w:val="20"/>
          <w:color w:val="auto"/>
        </w:rPr>
      </w:pPr>
    </w:p>
    <w:p>
      <w:pPr>
        <w:sectPr>
          <w:pgSz w:w="11900" w:h="16838" w:orient="portrait"/>
          <w:cols w:equalWidth="0" w:num="2">
            <w:col w:w="800" w:space="720"/>
            <w:col w:w="9800"/>
          </w:cols>
          <w:pgMar w:left="240" w:top="580" w:right="339" w:bottom="1440" w:gutter="0" w:footer="0" w:header="0"/>
          <w:type w:val="continuous"/>
        </w:sectPr>
      </w:pPr>
    </w:p>
    <w:p>
      <w:pPr>
        <w:spacing w:after="0" w:line="106"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101.INS†</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XBRL Instance Document</w:t>
      </w:r>
    </w:p>
    <w:p>
      <w:pPr>
        <w:spacing w:after="0" w:line="200" w:lineRule="exact"/>
        <w:rPr>
          <w:sz w:val="20"/>
          <w:szCs w:val="20"/>
          <w:color w:val="auto"/>
        </w:rPr>
      </w:pPr>
    </w:p>
    <w:p>
      <w:pPr>
        <w:sectPr>
          <w:pgSz w:w="11900" w:h="16838" w:orient="portrait"/>
          <w:cols w:equalWidth="0" w:num="2">
            <w:col w:w="800" w:space="720"/>
            <w:col w:w="9800"/>
          </w:cols>
          <w:pgMar w:left="240" w:top="580" w:right="339" w:bottom="1440" w:gutter="0" w:footer="0" w:header="0"/>
          <w:type w:val="continuous"/>
        </w:sectPr>
      </w:pPr>
    </w:p>
    <w:p>
      <w:pPr>
        <w:spacing w:after="0" w:line="2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101.SCH†</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XBRL Taxonomy Extension Schema Document</w:t>
      </w:r>
    </w:p>
    <w:p>
      <w:pPr>
        <w:spacing w:after="0" w:line="200" w:lineRule="exact"/>
        <w:rPr>
          <w:sz w:val="20"/>
          <w:szCs w:val="20"/>
          <w:color w:val="auto"/>
        </w:rPr>
      </w:pPr>
    </w:p>
    <w:p>
      <w:pPr>
        <w:sectPr>
          <w:pgSz w:w="11900" w:h="16838" w:orient="portrait"/>
          <w:cols w:equalWidth="0" w:num="2">
            <w:col w:w="800" w:space="720"/>
            <w:col w:w="9800"/>
          </w:cols>
          <w:pgMar w:left="240" w:top="580" w:right="339" w:bottom="1440" w:gutter="0" w:footer="0" w:header="0"/>
          <w:type w:val="continuous"/>
        </w:sectPr>
      </w:pPr>
    </w:p>
    <w:p>
      <w:pPr>
        <w:spacing w:after="0" w:line="210" w:lineRule="exact"/>
        <w:rPr>
          <w:sz w:val="20"/>
          <w:szCs w:val="20"/>
          <w:color w:val="auto"/>
        </w:rPr>
      </w:pPr>
    </w:p>
    <w:p>
      <w:pPr>
        <w:ind w:left="40"/>
        <w:spacing w:after="0"/>
        <w:rPr>
          <w:sz w:val="20"/>
          <w:szCs w:val="20"/>
          <w:color w:val="auto"/>
        </w:rPr>
      </w:pPr>
      <w:r>
        <w:rPr>
          <w:rFonts w:ascii="Arial" w:cs="Arial" w:eastAsia="Arial" w:hAnsi="Arial"/>
          <w:sz w:val="17"/>
          <w:szCs w:val="17"/>
          <w:color w:val="auto"/>
        </w:rPr>
        <w:t>101.CAL†</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XBRL Taxonomy Extension Calculation Linkbase Document</w:t>
      </w:r>
    </w:p>
    <w:p>
      <w:pPr>
        <w:spacing w:after="0" w:line="211" w:lineRule="exact"/>
        <w:rPr>
          <w:sz w:val="20"/>
          <w:szCs w:val="20"/>
          <w:color w:val="auto"/>
        </w:rPr>
      </w:pPr>
    </w:p>
    <w:p>
      <w:pPr>
        <w:sectPr>
          <w:pgSz w:w="11900" w:h="16838" w:orient="portrait"/>
          <w:cols w:equalWidth="0" w:num="2">
            <w:col w:w="800" w:space="720"/>
            <w:col w:w="9800"/>
          </w:cols>
          <w:pgMar w:left="240" w:top="580" w:right="339" w:bottom="144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101.DEF†</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XBRL Taxonomy Extension Definition Linkbase Document</w:t>
      </w:r>
    </w:p>
    <w:p>
      <w:pPr>
        <w:spacing w:after="0" w:line="200" w:lineRule="exact"/>
        <w:rPr>
          <w:sz w:val="20"/>
          <w:szCs w:val="20"/>
          <w:color w:val="auto"/>
        </w:rPr>
      </w:pPr>
    </w:p>
    <w:p>
      <w:pPr>
        <w:sectPr>
          <w:pgSz w:w="11900" w:h="16838" w:orient="portrait"/>
          <w:cols w:equalWidth="0" w:num="2">
            <w:col w:w="800" w:space="720"/>
            <w:col w:w="9800"/>
          </w:cols>
          <w:pgMar w:left="240" w:top="580" w:right="339" w:bottom="1440" w:gutter="0" w:footer="0" w:header="0"/>
          <w:type w:val="continuous"/>
        </w:sectPr>
      </w:pPr>
    </w:p>
    <w:p>
      <w:pPr>
        <w:spacing w:after="0" w:line="210" w:lineRule="exact"/>
        <w:rPr>
          <w:sz w:val="20"/>
          <w:szCs w:val="20"/>
          <w:color w:val="auto"/>
        </w:rPr>
      </w:pPr>
    </w:p>
    <w:p>
      <w:pPr>
        <w:ind w:left="40"/>
        <w:spacing w:after="0"/>
        <w:rPr>
          <w:sz w:val="20"/>
          <w:szCs w:val="20"/>
          <w:color w:val="auto"/>
        </w:rPr>
      </w:pPr>
      <w:r>
        <w:rPr>
          <w:rFonts w:ascii="Arial" w:cs="Arial" w:eastAsia="Arial" w:hAnsi="Arial"/>
          <w:sz w:val="17"/>
          <w:szCs w:val="17"/>
          <w:color w:val="auto"/>
        </w:rPr>
        <w:t>101.LAB†</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XBRL Taxonomy Extension Label Linkbase Document</w:t>
      </w:r>
    </w:p>
    <w:p>
      <w:pPr>
        <w:spacing w:after="0" w:line="211" w:lineRule="exact"/>
        <w:rPr>
          <w:sz w:val="20"/>
          <w:szCs w:val="20"/>
          <w:color w:val="auto"/>
        </w:rPr>
      </w:pPr>
    </w:p>
    <w:p>
      <w:pPr>
        <w:sectPr>
          <w:pgSz w:w="11900" w:h="16838" w:orient="portrait"/>
          <w:cols w:equalWidth="0" w:num="2">
            <w:col w:w="800" w:space="720"/>
            <w:col w:w="9800"/>
          </w:cols>
          <w:pgMar w:left="240" w:top="580" w:right="339" w:bottom="144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101.PRE†</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XBRL Taxonomy Extension Presentation Linkbase Document</w:t>
      </w:r>
    </w:p>
    <w:p>
      <w:pPr>
        <w:spacing w:after="0" w:line="167" w:lineRule="exact"/>
        <w:rPr>
          <w:sz w:val="20"/>
          <w:szCs w:val="20"/>
          <w:color w:val="auto"/>
        </w:rPr>
      </w:pPr>
    </w:p>
    <w:p>
      <w:pPr>
        <w:sectPr>
          <w:pgSz w:w="11900" w:h="16838" w:orient="portrait"/>
          <w:cols w:equalWidth="0" w:num="2">
            <w:col w:w="800" w:space="720"/>
            <w:col w:w="9800"/>
          </w:cols>
          <w:pgMar w:left="240" w:top="580" w:right="339" w:bottom="1440" w:gutter="0" w:footer="0" w:header="0"/>
          <w:type w:val="continuous"/>
        </w:sectPr>
      </w:pPr>
    </w:p>
    <w:p>
      <w:pPr>
        <w:ind w:right="300" w:firstLine="8"/>
        <w:spacing w:after="0" w:line="342" w:lineRule="auto"/>
        <w:tabs>
          <w:tab w:leader="none" w:pos="357"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These certifications are not deemed filed with the Securities and Exchange Commission and are not to be incorporated by reference in any filing we make under the Securities Act of 1933 or the Securities Exchange Act of 1934, irrespective of any general incorporation language in any filings.</w:t>
      </w:r>
    </w:p>
    <w:p>
      <w:pPr>
        <w:spacing w:after="0" w:line="16" w:lineRule="exact"/>
        <w:rPr>
          <w:sz w:val="20"/>
          <w:szCs w:val="20"/>
          <w:color w:val="auto"/>
        </w:rPr>
      </w:pPr>
    </w:p>
    <w:p>
      <w:pPr>
        <w:jc w:val="both"/>
        <w:ind w:firstLine="8"/>
        <w:spacing w:after="0" w:line="264" w:lineRule="auto"/>
        <w:tabs>
          <w:tab w:leader="none" w:pos="27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accordance with Rule 406T of Regulation S-T, these XBRL (eXtensible Business Reporting Language) documents are furnished and not filed or a part of a registration statement or prospectus for purposes of Sections 11 or 12 of the Securities Act of 1933 or Section 18 of the Securities Exchange Act of 1934 and otherwise are not subject to liability under these sections.</w:t>
      </w:r>
    </w:p>
    <w:p>
      <w:pPr>
        <w:spacing w:after="0" w:line="3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20"/>
          </w:cols>
          <w:pgMar w:left="240" w:top="580" w:right="339" w:bottom="1440" w:gutter="0" w:footer="0" w:header="0"/>
          <w:type w:val="continuous"/>
        </w:sectPr>
      </w:pPr>
    </w:p>
    <w:bookmarkStart w:id="42" w:name="page43"/>
    <w:bookmarkEnd w:id="42"/>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220"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LIVEPERSON, INC.</w:t>
      </w:r>
    </w:p>
    <w:p>
      <w:pPr>
        <w:spacing w:after="0" w:line="67"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(Registrant)</w:t>
      </w:r>
    </w:p>
    <w:p>
      <w:pPr>
        <w:spacing w:after="0" w:line="33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Date:</w:t>
            </w:r>
          </w:p>
        </w:tc>
        <w:tc>
          <w:tcPr>
            <w:tcW w:w="3000" w:type="dxa"/>
            <w:vAlign w:val="bottom"/>
          </w:tcPr>
          <w:p>
            <w:pPr>
              <w:ind w:left="160"/>
              <w:spacing w:after="0"/>
              <w:rPr>
                <w:sz w:val="20"/>
                <w:szCs w:val="20"/>
                <w:color w:val="auto"/>
              </w:rPr>
            </w:pPr>
            <w:r>
              <w:rPr>
                <w:rFonts w:ascii="Arial" w:cs="Arial" w:eastAsia="Arial" w:hAnsi="Arial"/>
                <w:sz w:val="18"/>
                <w:szCs w:val="18"/>
                <w:color w:val="auto"/>
              </w:rPr>
              <w:t>November 9, 2016</w:t>
            </w:r>
          </w:p>
        </w:tc>
        <w:tc>
          <w:tcPr>
            <w:tcW w:w="2020" w:type="dxa"/>
            <w:vAlign w:val="bottom"/>
          </w:tcPr>
          <w:p>
            <w:pPr>
              <w:ind w:left="1520"/>
              <w:spacing w:after="0"/>
              <w:rPr>
                <w:sz w:val="20"/>
                <w:szCs w:val="20"/>
                <w:color w:val="auto"/>
              </w:rPr>
            </w:pPr>
            <w:r>
              <w:rPr>
                <w:rFonts w:ascii="Arial" w:cs="Arial" w:eastAsia="Arial" w:hAnsi="Arial"/>
                <w:sz w:val="18"/>
                <w:szCs w:val="18"/>
                <w:color w:val="auto"/>
              </w:rPr>
              <w:t>By:</w:t>
            </w:r>
          </w:p>
        </w:tc>
        <w:tc>
          <w:tcPr>
            <w:tcW w:w="360" w:type="dxa"/>
            <w:vAlign w:val="bottom"/>
          </w:tcPr>
          <w:p>
            <w:pPr>
              <w:spacing w:after="0"/>
              <w:rPr>
                <w:sz w:val="20"/>
                <w:szCs w:val="20"/>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/s/ ROBERT P. LOCASCIO</w:t>
            </w:r>
          </w:p>
        </w:tc>
      </w:tr>
      <w:tr>
        <w:trPr>
          <w:trHeight w:val="27"/>
        </w:trPr>
        <w:tc>
          <w:tcPr>
            <w:tcW w:w="52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5260" w:type="dxa"/>
            <w:vAlign w:val="bottom"/>
            <w:tcBorders>
              <w:bottom w:val="single" w:sz="8" w:color="auto"/>
            </w:tcBorders>
          </w:tcPr>
          <w:p>
            <w:pPr>
              <w:spacing w:after="0"/>
              <w:rPr>
                <w:sz w:val="2"/>
                <w:szCs w:val="2"/>
                <w:color w:val="auto"/>
              </w:rPr>
            </w:pPr>
          </w:p>
        </w:tc>
      </w:tr>
      <w:tr>
        <w:trPr>
          <w:trHeight w:val="237"/>
        </w:trPr>
        <w:tc>
          <w:tcPr>
            <w:tcW w:w="5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2020" w:type="dxa"/>
            <w:vAlign w:val="bottom"/>
          </w:tcPr>
          <w:p>
            <w:pPr>
              <w:ind w:left="1520"/>
              <w:spacing w:after="0"/>
              <w:rPr>
                <w:sz w:val="20"/>
                <w:szCs w:val="20"/>
                <w:color w:val="auto"/>
              </w:rPr>
            </w:pPr>
            <w:r>
              <w:rPr>
                <w:rFonts w:ascii="Arial" w:cs="Arial" w:eastAsia="Arial" w:hAnsi="Arial"/>
                <w:sz w:val="18"/>
                <w:szCs w:val="18"/>
                <w:color w:val="auto"/>
                <w:w w:val="90"/>
              </w:rPr>
              <w:t>Name:</w:t>
            </w:r>
          </w:p>
        </w:tc>
        <w:tc>
          <w:tcPr>
            <w:tcW w:w="360" w:type="dxa"/>
            <w:vAlign w:val="bottom"/>
          </w:tcPr>
          <w:p>
            <w:pPr>
              <w:spacing w:after="0"/>
              <w:rPr>
                <w:sz w:val="20"/>
                <w:szCs w:val="20"/>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Robert P. LoCascio</w:t>
            </w:r>
          </w:p>
        </w:tc>
      </w:tr>
      <w:tr>
        <w:trPr>
          <w:trHeight w:val="270"/>
        </w:trPr>
        <w:tc>
          <w:tcPr>
            <w:tcW w:w="520" w:type="dxa"/>
            <w:vAlign w:val="bottom"/>
          </w:tcPr>
          <w:p>
            <w:pPr>
              <w:spacing w:after="0"/>
              <w:rPr>
                <w:sz w:val="23"/>
                <w:szCs w:val="23"/>
                <w:color w:val="auto"/>
              </w:rPr>
            </w:pPr>
          </w:p>
        </w:tc>
        <w:tc>
          <w:tcPr>
            <w:tcW w:w="3000" w:type="dxa"/>
            <w:vAlign w:val="bottom"/>
          </w:tcPr>
          <w:p>
            <w:pPr>
              <w:spacing w:after="0"/>
              <w:rPr>
                <w:sz w:val="23"/>
                <w:szCs w:val="23"/>
                <w:color w:val="auto"/>
              </w:rPr>
            </w:pPr>
          </w:p>
        </w:tc>
        <w:tc>
          <w:tcPr>
            <w:tcW w:w="2020" w:type="dxa"/>
            <w:vAlign w:val="bottom"/>
          </w:tcPr>
          <w:p>
            <w:pPr>
              <w:ind w:left="1520"/>
              <w:spacing w:after="0"/>
              <w:rPr>
                <w:sz w:val="20"/>
                <w:szCs w:val="20"/>
                <w:color w:val="auto"/>
              </w:rPr>
            </w:pPr>
            <w:r>
              <w:rPr>
                <w:rFonts w:ascii="Arial" w:cs="Arial" w:eastAsia="Arial" w:hAnsi="Arial"/>
                <w:sz w:val="18"/>
                <w:szCs w:val="18"/>
                <w:color w:val="auto"/>
              </w:rPr>
              <w:t>Title:</w:t>
            </w:r>
          </w:p>
        </w:tc>
        <w:tc>
          <w:tcPr>
            <w:tcW w:w="360" w:type="dxa"/>
            <w:vAlign w:val="bottom"/>
          </w:tcPr>
          <w:p>
            <w:pPr>
              <w:spacing w:after="0"/>
              <w:rPr>
                <w:sz w:val="23"/>
                <w:szCs w:val="23"/>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Chief Executive Officer (principal executive officer)</w:t>
            </w:r>
          </w:p>
        </w:tc>
      </w:tr>
      <w:tr>
        <w:trPr>
          <w:trHeight w:val="540"/>
        </w:trPr>
        <w:tc>
          <w:tcPr>
            <w:tcW w:w="520" w:type="dxa"/>
            <w:vAlign w:val="bottom"/>
          </w:tcPr>
          <w:p>
            <w:pPr>
              <w:spacing w:after="0"/>
              <w:rPr>
                <w:sz w:val="20"/>
                <w:szCs w:val="20"/>
                <w:color w:val="auto"/>
              </w:rPr>
            </w:pPr>
            <w:r>
              <w:rPr>
                <w:rFonts w:ascii="Arial" w:cs="Arial" w:eastAsia="Arial" w:hAnsi="Arial"/>
                <w:sz w:val="18"/>
                <w:szCs w:val="18"/>
                <w:color w:val="auto"/>
              </w:rPr>
              <w:t>Date:</w:t>
            </w:r>
          </w:p>
        </w:tc>
        <w:tc>
          <w:tcPr>
            <w:tcW w:w="3000" w:type="dxa"/>
            <w:vAlign w:val="bottom"/>
          </w:tcPr>
          <w:p>
            <w:pPr>
              <w:ind w:left="160"/>
              <w:spacing w:after="0"/>
              <w:rPr>
                <w:sz w:val="20"/>
                <w:szCs w:val="20"/>
                <w:color w:val="auto"/>
              </w:rPr>
            </w:pPr>
            <w:r>
              <w:rPr>
                <w:rFonts w:ascii="Arial" w:cs="Arial" w:eastAsia="Arial" w:hAnsi="Arial"/>
                <w:sz w:val="18"/>
                <w:szCs w:val="18"/>
                <w:color w:val="auto"/>
              </w:rPr>
              <w:t>November 9, 2016</w:t>
            </w:r>
          </w:p>
        </w:tc>
        <w:tc>
          <w:tcPr>
            <w:tcW w:w="2020" w:type="dxa"/>
            <w:vAlign w:val="bottom"/>
          </w:tcPr>
          <w:p>
            <w:pPr>
              <w:ind w:left="1520"/>
              <w:spacing w:after="0"/>
              <w:rPr>
                <w:sz w:val="20"/>
                <w:szCs w:val="20"/>
                <w:color w:val="auto"/>
              </w:rPr>
            </w:pPr>
            <w:r>
              <w:rPr>
                <w:rFonts w:ascii="Arial" w:cs="Arial" w:eastAsia="Arial" w:hAnsi="Arial"/>
                <w:sz w:val="18"/>
                <w:szCs w:val="18"/>
                <w:color w:val="auto"/>
              </w:rPr>
              <w:t>By:</w:t>
            </w:r>
          </w:p>
        </w:tc>
        <w:tc>
          <w:tcPr>
            <w:tcW w:w="360" w:type="dxa"/>
            <w:vAlign w:val="bottom"/>
          </w:tcPr>
          <w:p>
            <w:pPr>
              <w:spacing w:after="0"/>
              <w:rPr>
                <w:sz w:val="24"/>
                <w:szCs w:val="24"/>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/s/ DANIEL R. MURPHY</w:t>
            </w:r>
          </w:p>
        </w:tc>
      </w:tr>
      <w:tr>
        <w:trPr>
          <w:trHeight w:val="27"/>
        </w:trPr>
        <w:tc>
          <w:tcPr>
            <w:tcW w:w="52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5260" w:type="dxa"/>
            <w:vAlign w:val="bottom"/>
            <w:tcBorders>
              <w:bottom w:val="single" w:sz="8" w:color="auto"/>
            </w:tcBorders>
          </w:tcPr>
          <w:p>
            <w:pPr>
              <w:spacing w:after="0"/>
              <w:rPr>
                <w:sz w:val="2"/>
                <w:szCs w:val="2"/>
                <w:color w:val="auto"/>
              </w:rPr>
            </w:pPr>
          </w:p>
        </w:tc>
      </w:tr>
      <w:tr>
        <w:trPr>
          <w:trHeight w:val="237"/>
        </w:trPr>
        <w:tc>
          <w:tcPr>
            <w:tcW w:w="5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2020" w:type="dxa"/>
            <w:vAlign w:val="bottom"/>
          </w:tcPr>
          <w:p>
            <w:pPr>
              <w:ind w:left="1520"/>
              <w:spacing w:after="0"/>
              <w:rPr>
                <w:sz w:val="20"/>
                <w:szCs w:val="20"/>
                <w:color w:val="auto"/>
              </w:rPr>
            </w:pPr>
            <w:r>
              <w:rPr>
                <w:rFonts w:ascii="Arial" w:cs="Arial" w:eastAsia="Arial" w:hAnsi="Arial"/>
                <w:sz w:val="18"/>
                <w:szCs w:val="18"/>
                <w:color w:val="auto"/>
                <w:w w:val="90"/>
              </w:rPr>
              <w:t>Name:</w:t>
            </w:r>
          </w:p>
        </w:tc>
        <w:tc>
          <w:tcPr>
            <w:tcW w:w="360" w:type="dxa"/>
            <w:vAlign w:val="bottom"/>
          </w:tcPr>
          <w:p>
            <w:pPr>
              <w:spacing w:after="0"/>
              <w:rPr>
                <w:sz w:val="20"/>
                <w:szCs w:val="20"/>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Daniel R. Murphy</w:t>
            </w:r>
          </w:p>
        </w:tc>
      </w:tr>
      <w:tr>
        <w:trPr>
          <w:trHeight w:val="270"/>
        </w:trPr>
        <w:tc>
          <w:tcPr>
            <w:tcW w:w="520" w:type="dxa"/>
            <w:vAlign w:val="bottom"/>
          </w:tcPr>
          <w:p>
            <w:pPr>
              <w:spacing w:after="0"/>
              <w:rPr>
                <w:sz w:val="23"/>
                <w:szCs w:val="23"/>
                <w:color w:val="auto"/>
              </w:rPr>
            </w:pPr>
          </w:p>
        </w:tc>
        <w:tc>
          <w:tcPr>
            <w:tcW w:w="3000" w:type="dxa"/>
            <w:vAlign w:val="bottom"/>
          </w:tcPr>
          <w:p>
            <w:pPr>
              <w:spacing w:after="0"/>
              <w:rPr>
                <w:sz w:val="23"/>
                <w:szCs w:val="23"/>
                <w:color w:val="auto"/>
              </w:rPr>
            </w:pPr>
          </w:p>
        </w:tc>
        <w:tc>
          <w:tcPr>
            <w:tcW w:w="2020" w:type="dxa"/>
            <w:vAlign w:val="bottom"/>
          </w:tcPr>
          <w:p>
            <w:pPr>
              <w:ind w:left="1520"/>
              <w:spacing w:after="0"/>
              <w:rPr>
                <w:sz w:val="20"/>
                <w:szCs w:val="20"/>
                <w:color w:val="auto"/>
              </w:rPr>
            </w:pPr>
            <w:r>
              <w:rPr>
                <w:rFonts w:ascii="Arial" w:cs="Arial" w:eastAsia="Arial" w:hAnsi="Arial"/>
                <w:sz w:val="18"/>
                <w:szCs w:val="18"/>
                <w:color w:val="auto"/>
              </w:rPr>
              <w:t>Title:</w:t>
            </w:r>
          </w:p>
        </w:tc>
        <w:tc>
          <w:tcPr>
            <w:tcW w:w="360" w:type="dxa"/>
            <w:vAlign w:val="bottom"/>
          </w:tcPr>
          <w:p>
            <w:pPr>
              <w:spacing w:after="0"/>
              <w:rPr>
                <w:sz w:val="23"/>
                <w:szCs w:val="23"/>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Chief Financial Officer (principal financial and accounting officer)</w:t>
            </w:r>
          </w:p>
        </w:tc>
      </w:tr>
      <w:tr>
        <w:trPr>
          <w:trHeight w:val="594"/>
        </w:trPr>
        <w:tc>
          <w:tcPr>
            <w:tcW w:w="5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60" w:type="dxa"/>
            <w:vAlign w:val="bottom"/>
          </w:tcPr>
          <w:p>
            <w:pPr>
              <w:jc w:val="right"/>
              <w:ind w:right="50"/>
              <w:spacing w:after="0"/>
              <w:rPr>
                <w:sz w:val="20"/>
                <w:szCs w:val="20"/>
                <w:color w:val="auto"/>
              </w:rPr>
            </w:pPr>
            <w:r>
              <w:rPr>
                <w:rFonts w:ascii="Arial" w:cs="Arial" w:eastAsia="Arial" w:hAnsi="Arial"/>
                <w:sz w:val="18"/>
                <w:szCs w:val="18"/>
                <w:color w:val="auto"/>
                <w:w w:val="99"/>
              </w:rPr>
              <w:t>43</w:t>
            </w:r>
          </w:p>
        </w:tc>
        <w:tc>
          <w:tcPr>
            <w:tcW w:w="5260" w:type="dxa"/>
            <w:vAlign w:val="bottom"/>
          </w:tcPr>
          <w:p>
            <w:pPr>
              <w:spacing w:after="0"/>
              <w:rPr>
                <w:sz w:val="24"/>
                <w:szCs w:val="24"/>
                <w:color w:val="auto"/>
              </w:rPr>
            </w:pPr>
          </w:p>
        </w:tc>
      </w:tr>
    </w:tbl>
    <w:p>
      <w:pPr>
        <w:sectPr>
          <w:pgSz w:w="11900" w:h="16838" w:orient="portrait"/>
          <w:cols w:equalWidth="0" w:num="1">
            <w:col w:w="11380"/>
          </w:cols>
          <w:pgMar w:left="240" w:top="580" w:right="279" w:bottom="1440" w:gutter="0" w:footer="0" w:header="0"/>
        </w:sectPr>
      </w:pPr>
    </w:p>
    <w:bookmarkStart w:id="43" w:name="page44"/>
    <w:bookmarkEnd w:id="4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920" w:type="dxa"/>
            <w:vAlign w:val="bottom"/>
          </w:tcPr>
          <w:p>
            <w:pPr>
              <w:ind w:left="3520"/>
              <w:spacing w:after="0"/>
              <w:rPr>
                <w:sz w:val="20"/>
                <w:szCs w:val="20"/>
                <w:color w:val="auto"/>
              </w:rPr>
            </w:pPr>
            <w:r>
              <w:rPr>
                <w:rFonts w:ascii="Arial" w:cs="Arial" w:eastAsia="Arial" w:hAnsi="Arial"/>
                <w:sz w:val="18"/>
                <w:szCs w:val="18"/>
                <w:b w:val="1"/>
                <w:bCs w:val="1"/>
                <w:color w:val="auto"/>
              </w:rPr>
              <w:t>EXHIBIT INDEX</w:t>
            </w:r>
          </w:p>
        </w:tc>
      </w:tr>
      <w:tr>
        <w:trPr>
          <w:trHeight w:val="486"/>
        </w:trPr>
        <w:tc>
          <w:tcPr>
            <w:tcW w:w="1500" w:type="dxa"/>
            <w:vAlign w:val="bottom"/>
            <w:gridSpan w:val="2"/>
          </w:tcPr>
          <w:p>
            <w:pPr>
              <w:ind w:left="40"/>
              <w:spacing w:after="0"/>
              <w:rPr>
                <w:sz w:val="20"/>
                <w:szCs w:val="20"/>
                <w:color w:val="auto"/>
              </w:rPr>
            </w:pPr>
            <w:r>
              <w:rPr>
                <w:rFonts w:ascii="Arial" w:cs="Arial" w:eastAsia="Arial" w:hAnsi="Arial"/>
                <w:sz w:val="18"/>
                <w:szCs w:val="18"/>
                <w:b w:val="1"/>
                <w:bCs w:val="1"/>
                <w:color w:val="auto"/>
              </w:rPr>
              <w:t>Number</w:t>
            </w:r>
          </w:p>
        </w:tc>
        <w:tc>
          <w:tcPr>
            <w:tcW w:w="9920" w:type="dxa"/>
            <w:vAlign w:val="bottom"/>
          </w:tcPr>
          <w:p>
            <w:pPr>
              <w:ind w:left="2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11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9920" w:type="dxa"/>
            <w:vAlign w:val="bottom"/>
            <w:tcBorders>
              <w:bottom w:val="single" w:sz="8" w:color="auto"/>
            </w:tcBorders>
          </w:tcPr>
          <w:p>
            <w:pPr>
              <w:spacing w:after="0"/>
              <w:rPr>
                <w:sz w:val="2"/>
                <w:szCs w:val="2"/>
                <w:color w:val="auto"/>
              </w:rPr>
            </w:pPr>
          </w:p>
        </w:tc>
      </w:tr>
      <w:tr>
        <w:trPr>
          <w:trHeight w:val="546"/>
        </w:trPr>
        <w:tc>
          <w:tcPr>
            <w:tcW w:w="1160" w:type="dxa"/>
            <w:vAlign w:val="bottom"/>
          </w:tcPr>
          <w:p>
            <w:pPr>
              <w:ind w:left="40"/>
              <w:spacing w:after="0"/>
              <w:rPr>
                <w:sz w:val="20"/>
                <w:szCs w:val="20"/>
                <w:color w:val="auto"/>
              </w:rPr>
            </w:pPr>
            <w:r>
              <w:rPr>
                <w:rFonts w:ascii="Arial" w:cs="Arial" w:eastAsia="Arial" w:hAnsi="Arial"/>
                <w:sz w:val="18"/>
                <w:szCs w:val="18"/>
                <w:color w:val="auto"/>
              </w:rPr>
              <w:t>31.1</w:t>
            </w:r>
          </w:p>
        </w:tc>
        <w:tc>
          <w:tcPr>
            <w:tcW w:w="3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1"/>
              </w:rPr>
              <w:t>Certification by Chief Executive Officer pursuant to Exchange Act Rule 13a-14(a), as adopted pursuant to Section 302 of the Sarbanes-</w:t>
            </w:r>
          </w:p>
        </w:tc>
      </w:tr>
      <w:tr>
        <w:trPr>
          <w:trHeight w:val="230"/>
        </w:trPr>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Oxley Act of 2002</w:t>
            </w:r>
          </w:p>
        </w:tc>
      </w:tr>
      <w:tr>
        <w:trPr>
          <w:trHeight w:val="553"/>
        </w:trPr>
        <w:tc>
          <w:tcPr>
            <w:tcW w:w="1160" w:type="dxa"/>
            <w:vAlign w:val="bottom"/>
          </w:tcPr>
          <w:p>
            <w:pPr>
              <w:ind w:left="40"/>
              <w:spacing w:after="0"/>
              <w:rPr>
                <w:sz w:val="20"/>
                <w:szCs w:val="20"/>
                <w:color w:val="auto"/>
              </w:rPr>
            </w:pPr>
            <w:r>
              <w:rPr>
                <w:rFonts w:ascii="Arial" w:cs="Arial" w:eastAsia="Arial" w:hAnsi="Arial"/>
                <w:sz w:val="18"/>
                <w:szCs w:val="18"/>
                <w:color w:val="auto"/>
              </w:rPr>
              <w:t>31.2</w:t>
            </w:r>
          </w:p>
        </w:tc>
        <w:tc>
          <w:tcPr>
            <w:tcW w:w="3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2"/>
              </w:rPr>
              <w:t>Certification by Chief Financial Officer pursuant to Exchange Act Rule 13a-14(a), as adopted pursuant to Section 302 of the Sarbanes-</w:t>
            </w:r>
          </w:p>
        </w:tc>
      </w:tr>
      <w:tr>
        <w:trPr>
          <w:trHeight w:val="230"/>
        </w:trPr>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Oxley Act of 2002</w:t>
            </w:r>
          </w:p>
        </w:tc>
      </w:tr>
      <w:tr>
        <w:trPr>
          <w:trHeight w:val="553"/>
        </w:trPr>
        <w:tc>
          <w:tcPr>
            <w:tcW w:w="1160" w:type="dxa"/>
            <w:vAlign w:val="bottom"/>
          </w:tcPr>
          <w:p>
            <w:pPr>
              <w:ind w:left="40"/>
              <w:spacing w:after="0"/>
              <w:rPr>
                <w:sz w:val="20"/>
                <w:szCs w:val="20"/>
                <w:color w:val="auto"/>
              </w:rPr>
            </w:pPr>
            <w:r>
              <w:rPr>
                <w:rFonts w:ascii="Arial" w:cs="Arial" w:eastAsia="Arial" w:hAnsi="Arial"/>
                <w:sz w:val="18"/>
                <w:szCs w:val="18"/>
                <w:color w:val="auto"/>
              </w:rPr>
              <w:t>32.1**</w:t>
            </w:r>
          </w:p>
        </w:tc>
        <w:tc>
          <w:tcPr>
            <w:tcW w:w="3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2"/>
              </w:rPr>
              <w:t>Certification by Chief Executive Officer pursuant to 18 U.S.C. Section 1350, as adopted pursuant to Section 906 of the Sarbanes-Oxley</w:t>
            </w:r>
          </w:p>
        </w:tc>
      </w:tr>
      <w:tr>
        <w:trPr>
          <w:trHeight w:val="230"/>
        </w:trPr>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Act of 2002</w:t>
            </w:r>
          </w:p>
        </w:tc>
      </w:tr>
      <w:tr>
        <w:trPr>
          <w:trHeight w:val="553"/>
        </w:trPr>
        <w:tc>
          <w:tcPr>
            <w:tcW w:w="1160" w:type="dxa"/>
            <w:vAlign w:val="bottom"/>
          </w:tcPr>
          <w:p>
            <w:pPr>
              <w:ind w:left="40"/>
              <w:spacing w:after="0"/>
              <w:rPr>
                <w:sz w:val="20"/>
                <w:szCs w:val="20"/>
                <w:color w:val="auto"/>
              </w:rPr>
            </w:pPr>
            <w:r>
              <w:rPr>
                <w:rFonts w:ascii="Arial" w:cs="Arial" w:eastAsia="Arial" w:hAnsi="Arial"/>
                <w:sz w:val="18"/>
                <w:szCs w:val="18"/>
                <w:color w:val="auto"/>
              </w:rPr>
              <w:t>32.2**</w:t>
            </w:r>
          </w:p>
        </w:tc>
        <w:tc>
          <w:tcPr>
            <w:tcW w:w="3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2"/>
              </w:rPr>
              <w:t>Certification by Chief Financial Officer pursuant to 18 U.S.C. Section 1350, as adopted pursuant to Section 906 of the Sarbanes-Oxley</w:t>
            </w:r>
          </w:p>
        </w:tc>
      </w:tr>
      <w:tr>
        <w:trPr>
          <w:trHeight w:val="230"/>
        </w:trPr>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Act of 2002</w:t>
            </w:r>
          </w:p>
        </w:tc>
      </w:tr>
      <w:tr>
        <w:trPr>
          <w:trHeight w:val="567"/>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101.INS†</w:t>
            </w:r>
          </w:p>
        </w:tc>
        <w:tc>
          <w:tcPr>
            <w:tcW w:w="9920" w:type="dxa"/>
            <w:vAlign w:val="bottom"/>
          </w:tcPr>
          <w:p>
            <w:pPr>
              <w:ind w:left="20"/>
              <w:spacing w:after="0"/>
              <w:rPr>
                <w:sz w:val="20"/>
                <w:szCs w:val="20"/>
                <w:color w:val="auto"/>
              </w:rPr>
            </w:pPr>
            <w:r>
              <w:rPr>
                <w:rFonts w:ascii="Arial" w:cs="Arial" w:eastAsia="Arial" w:hAnsi="Arial"/>
                <w:sz w:val="18"/>
                <w:szCs w:val="18"/>
                <w:color w:val="auto"/>
              </w:rPr>
              <w:t>XBRL Instance Document</w:t>
            </w:r>
          </w:p>
        </w:tc>
      </w:tr>
      <w:tr>
        <w:trPr>
          <w:trHeight w:val="567"/>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101.SCH†</w:t>
            </w:r>
          </w:p>
        </w:tc>
        <w:tc>
          <w:tcPr>
            <w:tcW w:w="9920" w:type="dxa"/>
            <w:vAlign w:val="bottom"/>
          </w:tcPr>
          <w:p>
            <w:pPr>
              <w:ind w:left="20"/>
              <w:spacing w:after="0"/>
              <w:rPr>
                <w:sz w:val="20"/>
                <w:szCs w:val="20"/>
                <w:color w:val="auto"/>
              </w:rPr>
            </w:pPr>
            <w:r>
              <w:rPr>
                <w:rFonts w:ascii="Arial" w:cs="Arial" w:eastAsia="Arial" w:hAnsi="Arial"/>
                <w:sz w:val="18"/>
                <w:szCs w:val="18"/>
                <w:color w:val="auto"/>
              </w:rPr>
              <w:t>XBRL Taxonomy Extension Schema Document</w:t>
            </w:r>
          </w:p>
        </w:tc>
      </w:tr>
      <w:tr>
        <w:trPr>
          <w:trHeight w:val="567"/>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101.CAL†</w:t>
            </w:r>
          </w:p>
        </w:tc>
        <w:tc>
          <w:tcPr>
            <w:tcW w:w="9920" w:type="dxa"/>
            <w:vAlign w:val="bottom"/>
          </w:tcPr>
          <w:p>
            <w:pPr>
              <w:ind w:left="20"/>
              <w:spacing w:after="0"/>
              <w:rPr>
                <w:sz w:val="20"/>
                <w:szCs w:val="20"/>
                <w:color w:val="auto"/>
              </w:rPr>
            </w:pPr>
            <w:r>
              <w:rPr>
                <w:rFonts w:ascii="Arial" w:cs="Arial" w:eastAsia="Arial" w:hAnsi="Arial"/>
                <w:sz w:val="18"/>
                <w:szCs w:val="18"/>
                <w:color w:val="auto"/>
              </w:rPr>
              <w:t>XBRL Taxonomy Extension Calculation Linkbase Document</w:t>
            </w:r>
          </w:p>
        </w:tc>
      </w:tr>
      <w:tr>
        <w:trPr>
          <w:trHeight w:val="567"/>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101.DEF†</w:t>
            </w:r>
          </w:p>
        </w:tc>
        <w:tc>
          <w:tcPr>
            <w:tcW w:w="9920" w:type="dxa"/>
            <w:vAlign w:val="bottom"/>
          </w:tcPr>
          <w:p>
            <w:pPr>
              <w:ind w:left="20"/>
              <w:spacing w:after="0"/>
              <w:rPr>
                <w:sz w:val="20"/>
                <w:szCs w:val="20"/>
                <w:color w:val="auto"/>
              </w:rPr>
            </w:pPr>
            <w:r>
              <w:rPr>
                <w:rFonts w:ascii="Arial" w:cs="Arial" w:eastAsia="Arial" w:hAnsi="Arial"/>
                <w:sz w:val="18"/>
                <w:szCs w:val="18"/>
                <w:color w:val="auto"/>
              </w:rPr>
              <w:t>XBRL Taxonomy Extension Definition Linkbase Document</w:t>
            </w:r>
          </w:p>
        </w:tc>
      </w:tr>
      <w:tr>
        <w:trPr>
          <w:trHeight w:val="567"/>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101.LAB†</w:t>
            </w:r>
          </w:p>
        </w:tc>
        <w:tc>
          <w:tcPr>
            <w:tcW w:w="9920" w:type="dxa"/>
            <w:vAlign w:val="bottom"/>
          </w:tcPr>
          <w:p>
            <w:pPr>
              <w:ind w:left="20"/>
              <w:spacing w:after="0"/>
              <w:rPr>
                <w:sz w:val="20"/>
                <w:szCs w:val="20"/>
                <w:color w:val="auto"/>
              </w:rPr>
            </w:pPr>
            <w:r>
              <w:rPr>
                <w:rFonts w:ascii="Arial" w:cs="Arial" w:eastAsia="Arial" w:hAnsi="Arial"/>
                <w:sz w:val="18"/>
                <w:szCs w:val="18"/>
                <w:color w:val="auto"/>
              </w:rPr>
              <w:t>XBRL Taxonomy Extension Label Linkbase Document</w:t>
            </w:r>
          </w:p>
        </w:tc>
      </w:tr>
      <w:tr>
        <w:trPr>
          <w:trHeight w:val="567"/>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101.PRE†</w:t>
            </w:r>
          </w:p>
        </w:tc>
        <w:tc>
          <w:tcPr>
            <w:tcW w:w="9920" w:type="dxa"/>
            <w:vAlign w:val="bottom"/>
          </w:tcPr>
          <w:p>
            <w:pPr>
              <w:ind w:left="2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121" w:lineRule="exact"/>
        <w:rPr>
          <w:sz w:val="20"/>
          <w:szCs w:val="20"/>
          <w:color w:val="auto"/>
        </w:rPr>
      </w:pPr>
    </w:p>
    <w:p>
      <w:pPr>
        <w:ind w:right="400" w:firstLine="8"/>
        <w:spacing w:after="0" w:line="342" w:lineRule="auto"/>
        <w:tabs>
          <w:tab w:leader="none" w:pos="357"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These certifications are not deemed filed with the Securities and Exchange Commission and are not to be incorporated by reference in any filing we make under the Securities Act of 1933 or the Securities Exchange Act of 1934, irrespective of any general incorporation language in any filings.</w:t>
      </w:r>
    </w:p>
    <w:p>
      <w:pPr>
        <w:spacing w:after="0" w:line="16" w:lineRule="exact"/>
        <w:rPr>
          <w:sz w:val="20"/>
          <w:szCs w:val="20"/>
          <w:color w:val="auto"/>
        </w:rPr>
      </w:pPr>
    </w:p>
    <w:p>
      <w:pPr>
        <w:jc w:val="both"/>
        <w:ind w:right="100" w:firstLine="8"/>
        <w:spacing w:after="0" w:line="264" w:lineRule="auto"/>
        <w:tabs>
          <w:tab w:leader="none" w:pos="27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accordance with Rule 406T of Regulation S-T, these XBRL (eXtensible Business Reporting Language) documents are furnished and not filed or a part of a registration statement or prospectus for purposes of Sections 11 or 12 of the Securities Act of 1933 or Section 18 of the Securities Exchange Act of 1934 and otherwise are not subject to liability under these sections.</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580"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u w:val="single" w:color="auto"/>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Robert P. LoCascio, certify that:</w:t>
      </w:r>
    </w:p>
    <w:p>
      <w:pPr>
        <w:spacing w:after="0" w:line="171" w:lineRule="exact"/>
        <w:rPr>
          <w:sz w:val="20"/>
          <w:szCs w:val="20"/>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LivePerson,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200" w:hanging="332"/>
        <w:spacing w:after="0" w:line="264"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sz w:val="20"/>
          <w:szCs w:val="20"/>
          <w:color w:val="auto"/>
        </w:rPr>
      </w:pPr>
    </w:p>
    <w:p>
      <w:pPr>
        <w:ind w:left="340" w:right="40" w:hanging="332"/>
        <w:spacing w:after="0" w:line="264"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340" w:right="160" w:hanging="332"/>
        <w:spacing w:after="0" w:line="264"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340" w:right="200" w:hanging="332"/>
        <w:spacing w:after="0" w:line="277"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340" w:right="260" w:hanging="332"/>
        <w:spacing w:after="0" w:line="264"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sz w:val="20"/>
          <w:szCs w:val="20"/>
          <w:color w:val="auto"/>
        </w:rPr>
      </w:pPr>
    </w:p>
    <w:p>
      <w:pPr>
        <w:ind w:left="340" w:right="320" w:hanging="332"/>
        <w:spacing w:after="0" w:line="308" w:lineRule="auto"/>
        <w:tabs>
          <w:tab w:leader="none" w:pos="3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sz w:val="20"/>
          <w:szCs w:val="20"/>
          <w:color w:val="auto"/>
        </w:rPr>
      </w:pPr>
    </w:p>
    <w:p>
      <w:pPr>
        <w:ind w:left="340" w:right="140" w:hanging="332"/>
        <w:spacing w:after="0" w:line="277"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340" w:right="380" w:hanging="332"/>
        <w:spacing w:after="0" w:line="277"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Date:</w:t>
            </w:r>
          </w:p>
        </w:tc>
        <w:tc>
          <w:tcPr>
            <w:tcW w:w="3200" w:type="dxa"/>
            <w:vAlign w:val="bottom"/>
          </w:tcPr>
          <w:p>
            <w:pPr>
              <w:ind w:left="260"/>
              <w:spacing w:after="0"/>
              <w:rPr>
                <w:sz w:val="20"/>
                <w:szCs w:val="20"/>
                <w:color w:val="auto"/>
              </w:rPr>
            </w:pPr>
            <w:r>
              <w:rPr>
                <w:rFonts w:ascii="Arial" w:cs="Arial" w:eastAsia="Arial" w:hAnsi="Arial"/>
                <w:sz w:val="18"/>
                <w:szCs w:val="18"/>
                <w:color w:val="auto"/>
              </w:rPr>
              <w:t>November 9, 2016</w:t>
            </w:r>
          </w:p>
        </w:tc>
        <w:tc>
          <w:tcPr>
            <w:tcW w:w="2340" w:type="dxa"/>
            <w:vAlign w:val="bottom"/>
          </w:tcPr>
          <w:p>
            <w:pPr>
              <w:ind w:left="1580"/>
              <w:spacing w:after="0"/>
              <w:rPr>
                <w:sz w:val="20"/>
                <w:szCs w:val="20"/>
                <w:color w:val="auto"/>
              </w:rPr>
            </w:pPr>
            <w:r>
              <w:rPr>
                <w:rFonts w:ascii="Arial" w:cs="Arial" w:eastAsia="Arial" w:hAnsi="Arial"/>
                <w:sz w:val="18"/>
                <w:szCs w:val="18"/>
                <w:color w:val="auto"/>
              </w:rPr>
              <w:t>By:</w:t>
            </w:r>
          </w:p>
        </w:tc>
        <w:tc>
          <w:tcPr>
            <w:tcW w:w="5080" w:type="dxa"/>
            <w:vAlign w:val="bottom"/>
          </w:tcPr>
          <w:p>
            <w:pPr>
              <w:ind w:left="20"/>
              <w:spacing w:after="0"/>
              <w:rPr>
                <w:sz w:val="20"/>
                <w:szCs w:val="20"/>
                <w:color w:val="auto"/>
              </w:rPr>
            </w:pPr>
            <w:r>
              <w:rPr>
                <w:rFonts w:ascii="Arial" w:cs="Arial" w:eastAsia="Arial" w:hAnsi="Arial"/>
                <w:sz w:val="18"/>
                <w:szCs w:val="18"/>
                <w:color w:val="auto"/>
              </w:rPr>
              <w:t>/s/ ROBERT P. LOCASCIO</w:t>
            </w:r>
          </w:p>
        </w:tc>
        <w:tc>
          <w:tcPr>
            <w:tcW w:w="0" w:type="dxa"/>
            <w:vAlign w:val="bottom"/>
          </w:tcPr>
          <w:p>
            <w:pPr>
              <w:spacing w:after="0"/>
              <w:rPr>
                <w:sz w:val="1"/>
                <w:szCs w:val="1"/>
                <w:color w:val="auto"/>
              </w:rPr>
            </w:pPr>
          </w:p>
        </w:tc>
      </w:tr>
      <w:tr>
        <w:trPr>
          <w:trHeight w:val="27"/>
        </w:trPr>
        <w:tc>
          <w:tcPr>
            <w:tcW w:w="640" w:type="dxa"/>
            <w:vAlign w:val="bottom"/>
          </w:tcPr>
          <w:p>
            <w:pPr>
              <w:spacing w:after="0"/>
              <w:rPr>
                <w:sz w:val="2"/>
                <w:szCs w:val="2"/>
                <w:color w:val="auto"/>
              </w:rPr>
            </w:pPr>
          </w:p>
        </w:tc>
        <w:tc>
          <w:tcPr>
            <w:tcW w:w="3200" w:type="dxa"/>
            <w:vAlign w:val="bottom"/>
          </w:tcPr>
          <w:p>
            <w:pPr>
              <w:spacing w:after="0"/>
              <w:rPr>
                <w:sz w:val="2"/>
                <w:szCs w:val="2"/>
                <w:color w:val="auto"/>
              </w:rPr>
            </w:pPr>
          </w:p>
        </w:tc>
        <w:tc>
          <w:tcPr>
            <w:tcW w:w="2340" w:type="dxa"/>
            <w:vAlign w:val="bottom"/>
            <w:vMerge w:val="restart"/>
          </w:tcPr>
          <w:p>
            <w:pPr>
              <w:ind w:left="1580"/>
              <w:spacing w:after="0"/>
              <w:rPr>
                <w:sz w:val="20"/>
                <w:szCs w:val="20"/>
                <w:color w:val="auto"/>
              </w:rPr>
            </w:pPr>
            <w:r>
              <w:rPr>
                <w:rFonts w:ascii="Arial" w:cs="Arial" w:eastAsia="Arial" w:hAnsi="Arial"/>
                <w:sz w:val="18"/>
                <w:szCs w:val="18"/>
                <w:color w:val="auto"/>
              </w:rPr>
              <w:t>Name:</w:t>
            </w:r>
          </w:p>
        </w:tc>
        <w:tc>
          <w:tcPr>
            <w:tcW w:w="5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4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2340" w:type="dxa"/>
            <w:vAlign w:val="bottom"/>
            <w:vMerge w:val="continue"/>
          </w:tcPr>
          <w:p>
            <w:pPr>
              <w:spacing w:after="0"/>
              <w:rPr>
                <w:sz w:val="20"/>
                <w:szCs w:val="20"/>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Robert P. LoCascio</w:t>
            </w:r>
          </w:p>
        </w:tc>
        <w:tc>
          <w:tcPr>
            <w:tcW w:w="0" w:type="dxa"/>
            <w:vAlign w:val="bottom"/>
          </w:tcPr>
          <w:p>
            <w:pPr>
              <w:spacing w:after="0"/>
              <w:rPr>
                <w:sz w:val="1"/>
                <w:szCs w:val="1"/>
                <w:color w:val="auto"/>
              </w:rPr>
            </w:pPr>
          </w:p>
        </w:tc>
      </w:tr>
      <w:tr>
        <w:trPr>
          <w:trHeight w:val="270"/>
        </w:trPr>
        <w:tc>
          <w:tcPr>
            <w:tcW w:w="640" w:type="dxa"/>
            <w:vAlign w:val="bottom"/>
          </w:tcPr>
          <w:p>
            <w:pPr>
              <w:spacing w:after="0"/>
              <w:rPr>
                <w:sz w:val="23"/>
                <w:szCs w:val="23"/>
                <w:color w:val="auto"/>
              </w:rPr>
            </w:pPr>
          </w:p>
        </w:tc>
        <w:tc>
          <w:tcPr>
            <w:tcW w:w="3200" w:type="dxa"/>
            <w:vAlign w:val="bottom"/>
          </w:tcPr>
          <w:p>
            <w:pPr>
              <w:spacing w:after="0"/>
              <w:rPr>
                <w:sz w:val="23"/>
                <w:szCs w:val="23"/>
                <w:color w:val="auto"/>
              </w:rPr>
            </w:pPr>
          </w:p>
        </w:tc>
        <w:tc>
          <w:tcPr>
            <w:tcW w:w="2340" w:type="dxa"/>
            <w:vAlign w:val="bottom"/>
          </w:tcPr>
          <w:p>
            <w:pPr>
              <w:ind w:left="1580"/>
              <w:spacing w:after="0"/>
              <w:rPr>
                <w:sz w:val="20"/>
                <w:szCs w:val="20"/>
                <w:color w:val="auto"/>
              </w:rPr>
            </w:pPr>
            <w:r>
              <w:rPr>
                <w:rFonts w:ascii="Arial" w:cs="Arial" w:eastAsia="Arial" w:hAnsi="Arial"/>
                <w:sz w:val="18"/>
                <w:szCs w:val="18"/>
                <w:color w:val="auto"/>
              </w:rPr>
              <w:t>Title:</w:t>
            </w:r>
          </w:p>
        </w:tc>
        <w:tc>
          <w:tcPr>
            <w:tcW w:w="5080" w:type="dxa"/>
            <w:vAlign w:val="bottom"/>
          </w:tcPr>
          <w:p>
            <w:pPr>
              <w:ind w:left="20"/>
              <w:spacing w:after="0"/>
              <w:rPr>
                <w:sz w:val="20"/>
                <w:szCs w:val="20"/>
                <w:color w:val="auto"/>
              </w:rPr>
            </w:pPr>
            <w:r>
              <w:rPr>
                <w:rFonts w:ascii="Arial" w:cs="Arial" w:eastAsia="Arial" w:hAnsi="Arial"/>
                <w:sz w:val="18"/>
                <w:szCs w:val="18"/>
                <w:color w:val="auto"/>
              </w:rPr>
              <w:t>Chief Executive Officer (principal executive officer)</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u w:val="single" w:color="auto"/>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Daniel R. Murphy, certify that:</w:t>
      </w:r>
    </w:p>
    <w:p>
      <w:pPr>
        <w:spacing w:after="0" w:line="171"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LivePerson,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200" w:hanging="332"/>
        <w:spacing w:after="0" w:line="264"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sz w:val="20"/>
          <w:szCs w:val="20"/>
          <w:color w:val="auto"/>
        </w:rPr>
      </w:pPr>
    </w:p>
    <w:p>
      <w:pPr>
        <w:ind w:left="340" w:right="40" w:hanging="332"/>
        <w:spacing w:after="0" w:line="264"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340" w:right="160" w:hanging="332"/>
        <w:spacing w:after="0" w:line="264"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340" w:right="200" w:hanging="332"/>
        <w:spacing w:after="0" w:line="277"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340" w:right="260" w:hanging="332"/>
        <w:spacing w:after="0" w:line="264"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sz w:val="20"/>
          <w:szCs w:val="20"/>
          <w:color w:val="auto"/>
        </w:rPr>
      </w:pPr>
    </w:p>
    <w:p>
      <w:pPr>
        <w:ind w:left="340" w:right="320" w:hanging="332"/>
        <w:spacing w:after="0" w:line="308" w:lineRule="auto"/>
        <w:tabs>
          <w:tab w:leader="none" w:pos="3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sz w:val="20"/>
          <w:szCs w:val="20"/>
          <w:color w:val="auto"/>
        </w:rPr>
      </w:pPr>
    </w:p>
    <w:p>
      <w:pPr>
        <w:ind w:left="340" w:right="140" w:hanging="332"/>
        <w:spacing w:after="0" w:line="277" w:lineRule="auto"/>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340" w:right="380" w:hanging="332"/>
        <w:spacing w:after="0" w:line="277" w:lineRule="auto"/>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Date:</w:t>
            </w:r>
          </w:p>
        </w:tc>
        <w:tc>
          <w:tcPr>
            <w:tcW w:w="3080" w:type="dxa"/>
            <w:vAlign w:val="bottom"/>
          </w:tcPr>
          <w:p>
            <w:pPr>
              <w:ind w:left="260"/>
              <w:spacing w:after="0"/>
              <w:rPr>
                <w:sz w:val="20"/>
                <w:szCs w:val="20"/>
                <w:color w:val="auto"/>
              </w:rPr>
            </w:pPr>
            <w:r>
              <w:rPr>
                <w:rFonts w:ascii="Arial" w:cs="Arial" w:eastAsia="Arial" w:hAnsi="Arial"/>
                <w:sz w:val="18"/>
                <w:szCs w:val="18"/>
                <w:color w:val="auto"/>
              </w:rPr>
              <w:t>November 9, 2016</w:t>
            </w:r>
          </w:p>
        </w:tc>
        <w:tc>
          <w:tcPr>
            <w:tcW w:w="2240" w:type="dxa"/>
            <w:vAlign w:val="bottom"/>
          </w:tcPr>
          <w:p>
            <w:pPr>
              <w:ind w:left="1480"/>
              <w:spacing w:after="0"/>
              <w:rPr>
                <w:sz w:val="20"/>
                <w:szCs w:val="20"/>
                <w:color w:val="auto"/>
              </w:rPr>
            </w:pPr>
            <w:r>
              <w:rPr>
                <w:rFonts w:ascii="Arial" w:cs="Arial" w:eastAsia="Arial" w:hAnsi="Arial"/>
                <w:sz w:val="18"/>
                <w:szCs w:val="18"/>
                <w:color w:val="auto"/>
              </w:rPr>
              <w:t>By:</w:t>
            </w:r>
          </w:p>
        </w:tc>
        <w:tc>
          <w:tcPr>
            <w:tcW w:w="5300" w:type="dxa"/>
            <w:vAlign w:val="bottom"/>
          </w:tcPr>
          <w:p>
            <w:pPr>
              <w:ind w:left="20"/>
              <w:spacing w:after="0"/>
              <w:rPr>
                <w:sz w:val="20"/>
                <w:szCs w:val="20"/>
                <w:color w:val="auto"/>
              </w:rPr>
            </w:pPr>
            <w:r>
              <w:rPr>
                <w:rFonts w:ascii="Arial" w:cs="Arial" w:eastAsia="Arial" w:hAnsi="Arial"/>
                <w:sz w:val="18"/>
                <w:szCs w:val="18"/>
                <w:color w:val="auto"/>
              </w:rPr>
              <w:t>/s/ DANIEL R. MURPHY</w:t>
            </w:r>
          </w:p>
        </w:tc>
        <w:tc>
          <w:tcPr>
            <w:tcW w:w="0" w:type="dxa"/>
            <w:vAlign w:val="bottom"/>
          </w:tcPr>
          <w:p>
            <w:pPr>
              <w:spacing w:after="0"/>
              <w:rPr>
                <w:sz w:val="1"/>
                <w:szCs w:val="1"/>
                <w:color w:val="auto"/>
              </w:rPr>
            </w:pPr>
          </w:p>
        </w:tc>
      </w:tr>
      <w:tr>
        <w:trPr>
          <w:trHeight w:val="27"/>
        </w:trPr>
        <w:tc>
          <w:tcPr>
            <w:tcW w:w="640" w:type="dxa"/>
            <w:vAlign w:val="bottom"/>
          </w:tcPr>
          <w:p>
            <w:pPr>
              <w:spacing w:after="0"/>
              <w:rPr>
                <w:sz w:val="2"/>
                <w:szCs w:val="2"/>
                <w:color w:val="auto"/>
              </w:rPr>
            </w:pPr>
          </w:p>
        </w:tc>
        <w:tc>
          <w:tcPr>
            <w:tcW w:w="3080" w:type="dxa"/>
            <w:vAlign w:val="bottom"/>
          </w:tcPr>
          <w:p>
            <w:pPr>
              <w:spacing w:after="0"/>
              <w:rPr>
                <w:sz w:val="2"/>
                <w:szCs w:val="2"/>
                <w:color w:val="auto"/>
              </w:rPr>
            </w:pPr>
          </w:p>
        </w:tc>
        <w:tc>
          <w:tcPr>
            <w:tcW w:w="2240" w:type="dxa"/>
            <w:vAlign w:val="bottom"/>
            <w:vMerge w:val="restart"/>
          </w:tcPr>
          <w:p>
            <w:pPr>
              <w:ind w:left="1480"/>
              <w:spacing w:after="0"/>
              <w:rPr>
                <w:sz w:val="20"/>
                <w:szCs w:val="20"/>
                <w:color w:val="auto"/>
              </w:rPr>
            </w:pPr>
            <w:r>
              <w:rPr>
                <w:rFonts w:ascii="Arial" w:cs="Arial" w:eastAsia="Arial" w:hAnsi="Arial"/>
                <w:sz w:val="18"/>
                <w:szCs w:val="18"/>
                <w:color w:val="auto"/>
              </w:rPr>
              <w:t>Name:</w:t>
            </w:r>
          </w:p>
        </w:tc>
        <w:tc>
          <w:tcPr>
            <w:tcW w:w="5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4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240" w:type="dxa"/>
            <w:vAlign w:val="bottom"/>
            <w:vMerge w:val="continue"/>
          </w:tcPr>
          <w:p>
            <w:pPr>
              <w:spacing w:after="0"/>
              <w:rPr>
                <w:sz w:val="20"/>
                <w:szCs w:val="20"/>
                <w:color w:val="auto"/>
              </w:rPr>
            </w:pPr>
          </w:p>
        </w:tc>
        <w:tc>
          <w:tcPr>
            <w:tcW w:w="5300" w:type="dxa"/>
            <w:vAlign w:val="bottom"/>
          </w:tcPr>
          <w:p>
            <w:pPr>
              <w:ind w:left="20"/>
              <w:spacing w:after="0"/>
              <w:rPr>
                <w:sz w:val="20"/>
                <w:szCs w:val="20"/>
                <w:color w:val="auto"/>
              </w:rPr>
            </w:pPr>
            <w:r>
              <w:rPr>
                <w:rFonts w:ascii="Arial" w:cs="Arial" w:eastAsia="Arial" w:hAnsi="Arial"/>
                <w:sz w:val="18"/>
                <w:szCs w:val="18"/>
                <w:color w:val="auto"/>
              </w:rPr>
              <w:t>Daniel R. Murphy</w:t>
            </w:r>
          </w:p>
        </w:tc>
        <w:tc>
          <w:tcPr>
            <w:tcW w:w="0" w:type="dxa"/>
            <w:vAlign w:val="bottom"/>
          </w:tcPr>
          <w:p>
            <w:pPr>
              <w:spacing w:after="0"/>
              <w:rPr>
                <w:sz w:val="1"/>
                <w:szCs w:val="1"/>
                <w:color w:val="auto"/>
              </w:rPr>
            </w:pPr>
          </w:p>
        </w:tc>
      </w:tr>
      <w:tr>
        <w:trPr>
          <w:trHeight w:val="270"/>
        </w:trPr>
        <w:tc>
          <w:tcPr>
            <w:tcW w:w="640" w:type="dxa"/>
            <w:vAlign w:val="bottom"/>
          </w:tcPr>
          <w:p>
            <w:pPr>
              <w:spacing w:after="0"/>
              <w:rPr>
                <w:sz w:val="23"/>
                <w:szCs w:val="23"/>
                <w:color w:val="auto"/>
              </w:rPr>
            </w:pPr>
          </w:p>
        </w:tc>
        <w:tc>
          <w:tcPr>
            <w:tcW w:w="3080" w:type="dxa"/>
            <w:vAlign w:val="bottom"/>
          </w:tcPr>
          <w:p>
            <w:pPr>
              <w:spacing w:after="0"/>
              <w:rPr>
                <w:sz w:val="23"/>
                <w:szCs w:val="23"/>
                <w:color w:val="auto"/>
              </w:rPr>
            </w:pPr>
          </w:p>
        </w:tc>
        <w:tc>
          <w:tcPr>
            <w:tcW w:w="2240" w:type="dxa"/>
            <w:vAlign w:val="bottom"/>
          </w:tcPr>
          <w:p>
            <w:pPr>
              <w:ind w:left="1480"/>
              <w:spacing w:after="0"/>
              <w:rPr>
                <w:sz w:val="20"/>
                <w:szCs w:val="20"/>
                <w:color w:val="auto"/>
              </w:rPr>
            </w:pPr>
            <w:r>
              <w:rPr>
                <w:rFonts w:ascii="Arial" w:cs="Arial" w:eastAsia="Arial" w:hAnsi="Arial"/>
                <w:sz w:val="18"/>
                <w:szCs w:val="18"/>
                <w:color w:val="auto"/>
              </w:rPr>
              <w:t>Title:</w:t>
            </w:r>
          </w:p>
        </w:tc>
        <w:tc>
          <w:tcPr>
            <w:tcW w:w="5300" w:type="dxa"/>
            <w:vAlign w:val="bottom"/>
          </w:tcPr>
          <w:p>
            <w:pPr>
              <w:ind w:left="20"/>
              <w:spacing w:after="0"/>
              <w:rPr>
                <w:sz w:val="20"/>
                <w:szCs w:val="20"/>
                <w:color w:val="auto"/>
              </w:rPr>
            </w:pPr>
            <w:r>
              <w:rPr>
                <w:rFonts w:ascii="Arial" w:cs="Arial" w:eastAsia="Arial" w:hAnsi="Arial"/>
                <w:sz w:val="18"/>
                <w:szCs w:val="18"/>
                <w:color w:val="auto"/>
              </w:rPr>
              <w:t>Chief Financial Officer (principal financial officer)</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u w:val="single" w:color="auto"/>
          <w:color w:val="auto"/>
        </w:rPr>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I, Robert P. LoCascio, Chief Executive Officer of LivePerson, Inc. (the “Company”), certify, pursuant to 18 U.S.C. Section 1350, as adopted pursuant to</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Section 906 of the Sarbanes-Oxley Act of 2002, that:</w:t>
      </w:r>
    </w:p>
    <w:p>
      <w:pPr>
        <w:spacing w:after="0" w:line="157" w:lineRule="exact"/>
        <w:rPr>
          <w:sz w:val="20"/>
          <w:szCs w:val="20"/>
          <w:color w:val="auto"/>
        </w:rPr>
      </w:pPr>
    </w:p>
    <w:p>
      <w:pPr>
        <w:jc w:val="both"/>
        <w:ind w:left="660" w:right="940" w:hanging="328"/>
        <w:spacing w:after="0" w:line="342" w:lineRule="auto"/>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Quarterly Report of the Company on Form 10-Q for the period ended September 30, 2016, as filed with the Securities and Exchange Commission (the “Report”), fully complies with the requirements of Section 13(a) or 15(d) of the Securities Exchange Act of 1934; and</w:t>
      </w:r>
    </w:p>
    <w:p>
      <w:pPr>
        <w:spacing w:after="0" w:line="69" w:lineRule="exact"/>
        <w:rPr>
          <w:rFonts w:ascii="Arial" w:cs="Arial" w:eastAsia="Arial" w:hAnsi="Arial"/>
          <w:sz w:val="16"/>
          <w:szCs w:val="16"/>
          <w:color w:val="auto"/>
        </w:rPr>
      </w:pPr>
    </w:p>
    <w:p>
      <w:pPr>
        <w:ind w:left="660" w:hanging="328"/>
        <w:spacing w:after="0"/>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64" w:lineRule="exact"/>
        <w:rPr>
          <w:sz w:val="20"/>
          <w:szCs w:val="20"/>
          <w:color w:val="auto"/>
        </w:rPr>
      </w:pPr>
    </w:p>
    <w:tbl>
      <w:tblPr>
        <w:tblLayout w:type="fixed"/>
        <w:tblInd w:w="18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3160" w:type="dxa"/>
            <w:vAlign w:val="bottom"/>
          </w:tcPr>
          <w:p>
            <w:pPr>
              <w:ind w:left="200"/>
              <w:spacing w:after="0"/>
              <w:rPr>
                <w:sz w:val="20"/>
                <w:szCs w:val="20"/>
                <w:color w:val="auto"/>
              </w:rPr>
            </w:pPr>
            <w:r>
              <w:rPr>
                <w:rFonts w:ascii="Arial" w:cs="Arial" w:eastAsia="Arial" w:hAnsi="Arial"/>
                <w:sz w:val="18"/>
                <w:szCs w:val="18"/>
                <w:color w:val="auto"/>
              </w:rPr>
              <w:t>November 9, 2016</w:t>
            </w:r>
          </w:p>
        </w:tc>
        <w:tc>
          <w:tcPr>
            <w:tcW w:w="2360" w:type="dxa"/>
            <w:vAlign w:val="bottom"/>
          </w:tcPr>
          <w:p>
            <w:pPr>
              <w:ind w:left="1620"/>
              <w:spacing w:after="0"/>
              <w:rPr>
                <w:sz w:val="20"/>
                <w:szCs w:val="20"/>
                <w:color w:val="auto"/>
              </w:rPr>
            </w:pPr>
            <w:r>
              <w:rPr>
                <w:rFonts w:ascii="Arial" w:cs="Arial" w:eastAsia="Arial" w:hAnsi="Arial"/>
                <w:sz w:val="18"/>
                <w:szCs w:val="18"/>
                <w:color w:val="auto"/>
              </w:rPr>
              <w:t>By:</w:t>
            </w:r>
          </w:p>
        </w:tc>
        <w:tc>
          <w:tcPr>
            <w:tcW w:w="5000" w:type="dxa"/>
            <w:vAlign w:val="bottom"/>
          </w:tcPr>
          <w:p>
            <w:pPr>
              <w:ind w:left="20"/>
              <w:spacing w:after="0"/>
              <w:rPr>
                <w:sz w:val="20"/>
                <w:szCs w:val="20"/>
                <w:color w:val="auto"/>
              </w:rPr>
            </w:pPr>
            <w:r>
              <w:rPr>
                <w:rFonts w:ascii="Arial" w:cs="Arial" w:eastAsia="Arial" w:hAnsi="Arial"/>
                <w:sz w:val="18"/>
                <w:szCs w:val="18"/>
                <w:color w:val="auto"/>
              </w:rPr>
              <w:t>/s/ ROBERT P. LOCASCIO</w:t>
            </w:r>
          </w:p>
        </w:tc>
        <w:tc>
          <w:tcPr>
            <w:tcW w:w="0" w:type="dxa"/>
            <w:vAlign w:val="bottom"/>
          </w:tcPr>
          <w:p>
            <w:pPr>
              <w:spacing w:after="0"/>
              <w:rPr>
                <w:sz w:val="1"/>
                <w:szCs w:val="1"/>
                <w:color w:val="auto"/>
              </w:rPr>
            </w:pPr>
          </w:p>
        </w:tc>
      </w:tr>
      <w:tr>
        <w:trPr>
          <w:trHeight w:val="27"/>
        </w:trPr>
        <w:tc>
          <w:tcPr>
            <w:tcW w:w="580" w:type="dxa"/>
            <w:vAlign w:val="bottom"/>
          </w:tcPr>
          <w:p>
            <w:pPr>
              <w:spacing w:after="0"/>
              <w:rPr>
                <w:sz w:val="2"/>
                <w:szCs w:val="2"/>
                <w:color w:val="auto"/>
              </w:rPr>
            </w:pPr>
          </w:p>
        </w:tc>
        <w:tc>
          <w:tcPr>
            <w:tcW w:w="3160" w:type="dxa"/>
            <w:vAlign w:val="bottom"/>
          </w:tcPr>
          <w:p>
            <w:pPr>
              <w:spacing w:after="0"/>
              <w:rPr>
                <w:sz w:val="2"/>
                <w:szCs w:val="2"/>
                <w:color w:val="auto"/>
              </w:rPr>
            </w:pPr>
          </w:p>
        </w:tc>
        <w:tc>
          <w:tcPr>
            <w:tcW w:w="2360" w:type="dxa"/>
            <w:vAlign w:val="bottom"/>
            <w:vMerge w:val="restart"/>
          </w:tcPr>
          <w:p>
            <w:pPr>
              <w:ind w:left="1620"/>
              <w:spacing w:after="0"/>
              <w:rPr>
                <w:sz w:val="20"/>
                <w:szCs w:val="20"/>
                <w:color w:val="auto"/>
              </w:rPr>
            </w:pPr>
            <w:r>
              <w:rPr>
                <w:rFonts w:ascii="Arial" w:cs="Arial" w:eastAsia="Arial" w:hAnsi="Arial"/>
                <w:sz w:val="18"/>
                <w:szCs w:val="18"/>
                <w:color w:val="auto"/>
              </w:rPr>
              <w:t>Name:</w:t>
            </w:r>
          </w:p>
        </w:tc>
        <w:tc>
          <w:tcPr>
            <w:tcW w:w="5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2360" w:type="dxa"/>
            <w:vAlign w:val="bottom"/>
            <w:vMerge w:val="continue"/>
          </w:tcPr>
          <w:p>
            <w:pPr>
              <w:spacing w:after="0"/>
              <w:rPr>
                <w:sz w:val="20"/>
                <w:szCs w:val="20"/>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Robert P. LoCascio</w:t>
            </w: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3160" w:type="dxa"/>
            <w:vAlign w:val="bottom"/>
          </w:tcPr>
          <w:p>
            <w:pPr>
              <w:spacing w:after="0"/>
              <w:rPr>
                <w:sz w:val="23"/>
                <w:szCs w:val="23"/>
                <w:color w:val="auto"/>
              </w:rPr>
            </w:pPr>
          </w:p>
        </w:tc>
        <w:tc>
          <w:tcPr>
            <w:tcW w:w="2360" w:type="dxa"/>
            <w:vAlign w:val="bottom"/>
          </w:tcPr>
          <w:p>
            <w:pPr>
              <w:ind w:left="1620"/>
              <w:spacing w:after="0"/>
              <w:rPr>
                <w:sz w:val="20"/>
                <w:szCs w:val="20"/>
                <w:color w:val="auto"/>
              </w:rPr>
            </w:pPr>
            <w:r>
              <w:rPr>
                <w:rFonts w:ascii="Arial" w:cs="Arial" w:eastAsia="Arial" w:hAnsi="Arial"/>
                <w:sz w:val="18"/>
                <w:szCs w:val="18"/>
                <w:color w:val="auto"/>
              </w:rPr>
              <w:t>Title:</w:t>
            </w:r>
          </w:p>
        </w:tc>
        <w:tc>
          <w:tcPr>
            <w:tcW w:w="5000" w:type="dxa"/>
            <w:vAlign w:val="bottom"/>
          </w:tcPr>
          <w:p>
            <w:pPr>
              <w:ind w:left="20"/>
              <w:spacing w:after="0"/>
              <w:rPr>
                <w:sz w:val="20"/>
                <w:szCs w:val="20"/>
                <w:color w:val="auto"/>
              </w:rPr>
            </w:pPr>
            <w:r>
              <w:rPr>
                <w:rFonts w:ascii="Arial" w:cs="Arial" w:eastAsia="Arial" w:hAnsi="Arial"/>
                <w:sz w:val="18"/>
                <w:szCs w:val="18"/>
                <w:color w:val="auto"/>
              </w:rPr>
              <w:t>Chief Executive Officer (principal executive officer)</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i w:val="1"/>
          <w:iCs w:val="1"/>
          <w:color w:val="auto"/>
        </w:rPr>
        <w:t>This certification shall not be deemed “filed” for purposes of Section 18 of the Securities Exchange Act of 1934, or otherwise subject to the liability of that section, nor shall it be deemed to be incorporated by reference into any filing under the Securities Act of 1933 or the Securities Exchange Act of 1934, except to the extent the Company specifically incorporates it by reference.</w:t>
      </w:r>
    </w:p>
    <w:p>
      <w:pPr>
        <w:sectPr>
          <w:pgSz w:w="11900" w:h="16838" w:orient="portrait"/>
          <w:cols w:equalWidth="0" w:num="1">
            <w:col w:w="11420"/>
          </w:cols>
          <w:pgMar w:left="240" w:top="125"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u w:val="single" w:color="auto"/>
          <w:color w:val="auto"/>
        </w:rPr>
        <w:t>Exhibit 32.2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0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 Daniel R. Murphy, Chief Financial Officer of LivePerson, Inc. (the “Company”), certify, pursuant to 18 U.S.C. Section 1350, as adopted pursuant to Section 906 of the Sarbanes-Oxley Act of 2002, that:</w:t>
      </w:r>
    </w:p>
    <w:p>
      <w:pPr>
        <w:spacing w:after="0" w:line="116" w:lineRule="exact"/>
        <w:rPr>
          <w:sz w:val="20"/>
          <w:szCs w:val="20"/>
          <w:color w:val="auto"/>
        </w:rPr>
      </w:pPr>
    </w:p>
    <w:p>
      <w:pPr>
        <w:jc w:val="both"/>
        <w:ind w:left="660" w:right="940" w:hanging="328"/>
        <w:spacing w:after="0" w:line="342" w:lineRule="auto"/>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Quarterly Report of the Company on Form 10-Q for the period ended September 30, 2016, as filed with the Securities and Exchange Commission (the “Report”), fully complies with the requirements of Section 13(a) or 15(d) of the Securities Exchange Act of 1934; and</w:t>
      </w:r>
    </w:p>
    <w:p>
      <w:pPr>
        <w:spacing w:after="0" w:line="69" w:lineRule="exact"/>
        <w:rPr>
          <w:rFonts w:ascii="Arial" w:cs="Arial" w:eastAsia="Arial" w:hAnsi="Arial"/>
          <w:sz w:val="16"/>
          <w:szCs w:val="16"/>
          <w:color w:val="auto"/>
        </w:rPr>
      </w:pPr>
    </w:p>
    <w:p>
      <w:pPr>
        <w:ind w:left="660" w:hanging="328"/>
        <w:spacing w:after="0"/>
        <w:tabs>
          <w:tab w:leader="none" w:pos="6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64" w:lineRule="exact"/>
        <w:rPr>
          <w:sz w:val="20"/>
          <w:szCs w:val="20"/>
          <w:color w:val="auto"/>
        </w:rPr>
      </w:pPr>
    </w:p>
    <w:tbl>
      <w:tblPr>
        <w:tblLayout w:type="fixed"/>
        <w:tblInd w:w="14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Date:</w:t>
            </w:r>
          </w:p>
        </w:tc>
        <w:tc>
          <w:tcPr>
            <w:tcW w:w="3280" w:type="dxa"/>
            <w:vAlign w:val="bottom"/>
          </w:tcPr>
          <w:p>
            <w:pPr>
              <w:ind w:left="300"/>
              <w:spacing w:after="0"/>
              <w:rPr>
                <w:sz w:val="20"/>
                <w:szCs w:val="20"/>
                <w:color w:val="auto"/>
              </w:rPr>
            </w:pPr>
            <w:r>
              <w:rPr>
                <w:rFonts w:ascii="Arial" w:cs="Arial" w:eastAsia="Arial" w:hAnsi="Arial"/>
                <w:sz w:val="18"/>
                <w:szCs w:val="18"/>
                <w:color w:val="auto"/>
              </w:rPr>
              <w:t>November 9, 2016</w:t>
            </w:r>
          </w:p>
        </w:tc>
        <w:tc>
          <w:tcPr>
            <w:tcW w:w="2400" w:type="dxa"/>
            <w:vAlign w:val="bottom"/>
          </w:tcPr>
          <w:p>
            <w:pPr>
              <w:ind w:left="1640"/>
              <w:spacing w:after="0"/>
              <w:rPr>
                <w:sz w:val="20"/>
                <w:szCs w:val="20"/>
                <w:color w:val="auto"/>
              </w:rPr>
            </w:pPr>
            <w:r>
              <w:rPr>
                <w:rFonts w:ascii="Arial" w:cs="Arial" w:eastAsia="Arial" w:hAnsi="Arial"/>
                <w:sz w:val="18"/>
                <w:szCs w:val="18"/>
                <w:color w:val="auto"/>
              </w:rPr>
              <w:t>By:</w:t>
            </w:r>
          </w:p>
        </w:tc>
        <w:tc>
          <w:tcPr>
            <w:tcW w:w="4800" w:type="dxa"/>
            <w:vAlign w:val="bottom"/>
          </w:tcPr>
          <w:p>
            <w:pPr>
              <w:ind w:left="20"/>
              <w:spacing w:after="0"/>
              <w:rPr>
                <w:sz w:val="20"/>
                <w:szCs w:val="20"/>
                <w:color w:val="auto"/>
              </w:rPr>
            </w:pPr>
            <w:r>
              <w:rPr>
                <w:rFonts w:ascii="Arial" w:cs="Arial" w:eastAsia="Arial" w:hAnsi="Arial"/>
                <w:sz w:val="18"/>
                <w:szCs w:val="18"/>
                <w:color w:val="auto"/>
              </w:rPr>
              <w:t>/s/ DANIEL R. MURPHY</w:t>
            </w: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3280" w:type="dxa"/>
            <w:vAlign w:val="bottom"/>
          </w:tcPr>
          <w:p>
            <w:pPr>
              <w:spacing w:after="0"/>
              <w:rPr>
                <w:sz w:val="2"/>
                <w:szCs w:val="2"/>
                <w:color w:val="auto"/>
              </w:rPr>
            </w:pPr>
          </w:p>
        </w:tc>
        <w:tc>
          <w:tcPr>
            <w:tcW w:w="2400" w:type="dxa"/>
            <w:vAlign w:val="bottom"/>
            <w:vMerge w:val="restart"/>
          </w:tcPr>
          <w:p>
            <w:pPr>
              <w:ind w:left="1640"/>
              <w:spacing w:after="0"/>
              <w:rPr>
                <w:sz w:val="20"/>
                <w:szCs w:val="20"/>
                <w:color w:val="auto"/>
              </w:rPr>
            </w:pPr>
            <w:r>
              <w:rPr>
                <w:rFonts w:ascii="Arial" w:cs="Arial" w:eastAsia="Arial" w:hAnsi="Arial"/>
                <w:sz w:val="18"/>
                <w:szCs w:val="18"/>
                <w:color w:val="auto"/>
              </w:rPr>
              <w:t>Name:</w:t>
            </w:r>
          </w:p>
        </w:tc>
        <w:tc>
          <w:tcPr>
            <w:tcW w:w="4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400" w:type="dxa"/>
            <w:vAlign w:val="bottom"/>
            <w:vMerge w:val="continue"/>
          </w:tcPr>
          <w:p>
            <w:pPr>
              <w:spacing w:after="0"/>
              <w:rPr>
                <w:sz w:val="20"/>
                <w:szCs w:val="20"/>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Daniel R. Murphy</w:t>
            </w:r>
          </w:p>
        </w:tc>
        <w:tc>
          <w:tcPr>
            <w:tcW w:w="0" w:type="dxa"/>
            <w:vAlign w:val="bottom"/>
          </w:tcPr>
          <w:p>
            <w:pPr>
              <w:spacing w:after="0"/>
              <w:rPr>
                <w:sz w:val="1"/>
                <w:szCs w:val="1"/>
                <w:color w:val="auto"/>
              </w:rPr>
            </w:pPr>
          </w:p>
        </w:tc>
      </w:tr>
      <w:tr>
        <w:trPr>
          <w:trHeight w:val="270"/>
        </w:trPr>
        <w:tc>
          <w:tcPr>
            <w:tcW w:w="700" w:type="dxa"/>
            <w:vAlign w:val="bottom"/>
          </w:tcPr>
          <w:p>
            <w:pPr>
              <w:spacing w:after="0"/>
              <w:rPr>
                <w:sz w:val="23"/>
                <w:szCs w:val="23"/>
                <w:color w:val="auto"/>
              </w:rPr>
            </w:pPr>
          </w:p>
        </w:tc>
        <w:tc>
          <w:tcPr>
            <w:tcW w:w="3280" w:type="dxa"/>
            <w:vAlign w:val="bottom"/>
          </w:tcPr>
          <w:p>
            <w:pPr>
              <w:spacing w:after="0"/>
              <w:rPr>
                <w:sz w:val="23"/>
                <w:szCs w:val="23"/>
                <w:color w:val="auto"/>
              </w:rPr>
            </w:pPr>
          </w:p>
        </w:tc>
        <w:tc>
          <w:tcPr>
            <w:tcW w:w="2400" w:type="dxa"/>
            <w:vAlign w:val="bottom"/>
          </w:tcPr>
          <w:p>
            <w:pPr>
              <w:ind w:left="1640"/>
              <w:spacing w:after="0"/>
              <w:rPr>
                <w:sz w:val="20"/>
                <w:szCs w:val="20"/>
                <w:color w:val="auto"/>
              </w:rPr>
            </w:pPr>
            <w:r>
              <w:rPr>
                <w:rFonts w:ascii="Arial" w:cs="Arial" w:eastAsia="Arial" w:hAnsi="Arial"/>
                <w:sz w:val="18"/>
                <w:szCs w:val="18"/>
                <w:color w:val="auto"/>
              </w:rPr>
              <w:t>Title:</w:t>
            </w:r>
          </w:p>
        </w:tc>
        <w:tc>
          <w:tcPr>
            <w:tcW w:w="4800" w:type="dxa"/>
            <w:vAlign w:val="bottom"/>
          </w:tcPr>
          <w:p>
            <w:pPr>
              <w:ind w:left="20"/>
              <w:spacing w:after="0"/>
              <w:rPr>
                <w:sz w:val="20"/>
                <w:szCs w:val="20"/>
                <w:color w:val="auto"/>
              </w:rPr>
            </w:pPr>
            <w:r>
              <w:rPr>
                <w:rFonts w:ascii="Arial" w:cs="Arial" w:eastAsia="Arial" w:hAnsi="Arial"/>
                <w:sz w:val="18"/>
                <w:szCs w:val="18"/>
                <w:color w:val="auto"/>
              </w:rPr>
              <w:t>Chief Financial Officer (principal financial officer)</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i w:val="1"/>
          <w:iCs w:val="1"/>
          <w:color w:val="auto"/>
        </w:rPr>
        <w:t>This certification shall not be deemed “filed” for purposes of Section 18 of the Securities Exchange Act of 1934, or otherwise subject to the liability of that section, nor shall it be deemed to be incorporated by reference into any filing under the Securities Act of 1933 or the Securities Exchange Act of 1934, except to the extent the Company specifically incorporates it by reference.</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1)"/>
      <w:numFmt w:val="decimal"/>
      <w:start w:val="4"/>
    </w:lvl>
  </w:abstractNum>
  <w:abstractNum w:abstractNumId="3">
    <w:nsid w:val="333AB105"/>
    <w:multiLevelType w:val="hybridMultilevel"/>
    <w:lvl w:ilvl="0">
      <w:lvlJc w:val="left"/>
      <w:lvlText w:val="%1."/>
      <w:numFmt w:val="decimal"/>
      <w:start w:val="1"/>
    </w:lvl>
  </w:abstractNum>
  <w:abstractNum w:abstractNumId="4">
    <w:nsid w:val="721DA317"/>
    <w:multiLevelType w:val="hybridMultilevel"/>
    <w:lvl w:ilvl="0">
      <w:lvlJc w:val="left"/>
      <w:lvlText w:val="%1."/>
      <w:numFmt w:val="decimal"/>
      <w:start w:val="2"/>
    </w:lvl>
  </w:abstractNum>
  <w:abstractNum w:abstractNumId="5">
    <w:nsid w:val="2443A858"/>
    <w:multiLevelType w:val="hybridMultilevel"/>
    <w:lvl w:ilvl="0">
      <w:lvlJc w:val="left"/>
      <w:lvlText w:val="%1."/>
      <w:numFmt w:val="decimal"/>
      <w:start w:val="3"/>
    </w:lvl>
  </w:abstractNum>
  <w:abstractNum w:abstractNumId="6">
    <w:nsid w:val="2D1D5AE9"/>
    <w:multiLevelType w:val="hybridMultilevel"/>
    <w:lvl w:ilvl="0">
      <w:lvlJc w:val="left"/>
      <w:lvlText w:val="%1."/>
      <w:numFmt w:val="decimal"/>
      <w:start w:val="4"/>
    </w:lvl>
  </w:abstractNum>
  <w:abstractNum w:abstractNumId="7">
    <w:nsid w:val="6763845E"/>
    <w:multiLevelType w:val="hybridMultilevel"/>
    <w:lvl w:ilvl="0">
      <w:lvlJc w:val="left"/>
      <w:lvlText w:val="(%1)"/>
      <w:numFmt w:val="decimal"/>
      <w:start w:val="1"/>
    </w:lvl>
  </w:abstractNum>
  <w:abstractNum w:abstractNumId="8">
    <w:nsid w:val="75A2A8D4"/>
    <w:multiLevelType w:val="hybridMultilevel"/>
    <w:lvl w:ilvl="0">
      <w:lvlJc w:val="left"/>
      <w:lvlText w:val="(%1)"/>
      <w:numFmt w:val="decimal"/>
      <w:start w:val="1"/>
    </w:lvl>
  </w:abstractNum>
  <w:abstractNum w:abstractNumId="9">
    <w:nsid w:val="8EDBDAB"/>
    <w:multiLevelType w:val="hybridMultilevel"/>
    <w:lvl w:ilvl="0">
      <w:lvlJc w:val="left"/>
      <w:lvlText w:val="%1."/>
      <w:numFmt w:val="decimal"/>
      <w:start w:val="5"/>
    </w:lvl>
  </w:abstractNum>
  <w:abstractNum w:abstractNumId="10">
    <w:nsid w:val="79838CB2"/>
    <w:multiLevelType w:val="hybridMultilevel"/>
    <w:lvl w:ilvl="0">
      <w:lvlJc w:val="left"/>
      <w:lvlText w:val="%1."/>
      <w:numFmt w:val="decimal"/>
      <w:start w:val="6"/>
    </w:lvl>
  </w:abstractNum>
  <w:abstractNum w:abstractNumId="11">
    <w:nsid w:val="4353D0CD"/>
    <w:multiLevelType w:val="hybridMultilevel"/>
    <w:lvl w:ilvl="0">
      <w:lvlJc w:val="left"/>
      <w:lvlText w:val="%1."/>
      <w:numFmt w:val="decimal"/>
      <w:start w:val="7"/>
    </w:lvl>
  </w:abstractNum>
  <w:abstractNum w:abstractNumId="12">
    <w:nsid w:val="B03E0C6"/>
    <w:multiLevelType w:val="hybridMultilevel"/>
    <w:lvl w:ilvl="0">
      <w:lvlJc w:val="left"/>
      <w:lvlText w:val="%1."/>
      <w:numFmt w:val="decimal"/>
      <w:start w:val="8"/>
    </w:lvl>
  </w:abstractNum>
  <w:abstractNum w:abstractNumId="13">
    <w:nsid w:val="189A769B"/>
    <w:multiLevelType w:val="hybridMultilevel"/>
    <w:lvl w:ilvl="0">
      <w:lvlJc w:val="left"/>
      <w:lvlText w:val="%1."/>
      <w:numFmt w:val="decimal"/>
      <w:start w:val="9"/>
    </w:lvl>
  </w:abstractNum>
  <w:abstractNum w:abstractNumId="14">
    <w:nsid w:val="54E49EB4"/>
    <w:multiLevelType w:val="hybridMultilevel"/>
    <w:lvl w:ilvl="0">
      <w:lvlJc w:val="left"/>
      <w:lvlText w:val="•"/>
      <w:numFmt w:val="bullet"/>
      <w:start w:val="1"/>
    </w:lvl>
  </w:abstractNum>
  <w:abstractNum w:abstractNumId="15">
    <w:nsid w:val="71F32454"/>
    <w:multiLevelType w:val="hybridMultilevel"/>
    <w:lvl w:ilvl="0">
      <w:lvlJc w:val="left"/>
      <w:lvlText w:val="•"/>
      <w:numFmt w:val="bullet"/>
      <w:start w:val="1"/>
    </w:lvl>
  </w:abstractNum>
  <w:abstractNum w:abstractNumId="16">
    <w:nsid w:val="2CA88611"/>
    <w:multiLevelType w:val="hybridMultilevel"/>
    <w:lvl w:ilvl="0">
      <w:lvlJc w:val="left"/>
      <w:lvlText w:val="•"/>
      <w:numFmt w:val="bullet"/>
      <w:start w:val="1"/>
    </w:lvl>
  </w:abstractNum>
  <w:abstractNum w:abstractNumId="17">
    <w:nsid w:val="836C40E"/>
    <w:multiLevelType w:val="hybridMultilevel"/>
    <w:lvl w:ilvl="0">
      <w:lvlJc w:val="left"/>
      <w:lvlText w:val="•"/>
      <w:numFmt w:val="bullet"/>
      <w:start w:val="1"/>
    </w:lvl>
  </w:abstractNum>
  <w:abstractNum w:abstractNumId="18">
    <w:nsid w:val="2901D82"/>
    <w:multiLevelType w:val="hybridMultilevel"/>
    <w:lvl w:ilvl="0">
      <w:lvlJc w:val="left"/>
      <w:lvlText w:val="•"/>
      <w:numFmt w:val="bullet"/>
      <w:start w:val="1"/>
    </w:lvl>
  </w:abstractNum>
  <w:abstractNum w:abstractNumId="19">
    <w:nsid w:val="3A95F874"/>
    <w:multiLevelType w:val="hybridMultilevel"/>
    <w:lvl w:ilvl="0">
      <w:lvlJc w:val="left"/>
      <w:lvlText w:val="(%1)"/>
      <w:numFmt w:val="decimal"/>
      <w:start w:val="1"/>
    </w:lvl>
  </w:abstractNum>
  <w:abstractNum w:abstractNumId="20">
    <w:nsid w:val="8138641"/>
    <w:multiLevelType w:val="hybridMultilevel"/>
    <w:lvl w:ilvl="0">
      <w:lvlJc w:val="left"/>
      <w:lvlText w:val="•"/>
      <w:numFmt w:val="bullet"/>
      <w:start w:val="1"/>
    </w:lvl>
  </w:abstractNum>
  <w:abstractNum w:abstractNumId="21">
    <w:nsid w:val="1E7FF521"/>
    <w:multiLevelType w:val="hybridMultilevel"/>
    <w:lvl w:ilvl="0">
      <w:lvlJc w:val="left"/>
      <w:lvlText w:val="(%1)"/>
      <w:numFmt w:val="decimal"/>
      <w:start w:val="1"/>
    </w:lvl>
  </w:abstractNum>
  <w:abstractNum w:abstractNumId="22">
    <w:nsid w:val="7C3DBD3D"/>
    <w:multiLevelType w:val="hybridMultilevel"/>
    <w:lvl w:ilvl="0">
      <w:lvlJc w:val="left"/>
      <w:lvlText w:val="•"/>
      <w:numFmt w:val="bullet"/>
      <w:start w:val="1"/>
    </w:lvl>
  </w:abstractNum>
  <w:abstractNum w:abstractNumId="23">
    <w:nsid w:val="737B8DDC"/>
    <w:multiLevelType w:val="hybridMultilevel"/>
    <w:lvl w:ilvl="0">
      <w:lvlJc w:val="left"/>
      <w:lvlText w:val="(%1)"/>
      <w:numFmt w:val="decimal"/>
      <w:start w:val="1"/>
    </w:lvl>
  </w:abstractNum>
  <w:abstractNum w:abstractNumId="24">
    <w:nsid w:val="6CEAF087"/>
    <w:multiLevelType w:val="hybridMultilevel"/>
    <w:lvl w:ilvl="0">
      <w:lvlJc w:val="left"/>
      <w:lvlText w:val="(%1)"/>
      <w:numFmt w:val="decimal"/>
      <w:start w:val="2"/>
    </w:lvl>
  </w:abstractNum>
  <w:abstractNum w:abstractNumId="25">
    <w:nsid w:val="22221A70"/>
    <w:multiLevelType w:val="hybridMultilevel"/>
    <w:lvl w:ilvl="0">
      <w:lvlJc w:val="left"/>
      <w:lvlText w:val="**"/>
      <w:numFmt w:val="bullet"/>
      <w:start w:val="1"/>
    </w:lvl>
  </w:abstractNum>
  <w:abstractNum w:abstractNumId="26">
    <w:nsid w:val="4516DDE9"/>
    <w:multiLevelType w:val="hybridMultilevel"/>
    <w:lvl w:ilvl="0">
      <w:lvlJc w:val="left"/>
      <w:lvlText w:val="†"/>
      <w:numFmt w:val="bullet"/>
      <w:start w:val="1"/>
    </w:lvl>
  </w:abstractNum>
  <w:abstractNum w:abstractNumId="27">
    <w:nsid w:val="3006C83E"/>
    <w:multiLevelType w:val="hybridMultilevel"/>
    <w:lvl w:ilvl="0">
      <w:lvlJc w:val="left"/>
      <w:lvlText w:val="**"/>
      <w:numFmt w:val="bullet"/>
      <w:start w:val="1"/>
    </w:lvl>
  </w:abstractNum>
  <w:abstractNum w:abstractNumId="28">
    <w:nsid w:val="614FD4A1"/>
    <w:multiLevelType w:val="hybridMultilevel"/>
    <w:lvl w:ilvl="0">
      <w:lvlJc w:val="left"/>
      <w:lvlText w:val="†"/>
      <w:numFmt w:val="bullet"/>
      <w:start w:val="1"/>
    </w:lvl>
  </w:abstractNum>
  <w:abstractNum w:abstractNumId="29">
    <w:nsid w:val="419AC241"/>
    <w:multiLevelType w:val="hybridMultilevel"/>
    <w:lvl w:ilvl="0">
      <w:lvlJc w:val="left"/>
      <w:lvlText w:val="%1."/>
      <w:numFmt w:val="decimal"/>
      <w:start w:val="1"/>
    </w:lvl>
  </w:abstractNum>
  <w:abstractNum w:abstractNumId="30">
    <w:nsid w:val="5577F8E1"/>
    <w:multiLevelType w:val="hybridMultilevel"/>
    <w:lvl w:ilvl="0">
      <w:lvlJc w:val="left"/>
      <w:lvlText w:val="(%1)"/>
      <w:numFmt w:val="lowerLetter"/>
      <w:start w:val="1"/>
    </w:lvl>
  </w:abstractNum>
  <w:abstractNum w:abstractNumId="31">
    <w:nsid w:val="440BADFC"/>
    <w:multiLevelType w:val="hybridMultilevel"/>
    <w:lvl w:ilvl="0">
      <w:lvlJc w:val="left"/>
      <w:lvlText w:val="%1."/>
      <w:numFmt w:val="decimal"/>
      <w:start w:val="5"/>
    </w:lvl>
  </w:abstractNum>
  <w:abstractNum w:abstractNumId="32">
    <w:nsid w:val="5072367"/>
    <w:multiLevelType w:val="hybridMultilevel"/>
    <w:lvl w:ilvl="0">
      <w:lvlJc w:val="left"/>
      <w:lvlText w:val="(%1)"/>
      <w:numFmt w:val="lowerLetter"/>
      <w:start w:val="1"/>
    </w:lvl>
  </w:abstractNum>
  <w:abstractNum w:abstractNumId="33">
    <w:nsid w:val="3804823E"/>
    <w:multiLevelType w:val="hybridMultilevel"/>
    <w:lvl w:ilvl="0">
      <w:lvlJc w:val="left"/>
      <w:lvlText w:val="%1."/>
      <w:numFmt w:val="decimal"/>
      <w:start w:val="1"/>
    </w:lvl>
  </w:abstractNum>
  <w:abstractNum w:abstractNumId="34">
    <w:nsid w:val="77465F01"/>
    <w:multiLevelType w:val="hybridMultilevel"/>
    <w:lvl w:ilvl="0">
      <w:lvlJc w:val="left"/>
      <w:lvlText w:val="(%1)"/>
      <w:numFmt w:val="lowerLetter"/>
      <w:start w:val="1"/>
    </w:lvl>
  </w:abstractNum>
  <w:abstractNum w:abstractNumId="35">
    <w:nsid w:val="7724C67E"/>
    <w:multiLevelType w:val="hybridMultilevel"/>
    <w:lvl w:ilvl="0">
      <w:lvlJc w:val="left"/>
      <w:lvlText w:val="%1."/>
      <w:numFmt w:val="decimal"/>
      <w:start w:val="5"/>
    </w:lvl>
  </w:abstractNum>
  <w:abstractNum w:abstractNumId="36">
    <w:nsid w:val="5C482A97"/>
    <w:multiLevelType w:val="hybridMultilevel"/>
    <w:lvl w:ilvl="0">
      <w:lvlJc w:val="left"/>
      <w:lvlText w:val="(%1)"/>
      <w:numFmt w:val="lowerLetter"/>
      <w:start w:val="1"/>
    </w:lvl>
  </w:abstractNum>
  <w:abstractNum w:abstractNumId="37">
    <w:nsid w:val="2463B9EA"/>
    <w:multiLevelType w:val="hybridMultilevel"/>
    <w:lvl w:ilvl="0">
      <w:lvlJc w:val="left"/>
      <w:lvlText w:val="(%1)"/>
      <w:numFmt w:val="decimal"/>
      <w:start w:val="1"/>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2019-12-29T09:39:56Z</dcterms:created>
  <dcterms:modified xsi:type="dcterms:W3CDTF">2019-12-29T09:39:56Z</dcterms:modified>
</cp:coreProperties>
</file>