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left="400"/>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(Mark One)</w:t>
      </w:r>
    </w:p>
    <w:p>
      <w:pPr>
        <w:ind w:left="4080" w:right="1820" w:hanging="3655"/>
        <w:spacing w:after="0" w:line="252" w:lineRule="auto"/>
        <w:tabs>
          <w:tab w:leader="none" w:pos="6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77"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2820" w:right="1800" w:hanging="2395"/>
        <w:spacing w:after="0" w:line="331" w:lineRule="auto"/>
        <w:tabs>
          <w:tab w:leader="none" w:pos="63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____________________ to ____________________</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96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Commission File Number: 000-30141</w:t>
            </w:r>
          </w:p>
        </w:tc>
        <w:tc>
          <w:tcPr>
            <w:tcW w:w="3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LIVEPERSON, INC.</w:t>
            </w:r>
          </w:p>
        </w:tc>
        <w:tc>
          <w:tcPr>
            <w:tcW w:w="3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980" w:type="dxa"/>
            <w:vAlign w:val="bottom"/>
            <w:gridSpan w:val="6"/>
          </w:tcPr>
          <w:p>
            <w:pPr>
              <w:ind w:left="200"/>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472"/>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60" w:type="dxa"/>
            <w:vAlign w:val="bottom"/>
            <w:tcBorders>
              <w:bottom w:val="single" w:sz="8" w:color="auto"/>
            </w:tcBorders>
          </w:tcPr>
          <w:p>
            <w:pPr>
              <w:jc w:val="center"/>
              <w:ind w:left="1380"/>
              <w:spacing w:after="0"/>
              <w:rPr>
                <w:sz w:val="20"/>
                <w:szCs w:val="20"/>
                <w:color w:val="auto"/>
              </w:rPr>
            </w:pPr>
            <w:r>
              <w:rPr>
                <w:rFonts w:ascii="Arial" w:cs="Arial" w:eastAsia="Arial" w:hAnsi="Arial"/>
                <w:sz w:val="16"/>
                <w:szCs w:val="16"/>
                <w:color w:val="auto"/>
                <w:w w:val="88"/>
              </w:rPr>
              <w:t>Delaware</w:t>
            </w:r>
          </w:p>
        </w:tc>
        <w:tc>
          <w:tcPr>
            <w:tcW w:w="10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381"/>
              <w:spacing w:after="0"/>
              <w:rPr>
                <w:sz w:val="20"/>
                <w:szCs w:val="20"/>
                <w:color w:val="auto"/>
              </w:rPr>
            </w:pPr>
            <w:r>
              <w:rPr>
                <w:rFonts w:ascii="Arial" w:cs="Arial" w:eastAsia="Arial" w:hAnsi="Arial"/>
                <w:sz w:val="16"/>
                <w:szCs w:val="16"/>
                <w:color w:val="auto"/>
              </w:rPr>
              <w:t>13-3861628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20" w:type="dxa"/>
            <w:vAlign w:val="bottom"/>
            <w:gridSpan w:val="4"/>
          </w:tcPr>
          <w:p>
            <w:pPr>
              <w:jc w:val="center"/>
              <w:ind w:right="1500"/>
              <w:spacing w:after="0" w:line="161" w:lineRule="exact"/>
              <w:rPr>
                <w:sz w:val="20"/>
                <w:szCs w:val="20"/>
                <w:color w:val="auto"/>
              </w:rPr>
            </w:pPr>
            <w:r>
              <w:rPr>
                <w:rFonts w:ascii="Arial" w:cs="Arial" w:eastAsia="Arial" w:hAnsi="Arial"/>
                <w:sz w:val="16"/>
                <w:szCs w:val="16"/>
                <w:color w:val="auto"/>
                <w:w w:val="91"/>
              </w:rPr>
              <w:t>(State or other jurisdiction of incorporation or</w:t>
            </w:r>
          </w:p>
        </w:tc>
        <w:tc>
          <w:tcPr>
            <w:tcW w:w="4020" w:type="dxa"/>
            <w:vAlign w:val="bottom"/>
            <w:gridSpan w:val="3"/>
            <w:vMerge w:val="restart"/>
          </w:tcPr>
          <w:p>
            <w:pPr>
              <w:jc w:val="center"/>
              <w:ind w:right="1640"/>
              <w:spacing w:after="0"/>
              <w:rPr>
                <w:sz w:val="20"/>
                <w:szCs w:val="20"/>
                <w:color w:val="auto"/>
              </w:rPr>
            </w:pPr>
            <w:r>
              <w:rPr>
                <w:rFonts w:ascii="Arial" w:cs="Arial" w:eastAsia="Arial" w:hAnsi="Arial"/>
                <w:sz w:val="16"/>
                <w:szCs w:val="16"/>
                <w:color w:val="auto"/>
                <w:w w:val="93"/>
              </w:rPr>
              <w:t>(IRS Employer Identification No.)</w:t>
            </w:r>
          </w:p>
        </w:tc>
        <w:tc>
          <w:tcPr>
            <w:tcW w:w="0" w:type="dxa"/>
            <w:vAlign w:val="bottom"/>
          </w:tcPr>
          <w:p>
            <w:pPr>
              <w:spacing w:after="0"/>
              <w:rPr>
                <w:sz w:val="1"/>
                <w:szCs w:val="1"/>
                <w:color w:val="auto"/>
              </w:rPr>
            </w:pPr>
          </w:p>
        </w:tc>
      </w:tr>
      <w:tr>
        <w:trPr>
          <w:trHeight w:val="200"/>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60" w:type="dxa"/>
            <w:vAlign w:val="bottom"/>
          </w:tcPr>
          <w:p>
            <w:pPr>
              <w:ind w:left="1640"/>
              <w:spacing w:after="0"/>
              <w:rPr>
                <w:sz w:val="20"/>
                <w:szCs w:val="20"/>
                <w:color w:val="auto"/>
              </w:rPr>
            </w:pPr>
            <w:r>
              <w:rPr>
                <w:rFonts w:ascii="Arial" w:cs="Arial" w:eastAsia="Arial" w:hAnsi="Arial"/>
                <w:sz w:val="16"/>
                <w:szCs w:val="16"/>
                <w:color w:val="auto"/>
              </w:rPr>
              <w:t>organization)</w:t>
            </w: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60" w:type="dxa"/>
            <w:vAlign w:val="bottom"/>
          </w:tcPr>
          <w:p>
            <w:pPr>
              <w:jc w:val="center"/>
              <w:ind w:left="1380"/>
              <w:spacing w:after="0"/>
              <w:rPr>
                <w:sz w:val="20"/>
                <w:szCs w:val="20"/>
                <w:color w:val="auto"/>
              </w:rPr>
            </w:pPr>
            <w:r>
              <w:rPr>
                <w:rFonts w:ascii="Arial" w:cs="Arial" w:eastAsia="Arial" w:hAnsi="Arial"/>
                <w:sz w:val="16"/>
                <w:szCs w:val="16"/>
                <w:color w:val="auto"/>
                <w:w w:val="91"/>
              </w:rPr>
              <w:t>530 7th Ave, Floor M1</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60" w:type="dxa"/>
            <w:vAlign w:val="bottom"/>
            <w:tcBorders>
              <w:bottom w:val="single" w:sz="8" w:color="auto"/>
            </w:tcBorders>
          </w:tcPr>
          <w:p>
            <w:pPr>
              <w:jc w:val="center"/>
              <w:ind w:left="1380"/>
              <w:spacing w:after="0"/>
              <w:rPr>
                <w:sz w:val="20"/>
                <w:szCs w:val="20"/>
                <w:color w:val="auto"/>
              </w:rPr>
            </w:pPr>
            <w:r>
              <w:rPr>
                <w:rFonts w:ascii="Arial" w:cs="Arial" w:eastAsia="Arial" w:hAnsi="Arial"/>
                <w:sz w:val="16"/>
                <w:szCs w:val="16"/>
                <w:color w:val="auto"/>
                <w:w w:val="92"/>
              </w:rPr>
              <w:t>New York, New York</w:t>
            </w:r>
          </w:p>
        </w:tc>
        <w:tc>
          <w:tcPr>
            <w:tcW w:w="104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jc w:val="right"/>
              <w:ind w:right="1581"/>
              <w:spacing w:after="0"/>
              <w:rPr>
                <w:sz w:val="20"/>
                <w:szCs w:val="20"/>
                <w:color w:val="auto"/>
              </w:rPr>
            </w:pPr>
            <w:r>
              <w:rPr>
                <w:rFonts w:ascii="Arial" w:cs="Arial" w:eastAsia="Arial" w:hAnsi="Arial"/>
                <w:sz w:val="16"/>
                <w:szCs w:val="16"/>
                <w:color w:val="auto"/>
              </w:rPr>
              <w:t>10018</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20" w:type="dxa"/>
            <w:vAlign w:val="bottom"/>
            <w:gridSpan w:val="4"/>
          </w:tcPr>
          <w:p>
            <w:pPr>
              <w:jc w:val="center"/>
              <w:ind w:right="1480"/>
              <w:spacing w:after="0"/>
              <w:rPr>
                <w:sz w:val="20"/>
                <w:szCs w:val="20"/>
                <w:color w:val="auto"/>
              </w:rPr>
            </w:pPr>
            <w:r>
              <w:rPr>
                <w:rFonts w:ascii="Arial" w:cs="Arial" w:eastAsia="Arial" w:hAnsi="Arial"/>
                <w:sz w:val="16"/>
                <w:szCs w:val="16"/>
                <w:color w:val="auto"/>
                <w:w w:val="91"/>
              </w:rPr>
              <w:t>(Address of principal executive offices)</w:t>
            </w:r>
          </w:p>
        </w:tc>
        <w:tc>
          <w:tcPr>
            <w:tcW w:w="4020" w:type="dxa"/>
            <w:vAlign w:val="bottom"/>
            <w:gridSpan w:val="3"/>
          </w:tcPr>
          <w:p>
            <w:pPr>
              <w:jc w:val="center"/>
              <w:ind w:right="164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388"/>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80" w:type="dxa"/>
            <w:vAlign w:val="bottom"/>
            <w:gridSpan w:val="2"/>
          </w:tcPr>
          <w:p>
            <w:pPr>
              <w:ind w:left="720"/>
              <w:spacing w:after="0"/>
              <w:rPr>
                <w:sz w:val="20"/>
                <w:szCs w:val="20"/>
                <w:color w:val="auto"/>
              </w:rPr>
            </w:pPr>
            <w:r>
              <w:rPr>
                <w:rFonts w:ascii="Arial" w:cs="Arial" w:eastAsia="Arial" w:hAnsi="Arial"/>
                <w:sz w:val="18"/>
                <w:szCs w:val="18"/>
                <w:color w:val="auto"/>
                <w:w w:val="92"/>
              </w:rPr>
              <w:t>(212) 609-4200</w:t>
            </w:r>
          </w:p>
        </w:tc>
        <w:tc>
          <w:tcPr>
            <w:tcW w:w="10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7"/>
          </w:tcPr>
          <w:p>
            <w:pPr>
              <w:ind w:left="2480"/>
              <w:spacing w:after="0"/>
              <w:rPr>
                <w:sz w:val="20"/>
                <w:szCs w:val="20"/>
                <w:color w:val="auto"/>
              </w:rPr>
            </w:pPr>
            <w:r>
              <w:rPr>
                <w:rFonts w:ascii="Arial" w:cs="Arial" w:eastAsia="Arial" w:hAnsi="Arial"/>
                <w:sz w:val="18"/>
                <w:szCs w:val="18"/>
                <w:color w:val="auto"/>
              </w:rPr>
              <w:t>(Registrant’s telephone number, including area code)</w:t>
            </w:r>
          </w:p>
        </w:tc>
        <w:tc>
          <w:tcPr>
            <w:tcW w:w="0" w:type="dxa"/>
            <w:vAlign w:val="bottom"/>
          </w:tcPr>
          <w:p>
            <w:pPr>
              <w:spacing w:after="0"/>
              <w:rPr>
                <w:sz w:val="1"/>
                <w:szCs w:val="1"/>
                <w:color w:val="auto"/>
              </w:rPr>
            </w:pPr>
          </w:p>
        </w:tc>
      </w:tr>
      <w:tr>
        <w:trPr>
          <w:trHeight w:val="667"/>
        </w:trPr>
        <w:tc>
          <w:tcPr>
            <w:tcW w:w="43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jc w:val="center"/>
              <w:ind w:right="1440"/>
              <w:spacing w:after="0"/>
              <w:rPr>
                <w:sz w:val="20"/>
                <w:szCs w:val="20"/>
                <w:color w:val="auto"/>
              </w:rPr>
            </w:pPr>
            <w:r>
              <w:rPr>
                <w:rFonts w:ascii="Arial" w:cs="Arial" w:eastAsia="Arial" w:hAnsi="Arial"/>
                <w:sz w:val="16"/>
                <w:szCs w:val="16"/>
                <w:color w:val="auto"/>
                <w:w w:val="88"/>
              </w:rPr>
              <w:t>Title of each class</w:t>
            </w:r>
          </w:p>
        </w:tc>
        <w:tc>
          <w:tcPr>
            <w:tcW w:w="296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color w:val="auto"/>
              </w:rPr>
              <w:t>Trading Symbol(s)</w:t>
            </w:r>
          </w:p>
        </w:tc>
        <w:tc>
          <w:tcPr>
            <w:tcW w:w="3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color w:val="auto"/>
                <w:w w:val="88"/>
              </w:rPr>
              <w:t>Name of each exchange on which registered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0" w:type="dxa"/>
            <w:vAlign w:val="bottom"/>
          </w:tcPr>
          <w:p>
            <w:pPr>
              <w:spacing w:after="0"/>
              <w:rPr>
                <w:sz w:val="17"/>
                <w:szCs w:val="17"/>
                <w:color w:val="auto"/>
              </w:rPr>
            </w:pPr>
          </w:p>
        </w:tc>
        <w:tc>
          <w:tcPr>
            <w:tcW w:w="3940" w:type="dxa"/>
            <w:vAlign w:val="bottom"/>
            <w:gridSpan w:val="2"/>
          </w:tcPr>
          <w:p>
            <w:pPr>
              <w:jc w:val="center"/>
              <w:ind w:right="560"/>
              <w:spacing w:after="0"/>
              <w:rPr>
                <w:sz w:val="20"/>
                <w:szCs w:val="20"/>
                <w:color w:val="auto"/>
              </w:rPr>
            </w:pPr>
            <w:r>
              <w:rPr>
                <w:rFonts w:ascii="Arial" w:cs="Arial" w:eastAsia="Arial" w:hAnsi="Arial"/>
                <w:sz w:val="16"/>
                <w:szCs w:val="16"/>
                <w:color w:val="auto"/>
                <w:w w:val="88"/>
              </w:rPr>
              <w:t>Common Stock, par value $0.001 per share</w:t>
            </w:r>
          </w:p>
        </w:tc>
        <w:tc>
          <w:tcPr>
            <w:tcW w:w="1040" w:type="dxa"/>
            <w:vAlign w:val="bottom"/>
          </w:tcPr>
          <w:p>
            <w:pPr>
              <w:spacing w:after="0"/>
              <w:rPr>
                <w:sz w:val="17"/>
                <w:szCs w:val="17"/>
                <w:color w:val="auto"/>
              </w:rPr>
            </w:pPr>
          </w:p>
        </w:tc>
        <w:tc>
          <w:tcPr>
            <w:tcW w:w="1920" w:type="dxa"/>
            <w:vAlign w:val="bottom"/>
            <w:gridSpan w:val="2"/>
          </w:tcPr>
          <w:p>
            <w:pPr>
              <w:ind w:left="60"/>
              <w:spacing w:after="0"/>
              <w:rPr>
                <w:sz w:val="20"/>
                <w:szCs w:val="20"/>
                <w:color w:val="auto"/>
              </w:rPr>
            </w:pPr>
            <w:r>
              <w:rPr>
                <w:rFonts w:ascii="Arial" w:cs="Arial" w:eastAsia="Arial" w:hAnsi="Arial"/>
                <w:sz w:val="16"/>
                <w:szCs w:val="16"/>
                <w:color w:val="auto"/>
              </w:rPr>
              <w:t>LPSN</w:t>
            </w:r>
          </w:p>
        </w:tc>
        <w:tc>
          <w:tcPr>
            <w:tcW w:w="4020" w:type="dxa"/>
            <w:vAlign w:val="bottom"/>
            <w:gridSpan w:val="3"/>
          </w:tcPr>
          <w:p>
            <w:pPr>
              <w:jc w:val="center"/>
              <w:ind w:right="260"/>
              <w:spacing w:after="0"/>
              <w:rPr>
                <w:sz w:val="20"/>
                <w:szCs w:val="20"/>
                <w:color w:val="auto"/>
              </w:rPr>
            </w:pPr>
            <w:r>
              <w:rPr>
                <w:rFonts w:ascii="Arial" w:cs="Arial" w:eastAsia="Arial" w:hAnsi="Arial"/>
                <w:sz w:val="16"/>
                <w:szCs w:val="16"/>
                <w:color w:val="auto"/>
                <w:w w:val="91"/>
              </w:rPr>
              <w:t>The Nasdaq Stock Market LLC</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both"/>
        <w:ind w:right="10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100"/>
        <w:spacing w:after="0" w:line="22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10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160" w:type="dxa"/>
        <w:tblCellMar>
          <w:top w:w="0" w:type="dxa"/>
          <w:left w:w="0" w:type="dxa"/>
          <w:bottom w:w="0" w:type="dxa"/>
          <w:right w:w="0" w:type="dxa"/>
        </w:tblCellMar>
      </w:tblPr>
      <w:tr>
        <w:trPr>
          <w:trHeight w:val="210"/>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3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3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1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580" w:type="dxa"/>
            <w:vAlign w:val="bottom"/>
          </w:tcPr>
          <w:p>
            <w:pPr>
              <w:ind w:left="130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0" w:lineRule="exact"/>
        <w:rPr>
          <w:sz w:val="24"/>
          <w:szCs w:val="24"/>
          <w:color w:val="auto"/>
        </w:rPr>
      </w:pPr>
    </w:p>
    <w:p>
      <w:pPr>
        <w:ind w:right="1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2420"/>
        <w:spacing w:after="0" w:line="28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2, 2022, 74,449,659 shares of the registrant’s common stock were outstanding.</w:t>
      </w:r>
    </w:p>
    <w:p>
      <w:pPr>
        <w:spacing w:after="0" w:line="200" w:lineRule="exact"/>
        <w:rPr>
          <w:sz w:val="24"/>
          <w:szCs w:val="24"/>
          <w:color w:val="auto"/>
        </w:rPr>
      </w:pPr>
    </w:p>
    <w:p>
      <w:pPr>
        <w:spacing w:after="0" w:line="366"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71" w:right="239" w:bottom="1440" w:gutter="0" w:footer="0" w:header="0"/>
        </w:sectPr>
      </w:pPr>
    </w:p>
    <w:bookmarkStart w:id="1" w:name="page2"/>
    <w:bookmarkEnd w:id="1"/>
    <w:p>
      <w:pPr>
        <w:ind w:left="5000"/>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March 31, 2022</w:t>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FORM 10-Q</w:t>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INDEX</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80" w:type="dxa"/>
            <w:vAlign w:val="bottom"/>
            <w:tcBorders>
              <w:bottom w:val="single" w:sz="8" w:color="auto"/>
            </w:tcBorders>
            <w:gridSpan w:val="4"/>
          </w:tcPr>
          <w:p>
            <w:pPr>
              <w:ind w:left="28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60" w:type="dxa"/>
            <w:vAlign w:val="bottom"/>
            <w:gridSpan w:val="11"/>
          </w:tcPr>
          <w:p>
            <w:pPr>
              <w:ind w:left="600"/>
              <w:spacing w:after="0" w:line="137" w:lineRule="exact"/>
              <w:rPr>
                <w:rFonts w:ascii="Arial" w:cs="Arial" w:eastAsia="Arial" w:hAnsi="Arial"/>
                <w:sz w:val="15"/>
                <w:szCs w:val="15"/>
                <w:color w:val="0000FF"/>
              </w:rPr>
            </w:pPr>
            <w:hyperlink w:anchor="page3">
              <w:r>
                <w:rPr>
                  <w:rFonts w:ascii="Arial" w:cs="Arial" w:eastAsia="Arial" w:hAnsi="Arial"/>
                  <w:sz w:val="15"/>
                  <w:szCs w:val="15"/>
                  <w:color w:val="0000FF"/>
                </w:rPr>
                <w:t>PART I. Financial Information</w:t>
              </w:r>
            </w:hyperlink>
          </w:p>
        </w:tc>
        <w:tc>
          <w:tcPr>
            <w:tcW w:w="960" w:type="dxa"/>
            <w:vAlign w:val="bottom"/>
            <w:gridSpan w:val="3"/>
          </w:tcPr>
          <w:p>
            <w:pPr>
              <w:jc w:val="right"/>
              <w:spacing w:after="0" w:line="138" w:lineRule="exact"/>
              <w:rPr>
                <w:rFonts w:ascii="Arial" w:cs="Arial" w:eastAsia="Arial" w:hAnsi="Arial"/>
                <w:sz w:val="15"/>
                <w:szCs w:val="15"/>
                <w:color w:val="0000FF"/>
              </w:rPr>
            </w:pPr>
            <w:hyperlink w:anchor="page3">
              <w:r>
                <w:rPr>
                  <w:rFonts w:ascii="Arial" w:cs="Arial" w:eastAsia="Arial" w:hAnsi="Arial"/>
                  <w:sz w:val="15"/>
                  <w:szCs w:val="15"/>
                  <w:color w:val="0000FF"/>
                </w:rPr>
                <w:t>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2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218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Financial Statements (Unaudited):</w:t>
              </w:r>
            </w:hyperlink>
          </w:p>
        </w:tc>
        <w:tc>
          <w:tcPr>
            <w:tcW w:w="1340" w:type="dxa"/>
            <w:vAlign w:val="bottom"/>
            <w:gridSpan w:val="3"/>
          </w:tcPr>
          <w:p>
            <w:pPr>
              <w:spacing w:after="0"/>
              <w:rPr>
                <w:sz w:val="24"/>
                <w:szCs w:val="24"/>
                <w:color w:val="auto"/>
              </w:rPr>
            </w:pPr>
          </w:p>
        </w:tc>
        <w:tc>
          <w:tcPr>
            <w:tcW w:w="2140" w:type="dxa"/>
            <w:vAlign w:val="bottom"/>
            <w:tcBorders>
              <w:top w:val="single" w:sz="8" w:color="0000FF"/>
            </w:tcBorders>
            <w:gridSpan w:val="8"/>
          </w:tcPr>
          <w:p>
            <w:pPr>
              <w:spacing w:after="0"/>
              <w:rPr>
                <w:sz w:val="24"/>
                <w:szCs w:val="24"/>
                <w:color w:val="auto"/>
              </w:rPr>
            </w:pPr>
          </w:p>
        </w:tc>
        <w:tc>
          <w:tcPr>
            <w:tcW w:w="330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tcBorders>
              <w:top w:val="single" w:sz="8" w:color="0000FF"/>
            </w:tcBorders>
            <w:gridSpan w:val="8"/>
          </w:tcPr>
          <w:p>
            <w:pPr>
              <w:spacing w:after="0" w:line="138" w:lineRule="exact"/>
              <w:rPr>
                <w:sz w:val="20"/>
                <w:szCs w:val="20"/>
                <w:color w:val="auto"/>
              </w:rPr>
            </w:pPr>
            <w:r>
              <w:rPr>
                <w:rFonts w:ascii="Arial" w:cs="Arial" w:eastAsia="Arial" w:hAnsi="Arial"/>
                <w:sz w:val="15"/>
                <w:szCs w:val="15"/>
                <w:color w:val="auto"/>
                <w:w w:val="95"/>
              </w:rPr>
              <w:t>as of March 31, 2022 and December 31,</w:t>
            </w:r>
          </w:p>
        </w:tc>
        <w:tc>
          <w:tcPr>
            <w:tcW w:w="620" w:type="dxa"/>
            <w:vAlign w:val="bottom"/>
            <w:gridSpan w:val="2"/>
          </w:tcPr>
          <w:p>
            <w:pPr>
              <w:jc w:val="right"/>
              <w:ind w:right="300"/>
              <w:spacing w:after="0" w:line="138" w:lineRule="exact"/>
              <w:rPr>
                <w:sz w:val="20"/>
                <w:szCs w:val="20"/>
                <w:color w:val="auto"/>
              </w:rPr>
            </w:pPr>
            <w:r>
              <w:rPr>
                <w:rFonts w:ascii="Arial" w:cs="Arial" w:eastAsia="Arial" w:hAnsi="Arial"/>
                <w:sz w:val="15"/>
                <w:szCs w:val="15"/>
                <w:color w:val="auto"/>
                <w:w w:val="89"/>
              </w:rPr>
              <w:t>2021</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960" w:type="dxa"/>
            <w:vAlign w:val="bottom"/>
            <w:gridSpan w:val="3"/>
          </w:tcPr>
          <w:p>
            <w:pPr>
              <w:jc w:val="right"/>
              <w:spacing w:after="0" w:line="138" w:lineRule="exact"/>
              <w:rPr>
                <w:rFonts w:ascii="Arial" w:cs="Arial" w:eastAsia="Arial" w:hAnsi="Arial"/>
                <w:sz w:val="15"/>
                <w:szCs w:val="15"/>
                <w:color w:val="0000FF"/>
              </w:rPr>
            </w:pPr>
            <w:hyperlink w:anchor="page4">
              <w:r>
                <w:rPr>
                  <w:rFonts w:ascii="Arial" w:cs="Arial" w:eastAsia="Arial" w:hAnsi="Arial"/>
                  <w:sz w:val="15"/>
                  <w:szCs w:val="15"/>
                  <w:color w:val="0000FF"/>
                </w:rPr>
                <w:t>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Operations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0" w:type="dxa"/>
            <w:vAlign w:val="bottom"/>
            <w:tcBorders>
              <w:top w:val="single" w:sz="8" w:color="0000FF"/>
            </w:tcBorders>
            <w:gridSpan w:val="10"/>
          </w:tcPr>
          <w:p>
            <w:pPr>
              <w:spacing w:after="0" w:line="138" w:lineRule="exact"/>
              <w:rPr>
                <w:sz w:val="20"/>
                <w:szCs w:val="20"/>
                <w:color w:val="auto"/>
              </w:rPr>
            </w:pPr>
            <w:r>
              <w:rPr>
                <w:rFonts w:ascii="Arial" w:cs="Arial" w:eastAsia="Arial" w:hAnsi="Arial"/>
                <w:sz w:val="15"/>
                <w:szCs w:val="15"/>
                <w:color w:val="auto"/>
                <w:w w:val="98"/>
              </w:rPr>
              <w:t>for the Three Months Ended March 31, 2022 and</w:t>
            </w:r>
          </w:p>
        </w:tc>
        <w:tc>
          <w:tcPr>
            <w:tcW w:w="300" w:type="dxa"/>
            <w:vAlign w:val="bottom"/>
            <w:gridSpan w:val="3"/>
          </w:tcPr>
          <w:p>
            <w:pPr>
              <w:spacing w:after="0" w:line="138" w:lineRule="exact"/>
              <w:rPr>
                <w:sz w:val="20"/>
                <w:szCs w:val="20"/>
                <w:color w:val="auto"/>
              </w:rPr>
            </w:pPr>
            <w:r>
              <w:rPr>
                <w:rFonts w:ascii="Arial" w:cs="Arial" w:eastAsia="Arial" w:hAnsi="Arial"/>
                <w:sz w:val="15"/>
                <w:szCs w:val="15"/>
                <w:color w:val="auto"/>
                <w:w w:val="77"/>
              </w:rPr>
              <w:t>2021</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80" w:type="dxa"/>
            <w:vAlign w:val="bottom"/>
            <w:tcBorders>
              <w:bottom w:val="single" w:sz="8" w:color="0000FF"/>
            </w:tcBorders>
          </w:tcPr>
          <w:p>
            <w:pPr>
              <w:jc w:val="right"/>
              <w:spacing w:after="0" w:line="138" w:lineRule="exact"/>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880" w:type="dxa"/>
            <w:vAlign w:val="bottom"/>
            <w:gridSpan w:val="2"/>
            <w:vMerge w:val="restart"/>
          </w:tcPr>
          <w:p>
            <w:pPr>
              <w:spacing w:after="0"/>
              <w:rPr>
                <w:sz w:val="24"/>
                <w:szCs w:val="24"/>
                <w:color w:val="auto"/>
              </w:rPr>
            </w:pPr>
          </w:p>
        </w:tc>
        <w:tc>
          <w:tcPr>
            <w:tcW w:w="80" w:type="dxa"/>
            <w:vAlign w:val="bottom"/>
            <w:vMerge w:val="restart"/>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40" w:type="dxa"/>
            <w:vAlign w:val="bottom"/>
            <w:tcBorders>
              <w:top w:val="single" w:sz="8" w:color="0000FF"/>
            </w:tcBorders>
            <w:gridSpan w:val="14"/>
          </w:tcPr>
          <w:p>
            <w:pPr>
              <w:spacing w:after="0" w:line="138" w:lineRule="exact"/>
              <w:rPr>
                <w:sz w:val="20"/>
                <w:szCs w:val="20"/>
                <w:color w:val="auto"/>
              </w:rPr>
            </w:pPr>
            <w:r>
              <w:rPr>
                <w:rFonts w:ascii="Arial" w:cs="Arial" w:eastAsia="Arial" w:hAnsi="Arial"/>
                <w:sz w:val="15"/>
                <w:szCs w:val="15"/>
                <w:color w:val="auto"/>
              </w:rPr>
              <w:t>for the Three Months Ended March 31, 2022 and 2021</w:t>
            </w: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880" w:type="dxa"/>
            <w:vAlign w:val="bottom"/>
            <w:gridSpan w:val="2"/>
            <w:vMerge w:val="restart"/>
          </w:tcPr>
          <w:p>
            <w:pPr>
              <w:spacing w:after="0"/>
              <w:rPr>
                <w:sz w:val="24"/>
                <w:szCs w:val="24"/>
                <w:color w:val="auto"/>
              </w:rPr>
            </w:pPr>
          </w:p>
        </w:tc>
        <w:tc>
          <w:tcPr>
            <w:tcW w:w="80" w:type="dxa"/>
            <w:vAlign w:val="bottom"/>
            <w:vMerge w:val="restart"/>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60" w:type="dxa"/>
            <w:vAlign w:val="bottom"/>
            <w:tcBorders>
              <w:top w:val="single" w:sz="8" w:color="0000FF"/>
            </w:tcBorders>
            <w:gridSpan w:val="15"/>
          </w:tcPr>
          <w:p>
            <w:pPr>
              <w:spacing w:after="0" w:line="138" w:lineRule="exact"/>
              <w:rPr>
                <w:sz w:val="20"/>
                <w:szCs w:val="20"/>
                <w:color w:val="auto"/>
              </w:rPr>
            </w:pPr>
            <w:r>
              <w:rPr>
                <w:rFonts w:ascii="Arial" w:cs="Arial" w:eastAsia="Arial" w:hAnsi="Arial"/>
                <w:sz w:val="15"/>
                <w:szCs w:val="15"/>
                <w:color w:val="auto"/>
              </w:rPr>
              <w:t>for the Three Months Ended March 31, 2022 and 2021</w:t>
            </w: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rFonts w:ascii="Arial" w:cs="Arial" w:eastAsia="Arial" w:hAnsi="Arial"/>
                <w:sz w:val="16"/>
                <w:szCs w:val="16"/>
                <w:color w:val="0000FF"/>
                <w:w w:val="87"/>
              </w:rPr>
            </w:pPr>
            <w:hyperlink w:anchor="page7">
              <w:r>
                <w:rPr>
                  <w:rFonts w:ascii="Arial" w:cs="Arial" w:eastAsia="Arial" w:hAnsi="Arial"/>
                  <w:sz w:val="16"/>
                  <w:szCs w:val="16"/>
                  <w:color w:val="0000FF"/>
                  <w:w w:val="87"/>
                </w:rPr>
                <w:t>Condensed Consolidated Statements of Cash Flows</w:t>
              </w:r>
            </w:hyperlink>
          </w:p>
        </w:tc>
        <w:tc>
          <w:tcPr>
            <w:tcW w:w="5380" w:type="dxa"/>
            <w:vAlign w:val="bottom"/>
            <w:gridSpan w:val="8"/>
          </w:tcPr>
          <w:p>
            <w:pPr>
              <w:spacing w:after="0"/>
              <w:rPr>
                <w:sz w:val="24"/>
                <w:szCs w:val="24"/>
                <w:color w:val="auto"/>
              </w:rPr>
            </w:pPr>
          </w:p>
        </w:tc>
        <w:tc>
          <w:tcPr>
            <w:tcW w:w="880" w:type="dxa"/>
            <w:vAlign w:val="bottom"/>
            <w:gridSpan w:val="2"/>
            <w:vMerge w:val="restart"/>
          </w:tcPr>
          <w:p>
            <w:pPr>
              <w:spacing w:after="0"/>
              <w:rPr>
                <w:sz w:val="24"/>
                <w:szCs w:val="24"/>
                <w:color w:val="auto"/>
              </w:rPr>
            </w:pPr>
          </w:p>
        </w:tc>
        <w:tc>
          <w:tcPr>
            <w:tcW w:w="80" w:type="dxa"/>
            <w:vAlign w:val="bottom"/>
            <w:vMerge w:val="restart"/>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40" w:type="dxa"/>
            <w:vAlign w:val="bottom"/>
            <w:gridSpan w:val="19"/>
          </w:tcPr>
          <w:p>
            <w:pPr>
              <w:spacing w:after="0" w:line="138" w:lineRule="exact"/>
              <w:rPr>
                <w:sz w:val="20"/>
                <w:szCs w:val="20"/>
                <w:color w:val="auto"/>
              </w:rPr>
            </w:pPr>
            <w:r>
              <w:rPr>
                <w:rFonts w:ascii="Arial" w:cs="Arial" w:eastAsia="Arial" w:hAnsi="Arial"/>
                <w:sz w:val="15"/>
                <w:szCs w:val="15"/>
                <w:color w:val="auto"/>
              </w:rPr>
              <w:t>for the Three Months Ended March 31, 2022 and 2021</w:t>
            </w:r>
          </w:p>
        </w:tc>
        <w:tc>
          <w:tcPr>
            <w:tcW w:w="880" w:type="dxa"/>
            <w:vAlign w:val="bottom"/>
            <w:gridSpan w:val="2"/>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19"/>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Condensed Consolidated Financial Statements</w:t>
              </w:r>
            </w:hyperlink>
          </w:p>
        </w:tc>
        <w:tc>
          <w:tcPr>
            <w:tcW w:w="960" w:type="dxa"/>
            <w:vAlign w:val="bottom"/>
            <w:gridSpan w:val="3"/>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10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960" w:type="dxa"/>
            <w:vAlign w:val="bottom"/>
            <w:gridSpan w:val="20"/>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566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51">
              <w:r>
                <w:rPr>
                  <w:rFonts w:ascii="Arial" w:cs="Arial" w:eastAsia="Arial" w:hAnsi="Arial"/>
                  <w:sz w:val="16"/>
                  <w:szCs w:val="16"/>
                  <w:color w:val="0000FF"/>
                  <w:w w:val="78"/>
                </w:rPr>
                <w:t>52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156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86"/>
              </w:rPr>
            </w:pPr>
            <w:hyperlink w:anchor="page52">
              <w:r>
                <w:rPr>
                  <w:rFonts w:ascii="Arial" w:cs="Arial" w:eastAsia="Arial" w:hAnsi="Arial"/>
                  <w:sz w:val="16"/>
                  <w:szCs w:val="16"/>
                  <w:color w:val="0000FF"/>
                  <w:w w:val="86"/>
                </w:rPr>
                <w:t>Controls and Procedures</w:t>
              </w:r>
            </w:hyperlink>
          </w:p>
        </w:tc>
        <w:tc>
          <w:tcPr>
            <w:tcW w:w="2260" w:type="dxa"/>
            <w:vAlign w:val="bottom"/>
            <w:tcBorders>
              <w:top w:val="single" w:sz="8" w:color="0000FF"/>
            </w:tcBorders>
            <w:gridSpan w:val="8"/>
          </w:tcPr>
          <w:p>
            <w:pPr>
              <w:spacing w:after="0"/>
              <w:rPr>
                <w:sz w:val="24"/>
                <w:szCs w:val="24"/>
                <w:color w:val="auto"/>
              </w:rPr>
            </w:pPr>
          </w:p>
        </w:tc>
        <w:tc>
          <w:tcPr>
            <w:tcW w:w="514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52">
              <w:r>
                <w:rPr>
                  <w:rFonts w:ascii="Arial" w:cs="Arial" w:eastAsia="Arial" w:hAnsi="Arial"/>
                  <w:sz w:val="16"/>
                  <w:szCs w:val="16"/>
                  <w:color w:val="0000FF"/>
                  <w:w w:val="78"/>
                </w:rPr>
                <w:t>53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80" w:type="dxa"/>
            <w:vAlign w:val="bottom"/>
            <w:gridSpan w:val="8"/>
          </w:tcPr>
          <w:p>
            <w:pPr>
              <w:ind w:left="20"/>
              <w:spacing w:after="0"/>
              <w:rPr>
                <w:rFonts w:ascii="Arial" w:cs="Arial" w:eastAsia="Arial" w:hAnsi="Arial"/>
                <w:sz w:val="16"/>
                <w:szCs w:val="16"/>
                <w:color w:val="0000FF"/>
              </w:rPr>
            </w:pPr>
            <w:hyperlink w:anchor="page53">
              <w:r>
                <w:rPr>
                  <w:rFonts w:ascii="Arial" w:cs="Arial" w:eastAsia="Arial" w:hAnsi="Arial"/>
                  <w:sz w:val="16"/>
                  <w:szCs w:val="16"/>
                  <w:color w:val="0000FF"/>
                </w:rPr>
                <w:t>PART II. Other Information</w:t>
              </w:r>
            </w:hyperlink>
          </w:p>
        </w:tc>
        <w:tc>
          <w:tcPr>
            <w:tcW w:w="960" w:type="dxa"/>
            <w:vAlign w:val="bottom"/>
            <w:gridSpan w:val="3"/>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53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180" w:type="dxa"/>
            <w:vAlign w:val="bottom"/>
            <w:tcBorders>
              <w:bottom w:val="single" w:sz="8" w:color="0000FF"/>
            </w:tcBorders>
            <w:gridSpan w:val="5"/>
          </w:tcPr>
          <w:p>
            <w:pPr>
              <w:spacing w:after="0"/>
              <w:rPr>
                <w:rFonts w:ascii="Arial" w:cs="Arial" w:eastAsia="Arial" w:hAnsi="Arial"/>
                <w:sz w:val="16"/>
                <w:szCs w:val="16"/>
                <w:color w:val="0000FF"/>
                <w:w w:val="87"/>
              </w:rPr>
            </w:pPr>
            <w:hyperlink w:anchor="page53">
              <w:r>
                <w:rPr>
                  <w:rFonts w:ascii="Arial" w:cs="Arial" w:eastAsia="Arial" w:hAnsi="Arial"/>
                  <w:sz w:val="16"/>
                  <w:szCs w:val="16"/>
                  <w:color w:val="0000FF"/>
                  <w:w w:val="87"/>
                </w:rPr>
                <w:t>Legal Proceedings</w:t>
              </w:r>
            </w:hyperlink>
          </w:p>
        </w:tc>
        <w:tc>
          <w:tcPr>
            <w:tcW w:w="2420" w:type="dxa"/>
            <w:vAlign w:val="bottom"/>
            <w:gridSpan w:val="8"/>
          </w:tcPr>
          <w:p>
            <w:pPr>
              <w:spacing w:after="0"/>
              <w:rPr>
                <w:sz w:val="24"/>
                <w:szCs w:val="24"/>
                <w:color w:val="auto"/>
              </w:rPr>
            </w:pPr>
          </w:p>
        </w:tc>
        <w:tc>
          <w:tcPr>
            <w:tcW w:w="1740" w:type="dxa"/>
            <w:vAlign w:val="bottom"/>
            <w:tcBorders>
              <w:top w:val="single" w:sz="8" w:color="0000FF"/>
            </w:tcBorders>
            <w:gridSpan w:val="4"/>
          </w:tcPr>
          <w:p>
            <w:pPr>
              <w:spacing w:after="0"/>
              <w:rPr>
                <w:sz w:val="24"/>
                <w:szCs w:val="24"/>
                <w:color w:val="auto"/>
              </w:rPr>
            </w:pPr>
          </w:p>
        </w:tc>
        <w:tc>
          <w:tcPr>
            <w:tcW w:w="36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53">
              <w:r>
                <w:rPr>
                  <w:rFonts w:ascii="Arial" w:cs="Arial" w:eastAsia="Arial" w:hAnsi="Arial"/>
                  <w:sz w:val="16"/>
                  <w:szCs w:val="16"/>
                  <w:color w:val="0000FF"/>
                  <w:w w:val="78"/>
                </w:rPr>
                <w:t>53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960" w:type="dxa"/>
            <w:vAlign w:val="bottom"/>
            <w:gridSpan w:val="20"/>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Risk Factors</w:t>
              </w:r>
            </w:hyperlink>
          </w:p>
        </w:tc>
        <w:tc>
          <w:tcPr>
            <w:tcW w:w="960" w:type="dxa"/>
            <w:vAlign w:val="bottom"/>
            <w:gridSpan w:val="3"/>
          </w:tcPr>
          <w:p>
            <w:pPr>
              <w:jc w:val="right"/>
              <w:spacing w:after="0"/>
              <w:rPr>
                <w:rFonts w:ascii="Arial" w:cs="Arial" w:eastAsia="Arial" w:hAnsi="Arial"/>
                <w:sz w:val="16"/>
                <w:szCs w:val="16"/>
                <w:color w:val="0000FF"/>
              </w:rPr>
            </w:pPr>
            <w:hyperlink w:anchor="page54">
              <w:r>
                <w:rPr>
                  <w:rFonts w:ascii="Arial" w:cs="Arial" w:eastAsia="Arial" w:hAnsi="Arial"/>
                  <w:sz w:val="16"/>
                  <w:szCs w:val="16"/>
                  <w:color w:val="0000FF"/>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960" w:type="dxa"/>
            <w:vAlign w:val="bottom"/>
            <w:tcBorders>
              <w:bottom w:val="single" w:sz="8" w:color="0000FF"/>
            </w:tcBorders>
            <w:gridSpan w:val="20"/>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Unregistered Sales of Equity Securities and Use of Proceeds</w:t>
              </w:r>
            </w:hyperlink>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8960" w:type="dxa"/>
            <w:vAlign w:val="bottom"/>
            <w:tcBorders>
              <w:bottom w:val="single" w:sz="8" w:color="0000FF"/>
            </w:tcBorders>
            <w:gridSpan w:val="20"/>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Defaults Upon Senior Securities</w:t>
              </w:r>
            </w:hyperlink>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1560" w:type="dxa"/>
            <w:vAlign w:val="bottom"/>
            <w:tcBorders>
              <w:bottom w:val="single" w:sz="8" w:color="0000FF"/>
            </w:tcBorders>
            <w:gridSpan w:val="6"/>
          </w:tcPr>
          <w:p>
            <w:pPr>
              <w:spacing w:after="0"/>
              <w:rPr>
                <w:rFonts w:ascii="Arial" w:cs="Arial" w:eastAsia="Arial" w:hAnsi="Arial"/>
                <w:sz w:val="16"/>
                <w:szCs w:val="16"/>
                <w:color w:val="0000FF"/>
                <w:w w:val="89"/>
              </w:rPr>
            </w:pPr>
            <w:hyperlink w:anchor="page54">
              <w:r>
                <w:rPr>
                  <w:rFonts w:ascii="Arial" w:cs="Arial" w:eastAsia="Arial" w:hAnsi="Arial"/>
                  <w:sz w:val="16"/>
                  <w:szCs w:val="16"/>
                  <w:color w:val="0000FF"/>
                  <w:w w:val="89"/>
                </w:rPr>
                <w:t>Mine Safety Disclosures</w:t>
              </w:r>
            </w:hyperlink>
          </w:p>
        </w:tc>
        <w:tc>
          <w:tcPr>
            <w:tcW w:w="740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160" w:type="dxa"/>
            <w:vAlign w:val="bottom"/>
            <w:tcBorders>
              <w:bottom w:val="single" w:sz="8" w:color="0000FF"/>
            </w:tcBorders>
            <w:gridSpan w:val="4"/>
          </w:tcPr>
          <w:p>
            <w:pPr>
              <w:spacing w:after="0"/>
              <w:rPr>
                <w:rFonts w:ascii="Arial" w:cs="Arial" w:eastAsia="Arial" w:hAnsi="Arial"/>
                <w:sz w:val="16"/>
                <w:szCs w:val="16"/>
                <w:color w:val="0000FF"/>
                <w:w w:val="91"/>
              </w:rPr>
            </w:pPr>
            <w:hyperlink w:anchor="page54">
              <w:r>
                <w:rPr>
                  <w:rFonts w:ascii="Arial" w:cs="Arial" w:eastAsia="Arial" w:hAnsi="Arial"/>
                  <w:sz w:val="16"/>
                  <w:szCs w:val="16"/>
                  <w:color w:val="0000FF"/>
                  <w:w w:val="91"/>
                </w:rPr>
                <w:t>Other Information</w:t>
              </w:r>
            </w:hyperlink>
          </w:p>
        </w:tc>
        <w:tc>
          <w:tcPr>
            <w:tcW w:w="780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54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4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54">
              <w:r>
                <w:rPr>
                  <w:rFonts w:ascii="Arial" w:cs="Arial" w:eastAsia="Arial" w:hAnsi="Arial"/>
                  <w:sz w:val="16"/>
                  <w:szCs w:val="16"/>
                  <w:color w:val="0000FF"/>
                  <w:w w:val="92"/>
                </w:rPr>
                <w:t>Exhibits</w:t>
              </w:r>
            </w:hyperlink>
          </w:p>
        </w:tc>
        <w:tc>
          <w:tcPr>
            <w:tcW w:w="8420" w:type="dxa"/>
            <w:vAlign w:val="bottom"/>
            <w:gridSpan w:val="18"/>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4">
              <w:r>
                <w:rPr>
                  <w:rFonts w:ascii="Arial" w:cs="Arial" w:eastAsia="Arial" w:hAnsi="Arial"/>
                  <w:sz w:val="16"/>
                  <w:szCs w:val="16"/>
                  <w:color w:val="0000FF"/>
                  <w:w w:val="78"/>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Signatures</w:t>
              </w:r>
            </w:hyperlink>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960" w:type="dxa"/>
            <w:vAlign w:val="bottom"/>
            <w:gridSpan w:val="3"/>
          </w:tcPr>
          <w:p>
            <w:pPr>
              <w:jc w:val="right"/>
              <w:spacing w:after="0"/>
              <w:rPr>
                <w:rFonts w:ascii="Arial" w:cs="Arial" w:eastAsia="Arial" w:hAnsi="Arial"/>
                <w:sz w:val="16"/>
                <w:szCs w:val="16"/>
                <w:color w:val="0000FF"/>
              </w:rPr>
            </w:pPr>
            <w:hyperlink w:anchor="page55">
              <w:r>
                <w:rPr>
                  <w:rFonts w:ascii="Arial" w:cs="Arial" w:eastAsia="Arial" w:hAnsi="Arial"/>
                  <w:sz w:val="16"/>
                  <w:szCs w:val="16"/>
                  <w:color w:val="0000FF"/>
                </w:rPr>
                <w:t>56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6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Statements in this Quarterly Report on Form 10-Q about LivePerson, Inc. (“LivePerson”, the “Company”, “we”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Quarterly Report on Form 10-Q. When used in this Quarterly Report on Form 10-Q,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February 28, 2022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ind w:left="4500"/>
        <w:spacing w:after="0"/>
        <w:rPr>
          <w:sz w:val="20"/>
          <w:szCs w:val="20"/>
          <w:color w:val="auto"/>
        </w:rPr>
      </w:pPr>
      <w:r>
        <w:rPr>
          <w:rFonts w:ascii="Arial" w:cs="Arial" w:eastAsia="Arial" w:hAnsi="Arial"/>
          <w:sz w:val="18"/>
          <w:szCs w:val="18"/>
          <w:b w:val="1"/>
          <w:bCs w:val="1"/>
          <w:color w:val="auto"/>
        </w:rPr>
        <w:t>Part I. Financial Information</w:t>
      </w:r>
    </w:p>
    <w:p>
      <w:pPr>
        <w:spacing w:after="0" w:line="10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Item 1. Financial Statements</w:t>
      </w:r>
    </w:p>
    <w:p>
      <w:pPr>
        <w:spacing w:after="0" w:line="10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20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8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ind w:left="384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480,676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521,846</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w w:val="95"/>
              </w:rPr>
              <w:t>Accounts receivable, net of allowances of $7,246 and $6,338 as of March 31, 2022 and December 31, 2021, respectively</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108,521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93,804</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30,114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20,626</w:t>
            </w:r>
          </w:p>
        </w:tc>
        <w:tc>
          <w:tcPr>
            <w:tcW w:w="0" w:type="dxa"/>
            <w:vAlign w:val="bottom"/>
          </w:tcPr>
          <w:p>
            <w:pPr>
              <w:spacing w:after="0"/>
              <w:rPr>
                <w:sz w:val="1"/>
                <w:szCs w:val="1"/>
                <w:color w:val="auto"/>
              </w:rPr>
            </w:pPr>
          </w:p>
        </w:tc>
      </w:tr>
      <w:tr>
        <w:trPr>
          <w:trHeight w:val="200"/>
        </w:trPr>
        <w:tc>
          <w:tcPr>
            <w:tcW w:w="8300" w:type="dxa"/>
            <w:vAlign w:val="bottom"/>
          </w:tcPr>
          <w:p>
            <w:pPr>
              <w:ind w:left="40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619,311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636,276</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(Note 10)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Property and equipment, net (Note 6)</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131,766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124,726</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Contract acquisition costs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42,724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40,675</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Intangibles, net (Note 5)</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90,182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85,554</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Goodwill (Note 5)</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305,426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291,215</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5,190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5,034</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2,599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1,204,073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1,186,656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8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16,942</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 (Note 7)</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106,778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104,297</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revenue (Note 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112,323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98,808</w:t>
            </w:r>
          </w:p>
        </w:tc>
        <w:tc>
          <w:tcPr>
            <w:tcW w:w="0" w:type="dxa"/>
            <w:vAlign w:val="bottom"/>
          </w:tcPr>
          <w:p>
            <w:pPr>
              <w:spacing w:after="0"/>
              <w:rPr>
                <w:sz w:val="1"/>
                <w:szCs w:val="1"/>
                <w:color w:val="auto"/>
              </w:rPr>
            </w:pPr>
          </w:p>
        </w:tc>
      </w:tr>
      <w:tr>
        <w:trPr>
          <w:trHeight w:val="207"/>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Operating lease liability (Note 10)</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4,864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250,024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223,427</w:t>
            </w:r>
          </w:p>
        </w:tc>
        <w:tc>
          <w:tcPr>
            <w:tcW w:w="0" w:type="dxa"/>
            <w:vAlign w:val="bottom"/>
          </w:tcPr>
          <w:p>
            <w:pPr>
              <w:spacing w:after="0"/>
              <w:rPr>
                <w:sz w:val="1"/>
                <w:szCs w:val="1"/>
                <w:color w:val="auto"/>
              </w:rPr>
            </w:pP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Deferred revenue, net of current portion (Note 2)</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 (Note 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734,586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574,238</w:t>
            </w:r>
          </w:p>
        </w:tc>
        <w:tc>
          <w:tcPr>
            <w:tcW w:w="0" w:type="dxa"/>
            <w:vAlign w:val="bottom"/>
          </w:tcPr>
          <w:p>
            <w:pPr>
              <w:spacing w:after="0"/>
              <w:rPr>
                <w:sz w:val="1"/>
                <w:szCs w:val="1"/>
                <w:color w:val="auto"/>
              </w:rPr>
            </w:pP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Operating lease liability, net of current portion (Note 10)</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0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33,712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34,718</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1,023,727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837,219</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8300" w:type="dxa"/>
            <w:vAlign w:val="bottom"/>
            <w:shd w:val="clear" w:color="auto" w:fill="CCEEFF"/>
          </w:tcPr>
          <w:p>
            <w:pPr>
              <w:ind w:left="120"/>
              <w:spacing w:after="0" w:line="164" w:lineRule="exact"/>
              <w:rPr>
                <w:sz w:val="20"/>
                <w:szCs w:val="20"/>
                <w:color w:val="auto"/>
              </w:rPr>
            </w:pPr>
            <w:r>
              <w:rPr>
                <w:rFonts w:ascii="Arial" w:cs="Arial" w:eastAsia="Arial" w:hAnsi="Arial"/>
                <w:sz w:val="16"/>
                <w:szCs w:val="16"/>
                <w:color w:val="auto"/>
                <w:w w:val="90"/>
              </w:rPr>
              <w:t>Common stock, $0.001 par value - 200,000,000 shares authorized, 77,062,637 and 74,980,546 shares issued, 74,316,394 and</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72,234,303 shares outstanding as of March 31, 2022 and December 31, 2021, respectively</w:t>
            </w:r>
          </w:p>
        </w:tc>
        <w:tc>
          <w:tcPr>
            <w:tcW w:w="2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719,514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871,788</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Treasury stock - 2,746,243 shares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(531,979)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(516,859)</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00"/>
        </w:trPr>
        <w:tc>
          <w:tcPr>
            <w:tcW w:w="83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180,346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349,437</w:t>
            </w: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1,204,073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1,186,656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66"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center"/>
              <w:ind w:right="264"/>
              <w:spacing w:after="0"/>
              <w:rPr>
                <w:sz w:val="20"/>
                <w:szCs w:val="20"/>
                <w:color w:val="auto"/>
              </w:rPr>
            </w:pPr>
            <w:r>
              <w:rPr>
                <w:rFonts w:ascii="Arial" w:cs="Arial" w:eastAsia="Arial" w:hAnsi="Arial"/>
                <w:sz w:val="14"/>
                <w:szCs w:val="14"/>
                <w:b w:val="1"/>
                <w:bCs w:val="1"/>
                <w:color w:val="auto"/>
                <w:w w:val="90"/>
              </w:rPr>
              <w:t>Three Months Ended</w:t>
            </w:r>
          </w:p>
        </w:tc>
      </w:tr>
      <w:tr>
        <w:trPr>
          <w:trHeight w:val="189"/>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85"/>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r>
      <w:tr>
        <w:trPr>
          <w:trHeight w:val="190"/>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r>
      <w:tr>
        <w:trPr>
          <w:trHeight w:val="180"/>
        </w:trPr>
        <w:tc>
          <w:tcPr>
            <w:tcW w:w="8300" w:type="dxa"/>
            <w:vAlign w:val="bottom"/>
          </w:tcPr>
          <w:p>
            <w:pPr>
              <w:spacing w:after="0"/>
              <w:rPr>
                <w:sz w:val="15"/>
                <w:szCs w:val="15"/>
                <w:color w:val="auto"/>
              </w:rPr>
            </w:pPr>
          </w:p>
        </w:tc>
        <w:tc>
          <w:tcPr>
            <w:tcW w:w="2940" w:type="dxa"/>
            <w:vAlign w:val="bottom"/>
            <w:gridSpan w:val="5"/>
          </w:tcPr>
          <w:p>
            <w:pPr>
              <w:jc w:val="center"/>
              <w:spacing w:after="0"/>
              <w:rPr>
                <w:sz w:val="20"/>
                <w:szCs w:val="20"/>
                <w:color w:val="auto"/>
              </w:rPr>
            </w:pPr>
            <w:r>
              <w:rPr>
                <w:rFonts w:ascii="Arial" w:cs="Arial" w:eastAsia="Arial" w:hAnsi="Arial"/>
                <w:sz w:val="14"/>
                <w:szCs w:val="14"/>
                <w:color w:val="auto"/>
                <w:w w:val="87"/>
              </w:rPr>
              <w:t>(In thousands, except share and per share amounts)</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107,891</w:t>
            </w:r>
          </w:p>
        </w:tc>
      </w:tr>
      <w:tr>
        <w:trPr>
          <w:trHeight w:val="210"/>
        </w:trPr>
        <w:tc>
          <w:tcPr>
            <w:tcW w:w="830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0"/>
                <w:szCs w:val="20"/>
                <w:color w:val="auto"/>
                <w:vertAlign w:val="superscript"/>
              </w:rPr>
              <w:t>(1) (2)</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8300" w:type="dxa"/>
            <w:vAlign w:val="bottom"/>
            <w:shd w:val="clear" w:color="auto" w:fill="CCEEFF"/>
          </w:tcPr>
          <w:p>
            <w:pPr>
              <w:ind w:left="140"/>
              <w:spacing w:after="0" w:line="210"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33,519</w:t>
            </w:r>
          </w:p>
        </w:tc>
      </w:tr>
      <w:tr>
        <w:trPr>
          <w:trHeight w:val="207"/>
        </w:trPr>
        <w:tc>
          <w:tcPr>
            <w:tcW w:w="830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58,132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36,953</w:t>
            </w:r>
          </w:p>
        </w:tc>
      </w:tr>
      <w:tr>
        <w:trPr>
          <w:trHeight w:val="213"/>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14,486</w:t>
            </w:r>
          </w:p>
        </w:tc>
      </w:tr>
      <w:tr>
        <w:trPr>
          <w:trHeight w:val="207"/>
        </w:trPr>
        <w:tc>
          <w:tcPr>
            <w:tcW w:w="83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56,072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33,455</w:t>
            </w:r>
          </w:p>
        </w:tc>
      </w:tr>
      <w:tr>
        <w:trPr>
          <w:trHeight w:val="213"/>
        </w:trPr>
        <w:tc>
          <w:tcPr>
            <w:tcW w:w="8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r>
      <w:tr>
        <w:trPr>
          <w:trHeight w:val="207"/>
        </w:trPr>
        <w:tc>
          <w:tcPr>
            <w:tcW w:w="8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Amortization of purchased intangibles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06"/>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195,324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121,520</w:t>
            </w:r>
          </w:p>
        </w:tc>
      </w:tr>
      <w:tr>
        <w:trPr>
          <w:trHeight w:val="200"/>
        </w:trPr>
        <w:tc>
          <w:tcPr>
            <w:tcW w:w="83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(65,127)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(13,629)</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7"/>
        </w:trPr>
        <w:tc>
          <w:tcPr>
            <w:tcW w:w="8300" w:type="dxa"/>
            <w:vAlign w:val="bottom"/>
          </w:tcPr>
          <w:p>
            <w:pPr>
              <w:ind w:left="26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(9,129)</w:t>
            </w:r>
          </w:p>
        </w:tc>
      </w:tr>
      <w:tr>
        <w:trPr>
          <w:trHeight w:val="213"/>
        </w:trPr>
        <w:tc>
          <w:tcPr>
            <w:tcW w:w="8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r>
      <w:tr>
        <w:trPr>
          <w:trHeight w:val="20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(8,417)</w:t>
            </w: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benefit from income taxes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(22,046)</w:t>
            </w:r>
          </w:p>
        </w:tc>
      </w:tr>
      <w:tr>
        <w:trPr>
          <w:trHeight w:val="207"/>
        </w:trPr>
        <w:tc>
          <w:tcPr>
            <w:tcW w:w="83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Benefit from income taxes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(65,364)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of common stock:</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830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loss per share: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0"/>
        </w:trPr>
        <w:tc>
          <w:tcPr>
            <w:tcW w:w="8300" w:type="dxa"/>
            <w:vAlign w:val="bottom"/>
          </w:tcPr>
          <w:p>
            <w:pPr>
              <w:ind w:left="1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75,812,405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67,901,809</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8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75,812,405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67,901,809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830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177"/>
        </w:trPr>
        <w:tc>
          <w:tcPr>
            <w:tcW w:w="8300" w:type="dxa"/>
            <w:vAlign w:val="bottom"/>
          </w:tcPr>
          <w:p>
            <w:pPr>
              <w:ind w:left="140"/>
              <w:spacing w:after="0" w:line="177" w:lineRule="exact"/>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Amounts include stock-based compensation expense, as follows: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1,895</w:t>
            </w:r>
          </w:p>
        </w:tc>
      </w:tr>
      <w:tr>
        <w:trPr>
          <w:trHeight w:val="181"/>
        </w:trPr>
        <w:tc>
          <w:tcPr>
            <w:tcW w:w="830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6,649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3,782</w:t>
            </w:r>
          </w:p>
        </w:tc>
      </w:tr>
      <w:tr>
        <w:trPr>
          <w:trHeight w:val="186"/>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w:t>
            </w:r>
          </w:p>
        </w:tc>
      </w:tr>
      <w:tr>
        <w:trPr>
          <w:trHeight w:val="181"/>
        </w:trPr>
        <w:tc>
          <w:tcPr>
            <w:tcW w:w="830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12,648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6,284</w:t>
            </w:r>
          </w:p>
        </w:tc>
      </w:tr>
      <w:tr>
        <w:trPr>
          <w:trHeight w:val="213"/>
        </w:trPr>
        <w:tc>
          <w:tcPr>
            <w:tcW w:w="8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4"/>
        </w:trPr>
        <w:tc>
          <w:tcPr>
            <w:tcW w:w="8300" w:type="dxa"/>
            <w:vAlign w:val="bottom"/>
          </w:tcPr>
          <w:p>
            <w:pPr>
              <w:ind w:left="140"/>
              <w:spacing w:after="0" w:line="184" w:lineRule="exact"/>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Amounts include depreciation expense, as follows: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r>
      <w:tr>
        <w:trPr>
          <w:trHeight w:val="181"/>
        </w:trPr>
        <w:tc>
          <w:tcPr>
            <w:tcW w:w="830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186"/>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1"/>
        </w:trPr>
        <w:tc>
          <w:tcPr>
            <w:tcW w:w="830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3,408</w:t>
            </w:r>
          </w:p>
        </w:tc>
      </w:tr>
      <w:tr>
        <w:trPr>
          <w:trHeight w:val="213"/>
        </w:trPr>
        <w:tc>
          <w:tcPr>
            <w:tcW w:w="8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84"/>
        </w:trPr>
        <w:tc>
          <w:tcPr>
            <w:tcW w:w="8300" w:type="dxa"/>
            <w:vAlign w:val="bottom"/>
          </w:tcPr>
          <w:p>
            <w:pPr>
              <w:ind w:left="140"/>
              <w:spacing w:after="0" w:line="184" w:lineRule="exact"/>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Amounts include amortization of purchased intangibles and finance leases, as follows: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4"/>
        </w:trPr>
        <w:tc>
          <w:tcPr>
            <w:tcW w:w="83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w:t>
            </w:r>
          </w:p>
        </w:tc>
      </w:tr>
    </w:tbl>
    <w:p>
      <w:pPr>
        <w:spacing w:after="0" w:line="18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400" w:type="dxa"/>
            <w:vAlign w:val="bottom"/>
            <w:gridSpan w:val="4"/>
          </w:tcPr>
          <w:p>
            <w:pPr>
              <w:jc w:val="center"/>
              <w:ind w:left="486"/>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6"/>
                <w:szCs w:val="16"/>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(65,364)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(21,195)</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(1,746)</w:t>
            </w: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(67,063)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(22,941)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2"/>
              </w:rPr>
              <w:t>Accumulated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5"/>
          </w:tcPr>
          <w:p>
            <w:pPr>
              <w:jc w:val="right"/>
              <w:ind w:right="31"/>
              <w:spacing w:after="0"/>
              <w:rPr>
                <w:sz w:val="20"/>
                <w:szCs w:val="20"/>
                <w:color w:val="auto"/>
              </w:rPr>
            </w:pPr>
            <w:r>
              <w:rPr>
                <w:rFonts w:ascii="Arial" w:cs="Arial" w:eastAsia="Arial" w:hAnsi="Arial"/>
                <w:sz w:val="12"/>
                <w:szCs w:val="12"/>
                <w:b w:val="1"/>
                <w:bCs w:val="1"/>
                <w:color w:val="auto"/>
                <w:w w:val="95"/>
              </w:rPr>
              <w:t>Common Stock</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6"/>
          </w:tcPr>
          <w:p>
            <w:pPr>
              <w:ind w:left="26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320"/>
              <w:spacing w:after="0"/>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4"/>
          </w:tcPr>
          <w:p>
            <w:pPr>
              <w:jc w:val="right"/>
              <w:ind w:right="400"/>
              <w:spacing w:after="0" w:line="53" w:lineRule="exact"/>
              <w:rPr>
                <w:sz w:val="20"/>
                <w:szCs w:val="20"/>
                <w:color w:val="auto"/>
              </w:rPr>
            </w:pPr>
            <w:r>
              <w:rPr>
                <w:rFonts w:ascii="Arial" w:cs="Arial" w:eastAsia="Arial" w:hAnsi="Arial"/>
                <w:sz w:val="6"/>
                <w:szCs w:val="6"/>
                <w:b w:val="1"/>
                <w:bCs w:val="1"/>
                <w:color w:val="auto"/>
              </w:rPr>
              <w:t>Paid-in</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4"/>
          </w:tcPr>
          <w:p>
            <w:pPr>
              <w:jc w:val="right"/>
              <w:ind w:right="240"/>
              <w:spacing w:after="0" w:line="53" w:lineRule="exact"/>
              <w:rPr>
                <w:sz w:val="20"/>
                <w:szCs w:val="20"/>
                <w:color w:val="auto"/>
              </w:rPr>
            </w:pPr>
            <w:r>
              <w:rPr>
                <w:rFonts w:ascii="Arial" w:cs="Arial" w:eastAsia="Arial" w:hAnsi="Arial"/>
                <w:sz w:val="6"/>
                <w:szCs w:val="6"/>
                <w:b w:val="1"/>
                <w:bCs w:val="1"/>
                <w:color w:val="auto"/>
              </w:rPr>
              <w:t>Accumulated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4"/>
          </w:tcPr>
          <w:p>
            <w:pPr>
              <w:jc w:val="center"/>
              <w:ind w:right="220"/>
              <w:spacing w:after="0" w:line="53" w:lineRule="exact"/>
              <w:rPr>
                <w:sz w:val="20"/>
                <w:szCs w:val="20"/>
                <w:color w:val="auto"/>
              </w:rPr>
            </w:pPr>
            <w:r>
              <w:rPr>
                <w:rFonts w:ascii="Arial" w:cs="Arial" w:eastAsia="Arial" w:hAnsi="Arial"/>
                <w:sz w:val="6"/>
                <w:szCs w:val="6"/>
                <w:b w:val="1"/>
                <w:bCs w:val="1"/>
                <w:color w:val="auto"/>
              </w:rPr>
              <w:t>Comprehensive</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gridSpan w:val="5"/>
          </w:tcPr>
          <w:p>
            <w:pPr>
              <w:ind w:left="320"/>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2"/>
                <w:szCs w:val="12"/>
                <w:b w:val="1"/>
                <w:bCs w:val="1"/>
                <w:color w:val="auto"/>
              </w:rPr>
              <w:t>Capital</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2"/>
                <w:szCs w:val="12"/>
                <w:b w:val="1"/>
                <w:bCs w:val="1"/>
                <w:color w:val="auto"/>
                <w:w w:val="85"/>
              </w:rPr>
              <w:t>Loss</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9"/>
          </w:tcPr>
          <w:p>
            <w:pPr>
              <w:ind w:left="40"/>
              <w:spacing w:after="0"/>
              <w:rPr>
                <w:sz w:val="20"/>
                <w:szCs w:val="20"/>
                <w:color w:val="auto"/>
              </w:rPr>
            </w:pPr>
            <w:r>
              <w:rPr>
                <w:rFonts w:ascii="Arial" w:cs="Arial" w:eastAsia="Arial" w:hAnsi="Arial"/>
                <w:sz w:val="12"/>
                <w:szCs w:val="12"/>
                <w:b w:val="1"/>
                <w:bCs w:val="1"/>
                <w:color w:val="auto"/>
                <w:w w:val="97"/>
              </w:rPr>
              <w:t>(In thousands, except share data)</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74,980,546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w w:val="92"/>
              </w:rPr>
              <w:t>(2,746,243)</w:t>
            </w: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w w:val="93"/>
              </w:rPr>
              <w:t>(3)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871,788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(516,859)</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4"/>
              </w:rPr>
              <w:t>(5,564)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349,437</w:t>
            </w: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w w:val="90"/>
              </w:rPr>
              <w:t>Cumulative adjustment due to adoption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64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w w:val="90"/>
              </w:rPr>
              <w:t>(209,651)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50,244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(159,407)</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of ASU 2020-06</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40" w:type="dxa"/>
            <w:vAlign w:val="bottom"/>
            <w:gridSpan w:val="2"/>
            <w:shd w:val="clear" w:color="auto" w:fill="CCEEFF"/>
          </w:tcPr>
          <w:p>
            <w:pPr>
              <w:ind w:left="220"/>
              <w:spacing w:after="0" w:line="134" w:lineRule="exact"/>
              <w:rPr>
                <w:sz w:val="20"/>
                <w:szCs w:val="20"/>
                <w:color w:val="auto"/>
              </w:rPr>
            </w:pPr>
            <w:r>
              <w:rPr>
                <w:rFonts w:ascii="Arial" w:cs="Arial" w:eastAsia="Arial" w:hAnsi="Arial"/>
                <w:sz w:val="14"/>
                <w:szCs w:val="14"/>
                <w:color w:val="auto"/>
                <w:w w:val="90"/>
              </w:rPr>
              <w:t>Common stock issued upon exercise of</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40,483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4"/>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w w:val="92"/>
              </w:rPr>
              <w:t>Common stock issued upon vesting of</w:t>
            </w:r>
          </w:p>
        </w:tc>
        <w:tc>
          <w:tcPr>
            <w:tcW w:w="1140" w:type="dxa"/>
            <w:vAlign w:val="bottom"/>
            <w:gridSpan w:val="5"/>
            <w:vMerge w:val="restart"/>
          </w:tcPr>
          <w:p>
            <w:pPr>
              <w:jc w:val="right"/>
              <w:spacing w:after="0"/>
              <w:rPr>
                <w:sz w:val="20"/>
                <w:szCs w:val="20"/>
                <w:color w:val="auto"/>
              </w:rPr>
            </w:pPr>
            <w:r>
              <w:rPr>
                <w:rFonts w:ascii="Arial" w:cs="Arial" w:eastAsia="Arial" w:hAnsi="Arial"/>
                <w:sz w:val="14"/>
                <w:szCs w:val="14"/>
                <w:color w:val="auto"/>
              </w:rPr>
              <w:t>444,043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64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restricted stock units (“RSUs”)</w:t>
            </w:r>
          </w:p>
        </w:tc>
        <w:tc>
          <w:tcPr>
            <w:tcW w:w="11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20,522</w:t>
            </w: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w w:val="97"/>
              </w:rPr>
              <w:t>Cash awards settled in shares of the</w:t>
            </w:r>
          </w:p>
        </w:tc>
        <w:tc>
          <w:tcPr>
            <w:tcW w:w="1140" w:type="dxa"/>
            <w:vAlign w:val="bottom"/>
            <w:gridSpan w:val="5"/>
            <w:vMerge w:val="restart"/>
          </w:tcPr>
          <w:p>
            <w:pPr>
              <w:jc w:val="right"/>
              <w:spacing w:after="0"/>
              <w:rPr>
                <w:sz w:val="20"/>
                <w:szCs w:val="20"/>
                <w:color w:val="auto"/>
              </w:rPr>
            </w:pPr>
            <w:r>
              <w:rPr>
                <w:rFonts w:ascii="Arial" w:cs="Arial" w:eastAsia="Arial" w:hAnsi="Arial"/>
                <w:sz w:val="14"/>
                <w:szCs w:val="14"/>
                <w:color w:val="auto"/>
              </w:rPr>
              <w:t>735,519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17,298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17,299</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Company’s common stock</w:t>
            </w:r>
          </w:p>
        </w:tc>
        <w:tc>
          <w:tcPr>
            <w:tcW w:w="11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40" w:type="dxa"/>
            <w:vAlign w:val="bottom"/>
            <w:gridSpan w:val="2"/>
            <w:shd w:val="clear" w:color="auto" w:fill="CCEEFF"/>
          </w:tcPr>
          <w:p>
            <w:pPr>
              <w:ind w:left="220"/>
              <w:spacing w:after="0" w:line="134" w:lineRule="exact"/>
              <w:rPr>
                <w:sz w:val="20"/>
                <w:szCs w:val="20"/>
                <w:color w:val="auto"/>
              </w:rPr>
            </w:pPr>
            <w:r>
              <w:rPr>
                <w:rFonts w:ascii="Arial" w:cs="Arial" w:eastAsia="Arial" w:hAnsi="Arial"/>
                <w:sz w:val="14"/>
                <w:szCs w:val="14"/>
                <w:color w:val="auto"/>
                <w:w w:val="90"/>
              </w:rPr>
              <w:t>Common stock issued under Employee</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82,100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84"/>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 Purchase Plan</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Issuance of common stock in</w:t>
            </w:r>
          </w:p>
        </w:tc>
        <w:tc>
          <w:tcPr>
            <w:tcW w:w="1140" w:type="dxa"/>
            <w:vAlign w:val="bottom"/>
            <w:gridSpan w:val="5"/>
            <w:vMerge w:val="restart"/>
          </w:tcPr>
          <w:p>
            <w:pPr>
              <w:jc w:val="right"/>
              <w:spacing w:after="0"/>
              <w:rPr>
                <w:sz w:val="20"/>
                <w:szCs w:val="20"/>
                <w:color w:val="auto"/>
              </w:rPr>
            </w:pPr>
            <w:r>
              <w:rPr>
                <w:rFonts w:ascii="Arial" w:cs="Arial" w:eastAsia="Arial" w:hAnsi="Arial"/>
                <w:sz w:val="14"/>
                <w:szCs w:val="14"/>
                <w:color w:val="auto"/>
              </w:rPr>
              <w:t>779,946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vMerge w:val="restart"/>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17,636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7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17,637</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w w:val="96"/>
              </w:rPr>
              <w:t>connection with acquisitions (Note 9)</w:t>
            </w:r>
          </w:p>
        </w:tc>
        <w:tc>
          <w:tcPr>
            <w:tcW w:w="11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(65,364)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(65,364)</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640" w:type="dxa"/>
            <w:vAlign w:val="bottom"/>
            <w:gridSpan w:val="2"/>
          </w:tcPr>
          <w:p>
            <w:pPr>
              <w:jc w:val="center"/>
              <w:ind w:left="232"/>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auto"/>
                <w:w w:val="94"/>
              </w:rPr>
              <w:t>(1,699)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(1,699)</w:t>
            </w:r>
          </w:p>
        </w:tc>
        <w:tc>
          <w:tcPr>
            <w:tcW w:w="0" w:type="dxa"/>
            <w:vAlign w:val="bottom"/>
          </w:tcPr>
          <w:p>
            <w:pPr>
              <w:spacing w:after="0"/>
              <w:rPr>
                <w:sz w:val="1"/>
                <w:szCs w:val="1"/>
                <w:color w:val="auto"/>
              </w:rPr>
            </w:pPr>
          </w:p>
        </w:tc>
      </w:tr>
      <w:tr>
        <w:trPr>
          <w:trHeight w:val="204"/>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77,062,637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w w:val="92"/>
              </w:rPr>
              <w:t>(2,746,243)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gridSpan w:val="2"/>
            <w:shd w:val="clear" w:color="auto" w:fill="CCEEFF"/>
          </w:tcPr>
          <w:p>
            <w:pPr>
              <w:ind w:left="560"/>
              <w:spacing w:after="0"/>
              <w:rPr>
                <w:sz w:val="20"/>
                <w:szCs w:val="20"/>
                <w:color w:val="auto"/>
              </w:rPr>
            </w:pPr>
            <w:r>
              <w:rPr>
                <w:rFonts w:ascii="Arial" w:cs="Arial" w:eastAsia="Arial" w:hAnsi="Arial"/>
                <w:sz w:val="14"/>
                <w:szCs w:val="14"/>
                <w:color w:val="auto"/>
                <w:w w:val="93"/>
              </w:rPr>
              <w:t>(3)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w w:val="94"/>
              </w:rPr>
              <w:t>(7,263)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180,346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5"/>
          </w:tcPr>
          <w:p>
            <w:pPr>
              <w:ind w:left="180"/>
              <w:spacing w:after="0"/>
              <w:rPr>
                <w:sz w:val="20"/>
                <w:szCs w:val="20"/>
                <w:color w:val="auto"/>
              </w:rPr>
            </w:pPr>
            <w:r>
              <w:rPr>
                <w:rFonts w:ascii="Arial" w:cs="Arial" w:eastAsia="Arial" w:hAnsi="Arial"/>
                <w:sz w:val="12"/>
                <w:szCs w:val="12"/>
                <w:b w:val="1"/>
                <w:bCs w:val="1"/>
                <w:color w:val="auto"/>
                <w:w w:val="97"/>
              </w:rPr>
              <w:t>Common Stock</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6"/>
          </w:tcPr>
          <w:p>
            <w:pPr>
              <w:ind w:left="540"/>
              <w:spacing w:after="0"/>
              <w:rPr>
                <w:sz w:val="20"/>
                <w:szCs w:val="20"/>
                <w:color w:val="auto"/>
              </w:rPr>
            </w:pPr>
            <w:r>
              <w:rPr>
                <w:rFonts w:ascii="Arial" w:cs="Arial" w:eastAsia="Arial" w:hAnsi="Arial"/>
                <w:sz w:val="12"/>
                <w:szCs w:val="12"/>
                <w:b w:val="1"/>
                <w:bCs w:val="1"/>
                <w:color w:val="auto"/>
              </w:rPr>
              <w:t>Treasury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Other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tcPr>
          <w:p>
            <w:pPr>
              <w:jc w:val="center"/>
              <w:ind w:right="60"/>
              <w:spacing w:after="0" w:line="53" w:lineRule="exact"/>
              <w:rPr>
                <w:sz w:val="20"/>
                <w:szCs w:val="20"/>
                <w:color w:val="auto"/>
              </w:rPr>
            </w:pPr>
            <w:r>
              <w:rPr>
                <w:rFonts w:ascii="Arial" w:cs="Arial" w:eastAsia="Arial" w:hAnsi="Arial"/>
                <w:sz w:val="6"/>
                <w:szCs w:val="6"/>
                <w:b w:val="1"/>
                <w:bCs w:val="1"/>
                <w:color w:val="auto"/>
              </w:rPr>
              <w:t>Paid-in</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tcPr>
          <w:p>
            <w:pPr>
              <w:jc w:val="right"/>
              <w:ind w:right="100"/>
              <w:spacing w:after="0" w:line="53" w:lineRule="exact"/>
              <w:rPr>
                <w:sz w:val="20"/>
                <w:szCs w:val="20"/>
                <w:color w:val="auto"/>
              </w:rPr>
            </w:pPr>
            <w:r>
              <w:rPr>
                <w:rFonts w:ascii="Arial" w:cs="Arial" w:eastAsia="Arial" w:hAnsi="Arial"/>
                <w:sz w:val="6"/>
                <w:szCs w:val="6"/>
                <w:b w:val="1"/>
                <w:bCs w:val="1"/>
                <w:color w:val="auto"/>
              </w:rPr>
              <w:t>Accumulated</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3"/>
          </w:tcPr>
          <w:p>
            <w:pPr>
              <w:jc w:val="center"/>
              <w:ind w:right="140"/>
              <w:spacing w:after="0" w:line="53" w:lineRule="exact"/>
              <w:rPr>
                <w:sz w:val="20"/>
                <w:szCs w:val="20"/>
                <w:color w:val="auto"/>
              </w:rPr>
            </w:pPr>
            <w:r>
              <w:rPr>
                <w:rFonts w:ascii="Arial" w:cs="Arial" w:eastAsia="Arial" w:hAnsi="Arial"/>
                <w:sz w:val="6"/>
                <w:szCs w:val="6"/>
                <w:b w:val="1"/>
                <w:bCs w:val="1"/>
                <w:color w:val="auto"/>
              </w:rPr>
              <w:t>Comprehensive</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2"/>
                <w:szCs w:val="12"/>
                <w:b w:val="1"/>
                <w:bCs w:val="1"/>
                <w:color w:val="auto"/>
              </w:rPr>
              <w:t>Shares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212"/>
              <w:spacing w:after="0"/>
              <w:rPr>
                <w:sz w:val="20"/>
                <w:szCs w:val="20"/>
                <w:color w:val="auto"/>
              </w:rPr>
            </w:pPr>
            <w:r>
              <w:rPr>
                <w:rFonts w:ascii="Arial" w:cs="Arial" w:eastAsia="Arial" w:hAnsi="Arial"/>
                <w:sz w:val="12"/>
                <w:szCs w:val="12"/>
                <w:b w:val="1"/>
                <w:bCs w:val="1"/>
                <w:color w:val="auto"/>
                <w:w w:val="89"/>
              </w:rPr>
              <w:t>Shares</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w w:val="88"/>
              </w:rPr>
              <w:t>Amount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2"/>
                <w:szCs w:val="12"/>
                <w:b w:val="1"/>
                <w:bCs w:val="1"/>
                <w:color w:val="auto"/>
                <w:w w:val="94"/>
              </w:rPr>
              <w:t>Capital</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Deficit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85"/>
              </w:rPr>
              <w:t>Loss</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0" w:type="dxa"/>
            <w:vAlign w:val="bottom"/>
            <w:gridSpan w:val="11"/>
          </w:tcPr>
          <w:p>
            <w:pPr>
              <w:jc w:val="right"/>
              <w:ind w:right="220"/>
              <w:spacing w:after="0"/>
              <w:rPr>
                <w:sz w:val="20"/>
                <w:szCs w:val="20"/>
                <w:color w:val="auto"/>
              </w:rPr>
            </w:pPr>
            <w:r>
              <w:rPr>
                <w:rFonts w:ascii="Arial" w:cs="Arial" w:eastAsia="Arial" w:hAnsi="Arial"/>
                <w:sz w:val="14"/>
                <w:szCs w:val="14"/>
                <w:b w:val="1"/>
                <w:bCs w:val="1"/>
                <w:color w:val="auto"/>
                <w:w w:val="88"/>
              </w:rPr>
              <w:t>(In thousands, except share data)</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70,264,265</w:t>
            </w:r>
          </w:p>
        </w:tc>
        <w:tc>
          <w:tcPr>
            <w:tcW w:w="460" w:type="dxa"/>
            <w:vAlign w:val="bottom"/>
            <w:gridSpan w:val="3"/>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8"/>
              </w:rPr>
              <w:t>-2704706000000</w:t>
            </w:r>
          </w:p>
        </w:tc>
        <w:tc>
          <w:tcPr>
            <w:tcW w:w="92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w w:val="92"/>
              </w:rPr>
              <w:t>(2,709,830)</w:t>
            </w:r>
          </w:p>
        </w:tc>
        <w:tc>
          <w:tcPr>
            <w:tcW w:w="740" w:type="dxa"/>
            <w:vAlign w:val="bottom"/>
            <w:gridSpan w:val="2"/>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 - $</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635,672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(391,885)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243,934</w:t>
            </w: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Common stock issued upon</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209,185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2,617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8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exercise of stock options</w:t>
            </w: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40" w:type="dxa"/>
            <w:vAlign w:val="bottom"/>
            <w:gridSpan w:val="2"/>
            <w:shd w:val="clear" w:color="auto" w:fill="CCEEFF"/>
          </w:tcPr>
          <w:p>
            <w:pPr>
              <w:ind w:left="220"/>
              <w:spacing w:after="0" w:line="134" w:lineRule="exact"/>
              <w:rPr>
                <w:sz w:val="20"/>
                <w:szCs w:val="20"/>
                <w:color w:val="auto"/>
              </w:rPr>
            </w:pPr>
            <w:r>
              <w:rPr>
                <w:rFonts w:ascii="Arial" w:cs="Arial" w:eastAsia="Arial" w:hAnsi="Arial"/>
                <w:sz w:val="14"/>
                <w:szCs w:val="14"/>
                <w:color w:val="auto"/>
                <w:w w:val="99"/>
              </w:rPr>
              <w:t>Common stock issued upon vesting</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454,508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of RSUs</w:t>
            </w:r>
          </w:p>
        </w:tc>
        <w:tc>
          <w:tcPr>
            <w:tcW w:w="6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9,225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8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9,225</w:t>
            </w:r>
          </w:p>
        </w:tc>
        <w:tc>
          <w:tcPr>
            <w:tcW w:w="0" w:type="dxa"/>
            <w:vAlign w:val="bottom"/>
          </w:tcPr>
          <w:p>
            <w:pPr>
              <w:spacing w:after="0"/>
              <w:rPr>
                <w:sz w:val="1"/>
                <w:szCs w:val="1"/>
                <w:color w:val="auto"/>
              </w:rPr>
            </w:pPr>
          </w:p>
        </w:tc>
      </w:tr>
      <w:tr>
        <w:trPr>
          <w:trHeight w:val="134"/>
        </w:trPr>
        <w:tc>
          <w:tcPr>
            <w:tcW w:w="2440" w:type="dxa"/>
            <w:vAlign w:val="bottom"/>
            <w:gridSpan w:val="2"/>
            <w:shd w:val="clear" w:color="auto" w:fill="CCEEFF"/>
          </w:tcPr>
          <w:p>
            <w:pPr>
              <w:ind w:left="220"/>
              <w:spacing w:after="0" w:line="134" w:lineRule="exact"/>
              <w:rPr>
                <w:sz w:val="20"/>
                <w:szCs w:val="20"/>
                <w:color w:val="auto"/>
              </w:rPr>
            </w:pPr>
            <w:r>
              <w:rPr>
                <w:rFonts w:ascii="Arial" w:cs="Arial" w:eastAsia="Arial" w:hAnsi="Arial"/>
                <w:sz w:val="14"/>
                <w:szCs w:val="14"/>
                <w:color w:val="auto"/>
                <w:w w:val="97"/>
              </w:rPr>
              <w:t>Cash awards settled in shares of the</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400,700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25,925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25,925</w:t>
            </w:r>
          </w:p>
        </w:tc>
        <w:tc>
          <w:tcPr>
            <w:tcW w:w="0" w:type="dxa"/>
            <w:vAlign w:val="bottom"/>
          </w:tcPr>
          <w:p>
            <w:pPr>
              <w:spacing w:after="0"/>
              <w:rPr>
                <w:sz w:val="1"/>
                <w:szCs w:val="1"/>
                <w:color w:val="auto"/>
              </w:rPr>
            </w:pPr>
          </w:p>
        </w:tc>
      </w:tr>
      <w:tr>
        <w:trPr>
          <w:trHeight w:val="184"/>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Company’s common stock</w:t>
            </w:r>
          </w:p>
        </w:tc>
        <w:tc>
          <w:tcPr>
            <w:tcW w:w="68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40" w:type="dxa"/>
            <w:vAlign w:val="bottom"/>
            <w:gridSpan w:val="2"/>
          </w:tcPr>
          <w:p>
            <w:pPr>
              <w:ind w:left="220"/>
              <w:spacing w:after="0" w:line="131" w:lineRule="exact"/>
              <w:rPr>
                <w:sz w:val="20"/>
                <w:szCs w:val="20"/>
                <w:color w:val="auto"/>
              </w:rPr>
            </w:pPr>
            <w:r>
              <w:rPr>
                <w:rFonts w:ascii="Arial" w:cs="Arial" w:eastAsia="Arial" w:hAnsi="Arial"/>
                <w:sz w:val="14"/>
                <w:szCs w:val="14"/>
                <w:color w:val="auto"/>
              </w:rPr>
              <w:t>Common stock issued under</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22,544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4"/>
                <w:szCs w:val="14"/>
                <w:color w:val="auto"/>
              </w:rPr>
              <w:t>1,257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vMerge w:val="restart"/>
          </w:tcPr>
          <w:p>
            <w:pPr>
              <w:ind w:left="8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81"/>
        </w:trPr>
        <w:tc>
          <w:tcPr>
            <w:tcW w:w="2440" w:type="dxa"/>
            <w:vAlign w:val="bottom"/>
            <w:gridSpan w:val="2"/>
          </w:tcPr>
          <w:p>
            <w:pPr>
              <w:ind w:left="220"/>
              <w:spacing w:after="0"/>
              <w:rPr>
                <w:sz w:val="20"/>
                <w:szCs w:val="20"/>
                <w:color w:val="auto"/>
              </w:rPr>
            </w:pPr>
            <w:r>
              <w:rPr>
                <w:rFonts w:ascii="Arial" w:cs="Arial" w:eastAsia="Arial" w:hAnsi="Arial"/>
                <w:sz w:val="14"/>
                <w:szCs w:val="14"/>
                <w:color w:val="auto"/>
              </w:rPr>
              <w:t>Employee Stock Purchase Plan</w:t>
            </w:r>
          </w:p>
        </w:tc>
        <w:tc>
          <w:tcPr>
            <w:tcW w:w="6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0" w:type="dxa"/>
            <w:vAlign w:val="bottom"/>
          </w:tcPr>
          <w:p>
            <w:pPr>
              <w:spacing w:after="0"/>
              <w:rPr>
                <w:sz w:val="1"/>
                <w:szCs w:val="1"/>
                <w:color w:val="auto"/>
              </w:rPr>
            </w:pPr>
          </w:p>
        </w:tc>
      </w:tr>
      <w:tr>
        <w:trPr>
          <w:trHeight w:val="181"/>
        </w:trPr>
        <w:tc>
          <w:tcPr>
            <w:tcW w:w="2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loss</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color w:val="auto"/>
                <w:w w:val="90"/>
              </w:rPr>
              <w:t>(1,746)</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99"/>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71,351,202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71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w w:val="92"/>
              </w:rPr>
              <w:t>(2,709,830)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674,695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(413,080)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w w:val="90"/>
              </w:rPr>
              <w:t>(1,666)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260,017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center"/>
              <w:ind w:right="241"/>
              <w:spacing w:after="0"/>
              <w:rPr>
                <w:sz w:val="20"/>
                <w:szCs w:val="20"/>
                <w:color w:val="auto"/>
              </w:rPr>
            </w:pPr>
            <w:r>
              <w:rPr>
                <w:rFonts w:ascii="Arial" w:cs="Arial" w:eastAsia="Arial" w:hAnsi="Arial"/>
                <w:sz w:val="14"/>
                <w:szCs w:val="14"/>
                <w:b w:val="1"/>
                <w:bCs w:val="1"/>
                <w:color w:val="auto"/>
                <w:w w:val="92"/>
              </w:rPr>
              <w:t>Three Months Ended</w:t>
            </w:r>
          </w:p>
        </w:tc>
      </w:tr>
      <w:tr>
        <w:trPr>
          <w:trHeight w:val="189"/>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22"/>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tcBorders>
              <w:bottom w:val="single" w:sz="8" w:color="auto"/>
            </w:tcBorders>
          </w:tcPr>
          <w:p>
            <w:pPr>
              <w:spacing w:after="0"/>
              <w:rPr>
                <w:sz w:val="16"/>
                <w:szCs w:val="16"/>
                <w:color w:val="auto"/>
              </w:rPr>
            </w:pPr>
          </w:p>
        </w:tc>
      </w:tr>
      <w:tr>
        <w:trPr>
          <w:trHeight w:val="190"/>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center"/>
              <w:ind w:left="522"/>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5"/>
                <w:szCs w:val="15"/>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360" w:type="dxa"/>
            <w:vAlign w:val="bottom"/>
          </w:tcPr>
          <w:p>
            <w:pPr>
              <w:ind w:left="3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(65,364)</w:t>
            </w:r>
          </w:p>
        </w:tc>
        <w:tc>
          <w:tcPr>
            <w:tcW w:w="12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(21,195)</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31,866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14,611</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Amortization of purchased intangibles and finance leases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1,550</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Accretion of debt discount on convertible senior notes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8,118</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(1,595)</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(16,331)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(13,658)</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Contract acquisition costs noncurrent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8,023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17,208</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13,527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21,642</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07"/>
        </w:trPr>
        <w:tc>
          <w:tcPr>
            <w:tcW w:w="83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03"/>
        </w:trPr>
        <w:tc>
          <w:tcPr>
            <w:tcW w:w="83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(22,872)</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25,229</w:t>
            </w:r>
          </w:p>
        </w:tc>
      </w:tr>
      <w:tr>
        <w:trPr>
          <w:trHeight w:val="88"/>
        </w:trPr>
        <w:tc>
          <w:tcPr>
            <w:tcW w:w="8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360" w:type="dxa"/>
            <w:vAlign w:val="bottom"/>
          </w:tcPr>
          <w:p>
            <w:pPr>
              <w:ind w:left="36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(13,135)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(10,630)</w:t>
            </w: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in joint venture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60" w:type="dxa"/>
            <w:vAlign w:val="bottom"/>
          </w:tcPr>
          <w:p>
            <w:pPr>
              <w:ind w:left="360"/>
              <w:spacing w:after="0"/>
              <w:rPr>
                <w:sz w:val="20"/>
                <w:szCs w:val="20"/>
                <w:color w:val="auto"/>
              </w:rPr>
            </w:pPr>
            <w:r>
              <w:rPr>
                <w:rFonts w:ascii="Arial" w:cs="Arial" w:eastAsia="Arial" w:hAnsi="Arial"/>
                <w:sz w:val="16"/>
                <w:szCs w:val="16"/>
                <w:color w:val="auto"/>
              </w:rPr>
              <w:t>Payments for acquisition, net of cash acquired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intangible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200"/>
        </w:trPr>
        <w:tc>
          <w:tcPr>
            <w:tcW w:w="83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(11,437)</w:t>
            </w:r>
          </w:p>
        </w:tc>
      </w:tr>
      <w:tr>
        <w:trPr>
          <w:trHeight w:val="88"/>
        </w:trPr>
        <w:tc>
          <w:tcPr>
            <w:tcW w:w="8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payments for financing leases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07"/>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issuance of common stock in connection with the exercise of options and ESPP</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w:t>
            </w:r>
          </w:p>
        </w:tc>
      </w:tr>
      <w:tr>
        <w:trPr>
          <w:trHeight w:val="206"/>
        </w:trPr>
        <w:tc>
          <w:tcPr>
            <w:tcW w:w="83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(2,734)</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14,073</w:t>
            </w:r>
          </w:p>
        </w:tc>
      </w:tr>
      <w:tr>
        <w:trPr>
          <w:trHeight w:val="20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year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523,532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654,152</w:t>
            </w: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year</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482,362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668,225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to condensed consolidated balance sheets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3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480,676</w:t>
            </w:r>
          </w:p>
        </w:tc>
        <w:tc>
          <w:tcPr>
            <w:tcW w:w="12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668,225</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 in 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60" w:type="dxa"/>
            <w:vAlign w:val="bottom"/>
          </w:tcPr>
          <w:p>
            <w:pPr>
              <w:ind w:left="1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482,362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668,225</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2"/>
              </w:rPr>
              <w:t>Three Months Ended</w:t>
            </w:r>
          </w:p>
        </w:tc>
      </w:tr>
      <w:tr>
        <w:trPr>
          <w:trHeight w:val="189"/>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left="524"/>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tcBorders>
              <w:bottom w:val="single" w:sz="8" w:color="auto"/>
            </w:tcBorders>
          </w:tcPr>
          <w:p>
            <w:pPr>
              <w:spacing w:after="0"/>
              <w:rPr>
                <w:sz w:val="16"/>
                <w:szCs w:val="16"/>
                <w:color w:val="auto"/>
              </w:rPr>
            </w:pPr>
          </w:p>
        </w:tc>
      </w:tr>
      <w:tr>
        <w:trPr>
          <w:trHeight w:val="190"/>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181"/>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jc w:val="center"/>
              <w:ind w:left="524"/>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5"/>
                <w:szCs w:val="15"/>
                <w:color w:val="auto"/>
              </w:rPr>
            </w:pPr>
          </w:p>
        </w:tc>
      </w:tr>
      <w:tr>
        <w:trPr>
          <w:trHeight w:val="208"/>
        </w:trPr>
        <w:tc>
          <w:tcPr>
            <w:tcW w:w="8360" w:type="dxa"/>
            <w:vAlign w:val="bottom"/>
          </w:tcPr>
          <w:p>
            <w:pPr>
              <w:ind w:left="20"/>
              <w:spacing w:after="0"/>
              <w:rPr>
                <w:sz w:val="20"/>
                <w:szCs w:val="20"/>
                <w:color w:val="auto"/>
              </w:rPr>
            </w:pPr>
            <w:r>
              <w:rPr>
                <w:rFonts w:ascii="Arial" w:cs="Arial" w:eastAsia="Arial" w:hAnsi="Arial"/>
                <w:sz w:val="16"/>
                <w:szCs w:val="16"/>
                <w:color w:val="auto"/>
              </w:rPr>
              <w:t>Supplemental disclosure of other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1,259</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928</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108"/>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convertible senior notes, net upon adoption of ASU 2020-06 (Note 1)</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159,407</w:t>
            </w:r>
          </w:p>
        </w:tc>
        <w:tc>
          <w:tcPr>
            <w:tcW w:w="5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Purchase of property and equipment recorded in accounts payable</w:t>
            </w:r>
          </w:p>
        </w:tc>
        <w:tc>
          <w:tcPr>
            <w:tcW w:w="32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1,060</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1,530</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of common stock to settle cash awards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17,298</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25,925</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Right of use assets obtained in exchange for operating lease liabilities</w:t>
            </w:r>
          </w:p>
        </w:tc>
        <w:tc>
          <w:tcPr>
            <w:tcW w:w="32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2,678</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Fair value of contingent earn-out in connection with the acquisition of AdvantageTec Inc. recorded in accrued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4"/>
        </w:trPr>
        <w:tc>
          <w:tcPr>
            <w:tcW w:w="8360" w:type="dxa"/>
            <w:vAlign w:val="bottom"/>
          </w:tcPr>
          <w:p>
            <w:pPr>
              <w:ind w:left="140"/>
              <w:spacing w:after="0"/>
              <w:rPr>
                <w:sz w:val="20"/>
                <w:szCs w:val="20"/>
                <w:color w:val="auto"/>
              </w:rPr>
            </w:pPr>
            <w:r>
              <w:rPr>
                <w:rFonts w:ascii="Arial" w:cs="Arial" w:eastAsia="Arial" w:hAnsi="Arial"/>
                <w:sz w:val="16"/>
                <w:szCs w:val="16"/>
                <w:color w:val="auto"/>
              </w:rPr>
              <w:t>Issuance of 776,825 shares of common stock in connection with the WildHealth transaction in February 2022</w:t>
            </w:r>
          </w:p>
        </w:tc>
        <w:tc>
          <w:tcPr>
            <w:tcW w:w="320" w:type="dxa"/>
            <w:vAlign w:val="bottom"/>
          </w:tcPr>
          <w:p>
            <w:pPr>
              <w:spacing w:after="0"/>
              <w:rPr>
                <w:sz w:val="17"/>
                <w:szCs w:val="17"/>
                <w:color w:val="auto"/>
              </w:rPr>
            </w:pPr>
          </w:p>
        </w:tc>
        <w:tc>
          <w:tcPr>
            <w:tcW w:w="1100" w:type="dxa"/>
            <w:vAlign w:val="bottom"/>
          </w:tcPr>
          <w:p>
            <w:pPr>
              <w:jc w:val="right"/>
              <w:ind w:right="24"/>
              <w:spacing w:after="0"/>
              <w:rPr>
                <w:sz w:val="20"/>
                <w:szCs w:val="20"/>
                <w:color w:val="auto"/>
              </w:rPr>
            </w:pPr>
            <w:r>
              <w:rPr>
                <w:rFonts w:ascii="Arial" w:cs="Arial" w:eastAsia="Arial" w:hAnsi="Arial"/>
                <w:sz w:val="16"/>
                <w:szCs w:val="16"/>
                <w:color w:val="auto"/>
              </w:rPr>
              <w:t>17,675</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 w:name="page10"/>
    <w:bookmarkEnd w:id="9"/>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45" w:lineRule="exact"/>
        <w:rPr>
          <w:sz w:val="20"/>
          <w:szCs w:val="20"/>
          <w:color w:val="auto"/>
        </w:rPr>
      </w:pPr>
    </w:p>
    <w:p>
      <w:pPr>
        <w:jc w:val="both"/>
        <w:ind w:firstLine="420"/>
        <w:spacing w:after="0" w:line="299" w:lineRule="auto"/>
        <w:rPr>
          <w:sz w:val="20"/>
          <w:szCs w:val="20"/>
          <w:color w:val="auto"/>
        </w:rPr>
      </w:pPr>
      <w:r>
        <w:rPr>
          <w:rFonts w:ascii="Arial" w:cs="Arial" w:eastAsia="Arial" w:hAnsi="Arial"/>
          <w:sz w:val="15"/>
          <w:szCs w:val="15"/>
          <w:color w:val="auto"/>
        </w:rPr>
        <w:t>LivePerson, Inc. (“LivePerson”, the “Company”, “we”, “our” or “us”) is a leading Conversational Artificial Intelligence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we believe can now be viewed as a permanent, structural shift in consumer behavior. Our technology enables consumers to connect with businesses through these same preferred conversational interfaces, including Facebook Messenger, short message service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83"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93"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90"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177"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181"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In light of the COVID-19 pandemic and the company’s strong performance working remotely, LivePerson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 w:name="page11"/>
    <w:bookmarkEnd w:id="1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9"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The accompanying condensed consolidated financial statements as of March 31, 2022 and for the three months ended March 31, 2022 and 2021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condensed consolidated financial position of LivePerson as of March 31, 2022, and the condensed consolidated results of operations, comprehensive loss, and cash flows for the interim periods ended March 31, 2022 and 2021.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consolidated balance sheet as of December 31, 2021 has been derived from audited consolidated financial statements at that date.</w:t>
      </w:r>
    </w:p>
    <w:p>
      <w:pPr>
        <w:spacing w:after="0" w:line="193"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2021 included in the Company’s Annual Report on Form 10-K filed with the SEC on February 28,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39" w:lineRule="exact"/>
        <w:rPr>
          <w:sz w:val="20"/>
          <w:szCs w:val="20"/>
          <w:color w:val="auto"/>
        </w:rPr>
      </w:pPr>
    </w:p>
    <w:p>
      <w:pPr>
        <w:jc w:val="both"/>
        <w:ind w:firstLine="420"/>
        <w:spacing w:after="0" w:line="299" w:lineRule="auto"/>
        <w:rPr>
          <w:sz w:val="20"/>
          <w:szCs w:val="20"/>
          <w:color w:val="auto"/>
        </w:rPr>
      </w:pPr>
      <w:r>
        <w:rPr>
          <w:rFonts w:ascii="Arial" w:cs="Arial" w:eastAsia="Arial" w:hAnsi="Arial"/>
          <w:sz w:val="15"/>
          <w:szCs w:val="15"/>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our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through earnings. The Company records dividends or other equity distributions as reductions in the carrying value of the investment. The Company assesses the carrying value of equity method investments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6"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condensed consolidated financial statements include the financial statements of LivePerson, its wholly owned subsidiaries, and variable interest entities (“VIEs”) for which the Company is the primary beneficiary. The Company consolidates entities in which it has a controlling financial interest. All intercompany balances and transactions have been eliminated in consolidation.</w:t>
      </w:r>
    </w:p>
    <w:p>
      <w:pPr>
        <w:spacing w:after="0" w:line="21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18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1" w:name="page12"/>
    <w:bookmarkEnd w:id="11"/>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right to receive benefits from the VIE that could potentially be significant to the VIE. The Company periodically reassesses whether it is the primary beneficiary of a VIE.</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18 – Variable Interest Entity for the Company’s assessment of VIEs.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Significant items subject to such estimates and assumptions include:</w:t>
      </w:r>
    </w:p>
    <w:p>
      <w:pPr>
        <w:spacing w:after="0" w:line="108" w:lineRule="exact"/>
        <w:rPr>
          <w:sz w:val="20"/>
          <w:szCs w:val="20"/>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of goodwill;</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of intangible assets;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contingencies.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Many of the Company’s estimates require increased judgment due to the significant volatility, uncertainty and economic disruption of the COVID-19 pandemic. The Company continues to monitor the effects of the COVID-19 pandemic, and its estimates and judgments may change materially as new events occur or additional information becomes available.</w:t>
      </w:r>
    </w:p>
    <w:p>
      <w:pPr>
        <w:spacing w:after="0" w:line="21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expense, net in the accompanying condensed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i w:val="1"/>
          <w:iCs w:val="1"/>
          <w:color w:val="auto"/>
        </w:rPr>
        <w:t xml:space="preserve">Debt - Debt with Conversion and Other Options (Subtopic 470-20) and Derivatives and Hedging - Contracts in Entity’s Own Equity (Subtopic 815-40): Accounting for Convertible Instruments and Contracts in an Entity’s Own Equity. </w:t>
      </w:r>
      <w:r>
        <w:rPr>
          <w:rFonts w:ascii="Arial" w:cs="Arial" w:eastAsia="Arial" w:hAnsi="Arial"/>
          <w:sz w:val="16"/>
          <w:szCs w:val="16"/>
          <w:color w:val="auto"/>
        </w:rPr>
        <w:t>In August 2020, the Financial Accounting Standards Board (“FASB”) issued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Update (“ASU”) 2020-06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62" w:lineRule="exact"/>
        <w:rPr>
          <w:sz w:val="20"/>
          <w:szCs w:val="20"/>
          <w:color w:val="auto"/>
        </w:rPr>
      </w:pPr>
    </w:p>
    <w:p>
      <w:pPr>
        <w:ind w:left="1260" w:hanging="41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removing certain conditions required to meet the settlement criterion;</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2" w:name="page13"/>
    <w:bookmarkEnd w:id="12"/>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hanging="415"/>
        <w:spacing w:after="0" w:line="260" w:lineRule="auto"/>
        <w:tabs>
          <w:tab w:leader="none" w:pos="1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clarifying that instruments that are not indexed to the issuer’s own stock must be remeasured at fair value through earnings at each reporting period; and</w:t>
      </w:r>
    </w:p>
    <w:p>
      <w:pPr>
        <w:spacing w:after="0" w:line="76" w:lineRule="exact"/>
        <w:rPr>
          <w:rFonts w:ascii="Arial" w:cs="Arial" w:eastAsia="Arial" w:hAnsi="Arial"/>
          <w:sz w:val="18"/>
          <w:szCs w:val="18"/>
          <w:color w:val="auto"/>
        </w:rPr>
      </w:pPr>
    </w:p>
    <w:p>
      <w:pPr>
        <w:ind w:left="1260" w:hanging="41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clarifying the scope of reassessment guidance and disclosure requirements in Subtopic 815-40.</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ASU also makes targeted improvements to the disclosure requirements for convertible instruments and earnings per share guidance.</w:t>
      </w:r>
    </w:p>
    <w:p>
      <w:pPr>
        <w:spacing w:after="0" w:line="262"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In connection with the adoption of ASU 2020-06, we recognized a $50.2 million decrease of accumulated deficit, a $209.7 million decrease of additional paid-in capital, and an $159.5 million increase of convertible senior notes, net. See Note 8 – Convertible Senior Notes and Capped Call Transactions for a full description of the convertible senior notes.</w:t>
      </w:r>
    </w:p>
    <w:p>
      <w:pPr>
        <w:spacing w:after="0" w:line="221"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With the exception of the new standards discussed above, there have been no other recent accounting pronouncements or changes in accounting pronouncements during the quarter ended March 31, 2022, that are of significance or potential significance to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The majority of the Company’s revenue is generated from hosted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its total revenue for the three months ended March 31, 2022.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As of March 31, 2022, the aggregate amount of the total transaction price allocated in contracts with original duration of one year or greater to the remaining performance obligations was $448.0 million. Approximately 91%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39"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Company records deferred revenues when cash payments are received or due in advance of its performance. The increase in the deferred revenue balance as of March 31, 2022 is primarily driven by cash payments received or due in advance of its performance obligations, partially offset by $55.4 million of revenues recognized that were included in the deferred revenue balance as of December 31, 2021.</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deferred revenue by revenue source: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Deferred Revenue</w:t>
            </w:r>
          </w:p>
        </w:tc>
      </w:tr>
      <w:tr>
        <w:trPr>
          <w:trHeight w:val="130"/>
        </w:trPr>
        <w:tc>
          <w:tcPr>
            <w:tcW w:w="8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60"/>
              <w:spacing w:after="0" w:line="13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1"/>
                <w:szCs w:val="11"/>
                <w:color w:val="auto"/>
              </w:rPr>
            </w:pPr>
          </w:p>
        </w:tc>
        <w:tc>
          <w:tcPr>
            <w:tcW w:w="1220" w:type="dxa"/>
            <w:vAlign w:val="bottom"/>
          </w:tcPr>
          <w:p>
            <w:pPr>
              <w:jc w:val="right"/>
              <w:ind w:right="223"/>
              <w:spacing w:after="0" w:line="130" w:lineRule="exact"/>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Hosted services – Business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94,107</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Hosted services – Consumer</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 Business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w:t>
            </w:r>
          </w:p>
        </w:tc>
      </w:tr>
      <w:tr>
        <w:trPr>
          <w:trHeight w:val="206"/>
        </w:trPr>
        <w:tc>
          <w:tcPr>
            <w:tcW w:w="8280" w:type="dxa"/>
            <w:vAlign w:val="bottom"/>
          </w:tcPr>
          <w:p>
            <w:pPr>
              <w:ind w:left="220"/>
              <w:spacing w:after="0"/>
              <w:rPr>
                <w:sz w:val="20"/>
                <w:szCs w:val="20"/>
                <w:color w:val="auto"/>
              </w:rPr>
            </w:pPr>
            <w:r>
              <w:rPr>
                <w:rFonts w:ascii="Arial" w:cs="Arial" w:eastAsia="Arial" w:hAnsi="Arial"/>
                <w:sz w:val="16"/>
                <w:szCs w:val="16"/>
                <w:color w:val="auto"/>
              </w:rPr>
              <w:t>Total deferred revenue - short term</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112,323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services – Business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deferred revenue - long term</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3" w:name="page14"/>
    <w:bookmarkEnd w:id="13"/>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380" w:type="dxa"/>
            <w:vAlign w:val="bottom"/>
            <w:gridSpan w:val="4"/>
          </w:tcPr>
          <w:p>
            <w:pPr>
              <w:jc w:val="center"/>
              <w:ind w:left="526"/>
              <w:spacing w:after="0"/>
              <w:rPr>
                <w:sz w:val="20"/>
                <w:szCs w:val="20"/>
                <w:color w:val="auto"/>
              </w:rPr>
            </w:pPr>
            <w:r>
              <w:rPr>
                <w:rFonts w:ascii="Arial" w:cs="Arial" w:eastAsia="Arial" w:hAnsi="Arial"/>
                <w:sz w:val="14"/>
                <w:szCs w:val="14"/>
                <w:b w:val="1"/>
                <w:bCs w:val="1"/>
                <w:color w:val="auto"/>
                <w:w w:val="90"/>
              </w:rPr>
              <w:t>Three Months Ended</w:t>
            </w:r>
          </w:p>
        </w:tc>
        <w:tc>
          <w:tcPr>
            <w:tcW w:w="580" w:type="dxa"/>
            <w:vAlign w:val="bottom"/>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88"/>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r>
      <w:tr>
        <w:trPr>
          <w:trHeight w:val="177"/>
        </w:trPr>
        <w:tc>
          <w:tcPr>
            <w:tcW w:w="8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gridSpan w:val="3"/>
          </w:tcPr>
          <w:p>
            <w:pPr>
              <w:jc w:val="center"/>
              <w:ind w:right="188"/>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7"/>
        </w:trPr>
        <w:tc>
          <w:tcPr>
            <w:tcW w:w="8280" w:type="dxa"/>
            <w:vAlign w:val="bottom"/>
          </w:tcPr>
          <w:p>
            <w:pPr>
              <w:ind w:left="120"/>
              <w:spacing w:after="0"/>
              <w:rPr>
                <w:sz w:val="20"/>
                <w:szCs w:val="20"/>
                <w:color w:val="auto"/>
              </w:rPr>
            </w:pPr>
            <w:r>
              <w:rPr>
                <w:rFonts w:ascii="Arial" w:cs="Arial" w:eastAsia="Arial" w:hAnsi="Arial"/>
                <w:sz w:val="16"/>
                <w:szCs w:val="16"/>
                <w:color w:val="auto"/>
              </w:rPr>
              <w:t>Hosted services – Business</w:t>
            </w:r>
          </w:p>
        </w:tc>
        <w:tc>
          <w:tcPr>
            <w:tcW w:w="860" w:type="dxa"/>
            <w:vAlign w:val="bottom"/>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106,324</w:t>
            </w:r>
          </w:p>
        </w:tc>
        <w:tc>
          <w:tcPr>
            <w:tcW w:w="100" w:type="dxa"/>
            <w:vAlign w:val="bottom"/>
          </w:tcPr>
          <w:p>
            <w:pPr>
              <w:spacing w:after="0"/>
              <w:rPr>
                <w:sz w:val="17"/>
                <w:szCs w:val="17"/>
                <w:color w:val="auto"/>
              </w:rPr>
            </w:pPr>
          </w:p>
        </w:tc>
        <w:tc>
          <w:tcPr>
            <w:tcW w:w="840" w:type="dxa"/>
            <w:vAlign w:val="bottom"/>
          </w:tcPr>
          <w:p>
            <w:pPr>
              <w:jc w:val="right"/>
              <w:ind w:right="68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83,640</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9,011</w:t>
            </w:r>
          </w:p>
        </w:tc>
      </w:tr>
      <w:tr>
        <w:trPr>
          <w:trHeight w:val="207"/>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Professional services – Business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14,751</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15,240</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130,197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107,891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center"/>
              <w:ind w:right="262"/>
              <w:spacing w:after="0"/>
              <w:rPr>
                <w:sz w:val="20"/>
                <w:szCs w:val="20"/>
                <w:color w:val="auto"/>
              </w:rPr>
            </w:pPr>
            <w:r>
              <w:rPr>
                <w:rFonts w:ascii="Arial" w:cs="Arial" w:eastAsia="Arial" w:hAnsi="Arial"/>
                <w:sz w:val="14"/>
                <w:szCs w:val="14"/>
                <w:b w:val="1"/>
                <w:bCs w:val="1"/>
                <w:color w:val="auto"/>
                <w:w w:val="92"/>
              </w:rPr>
              <w:t>Three Months Ended</w:t>
            </w: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525"/>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87,137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68,782</w:t>
            </w:r>
          </w:p>
        </w:tc>
      </w:tr>
      <w:tr>
        <w:trPr>
          <w:trHeight w:val="210"/>
        </w:trPr>
        <w:tc>
          <w:tcPr>
            <w:tcW w:w="82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Other Americas </w:t>
            </w:r>
            <w:r>
              <w:rPr>
                <w:rFonts w:ascii="Arial" w:cs="Arial" w:eastAsia="Arial" w:hAnsi="Arial"/>
                <w:sz w:val="20"/>
                <w:szCs w:val="20"/>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3,913</w:t>
            </w:r>
          </w:p>
        </w:tc>
      </w:tr>
      <w:tr>
        <w:trPr>
          <w:trHeight w:val="20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Americas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92,176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72,695</w:t>
            </w:r>
          </w:p>
        </w:tc>
      </w:tr>
      <w:tr>
        <w:trPr>
          <w:trHeight w:val="210"/>
        </w:trPr>
        <w:tc>
          <w:tcPr>
            <w:tcW w:w="828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EMEA</w:t>
            </w:r>
            <w:r>
              <w:rPr>
                <w:rFonts w:ascii="Arial" w:cs="Arial" w:eastAsia="Arial" w:hAnsi="Arial"/>
                <w:sz w:val="9"/>
                <w:szCs w:val="9"/>
                <w:color w:val="auto"/>
              </w:rPr>
              <w:t xml:space="preserve"> (2) (4)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21,760</w:t>
            </w:r>
          </w:p>
        </w:tc>
      </w:tr>
      <w:tr>
        <w:trPr>
          <w:trHeight w:val="210"/>
        </w:trPr>
        <w:tc>
          <w:tcPr>
            <w:tcW w:w="828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APAC </w:t>
            </w:r>
            <w:r>
              <w:rPr>
                <w:rFonts w:ascii="Arial" w:cs="Arial" w:eastAsia="Arial" w:hAnsi="Arial"/>
                <w:sz w:val="20"/>
                <w:szCs w:val="20"/>
                <w:color w:val="auto"/>
                <w:vertAlign w:val="superscript"/>
              </w:rPr>
              <w:t>(3)</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13,436</w:t>
            </w:r>
          </w:p>
        </w:tc>
      </w:tr>
      <w:tr>
        <w:trPr>
          <w:trHeight w:val="203"/>
        </w:trPr>
        <w:tc>
          <w:tcPr>
            <w:tcW w:w="828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130,197</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w:t>
            </w: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spacing w:after="0" w:line="37" w:lineRule="exact"/>
        <w:rPr>
          <w:rFonts w:ascii="Arial" w:cs="Arial" w:eastAsia="Arial" w:hAnsi="Arial"/>
          <w:sz w:val="14"/>
          <w:szCs w:val="14"/>
          <w:color w:val="auto"/>
        </w:rPr>
      </w:pPr>
    </w:p>
    <w:p>
      <w:pPr>
        <w:ind w:left="320" w:hanging="31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spacing w:after="0" w:line="49" w:lineRule="exact"/>
        <w:rPr>
          <w:rFonts w:ascii="Arial" w:cs="Arial" w:eastAsia="Arial" w:hAnsi="Arial"/>
          <w:sz w:val="14"/>
          <w:szCs w:val="14"/>
          <w:color w:val="auto"/>
        </w:rPr>
      </w:pPr>
    </w:p>
    <w:p>
      <w:pPr>
        <w:ind w:left="320" w:hanging="315"/>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Asia Pacific (“APAC”)</w:t>
      </w:r>
    </w:p>
    <w:p>
      <w:pPr>
        <w:spacing w:after="0" w:line="49" w:lineRule="exact"/>
        <w:rPr>
          <w:rFonts w:ascii="Arial" w:cs="Arial" w:eastAsia="Arial" w:hAnsi="Arial"/>
          <w:sz w:val="14"/>
          <w:szCs w:val="14"/>
          <w:color w:val="auto"/>
        </w:rPr>
      </w:pPr>
    </w:p>
    <w:p>
      <w:pPr>
        <w:ind w:left="320" w:hanging="315"/>
        <w:spacing w:after="0" w:line="261" w:lineRule="auto"/>
        <w:tabs>
          <w:tab w:leader="none" w:pos="312"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revenues from the United Kingdom of $14.7 million and $13.3 million for the three months ended March 31, 2022 and 2021, respectively, and from the Netherlands of $1.3 million for each of the three months ended March 31, 2022 and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Hosted services - Business revenue</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and deferred revenues are as follows: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Contract Acquisition</w:t>
            </w:r>
          </w:p>
        </w:tc>
        <w:tc>
          <w:tcPr>
            <w:tcW w:w="12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Deferred Revenue</w:t>
            </w:r>
          </w:p>
        </w:tc>
        <w:tc>
          <w:tcPr>
            <w:tcW w:w="120" w:type="dxa"/>
            <w:vAlign w:val="bottom"/>
          </w:tcPr>
          <w:p>
            <w:pPr>
              <w:spacing w:after="0"/>
              <w:rPr>
                <w:sz w:val="14"/>
                <w:szCs w:val="14"/>
                <w:color w:val="auto"/>
              </w:rPr>
            </w:pPr>
          </w:p>
        </w:tc>
        <w:tc>
          <w:tcPr>
            <w:tcW w:w="130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w w:val="91"/>
              </w:rPr>
              <w:t>Deferred Revenue</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Unbilled Receivable</w:t>
            </w:r>
          </w:p>
        </w:tc>
        <w:tc>
          <w:tcPr>
            <w:tcW w:w="20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(Non-current)</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(Current)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December 31, 2021</w:t>
            </w:r>
          </w:p>
        </w:tc>
        <w:tc>
          <w:tcPr>
            <w:tcW w:w="500" w:type="dxa"/>
            <w:vAlign w:val="bottom"/>
            <w:shd w:val="clear" w:color="auto" w:fill="CCEEFF"/>
          </w:tcPr>
          <w:p>
            <w:pPr>
              <w:jc w:val="right"/>
              <w:ind w:right="324"/>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24,545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40,675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98,808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net</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2,049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13,515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3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March 31, 2022</w:t>
            </w: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82,723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25,798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42,724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112,323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4" w:name="page15"/>
    <w:bookmarkEnd w:id="14"/>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3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the Company determines amounts are no longer collectible.</w:t>
      </w:r>
    </w:p>
    <w:tbl>
      <w:tblPr>
        <w:tblLayout w:type="fixed"/>
        <w:tblInd w:w="0" w:type="dxa"/>
        <w:tblCellMar>
          <w:top w:w="0" w:type="dxa"/>
          <w:left w:w="0" w:type="dxa"/>
          <w:bottom w:w="0" w:type="dxa"/>
          <w:right w:w="0" w:type="dxa"/>
        </w:tblCellMar>
      </w:tblPr>
      <w:tr>
        <w:trPr>
          <w:trHeight w:val="142"/>
        </w:trPr>
        <w:tc>
          <w:tcPr>
            <w:tcW w:w="9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5"/>
              <w:spacing w:after="0" w:line="143" w:lineRule="exact"/>
              <w:rPr>
                <w:sz w:val="20"/>
                <w:szCs w:val="20"/>
                <w:color w:val="auto"/>
              </w:rPr>
            </w:pPr>
            <w:r>
              <w:rPr>
                <w:rFonts w:ascii="Arial" w:cs="Arial" w:eastAsia="Arial" w:hAnsi="Arial"/>
                <w:sz w:val="14"/>
                <w:szCs w:val="14"/>
                <w:b w:val="1"/>
                <w:bCs w:val="1"/>
                <w:color w:val="auto"/>
                <w:w w:val="91"/>
              </w:rPr>
              <w:t>Allowance for</w:t>
            </w:r>
          </w:p>
        </w:tc>
      </w:tr>
      <w:tr>
        <w:trPr>
          <w:trHeight w:val="183"/>
        </w:trPr>
        <w:tc>
          <w:tcPr>
            <w:tcW w:w="9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9"/>
              </w:rPr>
              <w:t>Doubtful Accounts</w:t>
            </w:r>
          </w:p>
        </w:tc>
      </w:tr>
      <w:tr>
        <w:trPr>
          <w:trHeight w:val="177"/>
        </w:trPr>
        <w:tc>
          <w:tcPr>
            <w:tcW w:w="9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(In thousands)</w:t>
            </w:r>
          </w:p>
        </w:tc>
      </w:tr>
      <w:tr>
        <w:trPr>
          <w:trHeight w:val="211"/>
        </w:trPr>
        <w:tc>
          <w:tcPr>
            <w:tcW w:w="9820" w:type="dxa"/>
            <w:vAlign w:val="bottom"/>
            <w:shd w:val="clear" w:color="auto" w:fill="CCEEFF"/>
          </w:tcPr>
          <w:p>
            <w:pPr>
              <w:jc w:val="right"/>
              <w:ind w:right="7561"/>
              <w:spacing w:after="0"/>
              <w:rPr>
                <w:sz w:val="20"/>
                <w:szCs w:val="20"/>
                <w:color w:val="auto"/>
              </w:rPr>
            </w:pPr>
            <w:r>
              <w:rPr>
                <w:rFonts w:ascii="Arial" w:cs="Arial" w:eastAsia="Arial" w:hAnsi="Arial"/>
                <w:sz w:val="16"/>
                <w:szCs w:val="16"/>
                <w:color w:val="auto"/>
                <w:w w:val="91"/>
              </w:rPr>
              <w:t>Allowance for doubtful accounts :</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9820" w:type="dxa"/>
            <w:vAlign w:val="bottom"/>
          </w:tcPr>
          <w:p>
            <w:pPr>
              <w:jc w:val="right"/>
              <w:ind w:right="7561"/>
              <w:spacing w:after="0"/>
              <w:rPr>
                <w:sz w:val="20"/>
                <w:szCs w:val="20"/>
                <w:color w:val="auto"/>
              </w:rPr>
            </w:pPr>
            <w:r>
              <w:rPr>
                <w:rFonts w:ascii="Arial" w:cs="Arial" w:eastAsia="Arial" w:hAnsi="Arial"/>
                <w:sz w:val="16"/>
                <w:szCs w:val="16"/>
                <w:color w:val="auto"/>
                <w:w w:val="94"/>
              </w:rPr>
              <w:t>Balance at beginning of the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6,338</w:t>
            </w:r>
          </w:p>
        </w:tc>
      </w:tr>
      <w:tr>
        <w:trPr>
          <w:trHeight w:val="213"/>
        </w:trPr>
        <w:tc>
          <w:tcPr>
            <w:tcW w:w="9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Additions charged to costs and expenses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r>
      <w:tr>
        <w:trPr>
          <w:trHeight w:val="207"/>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Deductions/write-offs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31"/>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Balance as of March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w:t>
      </w:r>
    </w:p>
    <w:p>
      <w:pPr>
        <w:spacing w:after="0" w:line="21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a ratio of 25.9182 shares of its common stock per $1,000 principal amount of the 2024 Notes. The Company would assume conversion of the 2026 Notes at a ratio of 13.2933 shares of its common stock per $1,000 principal amount of the 2026 Notes. Assumed converted shares of our common stock are weighted for the period the Notes were outstanding. The shares of common stock underlying the conversion option of the Notes were not included in the calculation of diluted income per share for the three months ended March 31, 2022.</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 Convertible Senior Notes and Capped Call Transactions for a full description of the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82"/>
        </w:trPr>
        <w:tc>
          <w:tcPr>
            <w:tcW w:w="8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thousands)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(65,364)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(21,195)</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number of shares outstanding, basic and 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75,812,405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67,901,809</w:t>
            </w: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anti-dilutive securities excluded from the shares used to calculate diluted net loss per share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8"/>
              </w:rPr>
              <w:t>As of March 31,</w:t>
            </w:r>
          </w:p>
        </w:tc>
        <w:tc>
          <w:tcPr>
            <w:tcW w:w="920" w:type="dxa"/>
            <w:vAlign w:val="bottom"/>
            <w:tcBorders>
              <w:bottom w:val="single" w:sz="8" w:color="auto"/>
            </w:tcBorders>
          </w:tcPr>
          <w:p>
            <w:pPr>
              <w:spacing w:after="0"/>
              <w:rPr>
                <w:sz w:val="16"/>
                <w:szCs w:val="16"/>
                <w:color w:val="auto"/>
              </w:rPr>
            </w:pPr>
          </w:p>
        </w:tc>
      </w:tr>
      <w:tr>
        <w:trPr>
          <w:trHeight w:val="182"/>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subject to outstanding common stock options and employee stock purchase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5,027,605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4,172,765</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6"/>
                <w:szCs w:val="16"/>
                <w:color w:val="auto"/>
              </w:rPr>
              <w:t>4,292,153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2,530,542</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option of the 2024 Notes</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5,961,186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5,961,186</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Conversion option of the 2026 Notes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6,879,283</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6,879,283</w:t>
            </w:r>
          </w:p>
        </w:tc>
      </w:tr>
      <w:tr>
        <w:trPr>
          <w:trHeight w:val="228"/>
        </w:trPr>
        <w:tc>
          <w:tcPr>
            <w:tcW w:w="8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22,160,227</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19,543,776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5" w:name="page16"/>
    <w:bookmarkEnd w:id="15"/>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245"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It includes WildHealth, Inc. (“WildHealth”), a precision medicine company.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our condensed consolidated financial statements which are described in Note 1 –Description of Business and Basis of Presentation. The Company allocates cost of revenue, sales and marketing, and amortization of purchased intangibles to the segments, but it does not allocate product development expenses, general and administrative expenses, restructuring costs, or income tax expense because management does not use this information to measure performance of the operating segments. There are currently no inter-segment sales.</w:t>
      </w:r>
    </w:p>
    <w:p>
      <w:pPr>
        <w:spacing w:after="0" w:line="198"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Summarized financial information by segment for the three months ended March 31, 2022, based on the Company’s internal financial reporting system utilized by the Company’s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106,324</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106,324</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14,751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14,751</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121,075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9,122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130,197</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48,221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49,567</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52,283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58,132</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1,841</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85,784</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18,730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(85,784)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(65,127)</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Summarized financial information by segment for the three months ended March 31, 2021, based on the Company’s internal financial reporting system utilized by the Company’s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83,640</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83,640</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9,011</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15,240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15,240</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98,880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9,011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107,891</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31,610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33,519</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36,953</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50,672</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36,692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(50,672)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(13,629)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39" w:lineRule="exact"/>
        <w:rPr>
          <w:sz w:val="20"/>
          <w:szCs w:val="20"/>
          <w:color w:val="auto"/>
        </w:rPr>
      </w:pPr>
    </w:p>
    <w:p>
      <w:pPr>
        <w:ind w:firstLine="420"/>
        <w:spacing w:after="0" w:line="260" w:lineRule="auto"/>
        <w:rPr>
          <w:sz w:val="20"/>
          <w:szCs w:val="20"/>
          <w:color w:val="auto"/>
        </w:rPr>
      </w:pPr>
      <w:r>
        <w:rPr>
          <w:rFonts w:ascii="Arial" w:cs="Arial" w:eastAsia="Arial" w:hAnsi="Arial"/>
          <w:sz w:val="18"/>
          <w:szCs w:val="18"/>
          <w:color w:val="auto"/>
        </w:rPr>
        <w:t>The Company is domiciled in the United States and has international operations around the globe. The following table presents the Company’s long-lived assets by geographic region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9"/>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82"/>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444,318</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96,885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52,342</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20,754</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12,771</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w:t>
            </w:r>
          </w:p>
        </w:tc>
      </w:tr>
      <w:tr>
        <w:trPr>
          <w:trHeight w:val="210"/>
        </w:trPr>
        <w:tc>
          <w:tcPr>
            <w:tcW w:w="82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15,629</w:t>
            </w:r>
          </w:p>
        </w:tc>
      </w:tr>
      <w:tr>
        <w:trPr>
          <w:trHeight w:val="228"/>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584,762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550,380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United Kingdom, Japan, France, Italy, Spain, Canada, and Singapore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carrying amount of goodwill for the three months ended March 31, 2022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Consumer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283,191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291,215</w:t>
            </w:r>
          </w:p>
        </w:tc>
      </w:tr>
      <w:tr>
        <w:trPr>
          <w:trHeight w:val="207"/>
        </w:trPr>
        <w:tc>
          <w:tcPr>
            <w:tcW w:w="6740" w:type="dxa"/>
            <w:vAlign w:val="bottom"/>
          </w:tcPr>
          <w:p>
            <w:pPr>
              <w:ind w:left="140"/>
              <w:spacing w:after="0"/>
              <w:rPr>
                <w:sz w:val="20"/>
                <w:szCs w:val="20"/>
                <w:color w:val="auto"/>
              </w:rPr>
            </w:pPr>
            <w:r>
              <w:rPr>
                <w:rFonts w:ascii="Arial" w:cs="Arial" w:eastAsia="Arial" w:hAnsi="Arial"/>
                <w:sz w:val="16"/>
                <w:szCs w:val="16"/>
                <w:color w:val="auto"/>
              </w:rPr>
              <w:t>Adjustments to goodwill:</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15,291</w:t>
            </w:r>
          </w:p>
        </w:tc>
      </w:tr>
      <w:tr>
        <w:trPr>
          <w:trHeight w:val="207"/>
        </w:trPr>
        <w:tc>
          <w:tcPr>
            <w:tcW w:w="6740" w:type="dxa"/>
            <w:vAlign w:val="bottom"/>
          </w:tcPr>
          <w:p>
            <w:pPr>
              <w:ind w:left="220"/>
              <w:spacing w:after="0"/>
              <w:rPr>
                <w:sz w:val="20"/>
                <w:szCs w:val="20"/>
                <w:color w:val="auto"/>
              </w:rPr>
            </w:pPr>
            <w:r>
              <w:rPr>
                <w:rFonts w:ascii="Arial" w:cs="Arial" w:eastAsia="Arial" w:hAnsi="Arial"/>
                <w:sz w:val="16"/>
                <w:szCs w:val="16"/>
                <w:color w:val="auto"/>
              </w:rPr>
              <w:t>Foreign exchange adjustment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31"/>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2022</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282,111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4"/>
                <w:szCs w:val="14"/>
                <w:b w:val="1"/>
                <w:bCs w:val="1"/>
                <w:color w:val="auto"/>
              </w:rPr>
              <w:t>March 31, 2022</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4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97,623</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(34,351)</w:t>
            </w:r>
          </w:p>
        </w:tc>
        <w:tc>
          <w:tcPr>
            <w:tcW w:w="100" w:type="dxa"/>
            <w:vAlign w:val="bottom"/>
          </w:tcPr>
          <w:p>
            <w:pPr>
              <w:spacing w:after="0"/>
              <w:rPr>
                <w:sz w:val="17"/>
                <w:szCs w:val="17"/>
                <w:color w:val="auto"/>
              </w:rPr>
            </w:pPr>
          </w:p>
        </w:tc>
        <w:tc>
          <w:tcPr>
            <w:tcW w:w="660" w:type="dxa"/>
            <w:vAlign w:val="bottom"/>
          </w:tcPr>
          <w:p>
            <w:pPr>
              <w:jc w:val="right"/>
              <w:ind w:right="48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63,272</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32,097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8,884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7,688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years</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142,002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(51,820)</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90,182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4"/>
                <w:szCs w:val="14"/>
                <w:b w:val="1"/>
                <w:bCs w:val="1"/>
                <w:color w:val="auto"/>
              </w:rPr>
              <w:t>December 31, 2021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4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90,626</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(30,757)</w:t>
            </w:r>
          </w:p>
        </w:tc>
        <w:tc>
          <w:tcPr>
            <w:tcW w:w="100" w:type="dxa"/>
            <w:vAlign w:val="bottom"/>
          </w:tcPr>
          <w:p>
            <w:pPr>
              <w:spacing w:after="0"/>
              <w:rPr>
                <w:sz w:val="17"/>
                <w:szCs w:val="17"/>
                <w:color w:val="auto"/>
              </w:rPr>
            </w:pPr>
          </w:p>
        </w:tc>
        <w:tc>
          <w:tcPr>
            <w:tcW w:w="720" w:type="dxa"/>
            <w:vAlign w:val="bottom"/>
          </w:tcPr>
          <w:p>
            <w:pPr>
              <w:jc w:val="right"/>
              <w:ind w:right="544"/>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59,869</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7,988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6,851</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133,024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(47,470)</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4"/>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85,554</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$4.4 million and $1.6 million for the three months ended March 31, 2022 and 2021, respectively. For the three months ended March 31, 2022 and 2021, respectively, a portion of this amortization is included in cost of revenue. Estimated amortization expense for the next five years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b w:val="1"/>
                <w:bCs w:val="1"/>
                <w:color w:val="auto"/>
                <w:w w:val="92"/>
              </w:rPr>
              <w:t>Estimated</w:t>
            </w:r>
          </w:p>
        </w:tc>
      </w:tr>
      <w:tr>
        <w:trPr>
          <w:trHeight w:val="183"/>
        </w:trPr>
        <w:tc>
          <w:tcPr>
            <w:tcW w:w="982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Amortization Expense</w:t>
            </w:r>
          </w:p>
        </w:tc>
      </w:tr>
      <w:tr>
        <w:trPr>
          <w:trHeight w:val="177"/>
        </w:trPr>
        <w:tc>
          <w:tcPr>
            <w:tcW w:w="9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(In thousands)</w:t>
            </w:r>
          </w:p>
        </w:tc>
      </w:tr>
      <w:tr>
        <w:trPr>
          <w:trHeight w:val="211"/>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13,529</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16,816</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16,630</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16,231</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13,230</w:t>
            </w:r>
          </w:p>
        </w:tc>
      </w:tr>
      <w:tr>
        <w:trPr>
          <w:trHeight w:val="207"/>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13,746</w:t>
            </w:r>
          </w:p>
        </w:tc>
      </w:tr>
      <w:tr>
        <w:trPr>
          <w:trHeight w:val="231"/>
        </w:trPr>
        <w:tc>
          <w:tcPr>
            <w:tcW w:w="9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90,182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property and equipment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120,685</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Internal-use software development costs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132,279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122,479</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 of use 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equipment, and building improvements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206"/>
        </w:trPr>
        <w:tc>
          <w:tcPr>
            <w:tcW w:w="8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250,219</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(132,568)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(125,493)</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131,766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accrued expenses and other current liabilities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00" w:type="dxa"/>
            <w:vAlign w:val="bottom"/>
          </w:tcPr>
          <w:p>
            <w:pPr>
              <w:jc w:val="right"/>
              <w:ind w:right="20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177"/>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right"/>
              <w:ind w:right="92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and consulting and other vendor fees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58,811</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Payroll and other employee related costs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29,855</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contingent earn-out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4,269</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liability</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Unrecognized tax benefits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2,424</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Taxes other than income tax</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918</w:t>
            </w: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w:t>
            </w:r>
          </w:p>
        </w:tc>
      </w:tr>
      <w:tr>
        <w:trPr>
          <w:trHeight w:val="206"/>
        </w:trPr>
        <w:tc>
          <w:tcPr>
            <w:tcW w:w="8320" w:type="dxa"/>
            <w:vAlign w:val="bottom"/>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106,778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104,297</w:t>
            </w:r>
          </w:p>
        </w:tc>
      </w:tr>
      <w:tr>
        <w:trPr>
          <w:trHeight w:val="20"/>
        </w:trPr>
        <w:tc>
          <w:tcPr>
            <w:tcW w:w="8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Senior Notes and Capped Call Transactions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Convertible Senior Notes due 2024 and Capped Calls</w:t>
      </w:r>
    </w:p>
    <w:p>
      <w:pPr>
        <w:spacing w:after="0" w:line="239"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In March 2019, the Company issued $230.0 million aggregate principal amount of its 0.750% Convertible Senior Notes due 2024 (the “2024 Notes”) in a private placement, which amount includes $30.0 million aggregate principal amount of such Notes issued pursuant to the exercise in full by the initial purchasers of their option to purchase additional 2024 Notes. Interest on the Notes is payable semi-annually in arrears on March 1 and September 1 of each year, beginning on September 1, 2019.</w:t>
      </w:r>
    </w:p>
    <w:p>
      <w:pPr>
        <w:spacing w:after="0" w:line="21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61"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93"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9" w:name="page20"/>
    <w:bookmarkEnd w:id="19"/>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2022, the conditions allowing holders of the 2024 Notes to convert were not met.</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7"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Prior to the adoption of ASU 2020-06 on January 1, 2022,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190"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In accounting for the 2024 Notes after the adoption of ASU 2020-06, the 2024 Notes are accounted for as a single liability, and the carrying amount of the 2024 Notes is $226.6 million as of March 31, 2022, consisting of principal of $230.0 million, net of unamortized debt issuance costs of $3.4 million. The 2024 Notes were classified as long term liabilities as of March 31, 2022. The remaining term over which the 2024 Notes’ debt issuance costs will be amortized is 1.9 years. The effective interest rate on the debt was 1.53% for the period ended March 31, 2022.</w:t>
      </w:r>
    </w:p>
    <w:p>
      <w:pPr>
        <w:spacing w:after="0" w:line="187"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2026 and Capped Calls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In December 2020, the Company issued $517.5 million aggregate principal amount of its 0% Convertible Senior Notes due 2026 (the “2026 Notes” and together with the 2024 Notes, the “Notes”) in a private placement, which amount includes $67.5 million aggregate principal amount of such Notes issued pursuant to the exercise in full by the initial purchasers of their option to purchase additional 2026 Notes.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20"/>
        <w:spacing w:after="0" w:line="361" w:lineRule="auto"/>
        <w:rPr>
          <w:sz w:val="20"/>
          <w:szCs w:val="20"/>
          <w:color w:val="auto"/>
        </w:rPr>
      </w:pPr>
      <w:r>
        <w:rPr>
          <w:rFonts w:ascii="Arial" w:cs="Arial" w:eastAsia="Arial" w:hAnsi="Arial"/>
          <w:sz w:val="15"/>
          <w:szCs w:val="15"/>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138"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93"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2022, the conditions allowing holders of the 2026 Notes to convert were not met.</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7"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Prior to the adoption of ASU 2020-06 on January 1, 2022,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00" w:firstLine="420"/>
        <w:spacing w:after="0" w:line="249" w:lineRule="auto"/>
        <w:rPr>
          <w:sz w:val="20"/>
          <w:szCs w:val="20"/>
          <w:color w:val="auto"/>
        </w:rPr>
      </w:pPr>
      <w:r>
        <w:rPr>
          <w:rFonts w:ascii="Arial" w:cs="Arial" w:eastAsia="Arial" w:hAnsi="Arial"/>
          <w:sz w:val="18"/>
          <w:szCs w:val="18"/>
          <w:color w:val="auto"/>
        </w:rPr>
        <w:t>In accounting for the 2026 Notes after the adoption of ASU 2020-06, the 2026 Notes are accounted for as a single liability, and the carrying amount of the 2026 Notes is $507.9 million as of March 31, 2022, consisting of principal of $517.5 million, net of issuance costs of $9.6 million. The 2026 Notes were classified as long term liabilities as of March 31, 2022.The remaining term over which the 2026 Notes’ debt issuance costs will be amortized is 4.7 years. The effective interest rate on the debt was 0.40% for the period ended March 31, 2022.</w:t>
      </w:r>
    </w:p>
    <w:p>
      <w:pPr>
        <w:spacing w:after="0" w:line="218" w:lineRule="exact"/>
        <w:rPr>
          <w:sz w:val="20"/>
          <w:szCs w:val="20"/>
          <w:color w:val="auto"/>
        </w:rPr>
      </w:pPr>
    </w:p>
    <w:p>
      <w:pPr>
        <w:jc w:val="both"/>
        <w:ind w:right="100" w:firstLine="420"/>
        <w:spacing w:after="0" w:line="278" w:lineRule="auto"/>
        <w:rPr>
          <w:sz w:val="20"/>
          <w:szCs w:val="20"/>
          <w:color w:val="auto"/>
        </w:rPr>
      </w:pPr>
      <w:r>
        <w:rPr>
          <w:rFonts w:ascii="Arial" w:cs="Arial" w:eastAsia="Arial" w:hAnsi="Arial"/>
          <w:sz w:val="16"/>
          <w:szCs w:val="16"/>
          <w:color w:val="auto"/>
        </w:rPr>
        <w:t>In connection with the offering of the 2026 Notes, the Company entered into privately-negotiated capped call option transactions with certain counterparties (the “2026 capped call”).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net carrying amount of the liability component of the Notes as of March 31, 2022 (post-ASU 2020-06 adoption) and as of December 31, 2021 (pre-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ASU 2020-06 adoption) was as follows:</w:t>
      </w:r>
    </w:p>
    <w:p>
      <w:pPr>
        <w:spacing w:after="0" w:line="9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83"/>
        </w:trPr>
        <w:tc>
          <w:tcPr>
            <w:tcW w:w="74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2021</w:t>
            </w:r>
          </w:p>
        </w:tc>
      </w:tr>
      <w:tr>
        <w:trPr>
          <w:trHeight w:val="177"/>
        </w:trPr>
        <w:tc>
          <w:tcPr>
            <w:tcW w:w="7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11"/>
        </w:trPr>
        <w:tc>
          <w:tcPr>
            <w:tcW w:w="7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Principal</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747,500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r>
      <w:tr>
        <w:trPr>
          <w:trHeight w:val="207"/>
        </w:trPr>
        <w:tc>
          <w:tcPr>
            <w:tcW w:w="7480" w:type="dxa"/>
            <w:vAlign w:val="bottom"/>
          </w:tcPr>
          <w:p>
            <w:pPr>
              <w:ind w:left="440"/>
              <w:spacing w:after="0"/>
              <w:rPr>
                <w:sz w:val="20"/>
                <w:szCs w:val="20"/>
                <w:color w:val="auto"/>
              </w:rPr>
            </w:pPr>
            <w:r>
              <w:rPr>
                <w:rFonts w:ascii="Arial" w:cs="Arial" w:eastAsia="Arial" w:hAnsi="Arial"/>
                <w:sz w:val="16"/>
                <w:szCs w:val="16"/>
                <w:color w:val="auto"/>
              </w:rPr>
              <w:t>Unamortized discount</w:t>
            </w:r>
          </w:p>
        </w:tc>
        <w:tc>
          <w:tcPr>
            <w:tcW w:w="6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0"/>
        </w:trPr>
        <w:tc>
          <w:tcPr>
            <w:tcW w:w="74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Unamortized issuance costs</w:t>
            </w:r>
          </w:p>
        </w:tc>
        <w:tc>
          <w:tcPr>
            <w:tcW w:w="6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(12,914)</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7480" w:type="dxa"/>
            <w:vAlign w:val="bottom"/>
          </w:tcPr>
          <w:p>
            <w:pPr>
              <w:ind w:left="260"/>
              <w:spacing w:after="0"/>
              <w:rPr>
                <w:sz w:val="20"/>
                <w:szCs w:val="20"/>
                <w:color w:val="auto"/>
              </w:rPr>
            </w:pPr>
            <w:r>
              <w:rPr>
                <w:rFonts w:ascii="Arial" w:cs="Arial" w:eastAsia="Arial" w:hAnsi="Arial"/>
                <w:sz w:val="16"/>
                <w:szCs w:val="16"/>
                <w:color w:val="auto"/>
              </w:rPr>
              <w:t>Net carrying amount</w:t>
            </w: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734,586</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20"/>
        </w:trPr>
        <w:tc>
          <w:tcPr>
            <w:tcW w:w="7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firstLine="315"/>
        <w:spacing w:after="0" w:line="260" w:lineRule="auto"/>
        <w:rPr>
          <w:sz w:val="20"/>
          <w:szCs w:val="20"/>
          <w:color w:val="auto"/>
        </w:rPr>
      </w:pPr>
      <w:r>
        <w:rPr>
          <w:rFonts w:ascii="Arial" w:cs="Arial" w:eastAsia="Arial" w:hAnsi="Arial"/>
          <w:sz w:val="18"/>
          <w:szCs w:val="18"/>
          <w:color w:val="auto"/>
        </w:rPr>
        <w:t>The net carrying amount of the equity component of the Notes as of March 31, 2022 (post-ASU 2020-06 adoption) and as of December 31, 2021 (pre-ASU 2020-06 adoption) was as follows: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500" w:type="dxa"/>
            <w:vAlign w:val="bottom"/>
          </w:tcPr>
          <w:p>
            <w:pPr>
              <w:jc w:val="right"/>
              <w:ind w:right="6"/>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83"/>
        </w:trPr>
        <w:tc>
          <w:tcPr>
            <w:tcW w:w="7520" w:type="dxa"/>
            <w:vAlign w:val="bottom"/>
          </w:tcPr>
          <w:p>
            <w:pPr>
              <w:spacing w:after="0"/>
              <w:rPr>
                <w:sz w:val="15"/>
                <w:szCs w:val="15"/>
                <w:color w:val="auto"/>
              </w:rPr>
            </w:pPr>
          </w:p>
        </w:tc>
        <w:tc>
          <w:tcPr>
            <w:tcW w:w="150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r>
      <w:tr>
        <w:trPr>
          <w:trHeight w:val="177"/>
        </w:trPr>
        <w:tc>
          <w:tcPr>
            <w:tcW w:w="7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15"/>
                <w:szCs w:val="15"/>
                <w:color w:val="auto"/>
              </w:rPr>
            </w:pPr>
          </w:p>
        </w:tc>
      </w:tr>
      <w:tr>
        <w:trPr>
          <w:trHeight w:val="211"/>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Proceeds allocated to the conversion options (debt discount)</w:t>
            </w:r>
          </w:p>
        </w:tc>
        <w:tc>
          <w:tcPr>
            <w:tcW w:w="1500" w:type="dxa"/>
            <w:vAlign w:val="bottom"/>
            <w:shd w:val="clear" w:color="auto" w:fill="CCEEFF"/>
          </w:tcPr>
          <w:p>
            <w:pPr>
              <w:jc w:val="right"/>
              <w:ind w:right="906"/>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7"/>
        </w:trPr>
        <w:tc>
          <w:tcPr>
            <w:tcW w:w="75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Issuance costs</w:t>
            </w:r>
          </w:p>
        </w:tc>
        <w:tc>
          <w:tcPr>
            <w:tcW w:w="1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6"/>
        </w:trPr>
        <w:tc>
          <w:tcPr>
            <w:tcW w:w="75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carrying amount</w:t>
            </w:r>
          </w:p>
        </w:tc>
        <w:tc>
          <w:tcPr>
            <w:tcW w:w="1500" w:type="dxa"/>
            <w:vAlign w:val="bottom"/>
            <w:shd w:val="clear" w:color="auto" w:fill="CCEEFF"/>
          </w:tcPr>
          <w:p>
            <w:pPr>
              <w:jc w:val="right"/>
              <w:ind w:right="906"/>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interest expense recognized related to the Notes:</w:t>
      </w:r>
    </w:p>
    <w:p>
      <w:pPr>
        <w:spacing w:after="0" w:line="111"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580" w:type="dxa"/>
            <w:vAlign w:val="bottom"/>
          </w:tcPr>
          <w:p>
            <w:pPr>
              <w:spacing w:after="0"/>
              <w:rPr>
                <w:sz w:val="15"/>
                <w:szCs w:val="15"/>
                <w:color w:val="auto"/>
              </w:rPr>
            </w:pPr>
          </w:p>
        </w:tc>
      </w:tr>
      <w:tr>
        <w:trPr>
          <w:trHeight w:val="189"/>
        </w:trPr>
        <w:tc>
          <w:tcPr>
            <w:tcW w:w="76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6"/>
                <w:szCs w:val="16"/>
                <w:color w:val="auto"/>
              </w:rPr>
            </w:pPr>
          </w:p>
        </w:tc>
      </w:tr>
      <w:tr>
        <w:trPr>
          <w:trHeight w:val="182"/>
        </w:trPr>
        <w:tc>
          <w:tcPr>
            <w:tcW w:w="760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2021</w:t>
            </w:r>
          </w:p>
        </w:tc>
      </w:tr>
      <w:tr>
        <w:trPr>
          <w:trHeight w:val="177"/>
        </w:trPr>
        <w:tc>
          <w:tcPr>
            <w:tcW w:w="7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5"/>
                <w:szCs w:val="15"/>
                <w:color w:val="auto"/>
              </w:rPr>
            </w:pPr>
          </w:p>
        </w:tc>
      </w:tr>
      <w:tr>
        <w:trPr>
          <w:trHeight w:val="211"/>
        </w:trPr>
        <w:tc>
          <w:tcPr>
            <w:tcW w:w="7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Contractual interest expense</w:t>
            </w:r>
          </w:p>
        </w:tc>
        <w:tc>
          <w:tcPr>
            <w:tcW w:w="12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r>
      <w:tr>
        <w:trPr>
          <w:trHeight w:val="207"/>
        </w:trPr>
        <w:tc>
          <w:tcPr>
            <w:tcW w:w="7600" w:type="dxa"/>
            <w:vAlign w:val="bottom"/>
          </w:tcPr>
          <w:p>
            <w:pPr>
              <w:ind w:left="440"/>
              <w:spacing w:after="0"/>
              <w:rPr>
                <w:sz w:val="20"/>
                <w:szCs w:val="20"/>
                <w:color w:val="auto"/>
              </w:rPr>
            </w:pPr>
            <w:r>
              <w:rPr>
                <w:rFonts w:ascii="Arial" w:cs="Arial" w:eastAsia="Arial" w:hAnsi="Arial"/>
                <w:sz w:val="16"/>
                <w:szCs w:val="16"/>
                <w:color w:val="auto"/>
              </w:rPr>
              <w:t>Amortization of issuance costs</w:t>
            </w:r>
          </w:p>
        </w:tc>
        <w:tc>
          <w:tcPr>
            <w:tcW w:w="12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7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debt discount</w:t>
            </w:r>
          </w:p>
        </w:tc>
        <w:tc>
          <w:tcPr>
            <w:tcW w:w="12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6"/>
        </w:trPr>
        <w:tc>
          <w:tcPr>
            <w:tcW w:w="7600" w:type="dxa"/>
            <w:vAlign w:val="bottom"/>
          </w:tcPr>
          <w:p>
            <w:pPr>
              <w:ind w:left="660"/>
              <w:spacing w:after="0"/>
              <w:rPr>
                <w:sz w:val="20"/>
                <w:szCs w:val="20"/>
                <w:color w:val="auto"/>
              </w:rPr>
            </w:pPr>
            <w:r>
              <w:rPr>
                <w:rFonts w:ascii="Arial" w:cs="Arial" w:eastAsia="Arial" w:hAnsi="Arial"/>
                <w:sz w:val="16"/>
                <w:szCs w:val="16"/>
                <w:color w:val="auto"/>
              </w:rPr>
              <w:t>Total interest expense</w:t>
            </w:r>
          </w:p>
        </w:tc>
        <w:tc>
          <w:tcPr>
            <w:tcW w:w="1280" w:type="dxa"/>
            <w:vAlign w:val="bottom"/>
          </w:tcPr>
          <w:p>
            <w:pPr>
              <w:jc w:val="right"/>
              <w:ind w:right="7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1,372</w:t>
            </w:r>
          </w:p>
        </w:tc>
        <w:tc>
          <w:tcPr>
            <w:tcW w:w="10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6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100" w:firstLine="315"/>
        <w:spacing w:after="0" w:line="260" w:lineRule="auto"/>
        <w:rPr>
          <w:sz w:val="20"/>
          <w:szCs w:val="20"/>
          <w:color w:val="auto"/>
        </w:rPr>
      </w:pPr>
      <w:r>
        <w:rPr>
          <w:rFonts w:ascii="Arial" w:cs="Arial" w:eastAsia="Arial" w:hAnsi="Arial"/>
          <w:sz w:val="18"/>
          <w:szCs w:val="18"/>
          <w:color w:val="auto"/>
        </w:rPr>
        <w:t>Interest expense of $1.4 million and $9.2 million is reflected as a component of interest expense, net in the accompanying condensed consolidated statement of operations for the three months ended March 31, 2022 and 2021, respectively.</w:t>
      </w:r>
    </w:p>
    <w:p>
      <w:pPr>
        <w:sectPr>
          <w:pgSz w:w="11900" w:h="16838" w:orient="portrait"/>
          <w:cols w:equalWidth="0" w:num="1">
            <w:col w:w="11340"/>
          </w:cols>
          <w:pgMar w:left="320" w:top="1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type w:val="continuous"/>
        </w:sectPr>
      </w:pPr>
    </w:p>
    <w:bookmarkStart w:id="22" w:name="page23"/>
    <w:bookmarkEnd w:id="22"/>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Acquisitions</w:t>
      </w:r>
    </w:p>
    <w:p>
      <w:pPr>
        <w:spacing w:after="0" w:line="245"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In February 2022, the Company completed the acquisition of 100% of the equity of WildHealth, Inc.,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on the acquisition date of February 7, 2022. This acquisition is part of the Company’s strategy to accelerate its technology-driven healthcare offerings by combining a rich healthcare data platform with Conversational AI to enable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 acquisition. The Company has allocated the purchase consideration subject to the stock forfeiture agreement between pre and post combination periods.</w:t>
      </w:r>
    </w:p>
    <w:p>
      <w:pPr>
        <w:spacing w:after="0" w:line="195"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Former stockholders of WildHealth have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has accounted for the earn-out as a compensation arrangement in accordance with ASC 718, “Compensation - Stock Compensation,” pursuant to which such earn-out payments are liability classified to be recognized over the requisite service periods. During the quarter ended March 31, 2022, the Company accrued $8.7 million for earn-outs, which is reflected as a component of other liabilities in the accompanying condensed consolidated balance sheets and as a component of stock-based compensation expense in the accompanying condensed consolidated statement of operations.</w:t>
      </w:r>
    </w:p>
    <w:p>
      <w:pPr>
        <w:spacing w:after="0" w:line="193"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The preliminary purchase price allocation resulted in approximately $15.3 million of goodwill and $8.3 million of intangible assets. WildHealth is part of the Consumer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The Company recorded an indemnification asset of $1.2 million relating to a pre-acquisition liability assumed. The purchase price accounting is not complete as the Company is finalizing closing adjustments.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amounts of identifiable assets acquired and liabilities assumed at the acquisition date:</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141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1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1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Intangible assets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9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 acquired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1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Current liabilities assumed</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 assumed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36130" cy="141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assets acquired</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acquisition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167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WildHealth, Inc.</w:t>
      </w:r>
    </w:p>
    <w:p>
      <w:pPr>
        <w:jc w:val="center"/>
        <w:ind w:right="9"/>
        <w:spacing w:after="0"/>
        <w:rPr>
          <w:sz w:val="20"/>
          <w:szCs w:val="20"/>
          <w:color w:val="auto"/>
        </w:rPr>
      </w:pPr>
      <w:r>
        <w:rPr>
          <w:rFonts w:ascii="Arial" w:cs="Arial" w:eastAsia="Arial" w:hAnsi="Arial"/>
          <w:sz w:val="14"/>
          <w:szCs w:val="14"/>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883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17" w:lineRule="exact"/>
        <w:rPr>
          <w:sz w:val="20"/>
          <w:szCs w:val="20"/>
          <w:color w:val="auto"/>
        </w:rPr>
      </w:pPr>
    </w:p>
    <w:p>
      <w:pPr>
        <w:ind w:left="271"/>
        <w:spacing w:after="0"/>
        <w:rPr>
          <w:sz w:val="20"/>
          <w:szCs w:val="20"/>
          <w:color w:val="auto"/>
        </w:rPr>
      </w:pPr>
      <w:r>
        <w:rPr>
          <w:rFonts w:ascii="Arial" w:cs="Arial" w:eastAsia="Arial" w:hAnsi="Arial"/>
          <w:sz w:val="14"/>
          <w:szCs w:val="14"/>
          <w:color w:val="auto"/>
        </w:rPr>
        <w:t>(In thousands)</w:t>
      </w:r>
    </w:p>
    <w:p>
      <w:pPr>
        <w:spacing w:after="0" w:line="268" w:lineRule="exact"/>
        <w:rPr>
          <w:sz w:val="20"/>
          <w:szCs w:val="20"/>
          <w:color w:val="auto"/>
        </w:rPr>
      </w:pPr>
    </w:p>
    <w:p>
      <w:pPr>
        <w:ind w:left="951" w:hanging="951"/>
        <w:spacing w:after="0"/>
        <w:tabs>
          <w:tab w:leader="none" w:pos="951" w:val="left"/>
        </w:tabs>
        <w:numPr>
          <w:ilvl w:val="0"/>
          <w:numId w:val="7"/>
        </w:numPr>
        <w:rPr>
          <w:rFonts w:ascii="Arial" w:cs="Arial" w:eastAsia="Arial" w:hAnsi="Arial"/>
          <w:sz w:val="15"/>
          <w:szCs w:val="15"/>
          <w:color w:val="auto"/>
        </w:rPr>
      </w:pPr>
      <w:r>
        <w:rPr>
          <w:rFonts w:ascii="Arial" w:cs="Arial" w:eastAsia="Arial" w:hAnsi="Arial"/>
          <w:sz w:val="15"/>
          <w:szCs w:val="15"/>
          <w:color w:val="auto"/>
        </w:rPr>
        <w:t>1,353</w:t>
      </w:r>
    </w:p>
    <w:p>
      <w:pPr>
        <w:spacing w:after="0" w:line="50" w:lineRule="exact"/>
        <w:rPr>
          <w:rFonts w:ascii="Arial" w:cs="Arial" w:eastAsia="Arial" w:hAnsi="Arial"/>
          <w:sz w:val="15"/>
          <w:szCs w:val="15"/>
          <w:color w:val="auto"/>
        </w:rPr>
      </w:pPr>
    </w:p>
    <w:p>
      <w:pPr>
        <w:ind w:left="1071"/>
        <w:spacing w:after="0"/>
        <w:rPr>
          <w:rFonts w:ascii="Arial" w:cs="Arial" w:eastAsia="Arial" w:hAnsi="Arial"/>
          <w:sz w:val="15"/>
          <w:szCs w:val="15"/>
          <w:color w:val="auto"/>
        </w:rPr>
      </w:pPr>
      <w:r>
        <w:rPr>
          <w:rFonts w:ascii="Arial" w:cs="Arial" w:eastAsia="Arial" w:hAnsi="Arial"/>
          <w:sz w:val="16"/>
          <w:szCs w:val="16"/>
          <w:color w:val="auto"/>
        </w:rPr>
        <w:t>382</w:t>
      </w:r>
    </w:p>
    <w:p>
      <w:pPr>
        <w:spacing w:after="0" w:line="39" w:lineRule="exact"/>
        <w:rPr>
          <w:rFonts w:ascii="Arial" w:cs="Arial" w:eastAsia="Arial" w:hAnsi="Arial"/>
          <w:sz w:val="15"/>
          <w:szCs w:val="15"/>
          <w:color w:val="auto"/>
        </w:rPr>
      </w:pPr>
    </w:p>
    <w:p>
      <w:pPr>
        <w:ind w:left="1071"/>
        <w:spacing w:after="0"/>
        <w:rPr>
          <w:rFonts w:ascii="Arial" w:cs="Arial" w:eastAsia="Arial" w:hAnsi="Arial"/>
          <w:sz w:val="15"/>
          <w:szCs w:val="15"/>
          <w:color w:val="auto"/>
        </w:rPr>
      </w:pPr>
      <w:r>
        <w:rPr>
          <w:rFonts w:ascii="Arial" w:cs="Arial" w:eastAsia="Arial" w:hAnsi="Arial"/>
          <w:sz w:val="16"/>
          <w:szCs w:val="16"/>
          <w:color w:val="auto"/>
        </w:rPr>
        <w:t>248</w:t>
      </w:r>
    </w:p>
    <w:p>
      <w:pPr>
        <w:spacing w:after="0" w:line="39" w:lineRule="exact"/>
        <w:rPr>
          <w:sz w:val="20"/>
          <w:szCs w:val="20"/>
          <w:color w:val="auto"/>
        </w:rPr>
      </w:pPr>
    </w:p>
    <w:p>
      <w:pPr>
        <w:ind w:left="951"/>
        <w:spacing w:after="0"/>
        <w:rPr>
          <w:sz w:val="20"/>
          <w:szCs w:val="20"/>
          <w:color w:val="auto"/>
        </w:rPr>
      </w:pPr>
      <w:r>
        <w:rPr>
          <w:rFonts w:ascii="Arial" w:cs="Arial" w:eastAsia="Arial" w:hAnsi="Arial"/>
          <w:sz w:val="15"/>
          <w:szCs w:val="15"/>
          <w:color w:val="auto"/>
        </w:rPr>
        <w:t>8,300</w:t>
      </w:r>
    </w:p>
    <w:p>
      <w:pPr>
        <w:spacing w:after="0" w:line="51" w:lineRule="exact"/>
        <w:rPr>
          <w:sz w:val="20"/>
          <w:szCs w:val="20"/>
          <w:color w:val="auto"/>
        </w:rPr>
      </w:pPr>
    </w:p>
    <w:p>
      <w:pPr>
        <w:ind w:left="951"/>
        <w:spacing w:after="0"/>
        <w:rPr>
          <w:sz w:val="20"/>
          <w:szCs w:val="20"/>
          <w:color w:val="auto"/>
        </w:rPr>
      </w:pPr>
      <w:r>
        <w:rPr>
          <w:rFonts w:ascii="Arial" w:cs="Arial" w:eastAsia="Arial" w:hAnsi="Arial"/>
          <w:sz w:val="15"/>
          <w:szCs w:val="15"/>
          <w:color w:val="auto"/>
        </w:rPr>
        <w:t>1,247</w:t>
      </w:r>
    </w:p>
    <w:p>
      <w:pPr>
        <w:spacing w:after="0" w:line="51" w:lineRule="exact"/>
        <w:rPr>
          <w:sz w:val="20"/>
          <w:szCs w:val="20"/>
          <w:color w:val="auto"/>
        </w:rPr>
      </w:pPr>
    </w:p>
    <w:p>
      <w:pPr>
        <w:ind w:left="891" w:hanging="891"/>
        <w:spacing w:after="0"/>
        <w:tabs>
          <w:tab w:leader="none" w:pos="891" w:val="left"/>
        </w:tabs>
        <w:numPr>
          <w:ilvl w:val="0"/>
          <w:numId w:val="8"/>
        </w:numPr>
        <w:rPr>
          <w:rFonts w:ascii="Arial" w:cs="Arial" w:eastAsia="Arial" w:hAnsi="Arial"/>
          <w:sz w:val="15"/>
          <w:szCs w:val="15"/>
          <w:color w:val="auto"/>
        </w:rPr>
      </w:pPr>
      <w:r>
        <w:rPr>
          <w:rFonts w:ascii="Arial" w:cs="Arial" w:eastAsia="Arial" w:hAnsi="Arial"/>
          <w:sz w:val="15"/>
          <w:szCs w:val="15"/>
          <w:color w:val="auto"/>
        </w:rPr>
        <w:t>11,530</w:t>
      </w:r>
    </w:p>
    <w:p>
      <w:pPr>
        <w:spacing w:after="0" w:line="287" w:lineRule="exact"/>
        <w:rPr>
          <w:sz w:val="20"/>
          <w:szCs w:val="20"/>
          <w:color w:val="auto"/>
        </w:rPr>
      </w:pPr>
    </w:p>
    <w:p>
      <w:pPr>
        <w:ind w:left="891" w:hanging="891"/>
        <w:spacing w:after="0"/>
        <w:tabs>
          <w:tab w:leader="none" w:pos="891" w:val="left"/>
        </w:tabs>
        <w:numPr>
          <w:ilvl w:val="0"/>
          <w:numId w:val="9"/>
        </w:numPr>
        <w:rPr>
          <w:rFonts w:ascii="Arial" w:cs="Arial" w:eastAsia="Arial" w:hAnsi="Arial"/>
          <w:sz w:val="14"/>
          <w:szCs w:val="14"/>
          <w:color w:val="auto"/>
        </w:rPr>
      </w:pPr>
      <w:r>
        <w:rPr>
          <w:rFonts w:ascii="Arial" w:cs="Arial" w:eastAsia="Arial" w:hAnsi="Arial"/>
          <w:sz w:val="14"/>
          <w:szCs w:val="14"/>
          <w:color w:val="auto"/>
        </w:rPr>
        <w:t>(1,463)</w:t>
      </w:r>
    </w:p>
    <w:p>
      <w:pPr>
        <w:spacing w:after="0" w:line="62" w:lineRule="exact"/>
        <w:rPr>
          <w:rFonts w:ascii="Arial" w:cs="Arial" w:eastAsia="Arial" w:hAnsi="Arial"/>
          <w:sz w:val="14"/>
          <w:szCs w:val="14"/>
          <w:color w:val="auto"/>
        </w:rPr>
      </w:pPr>
    </w:p>
    <w:p>
      <w:pPr>
        <w:ind w:left="891"/>
        <w:spacing w:after="0"/>
        <w:rPr>
          <w:rFonts w:ascii="Arial" w:cs="Arial" w:eastAsia="Arial" w:hAnsi="Arial"/>
          <w:sz w:val="14"/>
          <w:szCs w:val="14"/>
          <w:color w:val="auto"/>
        </w:rPr>
      </w:pPr>
      <w:r>
        <w:rPr>
          <w:rFonts w:ascii="Arial" w:cs="Arial" w:eastAsia="Arial" w:hAnsi="Arial"/>
          <w:sz w:val="14"/>
          <w:szCs w:val="14"/>
          <w:color w:val="auto"/>
        </w:rPr>
        <w:t>(1,603)</w:t>
      </w:r>
    </w:p>
    <w:p>
      <w:pPr>
        <w:spacing w:after="0" w:line="62" w:lineRule="exact"/>
        <w:rPr>
          <w:rFonts w:ascii="Arial" w:cs="Arial" w:eastAsia="Arial" w:hAnsi="Arial"/>
          <w:sz w:val="14"/>
          <w:szCs w:val="14"/>
          <w:color w:val="auto"/>
        </w:rPr>
      </w:pPr>
    </w:p>
    <w:p>
      <w:pPr>
        <w:ind w:left="891"/>
        <w:spacing w:after="0"/>
        <w:rPr>
          <w:rFonts w:ascii="Arial" w:cs="Arial" w:eastAsia="Arial" w:hAnsi="Arial"/>
          <w:sz w:val="14"/>
          <w:szCs w:val="14"/>
          <w:color w:val="auto"/>
        </w:rPr>
      </w:pPr>
      <w:r>
        <w:rPr>
          <w:rFonts w:ascii="Arial" w:cs="Arial" w:eastAsia="Arial" w:hAnsi="Arial"/>
          <w:sz w:val="14"/>
          <w:szCs w:val="14"/>
          <w:color w:val="auto"/>
        </w:rPr>
        <w:t>(1,500)</w:t>
      </w:r>
    </w:p>
    <w:p>
      <w:pPr>
        <w:spacing w:after="0" w:line="62" w:lineRule="exact"/>
        <w:rPr>
          <w:rFonts w:ascii="Arial" w:cs="Arial" w:eastAsia="Arial" w:hAnsi="Arial"/>
          <w:sz w:val="14"/>
          <w:szCs w:val="14"/>
          <w:color w:val="auto"/>
        </w:rPr>
      </w:pPr>
    </w:p>
    <w:p>
      <w:pPr>
        <w:ind w:left="891"/>
        <w:spacing w:after="0"/>
        <w:rPr>
          <w:rFonts w:ascii="Arial" w:cs="Arial" w:eastAsia="Arial" w:hAnsi="Arial"/>
          <w:sz w:val="14"/>
          <w:szCs w:val="14"/>
          <w:color w:val="auto"/>
        </w:rPr>
      </w:pPr>
      <w:r>
        <w:rPr>
          <w:rFonts w:ascii="Arial" w:cs="Arial" w:eastAsia="Arial" w:hAnsi="Arial"/>
          <w:sz w:val="14"/>
          <w:szCs w:val="14"/>
          <w:color w:val="auto"/>
        </w:rPr>
        <w:t>(4,566)</w:t>
      </w:r>
    </w:p>
    <w:p>
      <w:pPr>
        <w:spacing w:after="0" w:line="62" w:lineRule="exact"/>
        <w:rPr>
          <w:rFonts w:ascii="Arial" w:cs="Arial" w:eastAsia="Arial" w:hAnsi="Arial"/>
          <w:sz w:val="14"/>
          <w:szCs w:val="14"/>
          <w:color w:val="auto"/>
        </w:rPr>
      </w:pPr>
    </w:p>
    <w:p>
      <w:pPr>
        <w:ind w:left="951"/>
        <w:spacing w:after="0"/>
        <w:rPr>
          <w:rFonts w:ascii="Arial" w:cs="Arial" w:eastAsia="Arial" w:hAnsi="Arial"/>
          <w:sz w:val="14"/>
          <w:szCs w:val="14"/>
          <w:color w:val="auto"/>
        </w:rPr>
      </w:pPr>
      <w:r>
        <w:rPr>
          <w:rFonts w:ascii="Arial" w:cs="Arial" w:eastAsia="Arial" w:hAnsi="Arial"/>
          <w:sz w:val="15"/>
          <w:szCs w:val="15"/>
          <w:color w:val="auto"/>
        </w:rPr>
        <w:t>6,964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-260985</wp:posOffset>
            </wp:positionV>
            <wp:extent cx="8839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31" w:lineRule="exact"/>
        <w:rPr>
          <w:sz w:val="20"/>
          <w:szCs w:val="20"/>
          <w:color w:val="auto"/>
        </w:rPr>
      </w:pPr>
    </w:p>
    <w:p>
      <w:pPr>
        <w:ind w:left="871"/>
        <w:spacing w:after="0"/>
        <w:rPr>
          <w:sz w:val="20"/>
          <w:szCs w:val="20"/>
          <w:color w:val="auto"/>
        </w:rPr>
      </w:pPr>
      <w:r>
        <w:rPr>
          <w:rFonts w:ascii="Arial" w:cs="Arial" w:eastAsia="Arial" w:hAnsi="Arial"/>
          <w:sz w:val="15"/>
          <w:szCs w:val="15"/>
          <w:color w:val="auto"/>
        </w:rPr>
        <w:t>22,265</w:t>
      </w:r>
    </w:p>
    <w:p>
      <w:pPr>
        <w:spacing w:after="0" w:line="51" w:lineRule="exact"/>
        <w:rPr>
          <w:sz w:val="20"/>
          <w:szCs w:val="20"/>
          <w:color w:val="auto"/>
        </w:rPr>
      </w:pPr>
    </w:p>
    <w:p>
      <w:pPr>
        <w:ind w:left="871" w:hanging="871"/>
        <w:spacing w:after="0"/>
        <w:tabs>
          <w:tab w:leader="none" w:pos="871" w:val="left"/>
        </w:tabs>
        <w:numPr>
          <w:ilvl w:val="0"/>
          <w:numId w:val="10"/>
        </w:numPr>
        <w:rPr>
          <w:rFonts w:ascii="Arial" w:cs="Arial" w:eastAsia="Arial" w:hAnsi="Arial"/>
          <w:sz w:val="15"/>
          <w:szCs w:val="15"/>
          <w:color w:val="auto"/>
        </w:rPr>
      </w:pPr>
      <w:r>
        <w:rPr>
          <w:rFonts w:ascii="Arial" w:cs="Arial" w:eastAsia="Arial" w:hAnsi="Arial"/>
          <w:sz w:val="15"/>
          <w:szCs w:val="15"/>
          <w:color w:val="auto"/>
        </w:rPr>
        <w:t>15,301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wp:posOffset>
            </wp:positionV>
            <wp:extent cx="8839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149" w:space="720"/>
            <w:col w:w="1371"/>
          </w:cols>
          <w:pgMar w:left="320" w:top="1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3" w:name="page24"/>
    <w:bookmarkEnd w:id="23"/>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Other current assets acquired in connection with the acquisition consisted primarily of accounts receivable and other short term assets. Current liabilities assumed in connection with the acquisition consisted primarily of accounts payable, deferred revenue and other short term liabilities. The following is the breakout of the intangible assets acquired: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Amortizing intangible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Useful life</w:t>
            </w:r>
          </w:p>
        </w:tc>
      </w:tr>
      <w:tr>
        <w:trPr>
          <w:trHeight w:val="178"/>
        </w:trPr>
        <w:tc>
          <w:tcPr>
            <w:tcW w:w="8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244"/>
              <w:spacing w:after="0"/>
              <w:rPr>
                <w:sz w:val="20"/>
                <w:szCs w:val="20"/>
                <w:color w:val="auto"/>
              </w:rPr>
            </w:pPr>
            <w:r>
              <w:rPr>
                <w:rFonts w:ascii="Arial" w:cs="Arial" w:eastAsia="Arial" w:hAnsi="Arial"/>
                <w:sz w:val="14"/>
                <w:szCs w:val="14"/>
                <w:color w:val="auto"/>
                <w:w w:val="98"/>
              </w:rPr>
              <w:t>(In thousands)</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Developed technology</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5"/>
              </w:rPr>
              <w:t>5.0 years</w:t>
            </w: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Trade name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1420" w:type="dxa"/>
            <w:vAlign w:val="bottom"/>
          </w:tcPr>
          <w:p>
            <w:pPr>
              <w:ind w:left="840"/>
              <w:spacing w:after="0"/>
              <w:rPr>
                <w:sz w:val="20"/>
                <w:szCs w:val="20"/>
                <w:color w:val="auto"/>
              </w:rPr>
            </w:pPr>
            <w:r>
              <w:rPr>
                <w:rFonts w:ascii="Arial" w:cs="Arial" w:eastAsia="Arial" w:hAnsi="Arial"/>
                <w:sz w:val="16"/>
                <w:szCs w:val="16"/>
                <w:color w:val="auto"/>
                <w:w w:val="85"/>
              </w:rPr>
              <w:t>5.0 years</w:t>
            </w: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Fellowship content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Arial" w:cs="Arial" w:eastAsia="Arial" w:hAnsi="Arial"/>
                <w:sz w:val="16"/>
                <w:szCs w:val="16"/>
                <w:color w:val="auto"/>
                <w:w w:val="85"/>
              </w:rPr>
              <w:t>5.0 years</w:t>
            </w:r>
          </w:p>
        </w:tc>
      </w:tr>
      <w:tr>
        <w:trPr>
          <w:trHeight w:val="206"/>
        </w:trPr>
        <w:tc>
          <w:tcPr>
            <w:tcW w:w="8280" w:type="dxa"/>
            <w:vAlign w:val="bottom"/>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8,300</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222222"/>
        </w:rPr>
        <w:t>The Company applied a multi-period excess earnings method of the income approach to estimate the fair values of the intangible assets acquired. The intangible assets acquired in the business acquisition were developed technology, trade name, and fellowship content for the fair value of $8.3 million, determined based on the estimated fair value of expected after-tax cash flows attributable to annual recurring revenue from customers.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intangible assets on the date of acquisition over a period of five years based on expected future cash flow. The amortization expense is recorded to amortization of purchased intangibles in the condensed consolidated statements of operations.</w:t>
      </w:r>
    </w:p>
    <w:p>
      <w:pPr>
        <w:spacing w:after="0" w:line="193"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The Company incurred $2.0 million in acquisition costs that was expensed in the period incurred, of which $0.4 million was expensed in the three months ended March 31, 2022, and is included in general and administrative expense in the accompanying condensed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45"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Company has operating and finance leases for its corporate offices and other service agreements. Its leases have remaining lease terms of less than one to five years, some of which include options to extend.</w:t>
      </w:r>
    </w:p>
    <w:p>
      <w:pPr>
        <w:spacing w:after="0" w:line="20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In connection with the leases, the Company recognized operating lease right of use assets of $4.1 million and $2.0 million and an aggregate lease liability of $7.7 million and $6.1 million in its condensed consolidated balance sheet as of March 31, 2022 and December 31, 2021, respectively.</w:t>
      </w:r>
    </w:p>
    <w:p>
      <w:pPr>
        <w:spacing w:after="0" w:line="161"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As of March 31, 2022, due to a dispute with respect to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$1.5 million at March 31, 2022, which is recorded as restricted cash in Prepaid expenses and other current assets in the condensed consolidated balance sheets. In the third quarter of 2021, the Company entered into a new lease in Australia and was required to pledge $0.2 million in cash as collateral security.</w:t>
      </w:r>
    </w:p>
    <w:p>
      <w:pPr>
        <w:spacing w:after="0" w:line="190"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for the periods ended March 31, 2022 and 2021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520" w:type="dxa"/>
            <w:vAlign w:val="bottom"/>
            <w:gridSpan w:val="3"/>
          </w:tcPr>
          <w:p>
            <w:pPr>
              <w:jc w:val="center"/>
              <w:ind w:left="367"/>
              <w:spacing w:after="0"/>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26"/>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r>
      <w:tr>
        <w:trPr>
          <w:trHeight w:val="177"/>
        </w:trPr>
        <w:tc>
          <w:tcPr>
            <w:tcW w:w="8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2"/>
          </w:tcPr>
          <w:p>
            <w:pPr>
              <w:jc w:val="center"/>
              <w:ind w:right="426"/>
              <w:spacing w:after="0"/>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940" w:type="dxa"/>
            <w:vAlign w:val="bottom"/>
          </w:tcPr>
          <w:p>
            <w:pPr>
              <w:jc w:val="right"/>
              <w:ind w:right="767"/>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5"/>
              <w:spacing w:after="0"/>
              <w:rPr>
                <w:sz w:val="20"/>
                <w:szCs w:val="20"/>
                <w:color w:val="auto"/>
              </w:rPr>
            </w:pPr>
            <w:r>
              <w:rPr>
                <w:rFonts w:ascii="Arial" w:cs="Arial" w:eastAsia="Arial" w:hAnsi="Arial"/>
                <w:sz w:val="16"/>
                <w:szCs w:val="16"/>
                <w:color w:val="auto"/>
                <w:w w:val="99"/>
              </w:rPr>
              <w:t>1,119</w:t>
            </w:r>
          </w:p>
        </w:tc>
        <w:tc>
          <w:tcPr>
            <w:tcW w:w="1060" w:type="dxa"/>
            <w:vAlign w:val="bottom"/>
          </w:tcPr>
          <w:p>
            <w:pPr>
              <w:jc w:val="right"/>
              <w:ind w:right="826"/>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64</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4"/>
        </w:trPr>
        <w:tc>
          <w:tcPr>
            <w:tcW w:w="8280" w:type="dxa"/>
            <w:vAlign w:val="bottom"/>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940" w:type="dxa"/>
            <w:vAlign w:val="bottom"/>
          </w:tcPr>
          <w:p>
            <w:pPr>
              <w:spacing w:after="0"/>
              <w:rPr>
                <w:sz w:val="17"/>
                <w:szCs w:val="17"/>
                <w:color w:val="auto"/>
              </w:rPr>
            </w:pPr>
          </w:p>
        </w:tc>
        <w:tc>
          <w:tcPr>
            <w:tcW w:w="520" w:type="dxa"/>
            <w:vAlign w:val="bottom"/>
          </w:tcPr>
          <w:p>
            <w:pPr>
              <w:jc w:val="right"/>
              <w:ind w:right="25"/>
              <w:spacing w:after="0"/>
              <w:rPr>
                <w:sz w:val="20"/>
                <w:szCs w:val="20"/>
                <w:color w:val="auto"/>
              </w:rPr>
            </w:pPr>
            <w:r>
              <w:rPr>
                <w:rFonts w:ascii="Arial" w:cs="Arial" w:eastAsia="Arial" w:hAnsi="Arial"/>
                <w:sz w:val="16"/>
                <w:szCs w:val="16"/>
                <w:color w:val="auto"/>
              </w:rPr>
              <w:t>920</w:t>
            </w: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859</w:t>
            </w: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4" w:name="page25"/>
    <w:bookmarkEnd w:id="24"/>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costs for the periods ended March 31, 2022 and 2021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460" w:type="dxa"/>
            <w:vAlign w:val="bottom"/>
            <w:gridSpan w:val="4"/>
          </w:tcPr>
          <w:p>
            <w:pPr>
              <w:jc w:val="center"/>
              <w:ind w:left="426"/>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77"/>
        </w:trPr>
        <w:tc>
          <w:tcPr>
            <w:tcW w:w="8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Amortization of right of use assets</w:t>
            </w:r>
          </w:p>
        </w:tc>
        <w:tc>
          <w:tcPr>
            <w:tcW w:w="920" w:type="dxa"/>
            <w:vAlign w:val="bottom"/>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7"/>
                <w:szCs w:val="17"/>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cost</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cost</w:t>
            </w:r>
          </w:p>
        </w:tc>
        <w:tc>
          <w:tcPr>
            <w:tcW w:w="92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48" w:lineRule="exact"/>
        <w:rPr>
          <w:sz w:val="20"/>
          <w:szCs w:val="20"/>
          <w:color w:val="auto"/>
        </w:rPr>
      </w:pPr>
    </w:p>
    <w:p>
      <w:pPr>
        <w:jc w:val="center"/>
        <w:ind w:left="8220"/>
        <w:spacing w:after="0"/>
        <w:rPr>
          <w:sz w:val="20"/>
          <w:szCs w:val="20"/>
          <w:color w:val="auto"/>
        </w:rPr>
      </w:pPr>
      <w:r>
        <w:rPr>
          <w:rFonts w:ascii="Arial" w:cs="Arial" w:eastAsia="Arial" w:hAnsi="Arial"/>
          <w:sz w:val="13"/>
          <w:szCs w:val="13"/>
          <w:b w:val="1"/>
          <w:bCs w:val="1"/>
          <w:color w:val="auto"/>
        </w:rPr>
        <w:t>March 31,</w:t>
      </w:r>
    </w:p>
    <w:p>
      <w:pPr>
        <w:jc w:val="center"/>
        <w:ind w:left="822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60"/>
        <w:spacing w:after="0"/>
        <w:rPr>
          <w:sz w:val="20"/>
          <w:szCs w:val="20"/>
          <w:color w:val="auto"/>
        </w:rPr>
      </w:pPr>
      <w:r>
        <w:rPr>
          <w:rFonts w:ascii="Arial" w:cs="Arial" w:eastAsia="Arial" w:hAnsi="Arial"/>
          <w:sz w:val="13"/>
          <w:szCs w:val="13"/>
          <w:b w:val="1"/>
          <w:bCs w:val="1"/>
          <w:color w:val="auto"/>
        </w:rPr>
        <w:t>March 31,</w:t>
      </w:r>
    </w:p>
    <w:p>
      <w:pPr>
        <w:jc w:val="center"/>
        <w:ind w:right="460"/>
        <w:spacing w:after="0"/>
        <w:rPr>
          <w:sz w:val="20"/>
          <w:szCs w:val="20"/>
          <w:color w:val="auto"/>
        </w:rPr>
      </w:pPr>
      <w:r>
        <w:rPr>
          <w:rFonts w:ascii="Arial" w:cs="Arial" w:eastAsia="Arial" w:hAnsi="Arial"/>
          <w:sz w:val="14"/>
          <w:szCs w:val="14"/>
          <w:b w:val="1"/>
          <w:bCs w:val="1"/>
          <w:color w:val="auto"/>
        </w:rPr>
        <w:t>2021</w:t>
      </w:r>
    </w:p>
    <w:p>
      <w:pPr>
        <w:spacing w:after="0" w:line="6" w:lineRule="exact"/>
        <w:rPr>
          <w:sz w:val="20"/>
          <w:szCs w:val="20"/>
          <w:color w:val="auto"/>
        </w:rPr>
      </w:pPr>
    </w:p>
    <w:p>
      <w:pPr>
        <w:sectPr>
          <w:pgSz w:w="11900" w:h="16838" w:orient="portrait"/>
          <w:cols w:equalWidth="0" w:num="2">
            <w:col w:w="9440" w:space="720"/>
            <w:col w:w="1080"/>
          </w:cols>
          <w:pgMar w:left="320" w:top="174"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4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 years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 years</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 years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years</w:t>
            </w: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r>
        <w:trPr>
          <w:trHeight w:val="393"/>
        </w:trPr>
        <w:tc>
          <w:tcPr>
            <w:tcW w:w="8060" w:type="dxa"/>
            <w:vAlign w:val="bottom"/>
            <w:gridSpan w:val="2"/>
          </w:tcPr>
          <w:p>
            <w:pPr>
              <w:ind w:left="4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426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w w:val="87"/>
              </w:rPr>
              <w:t>Classification on the Condensed Consolidated Balance Sheet</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22"/>
                <w:szCs w:val="22"/>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20"/>
              <w:spacing w:after="0"/>
              <w:rPr>
                <w:sz w:val="20"/>
                <w:szCs w:val="20"/>
                <w:color w:val="auto"/>
              </w:rPr>
            </w:pPr>
            <w:r>
              <w:rPr>
                <w:rFonts w:ascii="Arial" w:cs="Arial" w:eastAsia="Arial" w:hAnsi="Arial"/>
                <w:sz w:val="16"/>
                <w:szCs w:val="16"/>
                <w:color w:val="auto"/>
              </w:rPr>
              <w:t>Operating right of use assets</w:t>
            </w:r>
          </w:p>
        </w:tc>
        <w:tc>
          <w:tcPr>
            <w:tcW w:w="4260" w:type="dxa"/>
            <w:vAlign w:val="bottom"/>
          </w:tcPr>
          <w:p>
            <w:pPr>
              <w:jc w:val="center"/>
              <w:ind w:left="82"/>
              <w:spacing w:after="0"/>
              <w:rPr>
                <w:sz w:val="20"/>
                <w:szCs w:val="20"/>
                <w:color w:val="auto"/>
              </w:rPr>
            </w:pPr>
            <w:r>
              <w:rPr>
                <w:rFonts w:ascii="Arial" w:cs="Arial" w:eastAsia="Arial" w:hAnsi="Arial"/>
                <w:sz w:val="16"/>
                <w:szCs w:val="16"/>
                <w:color w:val="auto"/>
                <w:w w:val="86"/>
              </w:rPr>
              <w:t>Operating lease right of use assets</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4,085</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1,977</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right of use assets</w:t>
            </w:r>
          </w:p>
        </w:tc>
        <w:tc>
          <w:tcPr>
            <w:tcW w:w="426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88"/>
              </w:rPr>
              <w:t>Property and equipment,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5,896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liability</w:t>
            </w:r>
          </w:p>
        </w:tc>
        <w:tc>
          <w:tcPr>
            <w:tcW w:w="4260" w:type="dxa"/>
            <w:vAlign w:val="bottom"/>
            <w:shd w:val="clear" w:color="auto" w:fill="CCEEFF"/>
          </w:tcPr>
          <w:p>
            <w:pPr>
              <w:jc w:val="center"/>
              <w:ind w:left="62"/>
              <w:spacing w:after="0"/>
              <w:rPr>
                <w:sz w:val="20"/>
                <w:szCs w:val="20"/>
                <w:color w:val="auto"/>
              </w:rPr>
            </w:pPr>
            <w:r>
              <w:rPr>
                <w:rFonts w:ascii="Arial" w:cs="Arial" w:eastAsia="Arial" w:hAnsi="Arial"/>
                <w:sz w:val="16"/>
                <w:szCs w:val="16"/>
                <w:color w:val="auto"/>
                <w:w w:val="91"/>
              </w:rPr>
              <w:t>Operating lease liability</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4,864</w:t>
            </w: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07"/>
        </w:trPr>
        <w:tc>
          <w:tcPr>
            <w:tcW w:w="3800" w:type="dxa"/>
            <w:vAlign w:val="bottom"/>
          </w:tcPr>
          <w:p>
            <w:pPr>
              <w:ind w:left="240"/>
              <w:spacing w:after="0"/>
              <w:rPr>
                <w:sz w:val="20"/>
                <w:szCs w:val="20"/>
                <w:color w:val="auto"/>
              </w:rPr>
            </w:pPr>
            <w:r>
              <w:rPr>
                <w:rFonts w:ascii="Arial" w:cs="Arial" w:eastAsia="Arial" w:hAnsi="Arial"/>
                <w:sz w:val="16"/>
                <w:szCs w:val="16"/>
                <w:color w:val="auto"/>
              </w:rPr>
              <w:t>Finance lease liability</w:t>
            </w:r>
          </w:p>
        </w:tc>
        <w:tc>
          <w:tcPr>
            <w:tcW w:w="4260" w:type="dxa"/>
            <w:vAlign w:val="bottom"/>
          </w:tcPr>
          <w:p>
            <w:pPr>
              <w:jc w:val="center"/>
              <w:ind w:left="62"/>
              <w:spacing w:after="0"/>
              <w:rPr>
                <w:sz w:val="20"/>
                <w:szCs w:val="20"/>
                <w:color w:val="auto"/>
              </w:rPr>
            </w:pPr>
            <w:r>
              <w:rPr>
                <w:rFonts w:ascii="Arial" w:cs="Arial" w:eastAsia="Arial" w:hAnsi="Arial"/>
                <w:sz w:val="16"/>
                <w:szCs w:val="16"/>
                <w:color w:val="auto"/>
                <w:w w:val="89"/>
              </w:rPr>
              <w:t>Accrued expenses and other current liabilities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3,781</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 liabilities:</w:t>
            </w:r>
          </w:p>
        </w:tc>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240"/>
              <w:spacing w:after="0"/>
              <w:rPr>
                <w:sz w:val="20"/>
                <w:szCs w:val="20"/>
                <w:color w:val="auto"/>
              </w:rPr>
            </w:pPr>
            <w:r>
              <w:rPr>
                <w:rFonts w:ascii="Arial" w:cs="Arial" w:eastAsia="Arial" w:hAnsi="Arial"/>
                <w:sz w:val="16"/>
                <w:szCs w:val="16"/>
                <w:color w:val="auto"/>
              </w:rPr>
              <w:t>Operating lease liability</w:t>
            </w:r>
          </w:p>
        </w:tc>
        <w:tc>
          <w:tcPr>
            <w:tcW w:w="4260" w:type="dxa"/>
            <w:vAlign w:val="bottom"/>
          </w:tcPr>
          <w:p>
            <w:pPr>
              <w:jc w:val="center"/>
              <w:ind w:left="62"/>
              <w:spacing w:after="0"/>
              <w:rPr>
                <w:sz w:val="20"/>
                <w:szCs w:val="20"/>
                <w:color w:val="auto"/>
              </w:rPr>
            </w:pPr>
            <w:r>
              <w:rPr>
                <w:rFonts w:ascii="Arial" w:cs="Arial" w:eastAsia="Arial" w:hAnsi="Arial"/>
                <w:sz w:val="16"/>
                <w:szCs w:val="16"/>
                <w:color w:val="auto"/>
                <w:w w:val="90"/>
              </w:rPr>
              <w:t>Operating lease liability, net of current portion</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2,795</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 liability</w:t>
            </w:r>
          </w:p>
        </w:tc>
        <w:tc>
          <w:tcPr>
            <w:tcW w:w="4260" w:type="dxa"/>
            <w:vAlign w:val="bottom"/>
            <w:shd w:val="clear" w:color="auto" w:fill="CCEEFF"/>
          </w:tcPr>
          <w:p>
            <w:pPr>
              <w:jc w:val="center"/>
              <w:ind w:left="82"/>
              <w:spacing w:after="0"/>
              <w:rPr>
                <w:sz w:val="20"/>
                <w:szCs w:val="20"/>
                <w:color w:val="auto"/>
              </w:rPr>
            </w:pPr>
            <w:r>
              <w:rPr>
                <w:rFonts w:ascii="Arial" w:cs="Arial" w:eastAsia="Arial" w:hAnsi="Arial"/>
                <w:sz w:val="16"/>
                <w:szCs w:val="16"/>
                <w:color w:val="auto"/>
                <w:w w:val="93"/>
              </w:rPr>
              <w:t>Other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1,829</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5" w:name="page26"/>
    <w:bookmarkEnd w:id="25"/>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20"/>
        <w:spacing w:after="0" w:line="260" w:lineRule="auto"/>
        <w:rPr>
          <w:sz w:val="20"/>
          <w:szCs w:val="20"/>
          <w:color w:val="auto"/>
        </w:rPr>
      </w:pPr>
      <w:r>
        <w:rPr>
          <w:rFonts w:ascii="Arial" w:cs="Arial" w:eastAsia="Arial" w:hAnsi="Arial"/>
          <w:sz w:val="18"/>
          <w:szCs w:val="18"/>
          <w:color w:val="auto"/>
        </w:rPr>
        <w:t>Future minimum lease payments under non-cancellable operating and finance leases (with an initial or remaining lease terms in excess of one year)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March 31, 2022</w:t>
            </w:r>
          </w:p>
        </w:tc>
        <w:tc>
          <w:tcPr>
            <w:tcW w:w="1000" w:type="dxa"/>
            <w:vAlign w:val="bottom"/>
            <w:tcBorders>
              <w:bottom w:val="single" w:sz="8" w:color="auto"/>
            </w:tcBorders>
          </w:tcPr>
          <w:p>
            <w:pPr>
              <w:spacing w:after="0"/>
              <w:rPr>
                <w:sz w:val="16"/>
                <w:szCs w:val="16"/>
                <w:color w:val="auto"/>
              </w:rPr>
            </w:pPr>
          </w:p>
        </w:tc>
      </w:tr>
      <w:tr>
        <w:trPr>
          <w:trHeight w:val="130"/>
        </w:trPr>
        <w:tc>
          <w:tcPr>
            <w:tcW w:w="828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jc w:val="right"/>
              <w:ind w:right="423"/>
              <w:spacing w:after="0" w:line="130" w:lineRule="exact"/>
              <w:rPr>
                <w:sz w:val="20"/>
                <w:szCs w:val="20"/>
                <w:color w:val="auto"/>
              </w:rPr>
            </w:pPr>
            <w:r>
              <w:rPr>
                <w:rFonts w:ascii="Arial" w:cs="Arial" w:eastAsia="Arial" w:hAnsi="Arial"/>
                <w:sz w:val="14"/>
                <w:szCs w:val="14"/>
                <w:b w:val="1"/>
                <w:bCs w:val="1"/>
                <w:color w:val="auto"/>
                <w:w w:val="90"/>
              </w:rPr>
              <w:t>Finance</w:t>
            </w:r>
          </w:p>
        </w:tc>
      </w:tr>
      <w:tr>
        <w:trPr>
          <w:trHeight w:val="183"/>
        </w:trPr>
        <w:tc>
          <w:tcPr>
            <w:tcW w:w="8280" w:type="dxa"/>
            <w:vAlign w:val="bottom"/>
          </w:tcPr>
          <w:p>
            <w:pPr>
              <w:spacing w:after="0"/>
              <w:rPr>
                <w:sz w:val="15"/>
                <w:szCs w:val="15"/>
                <w:color w:val="auto"/>
              </w:rPr>
            </w:pP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Leases</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w w:val="96"/>
              </w:rPr>
              <w:t>Leases</w:t>
            </w:r>
          </w:p>
        </w:tc>
      </w:tr>
      <w:tr>
        <w:trPr>
          <w:trHeight w:val="177"/>
        </w:trPr>
        <w:tc>
          <w:tcPr>
            <w:tcW w:w="8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(remaining nine months for March 31, 2022)</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4,188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2,955</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2023</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2,744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2,627</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2025</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8280" w:type="dxa"/>
            <w:vAlign w:val="bottom"/>
          </w:tcPr>
          <w:p>
            <w:pPr>
              <w:ind w:left="180"/>
              <w:spacing w:after="0"/>
              <w:rPr>
                <w:sz w:val="20"/>
                <w:szCs w:val="20"/>
                <w:color w:val="auto"/>
              </w:rPr>
            </w:pPr>
            <w:r>
              <w:rPr>
                <w:rFonts w:ascii="Arial" w:cs="Arial" w:eastAsia="Arial" w:hAnsi="Arial"/>
                <w:sz w:val="16"/>
                <w:szCs w:val="16"/>
                <w:color w:val="auto"/>
              </w:rPr>
              <w:t>Total minimum lease payments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8,315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5,804</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present value adjustment</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06"/>
        </w:trPr>
        <w:tc>
          <w:tcPr>
            <w:tcW w:w="8280" w:type="dxa"/>
            <w:vAlign w:val="bottom"/>
          </w:tcPr>
          <w:p>
            <w:pPr>
              <w:ind w:left="180"/>
              <w:spacing w:after="0"/>
              <w:rPr>
                <w:sz w:val="20"/>
                <w:szCs w:val="20"/>
                <w:color w:val="auto"/>
              </w:rPr>
            </w:pPr>
            <w:r>
              <w:rPr>
                <w:rFonts w:ascii="Arial" w:cs="Arial" w:eastAsia="Arial" w:hAnsi="Arial"/>
                <w:sz w:val="16"/>
                <w:szCs w:val="16"/>
                <w:color w:val="auto"/>
              </w:rPr>
              <w:t>Present value of lease liabilities</w:t>
            </w:r>
          </w:p>
        </w:tc>
        <w:tc>
          <w:tcPr>
            <w:tcW w:w="1000" w:type="dxa"/>
            <w:vAlign w:val="bottom"/>
            <w:tcBorders>
              <w:bottom w:val="single" w:sz="8" w:color="auto"/>
            </w:tcBorders>
          </w:tcPr>
          <w:p>
            <w:pPr>
              <w:jc w:val="right"/>
              <w:ind w:right="826"/>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7,659</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5,610</w:t>
            </w:r>
          </w:p>
        </w:tc>
      </w:tr>
      <w:tr>
        <w:trPr>
          <w:trHeight w:val="20"/>
        </w:trPr>
        <w:tc>
          <w:tcPr>
            <w:tcW w:w="8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1"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3" w:lineRule="exact"/>
        <w:rPr>
          <w:sz w:val="20"/>
          <w:szCs w:val="20"/>
          <w:color w:val="auto"/>
        </w:rPr>
      </w:pPr>
    </w:p>
    <w:p>
      <w:pPr>
        <w:ind w:left="1100" w:hanging="307"/>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8" w:lineRule="exact"/>
        <w:rPr>
          <w:rFonts w:ascii="Arial" w:cs="Arial" w:eastAsia="Arial" w:hAnsi="Arial"/>
          <w:sz w:val="18"/>
          <w:szCs w:val="18"/>
          <w:color w:val="auto"/>
        </w:rPr>
      </w:pPr>
    </w:p>
    <w:p>
      <w:pPr>
        <w:jc w:val="both"/>
        <w:ind w:left="1100" w:hanging="307"/>
        <w:spacing w:after="0" w:line="252" w:lineRule="auto"/>
        <w:tabs>
          <w:tab w:leader="none" w:pos="10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83"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2022 and December 31, 2021,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85"/>
              <w:spacing w:after="0"/>
              <w:rPr>
                <w:sz w:val="20"/>
                <w:szCs w:val="20"/>
                <w:color w:val="auto"/>
              </w:rPr>
            </w:pPr>
            <w:r>
              <w:rPr>
                <w:rFonts w:ascii="Arial" w:cs="Arial" w:eastAsia="Arial" w:hAnsi="Arial"/>
                <w:sz w:val="14"/>
                <w:szCs w:val="14"/>
                <w:b w:val="1"/>
                <w:bCs w:val="1"/>
                <w:color w:val="auto"/>
                <w:w w:val="92"/>
              </w:rPr>
              <w:t>March 31, 2022</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5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177"/>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3"/>
          </w:tcPr>
          <w:p>
            <w:pPr>
              <w:jc w:val="center"/>
              <w:ind w:left="605"/>
              <w:spacing w:after="0"/>
              <w:rPr>
                <w:sz w:val="20"/>
                <w:szCs w:val="20"/>
                <w:color w:val="auto"/>
              </w:rPr>
            </w:pPr>
            <w:r>
              <w:rPr>
                <w:rFonts w:ascii="Arial" w:cs="Arial" w:eastAsia="Arial" w:hAnsi="Arial"/>
                <w:sz w:val="14"/>
                <w:szCs w:val="14"/>
                <w:b w:val="1"/>
                <w:bCs w:val="1"/>
                <w:color w:val="auto"/>
                <w:w w:val="89"/>
              </w:rPr>
              <w:t>(In thousands)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392,703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392,703</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392,703</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392,703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42,456</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42,456</w:t>
            </w:r>
          </w:p>
        </w:tc>
        <w:tc>
          <w:tcPr>
            <w:tcW w:w="1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42,456</w:t>
            </w:r>
          </w:p>
        </w:tc>
      </w:tr>
      <w:tr>
        <w:trPr>
          <w:trHeight w:val="20"/>
        </w:trPr>
        <w:tc>
          <w:tcPr>
            <w:tcW w:w="5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6" w:name="page27"/>
    <w:bookmarkEnd w:id="26"/>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323"/>
              <w:spacing w:after="0"/>
              <w:rPr>
                <w:sz w:val="20"/>
                <w:szCs w:val="20"/>
                <w:color w:val="auto"/>
              </w:rPr>
            </w:pPr>
            <w:r>
              <w:rPr>
                <w:rFonts w:ascii="Arial" w:cs="Arial" w:eastAsia="Arial" w:hAnsi="Arial"/>
                <w:sz w:val="14"/>
                <w:szCs w:val="14"/>
                <w:b w:val="1"/>
                <w:bCs w:val="1"/>
                <w:color w:val="auto"/>
              </w:rPr>
              <w:t>December 31, 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5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177"/>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3"/>
          </w:tcPr>
          <w:p>
            <w:pPr>
              <w:jc w:val="right"/>
              <w:ind w:right="463"/>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6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416,178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416,178</w:t>
            </w:r>
          </w:p>
        </w:tc>
      </w:tr>
      <w:tr>
        <w:trPr>
          <w:trHeight w:val="206"/>
        </w:trPr>
        <w:tc>
          <w:tcPr>
            <w:tcW w:w="52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416,178</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416,178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7"/>
        </w:trPr>
        <w:tc>
          <w:tcPr>
            <w:tcW w:w="52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29,686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29,686</w:t>
            </w:r>
          </w:p>
        </w:tc>
      </w:tr>
      <w:tr>
        <w:trPr>
          <w:trHeight w:val="206"/>
        </w:trPr>
        <w:tc>
          <w:tcPr>
            <w:tcW w:w="52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85"/>
              </w:rPr>
              <w:t>29,686</w:t>
            </w:r>
          </w:p>
        </w:tc>
        <w:tc>
          <w:tcPr>
            <w:tcW w:w="10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29,686</w:t>
            </w: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81" w:lineRule="exact"/>
        <w:rPr>
          <w:sz w:val="20"/>
          <w:szCs w:val="20"/>
          <w:color w:val="auto"/>
        </w:rPr>
      </w:pPr>
    </w:p>
    <w:p>
      <w:pPr>
        <w:jc w:val="both"/>
        <w:ind w:firstLine="420"/>
        <w:spacing w:after="0" w:line="300" w:lineRule="auto"/>
        <w:rPr>
          <w:sz w:val="20"/>
          <w:szCs w:val="20"/>
          <w:color w:val="auto"/>
        </w:rPr>
      </w:pPr>
      <w:r>
        <w:rPr>
          <w:rFonts w:ascii="Arial" w:cs="Arial" w:eastAsia="Arial" w:hAnsi="Arial"/>
          <w:sz w:val="15"/>
          <w:szCs w:val="15"/>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ASC 820, “Fair Value Measurement”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186"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As of March 31, 2022, the fair value of the Notes, as further described in Note 8 – Convertible Senior Notes and Capped Call Transactions above, was approximately $622.7 million. Management determines the fair value by utilizing an independent valuation specialist using the antithetic variable technique which is considered a level 2 fair value measurement.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fair value of the level 3 liabilities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WildHealth</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e-bot7 GmbH</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6,170</w:t>
            </w: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Caillinize, Inc. (dba Tenfold)</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6,946</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VoiceBase, Inc.</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w:t>
            </w: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AdvantageTec Inc. fair value adjustment</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6"/>
        </w:trPr>
        <w:tc>
          <w:tcPr>
            <w:tcW w:w="828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42,456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29,830</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Company’s 401(k) policy is a Safe Harbor Plan, whereby the Company matches 100% of the first 3% of eligible compensation and 50% of the next 2% of eligible compensation. Furthermore, the match is immediately vested. Salaries and related expenses include $1.6 million and $0.9 million of employer matching contributions for the three months ended March 31, 2022 and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As of March 31, 2022, the Company had letters of credit totaling $0.9 million outstanding as a security deposit for the due performance by the Company of the terms and conditions of a supply contract.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Liabilities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Company is in the process of finalizing its sales tax liability analysis for states in which it has economic nexus. During the first quarter of 2020, the Company determined it was probable the Company would be subject to sales tax liabilities plus applicable interest in these states and has estimated the potential exposure to range between $2.5 million to $6.3 million. The Company determined that its best estimate of what would be reasonably expected for the Company to settle the potential exposure was $2.5 million and accordingly, the Company accrued this amount with a corresponding charge to earnings as of March 31, 2020. As of March 31, 2022, there is a $1.1 million accrual balance for sales tax liabilities. The decrease in the balance of this accrual is primarily due to payments made for the sales tax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As of March 31, 2022, there were 200,000,000 shares of common stock authorized, 77,062,637 shares issued, and 74,316,394 shares outstanding. As of December 31, 2021, there were 200,000,000 shares of common stock authorized, 74,980,546 shares issued and 72,234,303 shares outstanding. The par value for the common stock is $0.001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As of March 31, 2022 and December 31, 2021, there were 5,000,000 shares of preferred stock authorized, and no shares were issued or outstanding. The par value for the preferred stock is $0.001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March 31, 2022, approximately 3.4 million shares of common stock remained available for issuance (taking into account all option exercises and other equity award settlements through March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There are 1,000,000 shares authorized and reserved for issuance under the 2019 Employee Stock Purchase Plan. As of March 31, 2022, approximately 0.6 million shares of common stock remain available for issuance under the Employee Stock Purchase Plan (taking into account all share purchases through March 31, 2022).</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8" w:name="page29"/>
    <w:bookmarkEnd w:id="28"/>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Plan</w:t>
      </w:r>
    </w:p>
    <w:p>
      <w:pPr>
        <w:spacing w:after="0" w:line="239" w:lineRule="exact"/>
        <w:rPr>
          <w:sz w:val="20"/>
          <w:szCs w:val="20"/>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There are 6,159,009 shares of common stock authorized and reserved for issuance under the Inducement Plan. As of March 31, 2022, approximately 2.0 million shares of common stock remained available for issuance under the Inducement Plan (taking into account all option exercises and other equity award settlements through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764"/>
              <w:spacing w:after="0"/>
              <w:rPr>
                <w:sz w:val="20"/>
                <w:szCs w:val="20"/>
                <w:color w:val="auto"/>
              </w:rPr>
            </w:pPr>
            <w:r>
              <w:rPr>
                <w:rFonts w:ascii="Arial" w:cs="Arial" w:eastAsia="Arial" w:hAnsi="Arial"/>
                <w:sz w:val="14"/>
                <w:szCs w:val="14"/>
                <w:b w:val="1"/>
                <w:bCs w:val="1"/>
                <w:color w:val="auto"/>
              </w:rPr>
              <w:t>Stock Option Activity</w:t>
            </w: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Weighted</w:t>
            </w:r>
          </w:p>
        </w:tc>
        <w:tc>
          <w:tcPr>
            <w:tcW w:w="15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320" w:type="dxa"/>
            <w:vAlign w:val="bottom"/>
          </w:tcPr>
          <w:p>
            <w:pPr>
              <w:jc w:val="center"/>
              <w:ind w:right="45"/>
              <w:spacing w:after="0" w:line="143" w:lineRule="exact"/>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1"/>
                <w:szCs w:val="11"/>
                <w:color w:val="auto"/>
              </w:rPr>
            </w:pPr>
          </w:p>
        </w:tc>
        <w:tc>
          <w:tcPr>
            <w:tcW w:w="1320" w:type="dxa"/>
            <w:vAlign w:val="bottom"/>
          </w:tcPr>
          <w:p>
            <w:pPr>
              <w:jc w:val="center"/>
              <w:ind w:right="65"/>
              <w:spacing w:after="0" w:line="131"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5"/>
                <w:szCs w:val="15"/>
                <w:color w:val="auto"/>
              </w:rPr>
            </w:pPr>
          </w:p>
        </w:tc>
        <w:tc>
          <w:tcPr>
            <w:tcW w:w="132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outstanding at December 31, 2021</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4,782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27.52</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62,300</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4"/>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28.73</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 or 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ind w:right="4"/>
              <w:spacing w:after="0"/>
              <w:rPr>
                <w:sz w:val="20"/>
                <w:szCs w:val="20"/>
                <w:color w:val="auto"/>
              </w:rPr>
            </w:pPr>
            <w:r>
              <w:rPr>
                <w:rFonts w:ascii="Arial" w:cs="Arial" w:eastAsia="Arial" w:hAnsi="Arial"/>
                <w:sz w:val="16"/>
                <w:szCs w:val="16"/>
                <w:color w:val="auto"/>
              </w:rPr>
              <w:t>47.31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outstanding at March 31, 2022</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5,028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27.24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6"/>
                <w:szCs w:val="16"/>
                <w:color w:val="auto"/>
              </w:rPr>
              <w:t>Options vested and expected to vest</w:t>
            </w:r>
          </w:p>
        </w:tc>
        <w:tc>
          <w:tcPr>
            <w:tcW w:w="14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1,408</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36.96</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exercisable at March 31, 2022</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2,764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18.55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The total fair value of stock options exercised during the three months ended March 31, 2022 was approximately $1.0 million. As of March 31, 2022, there was approximately $42.4 million of total unrecognized compensation cost related to nonvested share-based compensation arrangements. That cost is expected to be recognized over a weighted average period of approximately 2.7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 activity and weighted average exercise prices follows:</w:t>
      </w:r>
    </w:p>
    <w:p>
      <w:pPr>
        <w:spacing w:after="0" w:line="137"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5100" w:type="dxa"/>
            <w:vAlign w:val="bottom"/>
          </w:tcPr>
          <w:p>
            <w:pPr>
              <w:spacing w:after="0"/>
              <w:rPr>
                <w:sz w:val="16"/>
                <w:szCs w:val="16"/>
                <w:color w:val="auto"/>
              </w:rPr>
            </w:pPr>
          </w:p>
        </w:tc>
        <w:tc>
          <w:tcPr>
            <w:tcW w:w="3840" w:type="dxa"/>
            <w:vAlign w:val="bottom"/>
            <w:gridSpan w:val="5"/>
          </w:tcPr>
          <w:p>
            <w:pPr>
              <w:ind w:left="1180"/>
              <w:spacing w:after="0"/>
              <w:rPr>
                <w:sz w:val="20"/>
                <w:szCs w:val="20"/>
                <w:color w:val="auto"/>
              </w:rPr>
            </w:pPr>
            <w:r>
              <w:rPr>
                <w:rFonts w:ascii="Arial" w:cs="Arial" w:eastAsia="Arial" w:hAnsi="Arial"/>
                <w:sz w:val="14"/>
                <w:szCs w:val="14"/>
                <w:b w:val="1"/>
                <w:bCs w:val="1"/>
                <w:color w:val="auto"/>
              </w:rPr>
              <w:t>Restricted Stock Unit Activity</w:t>
            </w: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00" w:type="dxa"/>
            <w:vAlign w:val="bottom"/>
          </w:tcPr>
          <w:p>
            <w:pPr>
              <w:spacing w:after="0"/>
              <w:rPr>
                <w:sz w:val="11"/>
                <w:szCs w:val="11"/>
                <w:color w:val="auto"/>
              </w:rPr>
            </w:pPr>
          </w:p>
        </w:tc>
        <w:tc>
          <w:tcPr>
            <w:tcW w:w="172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Number of Shares</w:t>
            </w:r>
          </w:p>
        </w:tc>
        <w:tc>
          <w:tcPr>
            <w:tcW w:w="5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ind w:right="203"/>
              <w:spacing w:after="0" w:line="130" w:lineRule="exact"/>
              <w:rPr>
                <w:sz w:val="20"/>
                <w:szCs w:val="20"/>
                <w:color w:val="auto"/>
              </w:rPr>
            </w:pPr>
            <w:r>
              <w:rPr>
                <w:rFonts w:ascii="Arial" w:cs="Arial" w:eastAsia="Arial" w:hAnsi="Arial"/>
                <w:sz w:val="14"/>
                <w:szCs w:val="14"/>
                <w:b w:val="1"/>
                <w:bCs w:val="1"/>
                <w:color w:val="auto"/>
                <w:w w:val="93"/>
              </w:rPr>
              <w:t>Weighted Average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Aggregate Fair Value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2120" w:type="dxa"/>
            <w:vAlign w:val="bottom"/>
            <w:gridSpan w:val="3"/>
          </w:tcPr>
          <w:p>
            <w:pPr>
              <w:jc w:val="center"/>
              <w:ind w:right="140"/>
              <w:spacing w:after="0" w:line="131" w:lineRule="exact"/>
              <w:rPr>
                <w:sz w:val="20"/>
                <w:szCs w:val="20"/>
                <w:color w:val="auto"/>
              </w:rPr>
            </w:pPr>
            <w:r>
              <w:rPr>
                <w:rFonts w:ascii="Arial" w:cs="Arial" w:eastAsia="Arial" w:hAnsi="Arial"/>
                <w:sz w:val="14"/>
                <w:szCs w:val="14"/>
                <w:b w:val="1"/>
                <w:bCs w:val="1"/>
                <w:color w:val="auto"/>
                <w:w w:val="94"/>
              </w:rPr>
              <w:t>Grant Date Fair Value</w:t>
            </w:r>
          </w:p>
        </w:tc>
        <w:tc>
          <w:tcPr>
            <w:tcW w:w="60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5"/>
                <w:szCs w:val="15"/>
                <w:color w:val="auto"/>
              </w:rPr>
            </w:pPr>
          </w:p>
        </w:tc>
        <w:tc>
          <w:tcPr>
            <w:tcW w:w="15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(Per share)</w:t>
            </w:r>
          </w:p>
        </w:tc>
        <w:tc>
          <w:tcPr>
            <w:tcW w:w="600" w:type="dxa"/>
            <w:vAlign w:val="bottom"/>
          </w:tcPr>
          <w:p>
            <w:pPr>
              <w:spacing w:after="0"/>
              <w:rPr>
                <w:sz w:val="15"/>
                <w:szCs w:val="15"/>
                <w:color w:val="auto"/>
              </w:rPr>
            </w:pPr>
          </w:p>
        </w:tc>
        <w:tc>
          <w:tcPr>
            <w:tcW w:w="1380" w:type="dxa"/>
            <w:vAlign w:val="bottom"/>
          </w:tcPr>
          <w:p>
            <w:pPr>
              <w:jc w:val="right"/>
              <w:ind w:right="325"/>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4"/>
        </w:trPr>
        <w:tc>
          <w:tcPr>
            <w:tcW w:w="51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Balance outstanding at December 31, 2021</w:t>
            </w:r>
          </w:p>
        </w:tc>
        <w:tc>
          <w:tcPr>
            <w:tcW w:w="16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3,732</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7"/>
        </w:trPr>
        <w:tc>
          <w:tcPr>
            <w:tcW w:w="5100" w:type="dxa"/>
            <w:vAlign w:val="bottom"/>
          </w:tcPr>
          <w:p>
            <w:pPr>
              <w:ind w:left="560"/>
              <w:spacing w:after="0"/>
              <w:rPr>
                <w:sz w:val="20"/>
                <w:szCs w:val="20"/>
                <w:color w:val="auto"/>
              </w:rPr>
            </w:pPr>
            <w:r>
              <w:rPr>
                <w:rFonts w:ascii="Arial" w:cs="Arial" w:eastAsia="Arial" w:hAnsi="Arial"/>
                <w:sz w:val="16"/>
                <w:szCs w:val="16"/>
                <w:color w:val="auto"/>
              </w:rPr>
              <w:t>Awarded</w:t>
            </w:r>
          </w:p>
        </w:tc>
        <w:tc>
          <w:tcPr>
            <w:tcW w:w="1620" w:type="dxa"/>
            <w:vAlign w:val="bottom"/>
          </w:tcPr>
          <w:p>
            <w:pPr>
              <w:jc w:val="right"/>
              <w:ind w:right="4"/>
              <w:spacing w:after="0"/>
              <w:rPr>
                <w:sz w:val="20"/>
                <w:szCs w:val="20"/>
                <w:color w:val="auto"/>
              </w:rPr>
            </w:pPr>
            <w:r>
              <w:rPr>
                <w:rFonts w:ascii="Arial" w:cs="Arial" w:eastAsia="Arial" w:hAnsi="Arial"/>
                <w:sz w:val="16"/>
                <w:szCs w:val="16"/>
                <w:color w:val="auto"/>
              </w:rPr>
              <w:t>2,049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41.16</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Non-vested and outstanding at March 31, 2022</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tcPr>
          <w:p>
            <w:pPr>
              <w:ind w:left="440"/>
              <w:spacing w:after="0" w:line="183" w:lineRule="exact"/>
              <w:rPr>
                <w:sz w:val="20"/>
                <w:szCs w:val="20"/>
                <w:color w:val="auto"/>
              </w:rPr>
            </w:pPr>
            <w:r>
              <w:rPr>
                <w:rFonts w:ascii="Arial" w:cs="Arial" w:eastAsia="Arial" w:hAnsi="Arial"/>
                <w:sz w:val="16"/>
                <w:szCs w:val="16"/>
                <w:color w:val="auto"/>
              </w:rPr>
              <w:t>Expected to vest</w:t>
            </w:r>
          </w:p>
        </w:tc>
        <w:tc>
          <w:tcPr>
            <w:tcW w:w="162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2,551</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40.02</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RSU granted to employees generally vest over a three to four-year period or upon achievement of certain performance conditions. As of March 31, 2022, total unrecognized compensation cost, adjusted for estimated forfeitures, related to nonvested RSU was approximately $149.0 million and the weighted-average remaining vesting period was 3.1 years.</w:t>
      </w:r>
    </w:p>
    <w:p>
      <w:pPr>
        <w:spacing w:after="0" w:line="214" w:lineRule="exact"/>
        <w:rPr>
          <w:sz w:val="20"/>
          <w:szCs w:val="20"/>
          <w:color w:val="auto"/>
        </w:rPr>
      </w:pPr>
    </w:p>
    <w:p>
      <w:pPr>
        <w:jc w:val="both"/>
        <w:ind w:right="100" w:firstLine="420"/>
        <w:spacing w:after="0" w:line="298" w:lineRule="auto"/>
        <w:rPr>
          <w:sz w:val="20"/>
          <w:szCs w:val="20"/>
          <w:color w:val="auto"/>
        </w:rPr>
      </w:pPr>
      <w:r>
        <w:rPr>
          <w:rFonts w:ascii="Arial" w:cs="Arial" w:eastAsia="Arial" w:hAnsi="Arial"/>
          <w:sz w:val="16"/>
          <w:szCs w:val="16"/>
          <w:color w:val="auto"/>
        </w:rPr>
        <w:t>For the three months ended March 31, 2022 and 2021, the Company accrued approximately $7.1 million and $5.3 million in cash awards, respectively, to be settled in shares of the Company’s stock and recorded a corresponding expense, which is included as a component of stock-based compensation expense in the accompanying condensed consolidated statements of operations for the three months ended March 31, 2022 and 2021, respectively.</w:t>
      </w:r>
    </w:p>
    <w:p>
      <w:pPr>
        <w:spacing w:after="0" w:line="181" w:lineRule="exact"/>
        <w:rPr>
          <w:sz w:val="20"/>
          <w:szCs w:val="20"/>
          <w:color w:val="auto"/>
        </w:rPr>
      </w:pPr>
    </w:p>
    <w:p>
      <w:pPr>
        <w:jc w:val="both"/>
        <w:ind w:right="100" w:firstLine="420"/>
        <w:spacing w:after="0" w:line="260" w:lineRule="auto"/>
        <w:rPr>
          <w:sz w:val="20"/>
          <w:szCs w:val="20"/>
          <w:color w:val="auto"/>
        </w:rPr>
      </w:pPr>
      <w:r>
        <w:rPr>
          <w:rFonts w:ascii="Arial" w:cs="Arial" w:eastAsia="Arial" w:hAnsi="Arial"/>
          <w:sz w:val="18"/>
          <w:szCs w:val="18"/>
          <w:color w:val="auto"/>
        </w:rPr>
        <w:t>Stock-based compensation expense recognized in the Company’s condensed consolidated statements of operations and cash flows was $31.9 million and $14.6 million for the three months ended March 31, 2022 and 2021, respectively.</w:t>
      </w:r>
    </w:p>
    <w:p>
      <w:pPr>
        <w:sectPr>
          <w:pgSz w:w="11900" w:h="16838" w:orient="portrait"/>
          <w:cols w:equalWidth="0" w:num="1">
            <w:col w:w="11340"/>
          </w:cols>
          <w:pgMar w:left="320" w:top="1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type w:val="continuous"/>
        </w:sectPr>
      </w:pPr>
    </w:p>
    <w:bookmarkStart w:id="29" w:name="page30"/>
    <w:bookmarkEnd w:id="29"/>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per share weighted average fair value of stock options granted was $13.81 and $31.60 during the three months ended March 31, 2022 and 2021, respectively. The fair value of each option grant is estimated on the date of grant, adjusted for estimated forfeitures, using the Black-Scholes option-pricing model with the following weighted average assumptions: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189"/>
        </w:trPr>
        <w:tc>
          <w:tcPr>
            <w:tcW w:w="8280" w:type="dxa"/>
            <w:vAlign w:val="bottom"/>
          </w:tcPr>
          <w:p>
            <w:pPr>
              <w:spacing w:after="0"/>
              <w:rPr>
                <w:sz w:val="16"/>
                <w:szCs w:val="16"/>
                <w:color w:val="auto"/>
              </w:rPr>
            </w:pPr>
          </w:p>
        </w:tc>
        <w:tc>
          <w:tcPr>
            <w:tcW w:w="190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4"/>
                <w:szCs w:val="14"/>
                <w:b w:val="1"/>
                <w:bCs w:val="1"/>
                <w:color w:val="auto"/>
                <w:w w:val="92"/>
              </w:rPr>
              <w:t>March 31,</w:t>
            </w:r>
          </w:p>
        </w:tc>
        <w:tc>
          <w:tcPr>
            <w:tcW w:w="1060" w:type="dxa"/>
            <w:vAlign w:val="bottom"/>
            <w:tcBorders>
              <w:bottom w:val="single" w:sz="8" w:color="auto"/>
            </w:tcBorders>
          </w:tcPr>
          <w:p>
            <w:pPr>
              <w:spacing w:after="0"/>
              <w:rPr>
                <w:sz w:val="16"/>
                <w:szCs w:val="16"/>
                <w:color w:val="auto"/>
              </w:rPr>
            </w:pPr>
          </w:p>
        </w:tc>
      </w:tr>
      <w:tr>
        <w:trPr>
          <w:trHeight w:val="182"/>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10"/>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0.00%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right="310"/>
              <w:spacing w:after="0"/>
              <w:rPr>
                <w:sz w:val="20"/>
                <w:szCs w:val="20"/>
                <w:color w:val="auto"/>
              </w:rPr>
            </w:pPr>
            <w:r>
              <w:rPr>
                <w:rFonts w:ascii="Arial" w:cs="Arial" w:eastAsia="Arial" w:hAnsi="Arial"/>
                <w:sz w:val="14"/>
                <w:szCs w:val="14"/>
                <w:color w:val="auto"/>
                <w:w w:val="90"/>
              </w:rPr>
              <w:t>0.00%</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20" w:type="dxa"/>
            <w:vAlign w:val="bottom"/>
          </w:tcPr>
          <w:p>
            <w:pPr>
              <w:jc w:val="center"/>
              <w:spacing w:after="0"/>
              <w:rPr>
                <w:sz w:val="20"/>
                <w:szCs w:val="20"/>
                <w:color w:val="auto"/>
              </w:rPr>
            </w:pPr>
            <w:r>
              <w:rPr>
                <w:rFonts w:ascii="Arial" w:cs="Arial" w:eastAsia="Arial" w:hAnsi="Arial"/>
                <w:sz w:val="14"/>
                <w:szCs w:val="14"/>
                <w:color w:val="auto"/>
                <w:w w:val="93"/>
              </w:rPr>
              <w:t>1.62% -2.10%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center"/>
              <w:ind w:right="310"/>
              <w:spacing w:after="0"/>
              <w:rPr>
                <w:sz w:val="20"/>
                <w:szCs w:val="20"/>
                <w:color w:val="auto"/>
              </w:rPr>
            </w:pPr>
            <w:r>
              <w:rPr>
                <w:rFonts w:ascii="Arial" w:cs="Arial" w:eastAsia="Arial" w:hAnsi="Arial"/>
                <w:sz w:val="14"/>
                <w:szCs w:val="14"/>
                <w:color w:val="auto"/>
                <w:w w:val="90"/>
              </w:rPr>
              <w:t>0.46%</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290"/>
              <w:spacing w:after="0"/>
              <w:rPr>
                <w:sz w:val="20"/>
                <w:szCs w:val="20"/>
                <w:color w:val="auto"/>
              </w:rPr>
            </w:pPr>
            <w:r>
              <w:rPr>
                <w:rFonts w:ascii="Arial" w:cs="Arial" w:eastAsia="Arial" w:hAnsi="Arial"/>
                <w:sz w:val="14"/>
                <w:szCs w:val="14"/>
                <w:color w:val="auto"/>
                <w:w w:val="76"/>
              </w:rPr>
              <w:t>5</w:t>
            </w:r>
          </w:p>
        </w:tc>
      </w:tr>
      <w:tr>
        <w:trPr>
          <w:trHeight w:val="204"/>
        </w:trPr>
        <w:tc>
          <w:tcPr>
            <w:tcW w:w="8280" w:type="dxa"/>
            <w:vAlign w:val="bottom"/>
          </w:tcPr>
          <w:p>
            <w:pPr>
              <w:ind w:left="20"/>
              <w:spacing w:after="0"/>
              <w:rPr>
                <w:sz w:val="20"/>
                <w:szCs w:val="20"/>
                <w:color w:val="auto"/>
              </w:rPr>
            </w:pPr>
            <w:r>
              <w:rPr>
                <w:rFonts w:ascii="Arial" w:cs="Arial" w:eastAsia="Arial" w:hAnsi="Arial"/>
                <w:sz w:val="16"/>
                <w:szCs w:val="16"/>
                <w:color w:val="auto"/>
              </w:rPr>
              <w:t>Historical volatility</w:t>
            </w:r>
          </w:p>
        </w:tc>
        <w:tc>
          <w:tcPr>
            <w:tcW w:w="1420" w:type="dxa"/>
            <w:vAlign w:val="bottom"/>
          </w:tcPr>
          <w:p>
            <w:pPr>
              <w:jc w:val="center"/>
              <w:spacing w:after="0"/>
              <w:rPr>
                <w:sz w:val="20"/>
                <w:szCs w:val="20"/>
                <w:color w:val="auto"/>
              </w:rPr>
            </w:pPr>
            <w:r>
              <w:rPr>
                <w:rFonts w:ascii="Arial" w:cs="Arial" w:eastAsia="Arial" w:hAnsi="Arial"/>
                <w:sz w:val="14"/>
                <w:szCs w:val="14"/>
                <w:color w:val="auto"/>
                <w:w w:val="91"/>
              </w:rPr>
              <w:t>53.87% - 57.14%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center"/>
              <w:ind w:right="290"/>
              <w:spacing w:after="0"/>
              <w:rPr>
                <w:sz w:val="20"/>
                <w:szCs w:val="20"/>
                <w:color w:val="auto"/>
              </w:rPr>
            </w:pPr>
            <w:r>
              <w:rPr>
                <w:rFonts w:ascii="Arial" w:cs="Arial" w:eastAsia="Arial" w:hAnsi="Arial"/>
                <w:sz w:val="14"/>
                <w:szCs w:val="14"/>
                <w:color w:val="auto"/>
                <w:w w:val="88"/>
              </w:rPr>
              <w:t>53.94%</w:t>
            </w:r>
          </w:p>
        </w:tc>
      </w:tr>
    </w:tbl>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131" w:lineRule="exact"/>
        <w:rPr>
          <w:sz w:val="20"/>
          <w:szCs w:val="20"/>
          <w:color w:val="auto"/>
        </w:rPr>
      </w:pPr>
    </w:p>
    <w:p>
      <w:pPr>
        <w:ind w:left="1100" w:hanging="307"/>
        <w:spacing w:after="0"/>
        <w:tabs>
          <w:tab w:leader="none" w:pos="110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uses 0% as it has never issued dividends and does not anticipate issuing dividends in the near term.</w:t>
      </w:r>
    </w:p>
    <w:p>
      <w:pPr>
        <w:spacing w:after="0" w:line="131" w:lineRule="exact"/>
        <w:rPr>
          <w:rFonts w:ascii="Arial" w:cs="Arial" w:eastAsia="Arial" w:hAnsi="Arial"/>
          <w:sz w:val="16"/>
          <w:szCs w:val="16"/>
          <w:i w:val="1"/>
          <w:iCs w:val="1"/>
          <w:color w:val="auto"/>
        </w:rPr>
      </w:pPr>
    </w:p>
    <w:p>
      <w:pPr>
        <w:ind w:left="1100" w:hanging="307"/>
        <w:spacing w:after="0" w:line="260" w:lineRule="auto"/>
        <w:tabs>
          <w:tab w:leader="none" w:pos="1096"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life of stock options in years.</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w:t>
      </w:r>
    </w:p>
    <w:p>
      <w:pPr>
        <w:spacing w:after="0" w:line="24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leased by the Company and the removal of the associated right of use assets. Furthermore, this resulted in various one-time expenses in connection with the abandonment of the majority of the Company’s leased facilities. The lease restructuring costs noted below are a result of this transition to an employee-centric workforce model that does not rely on traditional offices.</w:t>
      </w:r>
    </w:p>
    <w:p>
      <w:pPr>
        <w:spacing w:after="0" w:line="19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On top of the lease restructuring costs, the Company went through a further restructuring related to costs associated with re-prioritizing and reallocating resources to focus on areas believed by management to show high growth potential.</w:t>
      </w:r>
    </w:p>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There were no expenses associated with these restructuring events during the three months ended March 31, 2022. The expenses associated with these restructuring events were approximately $2.7 million during the three months ended March 31, 2021. The restructuring liability was approximately $1.6 million and $1.7 million as of March 31, 2022 and December 31, 2021, respectively. It is classified as accrued expenses and other current liabilities on the condensed consolidated balance sheets, as the liability is expected to be settled in the next 12 months.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the liability for the Company’s restructuring charges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r>
      <w:tr>
        <w:trPr>
          <w:trHeight w:val="177"/>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year</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Lease restructuring costs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Severance and other compensation associated costs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w:t>
            </w:r>
          </w:p>
        </w:tc>
      </w:tr>
      <w:tr>
        <w:trPr>
          <w:trHeight w:val="207"/>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payments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(6,435)</w:t>
            </w: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0" w:name="page31"/>
    <w:bookmarkEnd w:id="3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detail of expenses for the Company’s restructuring charges for the three months ended March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460" w:type="dxa"/>
            <w:vAlign w:val="bottom"/>
            <w:gridSpan w:val="4"/>
          </w:tcPr>
          <w:p>
            <w:pPr>
              <w:jc w:val="center"/>
              <w:ind w:left="424"/>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5"/>
                <w:szCs w:val="15"/>
                <w:color w:val="auto"/>
              </w:rPr>
            </w:pPr>
          </w:p>
        </w:tc>
      </w:tr>
      <w:tr>
        <w:trPr>
          <w:trHeight w:val="189"/>
        </w:trPr>
        <w:tc>
          <w:tcPr>
            <w:tcW w:w="82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67"/>
              <w:spacing w:after="0"/>
              <w:rPr>
                <w:sz w:val="20"/>
                <w:szCs w:val="20"/>
                <w:color w:val="auto"/>
              </w:rPr>
            </w:pPr>
            <w:r>
              <w:rPr>
                <w:rFonts w:ascii="Arial" w:cs="Arial" w:eastAsia="Arial" w:hAnsi="Arial"/>
                <w:sz w:val="14"/>
                <w:szCs w:val="14"/>
                <w:b w:val="1"/>
                <w:bCs w:val="1"/>
                <w:color w:val="auto"/>
                <w:w w:val="92"/>
              </w:rPr>
              <w:t>March 31,</w:t>
            </w:r>
          </w:p>
        </w:tc>
        <w:tc>
          <w:tcPr>
            <w:tcW w:w="500" w:type="dxa"/>
            <w:vAlign w:val="bottom"/>
            <w:tcBorders>
              <w:bottom w:val="single" w:sz="8" w:color="auto"/>
            </w:tcBorders>
          </w:tcPr>
          <w:p>
            <w:pPr>
              <w:spacing w:after="0"/>
              <w:rPr>
                <w:sz w:val="16"/>
                <w:szCs w:val="16"/>
                <w:color w:val="auto"/>
              </w:rPr>
            </w:pPr>
          </w:p>
        </w:tc>
      </w:tr>
      <w:tr>
        <w:trPr>
          <w:trHeight w:val="182"/>
        </w:trPr>
        <w:tc>
          <w:tcPr>
            <w:tcW w:w="8280" w:type="dxa"/>
            <w:vAlign w:val="bottom"/>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77"/>
        </w:trPr>
        <w:tc>
          <w:tcPr>
            <w:tcW w:w="8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gridSpan w:val="3"/>
          </w:tcPr>
          <w:p>
            <w:pPr>
              <w:jc w:val="center"/>
              <w:ind w:right="367"/>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restructuring costs: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Right of use assets write down</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center"/>
              <w:ind w:left="3"/>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Abandonment of property and equipment</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lease restructuring costs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center"/>
              <w:ind w:left="103"/>
              <w:spacing w:after="0"/>
              <w:rPr>
                <w:sz w:val="20"/>
                <w:szCs w:val="20"/>
                <w:color w:val="auto"/>
              </w:rPr>
            </w:pPr>
            <w:r>
              <w:rPr>
                <w:rFonts w:ascii="Arial" w:cs="Arial" w:eastAsia="Arial" w:hAnsi="Arial"/>
                <w:sz w:val="16"/>
                <w:szCs w:val="16"/>
                <w:color w:val="auto"/>
                <w:w w:val="91"/>
              </w:rPr>
              <w:t>(23)</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0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restructuring costs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center"/>
              <w:ind w:left="103"/>
              <w:spacing w:after="0"/>
              <w:rPr>
                <w:sz w:val="20"/>
                <w:szCs w:val="20"/>
                <w:color w:val="auto"/>
              </w:rPr>
            </w:pPr>
            <w:r>
              <w:rPr>
                <w:rFonts w:ascii="Arial" w:cs="Arial" w:eastAsia="Arial" w:hAnsi="Arial"/>
                <w:sz w:val="16"/>
                <w:szCs w:val="16"/>
                <w:color w:val="auto"/>
                <w:w w:val="91"/>
              </w:rPr>
              <w:t>(23)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63"/>
        </w:trPr>
        <w:tc>
          <w:tcPr>
            <w:tcW w:w="8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07"/>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compensation associated costs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r>
      <w:tr>
        <w:trPr>
          <w:trHeight w:val="206"/>
        </w:trPr>
        <w:tc>
          <w:tcPr>
            <w:tcW w:w="8280" w:type="dxa"/>
            <w:vAlign w:val="bottom"/>
          </w:tcPr>
          <w:p>
            <w:pPr>
              <w:ind w:left="220"/>
              <w:spacing w:after="0"/>
              <w:rPr>
                <w:sz w:val="20"/>
                <w:szCs w:val="20"/>
                <w:color w:val="auto"/>
              </w:rPr>
            </w:pPr>
            <w:r>
              <w:rPr>
                <w:rFonts w:ascii="Arial" w:cs="Arial" w:eastAsia="Arial" w:hAnsi="Arial"/>
                <w:sz w:val="16"/>
                <w:szCs w:val="16"/>
                <w:color w:val="auto"/>
              </w:rPr>
              <w:t>Total restructuring costs</w:t>
            </w: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center"/>
              <w:ind w:left="103"/>
              <w:spacing w:after="0"/>
              <w:rPr>
                <w:sz w:val="20"/>
                <w:szCs w:val="20"/>
                <w:color w:val="auto"/>
              </w:rPr>
            </w:pPr>
            <w:r>
              <w:rPr>
                <w:rFonts w:ascii="Arial" w:cs="Arial" w:eastAsia="Arial" w:hAnsi="Arial"/>
                <w:sz w:val="16"/>
                <w:szCs w:val="16"/>
                <w:color w:val="auto"/>
                <w:w w:val="91"/>
              </w:rPr>
              <w:t>(23)</w:t>
            </w: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2,732</w:t>
            </w:r>
          </w:p>
        </w:tc>
      </w:tr>
      <w:tr>
        <w:trPr>
          <w:trHeight w:val="20"/>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spacing w:after="0" w:line="200"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“Contingencies.”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45"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1" w:name="page32"/>
    <w:bookmarkEnd w:id="31"/>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the Company believes that the deferred tax assets related to LivePerson Australia Holdings Pty. Ltd., LivePerson (UK) Limited, Kasamba Inc., LivePerson Japan and LivePerson Limited (Israel) are more likely than not to be realized as these jurisdictions have positive cumulative pre-tax book income after adjusting for permanent and one-time items. During the year ended December 31, 2021, there was an increase in the valuation recorded of $51.7 million. For the three months ended March 31, 2022, the Company recorded a tax benefit of $0.2 million. This amount consists of a tax provision for the period of $1.2 million on operating earnings coupled with a stock compensation tax deficiency of $0.2 million related to stock compensation arrangement of LivePerson, Inc., LivePerson (UK) Limited. and LivePerson Limited. (Israel). During the quarter ended March 31, 2022, the Company acquired WildHealth in a non-taxable transaction that resulted in a tax benefit of $1.6 million related to the release of valuation allowance on certain LivePerson, Inc. (acquirer) net operating losses.</w:t>
      </w:r>
    </w:p>
    <w:p>
      <w:pPr>
        <w:spacing w:after="0" w:line="202"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Company had a valuation allowance on certain deferred tax assets for the year ended December 31, 2021 of $107.1 million. Inherent in the Company’s 2022 annual effective tax rate is an estimated increase in the valuation allowance of $28.7 million, all of which will be recorded as an expense. During 2021, an increase in the valuation allowance in the amount of $34.3 million was recorded as an expense and an additional increase to the valuation allowance of $17.4 million was recorded to goodwill against acquired federal and state net operating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 Method Investments</w:t>
      </w:r>
    </w:p>
    <w:p>
      <w:pPr>
        <w:spacing w:after="0" w:line="245" w:lineRule="exact"/>
        <w:rPr>
          <w:sz w:val="20"/>
          <w:szCs w:val="20"/>
          <w:color w:val="auto"/>
        </w:rPr>
      </w:pPr>
    </w:p>
    <w:p>
      <w:pPr>
        <w:jc w:val="both"/>
        <w:ind w:firstLine="420"/>
        <w:spacing w:after="0" w:line="276" w:lineRule="auto"/>
        <w:rPr>
          <w:sz w:val="20"/>
          <w:szCs w:val="20"/>
          <w:color w:val="auto"/>
        </w:rPr>
      </w:pPr>
      <w:r>
        <w:rPr>
          <w:rFonts w:ascii="Arial" w:cs="Arial" w:eastAsia="Arial" w:hAnsi="Arial"/>
          <w:sz w:val="16"/>
          <w:szCs w:val="16"/>
          <w:color w:val="auto"/>
        </w:rPr>
        <w:t>On February 13, 2022, the Company and Pasaca Capital Inc. (“Pasaca”) entered into a joint venture agreement (the “JV Agreement”) to form Claire Holdings, Inc., a joint venture formed to build, create, and administer a marketplace for health and well-being diagnostic testing. Claire is intended to operate an app store-like platform to make medical testing and accessing results easier and more informative. Claire will be a single place to shop for testing services from numerous testing providers, including Claire-branded tests and at-home tests. Pursuant to the terms of the JV Agreement, the Company will contribute a total of $19.0 million over a five-year period in exchange for a 19.2% ownership interest in Claire. Pasaca will contribute $80.0 million to Claire over a five-year period in exchange for a 80.8% ownership interest in Claire. As of March 31, 2022, $16.2 million remained to be contributed to Claire by the Company under the terms of the JV Agreement. The Company accounts for its 19.2% interest in Claire using the equity method of accounting.</w:t>
      </w:r>
    </w:p>
    <w:p>
      <w:pPr>
        <w:spacing w:after="0" w:line="1"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As of March 31, 2022, the Company’s equity method investment was $2.8 million and was included in investment in joint venture on the condensed 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Variable Interest Entity</w:t>
      </w:r>
    </w:p>
    <w:p>
      <w:pPr>
        <w:spacing w:after="0" w:line="245"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Company prepares its condensed consolidated financial statements in accordance with ASC 810, which provides for the consolidation of VIEs of which the Company is the primary beneficiary.</w:t>
      </w:r>
    </w:p>
    <w:p>
      <w:pPr>
        <w:spacing w:after="0" w:line="20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 February 2022, the Company acquired WildHealth as well as certain variable interests that WildHealth has in four Physician Corporations (“PCs”). The PCs are owned by a medical professional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revolver arrangement. WildHealth consolidates the PC's as variable interest entities. WildHealth also has separate agreements with the equity holder of the PCs where it may acquire and assign such equity interests for certain PCs.WildHealth determined that the PCs are VIEs due to lack of sufficient equity at risk and WildHealth is determined to be the primary beneficiary of the PCs as it has the power to direct the most significant activities of the PCs. Furthermore, as a direct result of zero initial equity contributions by the physician, the financial support WildHealth provides to the PCs (e.g. loans) and the powers granted to WildHealth through various agreements, the interests held by noncontrolling interest holders lack economic substance and do not provide the medical professional with the ability to participate in the residual profits or losses generated by the PCs. See Note 9 – Acquisitions for more detail on the acquisition for WildHealth. Therefore, the PC's are consolidated by WildHealth and all income and expenses recognized by the PCs are allocated to LivePerson stockholders.</w:t>
      </w:r>
    </w:p>
    <w:p>
      <w:pPr>
        <w:spacing w:after="0" w:line="200" w:lineRule="exact"/>
        <w:rPr>
          <w:sz w:val="20"/>
          <w:szCs w:val="20"/>
          <w:color w:val="auto"/>
        </w:rPr>
      </w:pPr>
    </w:p>
    <w:p>
      <w:pPr>
        <w:spacing w:after="0" w:line="34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2" w:name="page33"/>
    <w:bookmarkEnd w:id="32"/>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assets, liabilities, revenues, and operating results of the VIEs after elimination of intercompany transactions were not material as of and for the three months ended March 31, 2022.</w:t>
      </w:r>
    </w:p>
    <w:p>
      <w:pPr>
        <w:spacing w:after="0" w:line="202"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6"/>
          <w:szCs w:val="16"/>
          <w:i w:val="1"/>
          <w:iCs w:val="1"/>
          <w:color w:val="212529"/>
        </w:rPr>
        <w:t>In addition, our actual results could differ from our estimates and assumptions based upon impacts on our business and general</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12529"/>
        </w:rPr>
        <w:t>economic conditions due to the current COVID-19 pandemic.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LivePerson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we believe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203"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Conversational Cloud, our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93"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color w:val="auto"/>
        </w:rPr>
        <w:t>For your reference:</w:t>
      </w:r>
    </w:p>
    <w:p>
      <w:pPr>
        <w:spacing w:after="0" w:line="108" w:lineRule="exact"/>
        <w:rPr>
          <w:sz w:val="20"/>
          <w:szCs w:val="20"/>
          <w:color w:val="auto"/>
        </w:rPr>
      </w:pPr>
    </w:p>
    <w:p>
      <w:pPr>
        <w:ind w:left="1100" w:hanging="307"/>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Conversational AI: Conversational AI allows humans and machines to interact using natural language, including speech or text.</w:t>
      </w:r>
    </w:p>
    <w:p>
      <w:pPr>
        <w:spacing w:after="0" w:line="108" w:lineRule="exact"/>
        <w:rPr>
          <w:rFonts w:ascii="Arial" w:cs="Arial" w:eastAsia="Arial" w:hAnsi="Arial"/>
          <w:sz w:val="18"/>
          <w:szCs w:val="18"/>
          <w:color w:val="auto"/>
        </w:rPr>
      </w:pPr>
    </w:p>
    <w:p>
      <w:pPr>
        <w:jc w:val="both"/>
        <w:ind w:left="1100" w:hanging="307"/>
        <w:spacing w:after="0" w:line="298" w:lineRule="auto"/>
        <w:tabs>
          <w:tab w:leader="none" w:pos="10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49" w:lineRule="exact"/>
        <w:rPr>
          <w:rFonts w:ascii="Arial" w:cs="Arial" w:eastAsia="Arial" w:hAnsi="Arial"/>
          <w:sz w:val="16"/>
          <w:szCs w:val="16"/>
          <w:color w:val="auto"/>
        </w:rPr>
      </w:pPr>
    </w:p>
    <w:p>
      <w:pPr>
        <w:ind w:left="1100" w:hanging="307"/>
        <w:spacing w:after="0" w:line="260" w:lineRule="auto"/>
        <w:tabs>
          <w:tab w:leader="none" w:pos="10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208"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177"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for our customers. Certain of our customers have achieved the following advantages from our offerings:</w:t>
      </w:r>
    </w:p>
    <w:p>
      <w:pPr>
        <w:spacing w:after="0" w:line="59" w:lineRule="exact"/>
        <w:rPr>
          <w:sz w:val="20"/>
          <w:szCs w:val="20"/>
          <w:color w:val="auto"/>
        </w:rPr>
      </w:pPr>
    </w:p>
    <w:p>
      <w:pPr>
        <w:ind w:left="1100" w:hanging="307"/>
        <w:spacing w:after="0" w:line="323" w:lineRule="auto"/>
        <w:tabs>
          <w:tab w:leader="none" w:pos="10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29" w:lineRule="exact"/>
        <w:rPr>
          <w:rFonts w:ascii="Arial" w:cs="Arial" w:eastAsia="Arial" w:hAnsi="Arial"/>
          <w:sz w:val="16"/>
          <w:szCs w:val="16"/>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score increases of up to 20 percentage points, and enhancing retention and loyalty;</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valued connection with consumers via mobile devices, either through native applications, websites, text messages, or third-party messaging platforms;</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leveraged spending that drives visitor traffic by increasing visitor conversions;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refining and improving performance by understanding which initiatives deliver the highest rate of return; and</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lead generation by providing a single platform that engages consumers through advertisements and listings on branded and third-party websites.</w:t>
      </w:r>
    </w:p>
    <w:p>
      <w:pPr>
        <w:spacing w:after="0" w:line="182"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As a “cloud computing” or software-as-a 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information technology (“IT”) resources required to implement, maintain, and support traditional on-premise software.</w:t>
      </w:r>
    </w:p>
    <w:p>
      <w:pPr>
        <w:spacing w:after="0" w:line="18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To further enhance our platform, in September 2020 we signed a partnership with a digital services and consulting company to transform our technology infrastructure on the public cloud, to build integrated solutions and a global practice around our Conversational Cloud to sell into this company’s channels and global enterprise customer base, and to redefine how the world’s top brands communicate.</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4" w:name="page35"/>
    <w:bookmarkEnd w:id="34"/>
    <w:p>
      <w:pPr>
        <w:jc w:val="both"/>
        <w:ind w:firstLine="420"/>
        <w:spacing w:after="0" w:line="260" w:lineRule="auto"/>
        <w:rPr>
          <w:sz w:val="20"/>
          <w:szCs w:val="20"/>
          <w:color w:val="auto"/>
        </w:rPr>
      </w:pPr>
      <w:r>
        <w:rPr>
          <w:rFonts w:ascii="Arial" w:cs="Arial" w:eastAsia="Arial" w:hAnsi="Arial"/>
          <w:sz w:val="18"/>
          <w:szCs w:val="18"/>
          <w:color w:val="auto"/>
        </w:rPr>
        <w:t>More than 18,000 businesses, including HSBC, Orange, and GM Financial use our conversational solutions to orchestrate humans and AI, at scale, and create a convenient, deeply personal relationship with their customers.</w:t>
      </w:r>
    </w:p>
    <w:p>
      <w:pPr>
        <w:spacing w:after="0" w:line="208"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23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221"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(events in 2020 and 2021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 point of these summits, presenting why they chose LivePerson for conversational experiences, how they achieved success, and what type of return on investment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2021, nearly 75% of messaging conversations had automation attached. We will continue to focus on building awareness for the Conversational Space and driving adoption of messaging and AI across our customer base.</w:t>
      </w:r>
    </w:p>
    <w:p>
      <w:pPr>
        <w:spacing w:after="0" w:line="193"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5"/>
          <w:szCs w:val="15"/>
          <w:color w:val="auto"/>
        </w:rPr>
        <w:t>Our strategy is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drive higher messaging volumes by going both wide across messaging endpoints, deep across consumer use cases, and focusing on AI and automation as the means to deliver powerful scale. By year-end 2021, nearly 75% of messaging conversations had automation attached. We will continue to focus on building awareness for the Conversational Space and driving adoption of messaging and AI across our customer base.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177"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203"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spacing w:after="0" w:line="283" w:lineRule="auto"/>
        <w:rPr>
          <w:sz w:val="20"/>
          <w:szCs w:val="20"/>
          <w:color w:val="auto"/>
        </w:rPr>
      </w:pPr>
      <w:r>
        <w:rPr>
          <w:rFonts w:ascii="Arial" w:cs="Arial" w:eastAsia="Arial" w:hAnsi="Arial"/>
          <w:sz w:val="16"/>
          <w:szCs w:val="16"/>
          <w:color w:val="auto"/>
        </w:rPr>
        <w:t>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 In 2021, one of the ten largest healthcare companies in the world launched web messaging to enable their customers to check the status of their orders and request prescription refills with ease, and a multi-billion-dollar entertainment and media company enabled their consumers to plan trips, buy tickets or change reservations with in-app messaging.</w:t>
      </w:r>
    </w:p>
    <w:p>
      <w:pPr>
        <w:spacing w:after="0" w:line="195"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14"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2021. The benefit can also be seen in LivePerson’s average revenue per user (“ARPU”) for our enterprise and mid-market customers, which increased approximately 32% for the trailing twelve months ended March 31, 2022 to $645,000 from approximately $490,000 for the trailing twelve months ended March 31, 2021. We believe these ARPU trends are a clear indication of how LivePerson’s strategy to drive messaging adoption has successfully influenced our revenue growth by taking share from legacy communication channels.</w:t>
      </w:r>
    </w:p>
    <w:p>
      <w:pPr>
        <w:spacing w:after="0" w:line="198"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b w:val="1"/>
          <w:bCs w:val="1"/>
          <w:i w:val="1"/>
          <w:iCs w:val="1"/>
          <w:color w:val="auto"/>
        </w:rPr>
        <w:t xml:space="preserve">Attract the industry’s best AI, machine learning and conversational talent. </w:t>
      </w:r>
      <w:r>
        <w:rPr>
          <w:rFonts w:ascii="Arial" w:cs="Arial" w:eastAsia="Arial" w:hAnsi="Arial"/>
          <w:sz w:val="16"/>
          <w:szCs w:val="16"/>
          <w:color w:val="auto"/>
        </w:rPr>
        <w:t>We believe that AI and machine learning are critical to successfully scaling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Conversational Space, and that in order to develop the industry’s leading technology, we need to attract the industry’s best talent. We have hired some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Callinize, Inc. (dba Tenfold) (“Tenfold”) in Austin, Texas; e-bot7 GmbH (“e-bot7”) in Munich, Germany; VoiceBase, Inc. (“VoiceBase”) in San Francisco, California; and WildHealth, Inc. in Lexington, Kentucky.</w:t>
      </w:r>
    </w:p>
    <w:p>
      <w:pPr>
        <w:spacing w:after="0" w:line="195"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b w:val="1"/>
          <w:bCs w:val="1"/>
          <w:i w:val="1"/>
          <w:iCs w:val="1"/>
          <w:color w:val="auto"/>
        </w:rPr>
        <w:t xml:space="preserve">Bring to market best-in-class AI and machine learning technologies designed for the Conversational Space. </w:t>
      </w:r>
      <w:r>
        <w:rPr>
          <w:rFonts w:ascii="Arial" w:cs="Arial" w:eastAsia="Arial" w:hAnsi="Arial"/>
          <w:sz w:val="16"/>
          <w:szCs w:val="16"/>
          <w:color w:val="auto"/>
        </w:rPr>
        <w:t>We believe that in the last decade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patent-protected AI engine that is designed to overcome these shortcomings and help brands rapidly bring to market conversational AI that can scale to millions of interactions, while increasing customer satisfaction and conversion rates.</w:t>
      </w:r>
    </w:p>
    <w:p>
      <w:pPr>
        <w:spacing w:after="0" w:line="19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08" w:lineRule="exact"/>
        <w:rPr>
          <w:sz w:val="20"/>
          <w:szCs w:val="20"/>
          <w:color w:val="auto"/>
        </w:rPr>
      </w:pPr>
    </w:p>
    <w:p>
      <w:pPr>
        <w:ind w:left="1100" w:hanging="307"/>
        <w:spacing w:after="0" w:line="323" w:lineRule="auto"/>
        <w:tabs>
          <w:tab w:leader="none" w:pos="10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9" w:lineRule="exact"/>
        <w:rPr>
          <w:rFonts w:ascii="Arial" w:cs="Arial" w:eastAsia="Arial" w:hAnsi="Arial"/>
          <w:sz w:val="16"/>
          <w:szCs w:val="16"/>
          <w:color w:val="auto"/>
        </w:rPr>
      </w:pPr>
    </w:p>
    <w:p>
      <w:pPr>
        <w:ind w:left="1100" w:hanging="307"/>
        <w:spacing w:after="0" w:line="260" w:lineRule="auto"/>
        <w:tabs>
          <w:tab w:leader="none" w:pos="10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6" w:name="page37"/>
    <w:bookmarkEnd w:id="36"/>
    <w:p>
      <w:pPr>
        <w:jc w:val="both"/>
        <w:ind w:left="1100" w:hanging="307"/>
        <w:spacing w:after="0" w:line="252"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leveraging a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83"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AI natural language understanding (“NLU”) integration, so customers are not boxed into one vendor; and</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208"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research and development (“R&amp;D”) footprint and substantial library of mobile and online conversational data, with the aim of increasing agent efficiency, decreasing customer care costs, improving the customer experience and increasing customer lifetime value.</w:t>
      </w:r>
    </w:p>
    <w:p>
      <w:pPr>
        <w:spacing w:after="0" w:line="214"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brands’ investment. </w:t>
      </w:r>
      <w:r>
        <w:rPr>
          <w:rFonts w:ascii="Arial" w:cs="Arial" w:eastAsia="Arial" w:hAnsi="Arial"/>
          <w:sz w:val="16"/>
          <w:szCs w:val="16"/>
          <w:color w:val="auto"/>
        </w:rPr>
        <w:t>Over the past four years we have made good progress in developing our conversational AI platform and within the next 12 months,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expect to have a solution in place for our automations to self-heal, which is the ultimate goal of any AI platform. Our acquisitions of VoiceBase and Tenfold provide us with a mechanism for data capture in the voice channel. This additional data and the associated analytics and system integration give us an even greater ability to scale the usage of our platforms, by building on our strength in messaging.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traditional voice calls, websites, emails, and apps to higher returning messaging endpoints.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08" w:lineRule="exact"/>
        <w:rPr>
          <w:sz w:val="20"/>
          <w:szCs w:val="20"/>
          <w:color w:val="auto"/>
        </w:rPr>
      </w:pPr>
    </w:p>
    <w:p>
      <w:pPr>
        <w:jc w:val="both"/>
        <w:ind w:left="1100" w:hanging="307"/>
        <w:spacing w:after="0" w:line="24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87"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believes it has a data moat built on hundreds of millions of conversations across industries, geographies and use cases that is feeding the machine learning engines that power intent understanding.</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76" w:lineRule="exact"/>
        <w:rPr>
          <w:rFonts w:ascii="Arial" w:cs="Arial" w:eastAsia="Arial" w:hAnsi="Arial"/>
          <w:sz w:val="18"/>
          <w:szCs w:val="18"/>
          <w:color w:val="auto"/>
        </w:rPr>
      </w:pPr>
    </w:p>
    <w:p>
      <w:pPr>
        <w:jc w:val="both"/>
        <w:ind w:left="1100" w:hanging="307"/>
        <w:spacing w:after="0" w:line="24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90"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developed Gainshare - a Transformation Model that is introduced to existing and prospective customers to help guide them on their journeys from legacy and oftentimes inefficient legacy voice, email, and</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7" w:name="page38"/>
    <w:bookmarkEnd w:id="37"/>
    <w:p>
      <w:pPr>
        <w:jc w:val="both"/>
        <w:ind w:left="1100"/>
        <w:spacing w:after="0" w:line="283" w:lineRule="auto"/>
        <w:rPr>
          <w:sz w:val="20"/>
          <w:szCs w:val="20"/>
          <w:color w:val="auto"/>
        </w:rPr>
      </w:pPr>
      <w:r>
        <w:rPr>
          <w:rFonts w:ascii="Arial" w:cs="Arial" w:eastAsia="Arial" w:hAnsi="Arial"/>
          <w:sz w:val="16"/>
          <w:szCs w:val="16"/>
          <w:color w:val="auto"/>
        </w:rPr>
        <w:t>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195"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195"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b w:val="1"/>
          <w:bCs w:val="1"/>
          <w:i w:val="1"/>
          <w:iCs w:val="1"/>
          <w:color w:val="auto"/>
        </w:rPr>
        <w:t xml:space="preserve">Strengthen our position in both existing and new industries. </w:t>
      </w:r>
      <w:r>
        <w:rPr>
          <w:rFonts w:ascii="Arial" w:cs="Arial" w:eastAsia="Arial" w:hAnsi="Arial"/>
          <w:sz w:val="16"/>
          <w:szCs w:val="16"/>
          <w:color w:val="auto"/>
        </w:rPr>
        <w:t>We plan to continue to develop our market position by increasing our customer base,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within our installed base. We plan to continue to focus primarily on key target markets: consumer/retail, telecommunications, financial services, travel/hospitality, technology and automotive within both our enterprise and mid-market sectors, as well as the small business sector (“SMB”). In 2021, we continued to grow in verticals such as healthcare and financial services. We plan to continue experimenting with new conversational businesses, including some that are in regulated industries, like online banking and healthcare. We are increasingly structuring our field organization to emphasize our domain expertise and strengthen customer relationships across target industries.</w:t>
      </w:r>
    </w:p>
    <w:p>
      <w:pPr>
        <w:spacing w:after="0" w:line="19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continuing to build our international presence through expansion of our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contribution, which accounted for 35% of total revenue in 2021. We are generating positive results from our recent investments in the Asia Pacific, Europe, and Latin America regions. Expanding go-to-market capacity in international theaters is one of our key strategic focuses and also part of our motivation for our recent acquisition of e-bot7.</w:t>
      </w:r>
    </w:p>
    <w:p>
      <w:pPr>
        <w:spacing w:after="0" w:line="191"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b w:val="1"/>
          <w:bCs w:val="1"/>
          <w:i w:val="1"/>
          <w:iCs w:val="1"/>
          <w:color w:val="auto"/>
        </w:rPr>
        <w:t xml:space="preserve">Leverage our open architecture to support partners and developers. </w:t>
      </w:r>
      <w:r>
        <w:rPr>
          <w:rFonts w:ascii="Arial" w:cs="Arial" w:eastAsia="Arial" w:hAnsi="Arial"/>
          <w:sz w:val="16"/>
          <w:szCs w:val="16"/>
          <w:color w:val="auto"/>
        </w:rPr>
        <w:t>In addition to developing our own applications, we continue to cultivate a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193"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w:t>
      </w:r>
    </w:p>
    <w:p>
      <w:pPr>
        <w:spacing w:after="0" w:line="187" w:lineRule="exact"/>
        <w:rPr>
          <w:sz w:val="20"/>
          <w:szCs w:val="20"/>
          <w:color w:val="auto"/>
        </w:rPr>
      </w:pPr>
    </w:p>
    <w:p>
      <w:pPr>
        <w:jc w:val="both"/>
        <w:ind w:firstLine="420"/>
        <w:spacing w:after="0" w:line="302" w:lineRule="auto"/>
        <w:rPr>
          <w:sz w:val="20"/>
          <w:szCs w:val="20"/>
          <w:color w:val="auto"/>
        </w:rPr>
      </w:pPr>
      <w:r>
        <w:rPr>
          <w:rFonts w:ascii="Arial" w:cs="Arial" w:eastAsia="Arial" w:hAnsi="Arial"/>
          <w:sz w:val="15"/>
          <w:szCs w:val="15"/>
          <w:b w:val="1"/>
          <w:bCs w:val="1"/>
          <w:i w:val="1"/>
          <w:iCs w:val="1"/>
          <w:color w:val="auto"/>
        </w:rPr>
        <w:t xml:space="preserve">Expand sales partnerships to broaden our presence and accelerate sales cycles. </w:t>
      </w:r>
      <w:r>
        <w:rPr>
          <w:rFonts w:ascii="Arial" w:cs="Arial" w:eastAsia="Arial" w:hAnsi="Arial"/>
          <w:sz w:val="15"/>
          <w:szCs w:val="15"/>
          <w:color w:val="auto"/>
        </w:rPr>
        <w:t>We are focused on broadening our market reach and accelerating sales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a digital services and consulting company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w:t>
      </w: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18"/>
          <w:szCs w:val="18"/>
          <w:color w:val="auto"/>
        </w:rPr>
        <w:t>management of customer and employee experience through the power of AI. Our network also expanded with the Tech Mahindra partnership to help brands deliver personalized conversational experiences to consumers at scale.</w:t>
      </w:r>
    </w:p>
    <w:p>
      <w:pPr>
        <w:spacing w:after="0" w:line="208"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190"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b w:val="1"/>
          <w:bCs w:val="1"/>
          <w:i w:val="1"/>
          <w:iCs w:val="1"/>
          <w:color w:val="auto"/>
        </w:rPr>
        <w:t xml:space="preserve">Evaluate strategic alliances and acquisitions when appropriate. </w:t>
      </w:r>
      <w:r>
        <w:rPr>
          <w:rFonts w:ascii="Arial" w:cs="Arial" w:eastAsia="Arial" w:hAnsi="Arial"/>
          <w:sz w:val="16"/>
          <w:szCs w:val="16"/>
          <w:color w:val="auto"/>
        </w:rPr>
        <w:t>In July 2021, we acquired German conversational AI company e-bot7, which propels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a precision medicine company. Once fully integrated, we expect these acquisitions to allow LivePerson to deliver our AI and automation capabilities, insights, and integration as a single integrated product offering across all channels including voice and messaging.</w:t>
      </w:r>
    </w:p>
    <w:p>
      <w:pPr>
        <w:spacing w:after="0" w:line="200" w:lineRule="exact"/>
        <w:rPr>
          <w:sz w:val="20"/>
          <w:szCs w:val="20"/>
          <w:color w:val="auto"/>
        </w:rPr>
      </w:pPr>
    </w:p>
    <w:p>
      <w:pPr>
        <w:spacing w:after="0" w:line="2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Key Metrics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overview of the three months ended March 31, 2022 compared to the three months ended March 31, 2021:</w:t>
      </w:r>
    </w:p>
    <w:p>
      <w:pPr>
        <w:spacing w:after="0" w:line="108" w:lineRule="exact"/>
        <w:rPr>
          <w:sz w:val="20"/>
          <w:szCs w:val="20"/>
          <w:color w:val="auto"/>
        </w:rPr>
      </w:pPr>
    </w:p>
    <w:p>
      <w:pPr>
        <w:ind w:left="1260" w:hanging="41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increased 21% to $130.2 million from $107.9 million.</w:t>
      </w:r>
    </w:p>
    <w:p>
      <w:pPr>
        <w:spacing w:after="0" w:line="108" w:lineRule="exact"/>
        <w:rPr>
          <w:rFonts w:ascii="Arial" w:cs="Arial" w:eastAsia="Arial" w:hAnsi="Arial"/>
          <w:sz w:val="18"/>
          <w:szCs w:val="18"/>
          <w:color w:val="auto"/>
        </w:rPr>
      </w:pPr>
    </w:p>
    <w:p>
      <w:pPr>
        <w:ind w:left="1260" w:hanging="41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increased 22% to $121.1 million from $98.9 million.</w:t>
      </w:r>
    </w:p>
    <w:p>
      <w:pPr>
        <w:spacing w:after="0" w:line="108" w:lineRule="exact"/>
        <w:rPr>
          <w:rFonts w:ascii="Arial" w:cs="Arial" w:eastAsia="Arial" w:hAnsi="Arial"/>
          <w:sz w:val="18"/>
          <w:szCs w:val="18"/>
          <w:color w:val="auto"/>
        </w:rPr>
      </w:pPr>
    </w:p>
    <w:p>
      <w:pPr>
        <w:ind w:left="1260" w:hanging="41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decreased to 62% from 69%.</w:t>
      </w:r>
    </w:p>
    <w:p>
      <w:pPr>
        <w:spacing w:after="0" w:line="108" w:lineRule="exact"/>
        <w:rPr>
          <w:rFonts w:ascii="Arial" w:cs="Arial" w:eastAsia="Arial" w:hAnsi="Arial"/>
          <w:sz w:val="18"/>
          <w:szCs w:val="18"/>
          <w:color w:val="auto"/>
        </w:rPr>
      </w:pPr>
    </w:p>
    <w:p>
      <w:pPr>
        <w:ind w:left="1260" w:hanging="41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increased 61% to $195.3 million from $121.5 million.</w:t>
      </w:r>
    </w:p>
    <w:p>
      <w:pPr>
        <w:spacing w:after="0" w:line="108" w:lineRule="exact"/>
        <w:rPr>
          <w:rFonts w:ascii="Arial" w:cs="Arial" w:eastAsia="Arial" w:hAnsi="Arial"/>
          <w:sz w:val="18"/>
          <w:szCs w:val="18"/>
          <w:color w:val="auto"/>
        </w:rPr>
      </w:pPr>
    </w:p>
    <w:p>
      <w:pPr>
        <w:ind w:left="1260" w:hanging="41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increased to $65.4 million from $21.2 million.</w:t>
      </w:r>
    </w:p>
    <w:p>
      <w:pPr>
        <w:spacing w:after="0" w:line="108" w:lineRule="exact"/>
        <w:rPr>
          <w:rFonts w:ascii="Arial" w:cs="Arial" w:eastAsia="Arial" w:hAnsi="Arial"/>
          <w:sz w:val="18"/>
          <w:szCs w:val="18"/>
          <w:color w:val="auto"/>
        </w:rPr>
      </w:pPr>
    </w:p>
    <w:p>
      <w:pPr>
        <w:ind w:left="1260" w:hanging="415"/>
        <w:spacing w:after="0" w:line="260" w:lineRule="auto"/>
        <w:tabs>
          <w:tab w:leader="none" w:pos="1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increased approximately 32% to $645,000 for the trailing twelve months ended March 31, 2022, as compared to $490,000 for the trailing twelve months ended March 31, 2021.</w:t>
      </w:r>
    </w:p>
    <w:p>
      <w:pPr>
        <w:spacing w:after="0" w:line="76" w:lineRule="exact"/>
        <w:rPr>
          <w:rFonts w:ascii="Arial" w:cs="Arial" w:eastAsia="Arial" w:hAnsi="Arial"/>
          <w:sz w:val="18"/>
          <w:szCs w:val="18"/>
          <w:color w:val="auto"/>
        </w:rPr>
      </w:pPr>
    </w:p>
    <w:p>
      <w:pPr>
        <w:jc w:val="both"/>
        <w:ind w:left="1260" w:hanging="415"/>
        <w:spacing w:after="0" w:line="315" w:lineRule="auto"/>
        <w:tabs>
          <w:tab w:leader="none" w:pos="1255"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Our target for enterprise and mid-market revenue retention in 2022 matches 2021, and is a range of 105% to 115%. </w:t>
      </w:r>
      <w:r>
        <w:rPr>
          <w:rFonts w:ascii="Arial" w:cs="Arial" w:eastAsia="Arial" w:hAnsi="Arial"/>
          <w:sz w:val="15"/>
          <w:szCs w:val="15"/>
          <w:color w:val="222222"/>
        </w:rPr>
        <w:t>Revenue retention rate for</w:t>
      </w:r>
      <w:r>
        <w:rPr>
          <w:rFonts w:ascii="Arial" w:cs="Arial" w:eastAsia="Arial" w:hAnsi="Arial"/>
          <w:sz w:val="15"/>
          <w:szCs w:val="15"/>
          <w:color w:val="auto"/>
        </w:rPr>
        <w:t xml:space="preserve"> </w:t>
      </w:r>
      <w:r>
        <w:rPr>
          <w:rFonts w:ascii="Arial" w:cs="Arial" w:eastAsia="Arial" w:hAnsi="Arial"/>
          <w:sz w:val="15"/>
          <w:szCs w:val="15"/>
          <w:color w:val="222222"/>
        </w:rPr>
        <w:t xml:space="preserve">enterprise and mid-market customers on the Conversational Cloud was within our target range of </w:t>
      </w:r>
      <w:r>
        <w:rPr>
          <w:rFonts w:ascii="Arial" w:cs="Arial" w:eastAsia="Arial" w:hAnsi="Arial"/>
          <w:sz w:val="15"/>
          <w:szCs w:val="15"/>
          <w:color w:val="000000"/>
        </w:rPr>
        <w:t>105% to 115%</w:t>
      </w:r>
      <w:r>
        <w:rPr>
          <w:rFonts w:ascii="Arial" w:cs="Arial" w:eastAsia="Arial" w:hAnsi="Arial"/>
          <w:sz w:val="15"/>
          <w:szCs w:val="15"/>
          <w:color w:val="222222"/>
        </w:rPr>
        <w:t xml:space="preserve"> in the first quarter of 2022 and exceeded the high end of our target range of </w:t>
      </w:r>
      <w:r>
        <w:rPr>
          <w:rFonts w:ascii="Arial" w:cs="Arial" w:eastAsia="Arial" w:hAnsi="Arial"/>
          <w:sz w:val="15"/>
          <w:szCs w:val="15"/>
          <w:color w:val="000000"/>
        </w:rPr>
        <w:t>105% to 115%</w:t>
      </w:r>
      <w:r>
        <w:rPr>
          <w:rFonts w:ascii="Arial" w:cs="Arial" w:eastAsia="Arial" w:hAnsi="Arial"/>
          <w:sz w:val="15"/>
          <w:szCs w:val="15"/>
          <w:color w:val="222222"/>
        </w:rPr>
        <w:t xml:space="preserve"> in the first quarter of 2021. </w:t>
      </w:r>
      <w:r>
        <w:rPr>
          <w:rFonts w:ascii="Arial" w:cs="Arial" w:eastAsia="Arial" w:hAnsi="Arial"/>
          <w:sz w:val="15"/>
          <w:szCs w:val="15"/>
          <w:color w:val="000000"/>
        </w:rPr>
        <w:t>Revenue retention rate measures the percentage of</w:t>
      </w:r>
      <w:r>
        <w:rPr>
          <w:rFonts w:ascii="Arial" w:cs="Arial" w:eastAsia="Arial" w:hAnsi="Arial"/>
          <w:sz w:val="15"/>
          <w:szCs w:val="15"/>
          <w:color w:val="222222"/>
        </w:rPr>
        <w:t xml:space="preserve"> </w:t>
      </w:r>
      <w:r>
        <w:rPr>
          <w:rFonts w:ascii="Arial" w:cs="Arial" w:eastAsia="Arial" w:hAnsi="Arial"/>
          <w:sz w:val="15"/>
          <w:szCs w:val="15"/>
          <w:color w:val="000000"/>
        </w:rPr>
        <w:t>revenue retained at quarter end, from full service customers that were on the Conversational Cloud at the same period a year ago.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and Adjusted Operating (Loss) Income</w:t>
      </w:r>
    </w:p>
    <w:p>
      <w:pPr>
        <w:spacing w:after="0" w:line="245"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adjusted earnings before interest, taxes, depreciation, and amortization (“EBITDA”) and adjusted operating income (loss), which are non-GAAP financial measures. The tables below present a reconciliation of adjusted EBITDA and adjusted operating income to net (loss) income, the most directly comparable GAAP financial measures.</w:t>
      </w:r>
    </w:p>
    <w:p>
      <w:pPr>
        <w:spacing w:after="0" w:line="155"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We have included adjusted EBITDA and adjusted operating income (loss)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(loss)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(loss) provide useful information to investors and others in understanding and evaluating our operating results in the same manner as our management and board of directors.</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9" w:name="page40"/>
    <w:bookmarkEnd w:id="39"/>
    <w:p>
      <w:pPr>
        <w:ind w:firstLine="420"/>
        <w:spacing w:after="0" w:line="260"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77" w:lineRule="exact"/>
        <w:rPr>
          <w:sz w:val="20"/>
          <w:szCs w:val="20"/>
          <w:color w:val="auto"/>
        </w:rPr>
      </w:pPr>
    </w:p>
    <w:p>
      <w:pPr>
        <w:ind w:left="1260" w:hanging="415"/>
        <w:spacing w:after="0" w:line="252"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83" w:lineRule="exact"/>
        <w:rPr>
          <w:rFonts w:ascii="Arial" w:cs="Arial" w:eastAsia="Arial" w:hAnsi="Arial"/>
          <w:sz w:val="18"/>
          <w:szCs w:val="18"/>
          <w:color w:val="auto"/>
        </w:rPr>
      </w:pPr>
    </w:p>
    <w:p>
      <w:pPr>
        <w:ind w:left="1080" w:hanging="23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costs;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08" w:lineRule="exact"/>
        <w:rPr>
          <w:rFonts w:ascii="Arial" w:cs="Arial" w:eastAsia="Arial" w:hAnsi="Arial"/>
          <w:sz w:val="18"/>
          <w:szCs w:val="18"/>
          <w:color w:val="auto"/>
        </w:rPr>
      </w:pPr>
    </w:p>
    <w:p>
      <w:pPr>
        <w:ind w:left="1260" w:hanging="415"/>
        <w:spacing w:after="0" w:line="260" w:lineRule="auto"/>
        <w:tabs>
          <w:tab w:leader="none" w:pos="1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313" w:lineRule="exact"/>
        <w:rPr>
          <w:sz w:val="20"/>
          <w:szCs w:val="20"/>
          <w:color w:val="auto"/>
        </w:rPr>
      </w:pPr>
    </w:p>
    <w:p>
      <w:pPr>
        <w:ind w:firstLine="420"/>
        <w:spacing w:after="0" w:line="323" w:lineRule="auto"/>
        <w:rPr>
          <w:sz w:val="20"/>
          <w:szCs w:val="20"/>
          <w:color w:val="auto"/>
        </w:rPr>
      </w:pPr>
      <w:r>
        <w:rPr>
          <w:rFonts w:ascii="Arial" w:cs="Arial" w:eastAsia="Arial" w:hAnsi="Arial"/>
          <w:sz w:val="16"/>
          <w:szCs w:val="16"/>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288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8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90"/>
              <w:spacing w:after="0"/>
              <w:rPr>
                <w:sz w:val="20"/>
                <w:szCs w:val="20"/>
                <w:color w:val="auto"/>
              </w:rPr>
            </w:pPr>
            <w:r>
              <w:rPr>
                <w:rFonts w:ascii="Arial" w:cs="Arial" w:eastAsia="Arial" w:hAnsi="Arial"/>
                <w:sz w:val="14"/>
                <w:szCs w:val="14"/>
                <w:b w:val="1"/>
                <w:bCs w:val="1"/>
                <w:color w:val="auto"/>
              </w:rPr>
              <w:t>2021</w:t>
            </w:r>
          </w:p>
        </w:tc>
      </w:tr>
      <w:tr>
        <w:trPr>
          <w:trHeight w:val="24"/>
        </w:trPr>
        <w:tc>
          <w:tcPr>
            <w:tcW w:w="83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8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r>
      <w:tr>
        <w:trPr>
          <w:trHeight w:val="24"/>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6"/>
        </w:trPr>
        <w:tc>
          <w:tcPr>
            <w:tcW w:w="8360" w:type="dxa"/>
            <w:vAlign w:val="bottom"/>
          </w:tcPr>
          <w:p>
            <w:pPr>
              <w:ind w:left="20"/>
              <w:spacing w:after="0"/>
              <w:rPr>
                <w:sz w:val="20"/>
                <w:szCs w:val="20"/>
                <w:color w:val="auto"/>
              </w:rPr>
            </w:pPr>
            <w:r>
              <w:rPr>
                <w:rFonts w:ascii="Arial" w:cs="Arial" w:eastAsia="Arial" w:hAnsi="Arial"/>
                <w:sz w:val="14"/>
                <w:szCs w:val="14"/>
                <w:color w:val="auto"/>
              </w:rPr>
              <w:t>GAAP net loss</w:t>
            </w:r>
          </w:p>
        </w:tc>
        <w:tc>
          <w:tcPr>
            <w:tcW w:w="860" w:type="dxa"/>
            <w:vAlign w:val="bottom"/>
          </w:tcPr>
          <w:p>
            <w:pPr>
              <w:jc w:val="right"/>
              <w:ind w:right="71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(65,364)</w:t>
            </w:r>
          </w:p>
        </w:tc>
        <w:tc>
          <w:tcPr>
            <w:tcW w:w="120" w:type="dxa"/>
            <w:vAlign w:val="bottom"/>
          </w:tcPr>
          <w:p>
            <w:pPr>
              <w:spacing w:after="0"/>
              <w:rPr>
                <w:sz w:val="16"/>
                <w:szCs w:val="16"/>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(21,195)</w:t>
            </w:r>
          </w:p>
        </w:tc>
      </w:tr>
      <w:tr>
        <w:trPr>
          <w:trHeight w:val="24"/>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 and finance leases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w:t>
            </w:r>
          </w:p>
        </w:tc>
      </w:tr>
      <w:tr>
        <w:trPr>
          <w:trHeight w:val="186"/>
        </w:trPr>
        <w:tc>
          <w:tcPr>
            <w:tcW w:w="83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31,866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14,611</w:t>
            </w:r>
          </w:p>
        </w:tc>
      </w:tr>
      <w:tr>
        <w:trPr>
          <w:trHeight w:val="24"/>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10"/>
        </w:trPr>
        <w:tc>
          <w:tcPr>
            <w:tcW w:w="8360" w:type="dxa"/>
            <w:vAlign w:val="bottom"/>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2,732</w:t>
            </w: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7,224</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6,605</w:t>
            </w:r>
          </w:p>
        </w:tc>
      </w:tr>
      <w:tr>
        <w:trPr>
          <w:trHeight w:val="210"/>
        </w:trPr>
        <w:tc>
          <w:tcPr>
            <w:tcW w:w="836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1,347</w:t>
            </w: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Benefit from income taxes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w:t>
            </w:r>
          </w:p>
        </w:tc>
      </w:tr>
      <w:tr>
        <w:trPr>
          <w:trHeight w:val="186"/>
        </w:trPr>
        <w:tc>
          <w:tcPr>
            <w:tcW w:w="8360" w:type="dxa"/>
            <w:vAlign w:val="bottom"/>
          </w:tcPr>
          <w:p>
            <w:pPr>
              <w:ind w:left="220"/>
              <w:spacing w:after="0"/>
              <w:rPr>
                <w:sz w:val="20"/>
                <w:szCs w:val="20"/>
                <w:color w:val="auto"/>
              </w:rPr>
            </w:pPr>
            <w:r>
              <w:rPr>
                <w:rFonts w:ascii="Arial" w:cs="Arial" w:eastAsia="Arial" w:hAnsi="Arial"/>
                <w:sz w:val="14"/>
                <w:szCs w:val="14"/>
                <w:color w:val="auto"/>
              </w:rPr>
              <w:t>Acquisition costs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expense, net</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9,129</w:t>
            </w:r>
          </w:p>
        </w:tc>
      </w:tr>
      <w:tr>
        <w:trPr>
          <w:trHeight w:val="210"/>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 xml:space="preserve">Other income, net </w:t>
            </w:r>
            <w:r>
              <w:rPr>
                <w:rFonts w:ascii="Arial" w:cs="Arial" w:eastAsia="Arial" w:hAnsi="Arial"/>
                <w:sz w:val="18"/>
                <w:szCs w:val="18"/>
                <w:color w:val="auto"/>
                <w:vertAlign w:val="superscript"/>
              </w:rPr>
              <w:t>(3)</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 (loss)</w:t>
            </w: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(17,633)</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0" w:hanging="475"/>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severance costs of $2.4 million and other lease restructuring costs of $0.3 million for the three months ended March 31, 2021.</w:t>
      </w:r>
    </w:p>
    <w:p>
      <w:pPr>
        <w:spacing w:after="0" w:line="37" w:lineRule="exact"/>
        <w:rPr>
          <w:rFonts w:ascii="Arial" w:cs="Arial" w:eastAsia="Arial" w:hAnsi="Arial"/>
          <w:sz w:val="14"/>
          <w:szCs w:val="14"/>
          <w:color w:val="auto"/>
        </w:rPr>
      </w:pPr>
    </w:p>
    <w:p>
      <w:pPr>
        <w:ind w:left="480" w:hanging="475"/>
        <w:spacing w:after="0" w:line="261" w:lineRule="auto"/>
        <w:tabs>
          <w:tab w:leader="none" w:pos="4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sales tax liability of $0.3 million, litigation costs of $0.7 million, employee benefit cost of $0.2 million and consulting costs of $0.6 million for the three months ended March 31, 2022. Includes litigation costs of $1.2 million and consulting costs of $0.1 million for the three months ended March 31, 2021.</w:t>
      </w:r>
    </w:p>
    <w:p>
      <w:pPr>
        <w:spacing w:after="0" w:line="17" w:lineRule="exact"/>
        <w:rPr>
          <w:rFonts w:ascii="Arial" w:cs="Arial" w:eastAsia="Arial" w:hAnsi="Arial"/>
          <w:sz w:val="14"/>
          <w:szCs w:val="14"/>
          <w:color w:val="auto"/>
        </w:rPr>
      </w:pPr>
    </w:p>
    <w:p>
      <w:pPr>
        <w:ind w:left="480" w:hanging="475"/>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financial (income) expense which is primarily attributable to currency rate fluctuations.</w:t>
      </w:r>
    </w:p>
    <w:p>
      <w:pPr>
        <w:spacing w:after="0" w:line="17" w:lineRule="exact"/>
        <w:rPr>
          <w:sz w:val="20"/>
          <w:szCs w:val="20"/>
          <w:color w:val="auto"/>
        </w:rPr>
      </w:pPr>
    </w:p>
    <w:p>
      <w:pPr>
        <w:ind w:firstLine="420"/>
        <w:spacing w:after="0" w:line="244" w:lineRule="auto"/>
        <w:rPr>
          <w:sz w:val="20"/>
          <w:szCs w:val="20"/>
          <w:color w:val="auto"/>
        </w:rPr>
      </w:pPr>
      <w:r>
        <w:rPr>
          <w:rFonts w:ascii="Arial" w:cs="Arial" w:eastAsia="Arial" w:hAnsi="Arial"/>
          <w:sz w:val="18"/>
          <w:szCs w:val="18"/>
          <w:color w:val="auto"/>
        </w:rPr>
        <w:t>Our use of adjusted operating (loss) income has limitations as an analytical tool, and you should not consider it in isolation or as a substitute for analysis of our results as reported under GAAP. Some of these limitations are:</w:t>
      </w:r>
    </w:p>
    <w:p>
      <w:pPr>
        <w:spacing w:after="0" w:line="90" w:lineRule="exact"/>
        <w:rPr>
          <w:sz w:val="20"/>
          <w:szCs w:val="20"/>
          <w:color w:val="auto"/>
        </w:rPr>
      </w:pPr>
    </w:p>
    <w:p>
      <w:pPr>
        <w:ind w:left="1260" w:hanging="415"/>
        <w:spacing w:after="0" w:line="323"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(loss) income does not reflect cash capital expenditure requirements for such replacements or for new capital expenditure requirements;</w:t>
      </w:r>
    </w:p>
    <w:p>
      <w:pPr>
        <w:spacing w:after="0" w:line="29" w:lineRule="exact"/>
        <w:rPr>
          <w:rFonts w:ascii="Arial" w:cs="Arial" w:eastAsia="Arial" w:hAnsi="Arial"/>
          <w:sz w:val="16"/>
          <w:szCs w:val="16"/>
          <w:color w:val="auto"/>
        </w:rPr>
      </w:pPr>
    </w:p>
    <w:p>
      <w:pPr>
        <w:ind w:left="1080" w:hanging="23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(loss) income does not consider the impact of acquisitions;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(loss) income does not consider the impact of restructuring costs;</w:t>
      </w:r>
    </w:p>
    <w:p>
      <w:pPr>
        <w:spacing w:after="0" w:line="108" w:lineRule="exact"/>
        <w:rPr>
          <w:rFonts w:ascii="Arial" w:cs="Arial" w:eastAsia="Arial" w:hAnsi="Arial"/>
          <w:sz w:val="18"/>
          <w:szCs w:val="18"/>
          <w:color w:val="auto"/>
        </w:rPr>
      </w:pPr>
    </w:p>
    <w:p>
      <w:pPr>
        <w:ind w:left="1080" w:hanging="235"/>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(loss) income does not consider the impact of other costs;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ind w:left="1260" w:hanging="415"/>
        <w:spacing w:after="0" w:line="260" w:lineRule="auto"/>
        <w:tabs>
          <w:tab w:leader="none" w:pos="11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(loss) income differently, which reduces its usefulness as a comparative measure.</w:t>
      </w:r>
    </w:p>
    <w:p>
      <w:pPr>
        <w:spacing w:after="0" w:line="208" w:lineRule="exact"/>
        <w:rPr>
          <w:sz w:val="20"/>
          <w:szCs w:val="20"/>
          <w:color w:val="auto"/>
        </w:rPr>
      </w:pPr>
    </w:p>
    <w:p>
      <w:pPr>
        <w:ind w:firstLine="420"/>
        <w:spacing w:after="0" w:line="361" w:lineRule="auto"/>
        <w:rPr>
          <w:sz w:val="20"/>
          <w:szCs w:val="20"/>
          <w:color w:val="auto"/>
        </w:rPr>
      </w:pPr>
      <w:r>
        <w:rPr>
          <w:rFonts w:ascii="Arial" w:cs="Arial" w:eastAsia="Arial" w:hAnsi="Arial"/>
          <w:sz w:val="15"/>
          <w:szCs w:val="15"/>
          <w:color w:val="auto"/>
        </w:rPr>
        <w:t>Because of these limitations, you should consider adjusted operating (loss) income alongside other financial performance measures, including various pre-tax GAAP loss and our other GAAP results. The following table presents a reconciliation of adjusted operating (loss) income for each of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286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70"/>
              <w:spacing w:after="0"/>
              <w:rPr>
                <w:sz w:val="20"/>
                <w:szCs w:val="20"/>
                <w:color w:val="auto"/>
              </w:rPr>
            </w:pPr>
            <w:r>
              <w:rPr>
                <w:rFonts w:ascii="Arial" w:cs="Arial" w:eastAsia="Arial" w:hAnsi="Arial"/>
                <w:sz w:val="14"/>
                <w:szCs w:val="14"/>
                <w:b w:val="1"/>
                <w:bCs w:val="1"/>
                <w:color w:val="auto"/>
              </w:rPr>
              <w:t>2021</w:t>
            </w: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r>
      <w:tr>
        <w:trPr>
          <w:trHeight w:val="24"/>
        </w:trPr>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Operating (Loss) Income</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86"/>
        </w:trPr>
        <w:tc>
          <w:tcPr>
            <w:tcW w:w="8380" w:type="dxa"/>
            <w:vAlign w:val="bottom"/>
          </w:tcPr>
          <w:p>
            <w:pPr>
              <w:ind w:left="20"/>
              <w:spacing w:after="0"/>
              <w:rPr>
                <w:sz w:val="20"/>
                <w:szCs w:val="20"/>
                <w:color w:val="auto"/>
              </w:rPr>
            </w:pPr>
            <w:r>
              <w:rPr>
                <w:rFonts w:ascii="Arial" w:cs="Arial" w:eastAsia="Arial" w:hAnsi="Arial"/>
                <w:sz w:val="14"/>
                <w:szCs w:val="14"/>
                <w:color w:val="auto"/>
              </w:rPr>
              <w:t>Loss before benefit from income taxes</w:t>
            </w:r>
          </w:p>
        </w:tc>
        <w:tc>
          <w:tcPr>
            <w:tcW w:w="860" w:type="dxa"/>
            <w:vAlign w:val="bottom"/>
          </w:tcPr>
          <w:p>
            <w:pPr>
              <w:jc w:val="right"/>
              <w:ind w:right="710"/>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(65,557)</w:t>
            </w:r>
          </w:p>
        </w:tc>
        <w:tc>
          <w:tcPr>
            <w:tcW w:w="100" w:type="dxa"/>
            <w:vAlign w:val="bottom"/>
          </w:tcPr>
          <w:p>
            <w:pPr>
              <w:spacing w:after="0"/>
              <w:rPr>
                <w:sz w:val="16"/>
                <w:szCs w:val="16"/>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(22,046)</w:t>
            </w:r>
          </w:p>
        </w:tc>
      </w:tr>
      <w:tr>
        <w:trPr>
          <w:trHeight w:val="24"/>
        </w:trPr>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 and finance leases</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1,550</w:t>
            </w: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31,866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14,611</w:t>
            </w:r>
          </w:p>
        </w:tc>
      </w:tr>
      <w:tr>
        <w:trPr>
          <w:trHeight w:val="24"/>
        </w:trPr>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2,732</w:t>
            </w:r>
          </w:p>
        </w:tc>
      </w:tr>
      <w:tr>
        <w:trPr>
          <w:trHeight w:val="210"/>
        </w:trPr>
        <w:tc>
          <w:tcPr>
            <w:tcW w:w="838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1,347</w:t>
            </w:r>
          </w:p>
        </w:tc>
      </w:tr>
      <w:tr>
        <w:trPr>
          <w:trHeight w:val="19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6"/>
        </w:trPr>
        <w:tc>
          <w:tcPr>
            <w:tcW w:w="8380" w:type="dxa"/>
            <w:vAlign w:val="bottom"/>
          </w:tcPr>
          <w:p>
            <w:pPr>
              <w:ind w:left="220"/>
              <w:spacing w:after="0"/>
              <w:rPr>
                <w:sz w:val="20"/>
                <w:szCs w:val="20"/>
                <w:color w:val="auto"/>
              </w:rPr>
            </w:pPr>
            <w:r>
              <w:rPr>
                <w:rFonts w:ascii="Arial" w:cs="Arial" w:eastAsia="Arial" w:hAnsi="Arial"/>
                <w:sz w:val="14"/>
                <w:szCs w:val="14"/>
                <w:color w:val="auto"/>
              </w:rPr>
              <w:t>Acquisition costs</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expense, net</w:t>
            </w:r>
          </w:p>
        </w:tc>
        <w:tc>
          <w:tcPr>
            <w:tcW w:w="8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9,129</w:t>
            </w:r>
          </w:p>
        </w:tc>
      </w:tr>
      <w:tr>
        <w:trPr>
          <w:trHeight w:val="210"/>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 xml:space="preserve">Other income, net </w:t>
            </w:r>
            <w:r>
              <w:rPr>
                <w:rFonts w:ascii="Arial" w:cs="Arial" w:eastAsia="Arial" w:hAnsi="Arial"/>
                <w:sz w:val="18"/>
                <w:szCs w:val="18"/>
                <w:color w:val="auto"/>
                <w:vertAlign w:val="superscript"/>
              </w:rPr>
              <w:t>(3)</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w:t>
            </w:r>
          </w:p>
        </w:tc>
      </w:tr>
      <w:tr>
        <w:trPr>
          <w:trHeight w:val="202"/>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Adjusted operating (loss) income</w:t>
            </w: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(24,857)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80" w:hanging="475"/>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severance costs of $2.4 million and other lease restructuring costs of $0.3 million for the three months ended March 31, 2021.</w:t>
      </w:r>
    </w:p>
    <w:p>
      <w:pPr>
        <w:spacing w:after="0" w:line="37" w:lineRule="exact"/>
        <w:rPr>
          <w:rFonts w:ascii="Arial" w:cs="Arial" w:eastAsia="Arial" w:hAnsi="Arial"/>
          <w:sz w:val="14"/>
          <w:szCs w:val="14"/>
          <w:color w:val="auto"/>
        </w:rPr>
      </w:pPr>
    </w:p>
    <w:p>
      <w:pPr>
        <w:ind w:left="480" w:hanging="475"/>
        <w:spacing w:after="0" w:line="261" w:lineRule="auto"/>
        <w:tabs>
          <w:tab w:leader="none" w:pos="472"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sales tax liability of $0.3 million, litigation costs of $0.7 million, employee benefit cost of $0.2 million and consulting costs of $0.6 million for the three months ended March 31, 2022. Includes litigation costs of $1.2 million and consulting costs of $0.1 million for the three months ended March 31, 2021.</w:t>
      </w:r>
    </w:p>
    <w:p>
      <w:pPr>
        <w:spacing w:after="0" w:line="17" w:lineRule="exact"/>
        <w:rPr>
          <w:rFonts w:ascii="Arial" w:cs="Arial" w:eastAsia="Arial" w:hAnsi="Arial"/>
          <w:sz w:val="14"/>
          <w:szCs w:val="14"/>
          <w:color w:val="auto"/>
        </w:rPr>
      </w:pPr>
    </w:p>
    <w:p>
      <w:pPr>
        <w:ind w:left="480" w:hanging="475"/>
        <w:spacing w:after="0"/>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financial (income) expense which is primarily attributable to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1" w:name="page42"/>
    <w:bookmarkEnd w:id="41"/>
    <w:p>
      <w:pPr>
        <w:jc w:val="center"/>
        <w:ind w:left="4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5"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w:t>
      </w:r>
    </w:p>
    <w:p>
      <w:pPr>
        <w:spacing w:after="0" w:line="195"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The majority of our revenue is generated from hosted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08" w:lineRule="exact"/>
        <w:rPr>
          <w:sz w:val="20"/>
          <w:szCs w:val="20"/>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revenue of $130.2 million and $107.9 million was recognized during the three months ended March 31, 2022 and 2021, respectively.</w:t>
      </w:r>
    </w:p>
    <w:p>
      <w:pPr>
        <w:spacing w:after="0" w:line="262"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We defer all incremental commission costs to obtain the contract (“contract acquisition costs”). The contract acquisition costs consist of prepaid sales commissions and have balances as of March 31, 2022 and December 31, 2021 of $42.7 million and $40.7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 Business Revenue</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2" w:name="page43"/>
    <w:bookmarkEnd w:id="42"/>
    <w:p>
      <w:pPr>
        <w:jc w:val="both"/>
        <w:spacing w:after="0" w:line="249" w:lineRule="auto"/>
        <w:rPr>
          <w:sz w:val="20"/>
          <w:szCs w:val="20"/>
          <w:color w:val="auto"/>
        </w:rPr>
      </w:pPr>
      <w:r>
        <w:rPr>
          <w:rFonts w:ascii="Arial" w:cs="Arial" w:eastAsia="Arial" w:hAnsi="Arial"/>
          <w:sz w:val="18"/>
          <w:szCs w:val="18"/>
          <w:color w:val="auto"/>
        </w:rPr>
        <w:t>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218"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Revenue attributable to our monthly hosted Business services accounted for 82% and 78% of total revenue for the three months ended March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w:t>
      </w:r>
    </w:p>
    <w:p>
      <w:pPr>
        <w:spacing w:after="0" w:line="23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195"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Revenue attributable to Professional Services accounted for 11% and 14% of total revenue for the three months ended March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 Consumer Revenue</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9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Revenue from our Consumer segment accounted for approximately 7% and 8% of total revenue for the three months ended March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39"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As of March 31, 2022, the aggregate amount of the total transaction price allocated in contracts with original duration of one year or greater to the remaining performance obligations was $448.0 million. Approximately 91%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 objectives, taking into consideration market conditions and other factors, including the value of our contracts, the cloud applications sold, and the number and types of users within our contracts.</w:t>
      </w:r>
    </w:p>
    <w:p>
      <w:pPr>
        <w:spacing w:after="0" w:line="200" w:lineRule="exact"/>
        <w:rPr>
          <w:sz w:val="20"/>
          <w:szCs w:val="20"/>
          <w:color w:val="auto"/>
        </w:rPr>
      </w:pPr>
    </w:p>
    <w:p>
      <w:pPr>
        <w:spacing w:after="0" w:line="32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Deferred Revenues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increase in the deferred revenue balance as of March 31, 2022 is primarily driven by cash payments received or due in advance of our performance obligations, partially offset by $55.4 million of revenues recognized that were included in the deferred revenue balance as of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8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1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For the three months ended March 31, 2022 and 2021, we accrued approximately $7.1 million and $5.3 million for cash awards, respectively, related to bonus to be settled in shares of our stock and recorded a corresponding expense, which is included as a component of stock-based compensation expense in the accompanying condensed consolidated financial statements for the three months ended March 31, 2022 and 2021, respectively.</w:t>
      </w:r>
    </w:p>
    <w:p>
      <w:pPr>
        <w:spacing w:after="0" w:line="181"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For the three months ended March 31, 2022 and 2021, there was approximately $42.4 million and $17.6 million, respectively, of total unrecognized compensation cost related to nonvested share-based compensation arrangements. That cost is expected to be recognized over a weighted average period of approximately 2.7 years. For the three months ended March 31, 2022 and 2021, there was approximately $149.0 million and $65.7 million, respectively, of total unrecognized compensation cost related to nonvested restricted stock units. That cost is expected to be recognized over the remaining weighted average period of approximately 3.1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Compensation Expense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non-cash compensation amounts are as follows:</w:t>
      </w:r>
    </w:p>
    <w:p>
      <w:pPr>
        <w:spacing w:after="0" w:line="12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23"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20320</wp:posOffset>
            </wp:positionV>
            <wp:extent cx="18840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16"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20320</wp:posOffset>
            </wp:positionV>
            <wp:extent cx="18840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pacing w:after="0" w:line="1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3613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5" w:lineRule="exact"/>
        <w:rPr>
          <w:sz w:val="20"/>
          <w:szCs w:val="20"/>
          <w:color w:val="auto"/>
        </w:rPr>
      </w:pPr>
    </w:p>
    <w:p>
      <w:pPr>
        <w:ind w:left="20"/>
        <w:spacing w:after="0"/>
        <w:tabs>
          <w:tab w:leader="none" w:pos="8280" w:val="left"/>
          <w:tab w:leader="none" w:pos="9180" w:val="left"/>
          <w:tab w:leader="none" w:pos="9800" w:val="left"/>
          <w:tab w:leader="none" w:pos="1074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31,866</w:t>
        <w:tab/>
        <w:t>$</w:t>
      </w:r>
      <w:r>
        <w:rPr>
          <w:sz w:val="20"/>
          <w:szCs w:val="20"/>
          <w:color w:val="auto"/>
        </w:rPr>
        <w:tab/>
      </w:r>
      <w:r>
        <w:rPr>
          <w:rFonts w:ascii="Arial" w:cs="Arial" w:eastAsia="Arial" w:hAnsi="Arial"/>
          <w:sz w:val="12"/>
          <w:szCs w:val="12"/>
          <w:color w:val="auto"/>
        </w:rPr>
        <w:t>14,611</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condensed consolidated financial statements. No single customer accounted for or exceeded 10% of our total revenue for the three months ended March 31, 2022 and 2021. During the three months ended March 31, 2022, we increased our allowance for doubtful accounts from $6.3 million as of December 31, 2021 to approximately $7.2 million. A large proportion of receivables are due from larger corporate customers that typically have longer payment cycles. Accounts receivable is presented net of an allowance for doubtful accounts and sales reserve of</w:t>
      </w: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$7.2 million and $3.9 million as of March 31, 2022, respectively, and $6.3 million and $4.1 million as of December 31, 2021, respectively.</w:t>
      </w:r>
    </w:p>
    <w:p>
      <w:pPr>
        <w:spacing w:after="0" w:line="239"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color w:val="auto"/>
        </w:rPr>
        <w:t>An allowance for doubtful accounts is established for losses expected to be incurred on accounts receivable balances. Judgment is required in the estimation of the allowance and we evaluate the collectability of our accounts receivable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We have determined that we operate as three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190"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carrying amounts of our long-lived assets, including property and equipment, lease right of 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Ptd. Ltd., LivePerson (UK) Limited, Kasamba Inc., LivePerson Japan and LivePerson Limited. (Israel) are more likely than not</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18"/>
          <w:szCs w:val="18"/>
          <w:color w:val="auto"/>
        </w:rPr>
        <w:t>to be realized as these jurisdictions have positive cumulative pre-tax book income after adjusting for permanent and one-time items. During the year ended December 31, 2021, there was an increase in the valuation recorded of $51.7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Legal Matters for additional information on our legal proceedings and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Except as referenced below under "Recently Adopted Accounting Pronouncements," there were no other recently issued accounting pronouncements or changes in accounting pronouncements during the quarter ended March 31, 2022, that are of significance or potential significance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 – Description of Business and Basis of Presentation for a full description of recently adopted accounting pronouncements.</w:t>
      </w:r>
    </w:p>
    <w:p>
      <w:pPr>
        <w:spacing w:after="0" w:line="23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Results of Operations</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212"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Comparison of the Three Months Ended March 31, 2022 and March 31, 2021</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6"/>
              </w:rPr>
              <w:t>Three Months Ended March 31,</w:t>
            </w:r>
          </w:p>
        </w:tc>
        <w:tc>
          <w:tcPr>
            <w:tcW w:w="1180" w:type="dxa"/>
            <w:vAlign w:val="bottom"/>
            <w:tcBorders>
              <w:bottom w:val="single" w:sz="8" w:color="auto"/>
            </w:tcBorders>
          </w:tcPr>
          <w:p>
            <w:pPr>
              <w:spacing w:after="0"/>
              <w:rPr>
                <w:sz w:val="16"/>
                <w:szCs w:val="16"/>
                <w:color w:val="auto"/>
              </w:rPr>
            </w:pPr>
          </w:p>
        </w:tc>
      </w:tr>
      <w:tr>
        <w:trPr>
          <w:trHeight w:val="182"/>
        </w:trPr>
        <w:tc>
          <w:tcPr>
            <w:tcW w:w="6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4"/>
          </w:tcPr>
          <w:p>
            <w:pPr>
              <w:jc w:val="right"/>
              <w:ind w:right="703"/>
              <w:spacing w:after="0"/>
              <w:rPr>
                <w:sz w:val="20"/>
                <w:szCs w:val="20"/>
                <w:color w:val="auto"/>
              </w:rPr>
            </w:pPr>
            <w:r>
              <w:rPr>
                <w:rFonts w:ascii="Arial" w:cs="Arial" w:eastAsia="Arial" w:hAnsi="Arial"/>
                <w:sz w:val="14"/>
                <w:szCs w:val="14"/>
                <w:b w:val="1"/>
                <w:bCs w:val="1"/>
                <w:color w:val="auto"/>
              </w:rPr>
              <w:t>(Dollar in thousands)</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Segment: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Business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121,075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98,880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6"/>
        </w:trPr>
        <w:tc>
          <w:tcPr>
            <w:tcW w:w="6760" w:type="dxa"/>
            <w:vAlign w:val="bottom"/>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222222"/>
        </w:rPr>
        <w:t xml:space="preserve">Business revenue increased by 22% to $121.1 million for the three months ended </w:t>
      </w:r>
      <w:r>
        <w:rPr>
          <w:rFonts w:ascii="Arial" w:cs="Arial" w:eastAsia="Arial" w:hAnsi="Arial"/>
          <w:sz w:val="16"/>
          <w:szCs w:val="16"/>
          <w:color w:val="000000"/>
        </w:rPr>
        <w:t>March 31, 2022</w:t>
      </w:r>
      <w:r>
        <w:rPr>
          <w:rFonts w:ascii="Arial" w:cs="Arial" w:eastAsia="Arial" w:hAnsi="Arial"/>
          <w:sz w:val="16"/>
          <w:szCs w:val="16"/>
          <w:color w:val="222222"/>
        </w:rPr>
        <w:t xml:space="preserve"> from $98.9 million for the comparable period in </w:t>
      </w:r>
      <w:r>
        <w:rPr>
          <w:rFonts w:ascii="Arial" w:cs="Arial" w:eastAsia="Arial" w:hAnsi="Arial"/>
          <w:sz w:val="16"/>
          <w:szCs w:val="16"/>
          <w:color w:val="000000"/>
        </w:rPr>
        <w:t>2021</w:t>
      </w:r>
      <w:r>
        <w:rPr>
          <w:rFonts w:ascii="Arial" w:cs="Arial" w:eastAsia="Arial" w:hAnsi="Arial"/>
          <w:sz w:val="16"/>
          <w:szCs w:val="16"/>
          <w:color w:val="222222"/>
        </w:rPr>
        <w:t xml:space="preserve">. The increase in B2B revenue during the three months ended </w:t>
      </w:r>
      <w:r>
        <w:rPr>
          <w:rFonts w:ascii="Arial" w:cs="Arial" w:eastAsia="Arial" w:hAnsi="Arial"/>
          <w:sz w:val="16"/>
          <w:szCs w:val="16"/>
          <w:color w:val="000000"/>
        </w:rPr>
        <w:t>March 31, 2022</w:t>
      </w:r>
      <w:r>
        <w:rPr>
          <w:rFonts w:ascii="Arial" w:cs="Arial" w:eastAsia="Arial" w:hAnsi="Arial"/>
          <w:sz w:val="16"/>
          <w:szCs w:val="16"/>
          <w:color w:val="222222"/>
        </w:rPr>
        <w:t xml:space="preserve"> is driven mainly by year-over-year increase in hosted services of $22.7 million. Included in hosted services is an increase in revenue that is variable based on interaction and usage of approximately $8.8 million. The increase in Business revenue was driven in nearly equal parts by existing and new customers as we generated greater demand for its Conversational Commerce software and Gainshare solutions. Business revenue also benefited from timing of revenue between the first and second quarter. Our ARPU for our enterprise and mid-market customers was approximately $645,000 for the trailing twelve months ended </w:t>
      </w:r>
      <w:r>
        <w:rPr>
          <w:rFonts w:ascii="Arial" w:cs="Arial" w:eastAsia="Arial" w:hAnsi="Arial"/>
          <w:sz w:val="16"/>
          <w:szCs w:val="16"/>
          <w:color w:val="000000"/>
        </w:rPr>
        <w:t>March 31, 2022</w:t>
      </w:r>
      <w:r>
        <w:rPr>
          <w:rFonts w:ascii="Arial" w:cs="Arial" w:eastAsia="Arial" w:hAnsi="Arial"/>
          <w:sz w:val="16"/>
          <w:szCs w:val="16"/>
          <w:color w:val="222222"/>
        </w:rPr>
        <w:t>, as compared to approximately $490,000 for the comparable period in 2021. Similarly, we are seeing strong revenue retention rates. Revenue retention rate for enterprise and mid-market customers on the Conversational Cloud was within our target range</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222222"/>
        </w:rPr>
        <w:t xml:space="preserve">of </w:t>
      </w:r>
      <w:r>
        <w:rPr>
          <w:rFonts w:ascii="Arial" w:cs="Arial" w:eastAsia="Arial" w:hAnsi="Arial"/>
          <w:sz w:val="18"/>
          <w:szCs w:val="18"/>
          <w:color w:val="000000"/>
        </w:rPr>
        <w:t>105% to 115%</w:t>
      </w:r>
      <w:r>
        <w:rPr>
          <w:rFonts w:ascii="Arial" w:cs="Arial" w:eastAsia="Arial" w:hAnsi="Arial"/>
          <w:sz w:val="18"/>
          <w:szCs w:val="18"/>
          <w:color w:val="222222"/>
        </w:rPr>
        <w:t xml:space="preserve"> in the first quarter of 2022 and exceeded the high end of our target range of </w:t>
      </w:r>
      <w:r>
        <w:rPr>
          <w:rFonts w:ascii="Arial" w:cs="Arial" w:eastAsia="Arial" w:hAnsi="Arial"/>
          <w:sz w:val="18"/>
          <w:szCs w:val="18"/>
          <w:color w:val="000000"/>
        </w:rPr>
        <w:t>105% to 115%</w:t>
      </w:r>
      <w:r>
        <w:rPr>
          <w:rFonts w:ascii="Arial" w:cs="Arial" w:eastAsia="Arial" w:hAnsi="Arial"/>
          <w:sz w:val="18"/>
          <w:szCs w:val="18"/>
          <w:color w:val="222222"/>
        </w:rPr>
        <w:t xml:space="preserve"> in the first quarter of 2021.</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Consumer revenue increased by 1% to $9.1 million for the three months ended March 31, 2022 from $9.0 million for the comparable period in 2021. This improvement was driven by an increasingly effective user value and stable demand by consumers to engage with experts and advisors through conversational messaging channels.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Business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00" w:type="dxa"/>
            <w:vAlign w:val="bottom"/>
            <w:tcBorders>
              <w:bottom w:val="single" w:sz="8" w:color="auto"/>
            </w:tcBorders>
          </w:tcPr>
          <w:p>
            <w:pPr>
              <w:spacing w:after="0"/>
              <w:rPr>
                <w:sz w:val="16"/>
                <w:szCs w:val="16"/>
                <w:color w:val="auto"/>
              </w:rPr>
            </w:pPr>
          </w:p>
        </w:tc>
      </w:tr>
      <w:tr>
        <w:trPr>
          <w:trHeight w:val="182"/>
        </w:trPr>
        <w:tc>
          <w:tcPr>
            <w:tcW w:w="6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1"/>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business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48,221</w:t>
            </w:r>
          </w:p>
        </w:tc>
        <w:tc>
          <w:tcPr>
            <w:tcW w:w="86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31,610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07"/>
        </w:trPr>
        <w:tc>
          <w:tcPr>
            <w:tcW w:w="66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7"/>
                <w:szCs w:val="17"/>
                <w:color w:val="auto"/>
              </w:rPr>
            </w:pPr>
          </w:p>
        </w:tc>
        <w:tc>
          <w:tcPr>
            <w:tcW w:w="1820" w:type="dxa"/>
            <w:vAlign w:val="bottom"/>
            <w:gridSpan w:val="2"/>
          </w:tcPr>
          <w:p>
            <w:pPr>
              <w:jc w:val="right"/>
              <w:ind w:right="646"/>
              <w:spacing w:after="0"/>
              <w:rPr>
                <w:sz w:val="20"/>
                <w:szCs w:val="20"/>
                <w:color w:val="auto"/>
              </w:rPr>
            </w:pPr>
            <w:r>
              <w:rPr>
                <w:rFonts w:ascii="Arial" w:cs="Arial" w:eastAsia="Arial" w:hAnsi="Arial"/>
                <w:sz w:val="16"/>
                <w:szCs w:val="16"/>
                <w:color w:val="auto"/>
              </w:rPr>
              <w:t>37 %</w:t>
            </w:r>
          </w:p>
        </w:tc>
        <w:tc>
          <w:tcPr>
            <w:tcW w:w="88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bl>
    <w:p>
      <w:pPr>
        <w:spacing w:after="0" w:line="185"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Cost of revenue - business increased by 53% to $48.2 million for the three months ended March 31, 2022, from $31.6 million for the comparable period in 2021. This increase in expense is primarily attributable to business services and outsourced subcontracted labor of approximately $7.7 million driven by Health and Gainshare services, which power Conversational Commerce programs on behalf of customers. We also recognized an increase in expenses for backup server facilities of approximately $3.4 million, in amortization expense of approximately $3.2 million, an increase in salary and employee related expenses of approximately $1.9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Consumer</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right"/>
              <w:ind w:right="247"/>
              <w:spacing w:after="0"/>
              <w:rPr>
                <w:sz w:val="20"/>
                <w:szCs w:val="20"/>
                <w:color w:val="auto"/>
              </w:rPr>
            </w:pPr>
            <w:r>
              <w:rPr>
                <w:rFonts w:ascii="Arial" w:cs="Arial" w:eastAsia="Arial" w:hAnsi="Arial"/>
                <w:sz w:val="14"/>
                <w:szCs w:val="14"/>
                <w:b w:val="1"/>
                <w:bCs w:val="1"/>
                <w:color w:val="auto"/>
                <w:w w:val="89"/>
              </w:rPr>
              <w:t>(Dollar 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consumer</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1,346</w:t>
            </w:r>
          </w:p>
        </w:tc>
        <w:tc>
          <w:tcPr>
            <w:tcW w:w="1160" w:type="dxa"/>
            <w:vAlign w:val="bottom"/>
            <w:shd w:val="clear" w:color="auto" w:fill="CCEEFF"/>
          </w:tcPr>
          <w:p>
            <w:pPr>
              <w:jc w:val="right"/>
              <w:ind w:right="727"/>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1,909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00" w:type="dxa"/>
            <w:vAlign w:val="bottom"/>
          </w:tcPr>
          <w:p>
            <w:pPr>
              <w:spacing w:after="0"/>
              <w:rPr>
                <w:sz w:val="17"/>
                <w:szCs w:val="17"/>
                <w:color w:val="auto"/>
              </w:rPr>
            </w:pPr>
          </w:p>
        </w:tc>
        <w:tc>
          <w:tcPr>
            <w:tcW w:w="1600" w:type="dxa"/>
            <w:vAlign w:val="bottom"/>
            <w:gridSpan w:val="2"/>
          </w:tcPr>
          <w:p>
            <w:pPr>
              <w:jc w:val="right"/>
              <w:ind w:right="947"/>
              <w:spacing w:after="0"/>
              <w:rPr>
                <w:sz w:val="20"/>
                <w:szCs w:val="20"/>
                <w:color w:val="auto"/>
              </w:rPr>
            </w:pPr>
            <w:r>
              <w:rPr>
                <w:rFonts w:ascii="Arial" w:cs="Arial" w:eastAsia="Arial" w:hAnsi="Arial"/>
                <w:sz w:val="16"/>
                <w:szCs w:val="16"/>
                <w:color w:val="auto"/>
              </w:rPr>
              <w:t>1 %</w:t>
            </w:r>
          </w:p>
        </w:tc>
        <w:tc>
          <w:tcPr>
            <w:tcW w:w="58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bl>
    <w:p>
      <w:pPr>
        <w:spacing w:after="0" w:line="171"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consumer decreased by 29% to $1.3 million for the three months ended March 31, 2022 from $1.9 million for the comparable period in 2021. This decrease in expense is primarily related to a decrease in salary and employee related expenses of approximately $0.2 million and in credit card processing fees of approximately $0.2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 Business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business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52,283</w:t>
            </w:r>
          </w:p>
        </w:tc>
        <w:tc>
          <w:tcPr>
            <w:tcW w:w="86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30,203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7"/>
                <w:szCs w:val="17"/>
                <w:color w:val="auto"/>
              </w:rPr>
            </w:pPr>
          </w:p>
        </w:tc>
        <w:tc>
          <w:tcPr>
            <w:tcW w:w="1840" w:type="dxa"/>
            <w:vAlign w:val="bottom"/>
            <w:gridSpan w:val="2"/>
          </w:tcPr>
          <w:p>
            <w:pPr>
              <w:jc w:val="right"/>
              <w:ind w:right="646"/>
              <w:spacing w:after="0"/>
              <w:rPr>
                <w:sz w:val="20"/>
                <w:szCs w:val="20"/>
                <w:color w:val="auto"/>
              </w:rPr>
            </w:pPr>
            <w:r>
              <w:rPr>
                <w:rFonts w:ascii="Arial" w:cs="Arial" w:eastAsia="Arial" w:hAnsi="Arial"/>
                <w:sz w:val="16"/>
                <w:szCs w:val="16"/>
                <w:color w:val="auto"/>
              </w:rPr>
              <w:t>40 %</w:t>
            </w:r>
          </w:p>
        </w:tc>
        <w:tc>
          <w:tcPr>
            <w:tcW w:w="900" w:type="dxa"/>
            <w:vAlign w:val="bottom"/>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125 %</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7" w:name="page48"/>
    <w:bookmarkEnd w:id="47"/>
    <w:p>
      <w:pPr>
        <w:jc w:val="both"/>
        <w:ind w:firstLine="420"/>
        <w:spacing w:after="0" w:line="249" w:lineRule="auto"/>
        <w:rPr>
          <w:sz w:val="20"/>
          <w:szCs w:val="20"/>
          <w:color w:val="auto"/>
        </w:rPr>
      </w:pPr>
      <w:r>
        <w:rPr>
          <w:rFonts w:ascii="Arial" w:cs="Arial" w:eastAsia="Arial" w:hAnsi="Arial"/>
          <w:sz w:val="18"/>
          <w:szCs w:val="18"/>
          <w:color w:val="auto"/>
        </w:rPr>
        <w:t>Sales and marketing - business expenses increased by 73% to $52.3 million for the three months ended March 31, 2022 from $30.2 million for the comparable period in 2021. This increase was primarily attributable to an increase in salary and related employee expenses of approximately $15.1 million, an increase in marketing expense of approximately $4.3 million, an increase in business services of approximately $1.8 million, and an increase in backup server facilities of approximately $0.9 million.</w:t>
      </w:r>
    </w:p>
    <w:p>
      <w:pPr>
        <w:spacing w:after="0" w:line="218"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We have adjusted our marketing and hiring efforts to account for the impact of the COVID-19 pandemic. In particular,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 Consumer</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Sales and marketing - consumer expenses consist of compensation and related expenses for marketing personnel, as well as online promotion, public relations and allocated occupancy costs and related overhead.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right"/>
              <w:ind w:right="247"/>
              <w:spacing w:after="0"/>
              <w:rPr>
                <w:sz w:val="20"/>
                <w:szCs w:val="20"/>
                <w:color w:val="auto"/>
              </w:rPr>
            </w:pPr>
            <w:r>
              <w:rPr>
                <w:rFonts w:ascii="Arial" w:cs="Arial" w:eastAsia="Arial" w:hAnsi="Arial"/>
                <w:sz w:val="14"/>
                <w:szCs w:val="14"/>
                <w:b w:val="1"/>
                <w:bCs w:val="1"/>
                <w:color w:val="auto"/>
                <w:w w:val="89"/>
              </w:rPr>
              <w:t>(Dollar 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consumer</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5,849</w:t>
            </w:r>
          </w:p>
        </w:tc>
        <w:tc>
          <w:tcPr>
            <w:tcW w:w="1160" w:type="dxa"/>
            <w:vAlign w:val="bottom"/>
            <w:shd w:val="clear" w:color="auto" w:fill="CCEEFF"/>
          </w:tcPr>
          <w:p>
            <w:pPr>
              <w:jc w:val="right"/>
              <w:ind w:right="727"/>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6,750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7"/>
        </w:trPr>
        <w:tc>
          <w:tcPr>
            <w:tcW w:w="6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00" w:type="dxa"/>
            <w:vAlign w:val="bottom"/>
          </w:tcPr>
          <w:p>
            <w:pPr>
              <w:spacing w:after="0"/>
              <w:rPr>
                <w:sz w:val="17"/>
                <w:szCs w:val="17"/>
                <w:color w:val="auto"/>
              </w:rPr>
            </w:pPr>
          </w:p>
        </w:tc>
        <w:tc>
          <w:tcPr>
            <w:tcW w:w="1600" w:type="dxa"/>
            <w:vAlign w:val="bottom"/>
            <w:gridSpan w:val="2"/>
          </w:tcPr>
          <w:p>
            <w:pPr>
              <w:jc w:val="right"/>
              <w:ind w:right="947"/>
              <w:spacing w:after="0"/>
              <w:rPr>
                <w:sz w:val="20"/>
                <w:szCs w:val="20"/>
                <w:color w:val="auto"/>
              </w:rPr>
            </w:pPr>
            <w:r>
              <w:rPr>
                <w:rFonts w:ascii="Arial" w:cs="Arial" w:eastAsia="Arial" w:hAnsi="Arial"/>
                <w:sz w:val="16"/>
                <w:szCs w:val="16"/>
                <w:color w:val="auto"/>
              </w:rPr>
              <w:t>4 %</w:t>
            </w:r>
          </w:p>
        </w:tc>
        <w:tc>
          <w:tcPr>
            <w:tcW w:w="58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18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Sales and marketing - consumer expenses decreased by 13% to $5.8 million for the three months ended March 31, 2022 from $6.8 million for the comparable period in 2021. This decrease is primarily attributable to a decrease in marketing expense of approximately $0.5 million, a decrease in business services and outsourced subcontracted labor of approximately $0.4 million, and a decrease in salary and related expenses of approximately $0.1 million, partially offset by a an increase in backup server facilities of approximately $0.1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80"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40" w:type="dxa"/>
            <w:vAlign w:val="bottom"/>
            <w:tcBorders>
              <w:bottom w:val="single" w:sz="8" w:color="auto"/>
            </w:tcBorders>
          </w:tcPr>
          <w:p>
            <w:pPr>
              <w:spacing w:after="0"/>
              <w:rPr>
                <w:sz w:val="16"/>
                <w:szCs w:val="16"/>
                <w:color w:val="auto"/>
              </w:rPr>
            </w:pPr>
          </w:p>
        </w:tc>
      </w:tr>
      <w:tr>
        <w:trPr>
          <w:trHeight w:val="182"/>
        </w:trPr>
        <w:tc>
          <w:tcPr>
            <w:tcW w:w="6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 in thousands)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29,735</w:t>
            </w:r>
          </w:p>
        </w:tc>
        <w:tc>
          <w:tcPr>
            <w:tcW w:w="84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14,486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7"/>
                <w:szCs w:val="17"/>
                <w:color w:val="auto"/>
              </w:rPr>
            </w:pPr>
          </w:p>
        </w:tc>
        <w:tc>
          <w:tcPr>
            <w:tcW w:w="1840" w:type="dxa"/>
            <w:vAlign w:val="bottom"/>
            <w:gridSpan w:val="2"/>
          </w:tcPr>
          <w:p>
            <w:pPr>
              <w:jc w:val="right"/>
              <w:ind w:right="626"/>
              <w:spacing w:after="0"/>
              <w:rPr>
                <w:sz w:val="20"/>
                <w:szCs w:val="20"/>
                <w:color w:val="auto"/>
              </w:rPr>
            </w:pPr>
            <w:r>
              <w:rPr>
                <w:rFonts w:ascii="Arial" w:cs="Arial" w:eastAsia="Arial" w:hAnsi="Arial"/>
                <w:sz w:val="16"/>
                <w:szCs w:val="16"/>
                <w:color w:val="auto"/>
              </w:rPr>
              <w:t>23 %</w:t>
            </w: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r>
    </w:tbl>
    <w:p>
      <w:pPr>
        <w:spacing w:after="0" w:line="18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General and administrative expenses increased by 105% to $29.7 million for the three months ended March 31, 2022 from $14.5 million for the comparable period in 2021. This increase is primarily related to an increase in salary and employee related expenses of approximately $11.1 million, an increase in business services and outsourced labor of approximately $1.8 million, an increase in facilities of approximately $1.2 million, and an increase in hosting services of approximately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Product Development</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56,072</w:t>
            </w:r>
          </w:p>
        </w:tc>
        <w:tc>
          <w:tcPr>
            <w:tcW w:w="840" w:type="dxa"/>
            <w:vAlign w:val="bottom"/>
            <w:shd w:val="clear" w:color="auto" w:fill="CCEEFF"/>
          </w:tcPr>
          <w:p>
            <w:pPr>
              <w:jc w:val="right"/>
              <w:ind w:right="42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33,455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r>
      <w:tr>
        <w:trPr>
          <w:trHeight w:val="207"/>
        </w:trPr>
        <w:tc>
          <w:tcPr>
            <w:tcW w:w="658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60" w:type="dxa"/>
            <w:vAlign w:val="bottom"/>
          </w:tcPr>
          <w:p>
            <w:pPr>
              <w:spacing w:after="0"/>
              <w:rPr>
                <w:sz w:val="17"/>
                <w:szCs w:val="17"/>
                <w:color w:val="auto"/>
              </w:rPr>
            </w:pPr>
          </w:p>
        </w:tc>
        <w:tc>
          <w:tcPr>
            <w:tcW w:w="1820" w:type="dxa"/>
            <w:vAlign w:val="bottom"/>
            <w:gridSpan w:val="2"/>
          </w:tcPr>
          <w:p>
            <w:pPr>
              <w:jc w:val="right"/>
              <w:ind w:right="646"/>
              <w:spacing w:after="0"/>
              <w:rPr>
                <w:sz w:val="20"/>
                <w:szCs w:val="20"/>
                <w:color w:val="auto"/>
              </w:rPr>
            </w:pPr>
            <w:r>
              <w:rPr>
                <w:rFonts w:ascii="Arial" w:cs="Arial" w:eastAsia="Arial" w:hAnsi="Arial"/>
                <w:sz w:val="16"/>
                <w:szCs w:val="16"/>
                <w:color w:val="auto"/>
              </w:rPr>
              <w:t>43 %</w:t>
            </w:r>
          </w:p>
        </w:tc>
        <w:tc>
          <w:tcPr>
            <w:tcW w:w="90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bl>
    <w:p>
      <w:pPr>
        <w:spacing w:after="0" w:line="171"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Product development costs increased by 68% to $56.1 million for the three months ended March 31, 2022 from $33.5 million for the comparable period in 2021. This increase is primarily related to an increase in salaries and employee related expenses of approximately $16.2 million, an increase in business services and outsourcing subcontracted labor of approximately $4.6 million, an increase in credit card processing and bank fees of $1.2 million, and an increase in depreciation expense of approximately $0.6 million. We continued to make investments in public cloud migration, and in enhancing and expanding new features of the Conversational Cloud, including Voice. Also, we continued to invest in bringing more data scientists and machine learning engineers to focus on Conversational AI.</w:t>
      </w:r>
    </w:p>
    <w:p>
      <w:pPr>
        <w:spacing w:after="0" w:line="21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We continue to invest in new product development efforts to expand the capability of Conversational Cloud. Upon completion, the project costs will be depreciated over five years. For the three months ended March 31, 2022, $9.8 million was capitalized, compared to $8.2 million for the comparable period in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costs consist of reprioritizing and reallocating resources to focus on areas believed to show high growth potential.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right"/>
              <w:ind w:right="247"/>
              <w:spacing w:after="0"/>
              <w:rPr>
                <w:sz w:val="20"/>
                <w:szCs w:val="20"/>
                <w:color w:val="auto"/>
              </w:rPr>
            </w:pPr>
            <w:r>
              <w:rPr>
                <w:rFonts w:ascii="Arial" w:cs="Arial" w:eastAsia="Arial" w:hAnsi="Arial"/>
                <w:sz w:val="14"/>
                <w:szCs w:val="14"/>
                <w:b w:val="1"/>
                <w:bCs w:val="1"/>
                <w:color w:val="auto"/>
                <w:w w:val="89"/>
              </w:rPr>
              <w:t>(Dollar 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140" w:type="dxa"/>
            <w:vAlign w:val="bottom"/>
            <w:shd w:val="clear" w:color="auto" w:fill="CCEEFF"/>
          </w:tcPr>
          <w:p>
            <w:pPr>
              <w:jc w:val="right"/>
              <w:ind w:right="747"/>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2,732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04"/>
        </w:trPr>
        <w:tc>
          <w:tcPr>
            <w:tcW w:w="658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900" w:type="dxa"/>
            <w:vAlign w:val="bottom"/>
          </w:tcPr>
          <w:p>
            <w:pPr>
              <w:spacing w:after="0"/>
              <w:rPr>
                <w:sz w:val="17"/>
                <w:szCs w:val="17"/>
                <w:color w:val="auto"/>
              </w:rPr>
            </w:pPr>
          </w:p>
        </w:tc>
        <w:tc>
          <w:tcPr>
            <w:tcW w:w="1600" w:type="dxa"/>
            <w:vAlign w:val="bottom"/>
            <w:gridSpan w:val="2"/>
          </w:tcPr>
          <w:p>
            <w:pPr>
              <w:jc w:val="right"/>
              <w:ind w:right="967"/>
              <w:spacing w:after="0"/>
              <w:rPr>
                <w:sz w:val="20"/>
                <w:szCs w:val="20"/>
                <w:color w:val="auto"/>
              </w:rPr>
            </w:pPr>
            <w:r>
              <w:rPr>
                <w:rFonts w:ascii="Arial" w:cs="Arial" w:eastAsia="Arial" w:hAnsi="Arial"/>
                <w:sz w:val="16"/>
                <w:szCs w:val="16"/>
                <w:color w:val="auto"/>
              </w:rPr>
              <w:t>— %</w:t>
            </w: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191"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Restructuring costs decreased by 101% to less than $0.1 million during the three months ended March 31, 2022 from $2.7 million for the comparable period in 2021. The restructuring cost for the three months ended March 31, 2021 was a result of our partnership with Infosys to transform our technology infrastructure on the public cloud, to build integrated solutions and a global practice around our Conversational Cloud, and to redefine how brands communicate. This variance was primarily attributable to an increase in restructuring costs related to lease abandonment, along with severance and other compensation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220" w:type="dxa"/>
            <w:vAlign w:val="bottom"/>
            <w:tcBorders>
              <w:bottom w:val="single" w:sz="8" w:color="auto"/>
            </w:tcBorders>
          </w:tcPr>
          <w:p>
            <w:pPr>
              <w:spacing w:after="0"/>
              <w:rPr>
                <w:sz w:val="16"/>
                <w:szCs w:val="16"/>
                <w:color w:val="auto"/>
              </w:rPr>
            </w:pPr>
          </w:p>
        </w:tc>
      </w:tr>
      <w:tr>
        <w:trPr>
          <w:trHeight w:val="182"/>
        </w:trPr>
        <w:tc>
          <w:tcPr>
            <w:tcW w:w="65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60" w:type="dxa"/>
            <w:vAlign w:val="bottom"/>
            <w:gridSpan w:val="2"/>
          </w:tcPr>
          <w:p>
            <w:pPr>
              <w:jc w:val="right"/>
              <w:ind w:right="307"/>
              <w:spacing w:after="0"/>
              <w:rPr>
                <w:sz w:val="20"/>
                <w:szCs w:val="20"/>
                <w:color w:val="auto"/>
              </w:rPr>
            </w:pPr>
            <w:r>
              <w:rPr>
                <w:rFonts w:ascii="Arial" w:cs="Arial" w:eastAsia="Arial" w:hAnsi="Arial"/>
                <w:sz w:val="14"/>
                <w:szCs w:val="14"/>
                <w:b w:val="1"/>
                <w:bCs w:val="1"/>
                <w:color w:val="auto"/>
                <w:w w:val="89"/>
              </w:rPr>
              <w:t>(Dollar 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1,841</w:t>
            </w:r>
          </w:p>
        </w:tc>
        <w:tc>
          <w:tcPr>
            <w:tcW w:w="1220" w:type="dxa"/>
            <w:vAlign w:val="bottom"/>
            <w:shd w:val="clear" w:color="auto" w:fill="CCEEFF"/>
          </w:tcPr>
          <w:p>
            <w:pPr>
              <w:jc w:val="right"/>
              <w:ind w:right="787"/>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391 %</w:t>
            </w: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Percentage of total revenues</w:t>
            </w:r>
          </w:p>
        </w:tc>
        <w:tc>
          <w:tcPr>
            <w:tcW w:w="900" w:type="dxa"/>
            <w:vAlign w:val="bottom"/>
          </w:tcPr>
          <w:p>
            <w:pPr>
              <w:spacing w:after="0"/>
              <w:rPr>
                <w:sz w:val="17"/>
                <w:szCs w:val="17"/>
                <w:color w:val="auto"/>
              </w:rPr>
            </w:pPr>
          </w:p>
        </w:tc>
        <w:tc>
          <w:tcPr>
            <w:tcW w:w="1660" w:type="dxa"/>
            <w:vAlign w:val="bottom"/>
            <w:gridSpan w:val="2"/>
          </w:tcPr>
          <w:p>
            <w:pPr>
              <w:jc w:val="right"/>
              <w:ind w:right="1007"/>
              <w:spacing w:after="0"/>
              <w:rPr>
                <w:sz w:val="20"/>
                <w:szCs w:val="20"/>
                <w:color w:val="auto"/>
              </w:rPr>
            </w:pPr>
            <w:r>
              <w:rPr>
                <w:rFonts w:ascii="Arial" w:cs="Arial" w:eastAsia="Arial" w:hAnsi="Arial"/>
                <w:sz w:val="16"/>
                <w:szCs w:val="16"/>
                <w:color w:val="auto"/>
              </w:rPr>
              <w:t>1 %</w:t>
            </w:r>
          </w:p>
        </w:tc>
        <w:tc>
          <w:tcPr>
            <w:tcW w:w="900" w:type="dxa"/>
            <w:vAlign w:val="bottom"/>
            <w:gridSpan w:val="3"/>
          </w:tcPr>
          <w:p>
            <w:pPr>
              <w:ind w:left="160"/>
              <w:spacing w:after="0"/>
              <w:rPr>
                <w:sz w:val="20"/>
                <w:szCs w:val="20"/>
                <w:color w:val="auto"/>
              </w:rPr>
            </w:pPr>
            <w:r>
              <w:rPr>
                <w:rFonts w:ascii="Arial" w:cs="Arial" w:eastAsia="Arial" w:hAnsi="Arial"/>
                <w:sz w:val="16"/>
                <w:szCs w:val="16"/>
                <w:color w:val="auto"/>
              </w:rPr>
              <w:t>— %</w:t>
            </w:r>
          </w:p>
        </w:tc>
        <w:tc>
          <w:tcPr>
            <w:tcW w:w="1220" w:type="dxa"/>
            <w:vAlign w:val="bottom"/>
          </w:tcPr>
          <w:p>
            <w:pPr>
              <w:spacing w:after="0"/>
              <w:rPr>
                <w:sz w:val="17"/>
                <w:szCs w:val="17"/>
                <w:color w:val="auto"/>
              </w:rPr>
            </w:pPr>
          </w:p>
        </w:tc>
      </w:tr>
    </w:tbl>
    <w:p>
      <w:pPr>
        <w:spacing w:after="0" w:line="191"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Amortization expense for purchased intangibles increased by 391% to $1.8 million for the three months ended March 31, 2022 from $0.4 million for the comparable period in 2021. The increase is primarily attributable to amortization of patents and customer relationships as well as the intangible assets acquired in the acquisitions of VoiceBase, Tenfold, and e-bot7 that occurred in 2021 and the acquisition of WildHealth in the first quarter of 2022.</w:t>
      </w: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9" w:name="page50"/>
    <w:bookmarkEnd w:id="49"/>
    <w:p>
      <w:pPr>
        <w:jc w:val="both"/>
        <w:ind w:right="100" w:firstLine="420"/>
        <w:spacing w:after="0" w:line="260" w:lineRule="auto"/>
        <w:rPr>
          <w:sz w:val="20"/>
          <w:szCs w:val="20"/>
          <w:color w:val="auto"/>
        </w:rPr>
      </w:pPr>
      <w:r>
        <w:rPr>
          <w:rFonts w:ascii="Arial" w:cs="Arial" w:eastAsia="Arial" w:hAnsi="Arial"/>
          <w:sz w:val="18"/>
          <w:szCs w:val="18"/>
          <w:color w:val="auto"/>
        </w:rPr>
        <w:t>Additional amortization expense in the amount of $4.4 million and $1.2 million for the three months ended March 31, 2022 and 2021 is included in cost of revenue.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39" w:lineRule="exact"/>
        <w:rPr>
          <w:sz w:val="20"/>
          <w:szCs w:val="20"/>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Other expense, net consists of interest income on cash and cash equivalents, investment income and financial (expense) income which is a result of currency rate fluctuations associated with exchange rate movement of the U.S. dollar against the New Israeli Shekel (“NIS”), British Pound, Euro, Australian Dollar, and Japanese Yen.</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57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980" w:type="dxa"/>
            <w:vAlign w:val="bottom"/>
            <w:tcBorders>
              <w:bottom w:val="single" w:sz="8" w:color="auto"/>
            </w:tcBorders>
          </w:tcPr>
          <w:p>
            <w:pPr>
              <w:spacing w:after="0"/>
              <w:rPr>
                <w:sz w:val="16"/>
                <w:szCs w:val="16"/>
                <w:color w:val="auto"/>
              </w:rPr>
            </w:pPr>
          </w:p>
        </w:tc>
      </w:tr>
      <w:tr>
        <w:trPr>
          <w:trHeight w:val="182"/>
        </w:trPr>
        <w:tc>
          <w:tcPr>
            <w:tcW w:w="5760" w:type="dxa"/>
            <w:vAlign w:val="bottom"/>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b w:val="1"/>
                <w:bCs w:val="1"/>
                <w:color w:val="auto"/>
                <w:w w:val="94"/>
              </w:rPr>
              <w:t>% Change</w:t>
            </w:r>
          </w:p>
        </w:tc>
      </w:tr>
      <w:tr>
        <w:trPr>
          <w:trHeight w:val="177"/>
        </w:trPr>
        <w:tc>
          <w:tcPr>
            <w:tcW w:w="5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(Dollar in 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1"/>
        </w:trPr>
        <w:tc>
          <w:tcPr>
            <w:tcW w:w="57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Interest expense</w:t>
            </w:r>
          </w:p>
        </w:tc>
        <w:tc>
          <w:tcPr>
            <w:tcW w:w="12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(490)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23"/>
              <w:spacing w:after="0"/>
              <w:rPr>
                <w:sz w:val="20"/>
                <w:szCs w:val="20"/>
                <w:color w:val="auto"/>
              </w:rPr>
            </w:pPr>
            <w:r>
              <w:rPr>
                <w:rFonts w:ascii="Arial" w:cs="Arial" w:eastAsia="Arial" w:hAnsi="Arial"/>
                <w:sz w:val="16"/>
                <w:szCs w:val="16"/>
                <w:color w:val="auto"/>
                <w:w w:val="91"/>
              </w:rPr>
              <w:t>(95)</w:t>
            </w:r>
          </w:p>
        </w:tc>
      </w:tr>
      <w:tr>
        <w:trPr>
          <w:trHeight w:val="207"/>
        </w:trPr>
        <w:tc>
          <w:tcPr>
            <w:tcW w:w="57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Other income, net</w:t>
            </w:r>
          </w:p>
        </w:tc>
        <w:tc>
          <w:tcPr>
            <w:tcW w:w="12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center"/>
              <w:ind w:left="123"/>
              <w:spacing w:after="0"/>
              <w:rPr>
                <w:sz w:val="20"/>
                <w:szCs w:val="20"/>
                <w:color w:val="auto"/>
              </w:rPr>
            </w:pPr>
            <w:r>
              <w:rPr>
                <w:rFonts w:ascii="Arial" w:cs="Arial" w:eastAsia="Arial" w:hAnsi="Arial"/>
                <w:sz w:val="16"/>
                <w:szCs w:val="16"/>
                <w:color w:val="auto"/>
                <w:w w:val="91"/>
              </w:rPr>
              <w:t>(92)</w:t>
            </w:r>
          </w:p>
        </w:tc>
      </w:tr>
      <w:tr>
        <w:trPr>
          <w:trHeight w:val="206"/>
        </w:trPr>
        <w:tc>
          <w:tcPr>
            <w:tcW w:w="57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expense, net</w:t>
            </w:r>
          </w:p>
        </w:tc>
        <w:tc>
          <w:tcPr>
            <w:tcW w:w="12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(430)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123"/>
              <w:spacing w:after="0"/>
              <w:rPr>
                <w:sz w:val="20"/>
                <w:szCs w:val="20"/>
                <w:color w:val="auto"/>
              </w:rPr>
            </w:pPr>
            <w:r>
              <w:rPr>
                <w:rFonts w:ascii="Arial" w:cs="Arial" w:eastAsia="Arial" w:hAnsi="Arial"/>
                <w:sz w:val="16"/>
                <w:szCs w:val="16"/>
                <w:color w:val="auto"/>
                <w:w w:val="91"/>
              </w:rPr>
              <w:t>(95)</w:t>
            </w:r>
          </w:p>
        </w:tc>
      </w:tr>
    </w:tbl>
    <w:p>
      <w:pPr>
        <w:spacing w:after="0" w:line="171" w:lineRule="exact"/>
        <w:rPr>
          <w:sz w:val="20"/>
          <w:szCs w:val="20"/>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Other expense, net decreased to $0.4 million for the three months ended March 31, 2022, respectively, from other expense of $8.4 million for the comparable periods in 2021 primarily due to the adoption of ASU 2020-06 and the elimination of the debt discount that was previously being amortized to interest expense over the contractual term of the Notes.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w w:val="96"/>
              </w:rPr>
              <w:t>Three Months Ended March 31,</w:t>
            </w:r>
          </w:p>
        </w:tc>
        <w:tc>
          <w:tcPr>
            <w:tcW w:w="1180" w:type="dxa"/>
            <w:vAlign w:val="bottom"/>
            <w:tcBorders>
              <w:bottom w:val="single" w:sz="8" w:color="auto"/>
            </w:tcBorders>
          </w:tcPr>
          <w:p>
            <w:pPr>
              <w:spacing w:after="0"/>
              <w:rPr>
                <w:sz w:val="16"/>
                <w:szCs w:val="16"/>
                <w:color w:val="auto"/>
              </w:rPr>
            </w:pPr>
          </w:p>
        </w:tc>
      </w:tr>
      <w:tr>
        <w:trPr>
          <w:trHeight w:val="182"/>
        </w:trPr>
        <w:tc>
          <w:tcPr>
            <w:tcW w:w="6760" w:type="dxa"/>
            <w:vAlign w:val="bottom"/>
          </w:tcPr>
          <w:p>
            <w:pPr>
              <w:spacing w:after="0"/>
              <w:rPr>
                <w:sz w:val="15"/>
                <w:szCs w:val="15"/>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6760" w:type="dxa"/>
            <w:vAlign w:val="bottom"/>
          </w:tcPr>
          <w:p>
            <w:pPr>
              <w:spacing w:after="0"/>
              <w:rPr>
                <w:sz w:val="15"/>
                <w:szCs w:val="15"/>
                <w:color w:val="auto"/>
              </w:rPr>
            </w:pPr>
          </w:p>
        </w:tc>
        <w:tc>
          <w:tcPr>
            <w:tcW w:w="2400" w:type="dxa"/>
            <w:vAlign w:val="bottom"/>
            <w:gridSpan w:val="3"/>
          </w:tcPr>
          <w:p>
            <w:pPr>
              <w:jc w:val="right"/>
              <w:ind w:right="246"/>
              <w:spacing w:after="0"/>
              <w:rPr>
                <w:sz w:val="20"/>
                <w:szCs w:val="20"/>
                <w:color w:val="auto"/>
              </w:rPr>
            </w:pPr>
            <w:r>
              <w:rPr>
                <w:rFonts w:ascii="Arial" w:cs="Arial" w:eastAsia="Arial" w:hAnsi="Arial"/>
                <w:sz w:val="14"/>
                <w:szCs w:val="14"/>
                <w:b w:val="1"/>
                <w:bCs w:val="1"/>
                <w:color w:val="auto"/>
              </w:rPr>
              <w:t>(Dollar in thousands)</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income taxes</w:t>
            </w:r>
          </w:p>
        </w:tc>
        <w:tc>
          <w:tcPr>
            <w:tcW w:w="920" w:type="dxa"/>
            <w:vAlign w:val="bottom"/>
            <w:shd w:val="clear" w:color="auto" w:fill="CCEEFF"/>
          </w:tcPr>
          <w:p>
            <w:pPr>
              <w:jc w:val="right"/>
              <w:ind w:right="747"/>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(193)</w:t>
            </w:r>
          </w:p>
        </w:tc>
        <w:tc>
          <w:tcPr>
            <w:tcW w:w="96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bl>
    <w:p>
      <w:pPr>
        <w:spacing w:after="0" w:line="185" w:lineRule="exact"/>
        <w:rPr>
          <w:sz w:val="20"/>
          <w:szCs w:val="20"/>
          <w:color w:val="auto"/>
        </w:rPr>
      </w:pPr>
    </w:p>
    <w:p>
      <w:pPr>
        <w:jc w:val="both"/>
        <w:ind w:right="100" w:firstLine="315"/>
        <w:spacing w:after="0" w:line="260" w:lineRule="auto"/>
        <w:rPr>
          <w:sz w:val="20"/>
          <w:szCs w:val="20"/>
          <w:color w:val="auto"/>
        </w:rPr>
      </w:pPr>
      <w:r>
        <w:rPr>
          <w:rFonts w:ascii="Arial" w:cs="Arial" w:eastAsia="Arial" w:hAnsi="Arial"/>
          <w:sz w:val="18"/>
          <w:szCs w:val="18"/>
          <w:color w:val="auto"/>
        </w:rPr>
        <w:t>Benefit from income taxes was $0.2 million and $0.9 million for the three months ended March 31, 2022 and 2021, respectively. Our consolidated effective tax rate was impacted by the statutory income tax rates applicable to each of the jurisdictions in which we operate.</w:t>
      </w:r>
    </w:p>
    <w:p>
      <w:pPr>
        <w:spacing w:after="0" w:line="208" w:lineRule="exact"/>
        <w:rPr>
          <w:sz w:val="20"/>
          <w:szCs w:val="20"/>
          <w:color w:val="auto"/>
        </w:rPr>
      </w:pPr>
    </w:p>
    <w:p>
      <w:pPr>
        <w:jc w:val="both"/>
        <w:ind w:right="100" w:firstLine="315"/>
        <w:spacing w:after="0" w:line="249" w:lineRule="auto"/>
        <w:rPr>
          <w:sz w:val="20"/>
          <w:szCs w:val="20"/>
          <w:color w:val="auto"/>
        </w:rPr>
      </w:pPr>
      <w:r>
        <w:rPr>
          <w:rFonts w:ascii="Arial" w:cs="Arial" w:eastAsia="Arial" w:hAnsi="Arial"/>
          <w:sz w:val="18"/>
          <w:szCs w:val="18"/>
          <w:color w:val="auto"/>
        </w:rPr>
        <w:t>The tax benefit of $0.2 million for the period was made up of a tax benefit for the period of $1.2 million on operating earnings coupled with a stock compensation tax deficiency of $0.2 million related to the stock compensation arrangements of LivePerson, Inc., LivePerson (UK) Limited and LivePerson Limited (Israel). During the quarter, the Company acquired WildHealth in a non-taxable transaction that resulted in a tax provision of $1.6 million related to the release of valuation allowance on certain LivePerson, Inc. (acquirer) net operating losses.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39" w:lineRule="exact"/>
        <w:rPr>
          <w:sz w:val="20"/>
          <w:szCs w:val="20"/>
          <w:color w:val="auto"/>
        </w:rPr>
      </w:pPr>
    </w:p>
    <w:p>
      <w:pPr>
        <w:jc w:val="both"/>
        <w:ind w:right="100" w:firstLine="315"/>
        <w:spacing w:after="0" w:line="249" w:lineRule="auto"/>
        <w:rPr>
          <w:sz w:val="20"/>
          <w:szCs w:val="20"/>
          <w:color w:val="auto"/>
        </w:rPr>
      </w:pPr>
      <w:r>
        <w:rPr>
          <w:rFonts w:ascii="Arial" w:cs="Arial" w:eastAsia="Arial" w:hAnsi="Arial"/>
          <w:sz w:val="18"/>
          <w:szCs w:val="18"/>
          <w:color w:val="auto"/>
        </w:rPr>
        <w:t>We had a net loss of $65.4 million for the three months ended March 31, 2022 compared to a net loss of $21.2 million for the three months ended March 31, 2021. During the three months ended March 31, 2022, there were increases in revenue of approximately $22.3 million, increases in operating expenses of approximately $73.8 million, decrease in total other expense, net of approximately $8.0 million, and decrease in benefit from income taxes of approximately $0.7 million.</w:t>
      </w:r>
    </w:p>
    <w:p>
      <w:pPr>
        <w:spacing w:after="0" w:line="21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left="526"/>
              <w:spacing w:after="0"/>
              <w:rPr>
                <w:sz w:val="20"/>
                <w:szCs w:val="20"/>
                <w:color w:val="auto"/>
              </w:rPr>
            </w:pPr>
            <w:r>
              <w:rPr>
                <w:rFonts w:ascii="Arial" w:cs="Arial" w:eastAsia="Arial" w:hAnsi="Arial"/>
                <w:sz w:val="14"/>
                <w:szCs w:val="14"/>
                <w:b w:val="1"/>
                <w:bCs w:val="1"/>
                <w:color w:val="auto"/>
                <w:w w:val="92"/>
              </w:rPr>
              <w:t>March 31,</w:t>
            </w:r>
          </w:p>
        </w:tc>
        <w:tc>
          <w:tcPr>
            <w:tcW w:w="920" w:type="dxa"/>
            <w:vAlign w:val="bottom"/>
            <w:tcBorders>
              <w:bottom w:val="single" w:sz="8" w:color="auto"/>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r>
      <w:tr>
        <w:trPr>
          <w:trHeight w:val="177"/>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2"/>
          </w:tcPr>
          <w:p>
            <w:pPr>
              <w:jc w:val="center"/>
              <w:ind w:left="526"/>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15"/>
                <w:szCs w:val="15"/>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w w:val="87"/>
              </w:rPr>
              <w:t>Consolidated Statements of Cash Flows Data:</w:t>
            </w:r>
          </w:p>
        </w:tc>
        <w:tc>
          <w:tcPr>
            <w:tcW w:w="5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207"/>
        </w:trPr>
        <w:tc>
          <w:tcPr>
            <w:tcW w:w="8360" w:type="dxa"/>
            <w:vAlign w:val="bottom"/>
            <w:gridSpan w:val="3"/>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ind w:left="500"/>
              <w:spacing w:after="0"/>
              <w:rPr>
                <w:sz w:val="20"/>
                <w:szCs w:val="20"/>
                <w:color w:val="auto"/>
              </w:rPr>
            </w:pPr>
            <w:r>
              <w:rPr>
                <w:rFonts w:ascii="Arial" w:cs="Arial" w:eastAsia="Arial" w:hAnsi="Arial"/>
                <w:sz w:val="16"/>
                <w:szCs w:val="16"/>
                <w:color w:val="auto"/>
              </w:rPr>
              <w:t>(22,872)</w:t>
            </w:r>
          </w:p>
        </w:tc>
        <w:tc>
          <w:tcPr>
            <w:tcW w:w="52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25,229</w:t>
            </w:r>
          </w:p>
        </w:tc>
      </w:tr>
      <w:tr>
        <w:trPr>
          <w:trHeight w:val="213"/>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(19,899)</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(11,437)</w:t>
            </w:r>
          </w:p>
        </w:tc>
      </w:tr>
      <w:tr>
        <w:trPr>
          <w:trHeight w:val="204"/>
        </w:trPr>
        <w:tc>
          <w:tcPr>
            <w:tcW w:w="8360" w:type="dxa"/>
            <w:vAlign w:val="bottom"/>
            <w:gridSpan w:val="3"/>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7"/>
                <w:szCs w:val="17"/>
                <w:color w:val="auto"/>
              </w:rPr>
            </w:pPr>
          </w:p>
        </w:tc>
        <w:tc>
          <w:tcPr>
            <w:tcW w:w="1120" w:type="dxa"/>
            <w:vAlign w:val="bottom"/>
          </w:tcPr>
          <w:p>
            <w:pPr>
              <w:jc w:val="right"/>
              <w:ind w:right="46"/>
              <w:spacing w:after="0"/>
              <w:rPr>
                <w:sz w:val="20"/>
                <w:szCs w:val="20"/>
                <w:color w:val="auto"/>
              </w:rPr>
            </w:pPr>
            <w:r>
              <w:rPr>
                <w:rFonts w:ascii="Arial" w:cs="Arial" w:eastAsia="Arial" w:hAnsi="Arial"/>
                <w:sz w:val="16"/>
                <w:szCs w:val="16"/>
                <w:color w:val="auto"/>
              </w:rPr>
              <w:t>1,001</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309" w:right="239" w:bottom="1440" w:gutter="0" w:footer="0" w:header="0"/>
        </w:sectPr>
      </w:pPr>
    </w:p>
    <w:bookmarkStart w:id="50" w:name="page51"/>
    <w:bookmarkEnd w:id="50"/>
    <w:p>
      <w:pPr>
        <w:jc w:val="both"/>
        <w:ind w:firstLine="420"/>
        <w:spacing w:after="0" w:line="252" w:lineRule="auto"/>
        <w:rPr>
          <w:sz w:val="20"/>
          <w:szCs w:val="20"/>
          <w:color w:val="auto"/>
        </w:rPr>
      </w:pPr>
      <w:r>
        <w:rPr>
          <w:rFonts w:ascii="Arial" w:cs="Arial" w:eastAsia="Arial" w:hAnsi="Arial"/>
          <w:sz w:val="18"/>
          <w:szCs w:val="18"/>
          <w:color w:val="auto"/>
        </w:rPr>
        <w:t>As of March 31, 2022, we had approximately $482.4 million in cash, cash equivalents, and restricted cash, a decrease of approximately $41.2 million from December 31, 2021. The decrease is primarily attributable to the acquisition costs of WildHealth, partially offset by increases in changes in operating assets and liabilities.</w:t>
      </w:r>
    </w:p>
    <w:p>
      <w:pPr>
        <w:spacing w:after="0" w:line="214" w:lineRule="exact"/>
        <w:rPr>
          <w:sz w:val="20"/>
          <w:szCs w:val="20"/>
          <w:color w:val="auto"/>
        </w:rPr>
      </w:pPr>
    </w:p>
    <w:p>
      <w:pPr>
        <w:jc w:val="both"/>
        <w:ind w:firstLine="420"/>
        <w:spacing w:after="0" w:line="246" w:lineRule="auto"/>
        <w:rPr>
          <w:sz w:val="20"/>
          <w:szCs w:val="20"/>
          <w:color w:val="auto"/>
        </w:rPr>
      </w:pPr>
      <w:r>
        <w:rPr>
          <w:rFonts w:ascii="Arial" w:cs="Arial" w:eastAsia="Arial" w:hAnsi="Arial"/>
          <w:sz w:val="18"/>
          <w:szCs w:val="18"/>
          <w:color w:val="auto"/>
        </w:rPr>
        <w:t>Net cash used in operating activities was $22.9 million for the three months ended March 31, 2022. Our net loss of $65.4 million was offset by non-cash expenses: stock-based compensation of $31.9 million; depreciation of $7.2 million; an increase in deferred revenue of $13.5 million; and an increase in accrued expenses of $3.2 million. This was partially offset by increases in accounts receivable of $16.3 million and prepaid expenses of $9.3 million. Net cash provided by operating activities was $25.2 million for the three months ended March 31, 2021. Our net loss of $21.2 million for the three months ended March 31, 2021 was offset by non-cash expenses: stock-based compensation of $14.6 million; depreciation and amortization of $6.6 million; an increase in deferred revenue of $21.6 million and accrued expenses of $17.2 million. This was partially offset by increases in accounts receivable of $13.7 million and prepaid expenses of $5.8 million.</w:t>
      </w:r>
    </w:p>
    <w:p>
      <w:pPr>
        <w:spacing w:after="0" w:line="222"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Net cash used in investing activities was $19.9 million for the three months ended March 31, 2022 and was driven primarily by the acquisition costs for the purchase of WildHealth, the purchase of fixed assets for our co-location facilities, and capitalization of internally developed software. Net cash used in investing activities was $11.4 million for the three months ended March 31, 2021 and consisted primarily of the purchase of fixed assets for our co-location facilities and capitalization of internally developed software.</w:t>
      </w:r>
    </w:p>
    <w:p>
      <w:pPr>
        <w:spacing w:after="0" w:line="218"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Net cash provided by financing activities was $1.0 million for the three months ended March 31, 2022, consisting primarily of proceeds from issuance of common stock in connection with the exercise of stock options by employees. Net cash provided by financing activities was $3.0 million for the three months ended March 31, 2021 and consisted primarily of proceeds from issuance of common stock in connection with the exercise of stock options by employees.</w:t>
      </w:r>
    </w:p>
    <w:p>
      <w:pPr>
        <w:spacing w:after="0" w:line="181"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2022, we had an accumulated deficit of approximately $532.0 million.</w:t>
      </w:r>
    </w:p>
    <w:p>
      <w:pPr>
        <w:spacing w:after="0" w:line="187"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239"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NIS. During the three months ended March 31, 2022, the U.S. dollar depreciated by approximately 3% as compared to the NIS. During the three months ended March 31, 2022, expenses generated by our Israeli operations totaled approximately $16.0 million.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Limited. (Israel) and Kasamba Inc.,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 Risks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2022, our allowance for doubtful accounts increased by $0.9 million to approximately $7.2 million. During the three months ended March 31, 2021, we increased our allowance for doubtful accounts by $0.1 million to approximately $5.4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193"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investments consist of cash and cash equivalents. Therefore, changes in market interest rates do not affect in any material respect the value of the investments as recorded by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2022. Based on that evaluation, the Chief Executive Officer and Chief Financial Officer concluded that our disclosure controls and procedures were effective as of March 31, 2022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2022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the Effectiveness of Internal Control</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spacing w:after="0" w:line="200"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w:t>
      </w:r>
    </w:p>
    <w:p>
      <w:pPr>
        <w:spacing w:after="0" w:line="200" w:lineRule="exact"/>
        <w:rPr>
          <w:sz w:val="20"/>
          <w:szCs w:val="20"/>
          <w:color w:val="auto"/>
        </w:rPr>
      </w:pPr>
    </w:p>
    <w:p>
      <w:pPr>
        <w:spacing w:after="0" w:line="33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3" w:name="page54"/>
    <w:bookmarkEnd w:id="53"/>
    <w:p>
      <w:pPr>
        <w:jc w:val="both"/>
        <w:spacing w:after="0" w:line="247" w:lineRule="auto"/>
        <w:rPr>
          <w:sz w:val="20"/>
          <w:szCs w:val="20"/>
          <w:color w:val="auto"/>
        </w:rPr>
      </w:pPr>
      <w:r>
        <w:rPr>
          <w:rFonts w:ascii="Arial" w:cs="Arial" w:eastAsia="Arial" w:hAnsi="Arial"/>
          <w:sz w:val="18"/>
          <w:szCs w:val="18"/>
          <w:color w:val="auto"/>
        </w:rPr>
        <w:t>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jc w:val="both"/>
        <w:ind w:firstLine="420"/>
        <w:spacing w:after="0" w:line="245" w:lineRule="auto"/>
        <w:rPr>
          <w:sz w:val="20"/>
          <w:szCs w:val="20"/>
          <w:color w:val="auto"/>
        </w:rPr>
      </w:pPr>
      <w:r>
        <w:rPr>
          <w:rFonts w:ascii="Arial" w:cs="Arial" w:eastAsia="Arial" w:hAnsi="Arial"/>
          <w:sz w:val="18"/>
          <w:szCs w:val="18"/>
          <w:color w:val="auto"/>
        </w:rPr>
        <w:t>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w:t>
      </w:r>
    </w:p>
    <w:p>
      <w:pPr>
        <w:spacing w:after="0" w:line="221" w:lineRule="exact"/>
        <w:rPr>
          <w:sz w:val="20"/>
          <w:szCs w:val="20"/>
          <w:color w:val="auto"/>
        </w:rPr>
      </w:pPr>
    </w:p>
    <w:p>
      <w:pPr>
        <w:jc w:val="both"/>
        <w:ind w:firstLine="420"/>
        <w:spacing w:after="0" w:line="361" w:lineRule="auto"/>
        <w:rPr>
          <w:sz w:val="20"/>
          <w:szCs w:val="20"/>
          <w:color w:val="auto"/>
        </w:rPr>
      </w:pPr>
      <w:r>
        <w:rPr>
          <w:rFonts w:ascii="Arial" w:cs="Arial" w:eastAsia="Arial" w:hAnsi="Arial"/>
          <w:sz w:val="15"/>
          <w:szCs w:val="15"/>
          <w:color w:val="auto"/>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2021, filed on February 28, 2022,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39"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On February 7, 2022, the Company issued an aggregate 545,629 shares of its common stock as partial consideration for the Company’s acquisition of WildHealth and issued an additional 231,194 shares of Common Stock into escrow accounts for potential post-closing purchase price and other adjustments and indemnification claims in connection with the business acquisition in a transaction exempted from registration under Section 4(a)(2) of the Securities Act of 1933.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the Issuer</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equity securities by the issuer during the three months ended March 31, 2022.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4" w:name="page55"/>
    <w:bookmarkEnd w:id="54"/>
    <w:p>
      <w:pPr>
        <w:spacing w:after="0" w:line="203" w:lineRule="auto"/>
        <w:framePr w:w="1360" w:h="156" w:wrap="auto" w:vAnchor="page" w:hAnchor="page" w:x="700" w:y="7677"/>
        <w:rPr>
          <w:rFonts w:ascii="Arial" w:cs="Arial" w:eastAsia="Arial" w:hAnsi="Arial"/>
          <w:sz w:val="16"/>
          <w:szCs w:val="16"/>
          <w:color w:val="auto"/>
        </w:rPr>
      </w:pPr>
      <w:r>
        <w:rPr>
          <w:rFonts w:ascii="Arial" w:cs="Arial" w:eastAsia="Arial" w:hAnsi="Arial"/>
          <w:sz w:val="16"/>
          <w:szCs w:val="16"/>
          <w:color w:val="auto"/>
        </w:rPr>
        <w:t>*  Filed herewith</w:t>
      </w:r>
    </w:p>
    <w:p>
      <w:pPr>
        <w:spacing w:after="0" w:line="203" w:lineRule="auto"/>
        <w:framePr w:w="1800" w:h="156" w:wrap="auto" w:vAnchor="page" w:hAnchor="page" w:x="700" w:y="7992"/>
        <w:rPr>
          <w:rFonts w:ascii="Arial" w:cs="Arial" w:eastAsia="Arial" w:hAnsi="Arial"/>
          <w:sz w:val="16"/>
          <w:szCs w:val="16"/>
          <w:color w:val="auto"/>
        </w:rPr>
      </w:pPr>
      <w:r>
        <w:rPr>
          <w:rFonts w:ascii="Arial" w:cs="Arial" w:eastAsia="Arial" w:hAnsi="Arial"/>
          <w:sz w:val="16"/>
          <w:szCs w:val="16"/>
          <w:color w:val="auto"/>
        </w:rPr>
        <w:t>**  Furnished herewith</w:t>
      </w: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20" w:type="dxa"/>
            <w:vAlign w:val="bottom"/>
          </w:tcPr>
          <w:p>
            <w:pPr>
              <w:ind w:left="2280"/>
              <w:spacing w:after="0"/>
              <w:rPr>
                <w:sz w:val="20"/>
                <w:szCs w:val="20"/>
                <w:color w:val="auto"/>
              </w:rPr>
            </w:pPr>
            <w:r>
              <w:rPr>
                <w:rFonts w:ascii="Arial" w:cs="Arial" w:eastAsia="Arial" w:hAnsi="Arial"/>
                <w:sz w:val="18"/>
                <w:szCs w:val="18"/>
                <w:color w:val="auto"/>
              </w:rPr>
              <w:t>ITEM 6. EXHIBITS</w:t>
            </w:r>
          </w:p>
        </w:tc>
        <w:tc>
          <w:tcPr>
            <w:tcW w:w="0" w:type="dxa"/>
            <w:vAlign w:val="bottom"/>
          </w:tcPr>
          <w:p>
            <w:pPr>
              <w:spacing w:after="0"/>
              <w:rPr>
                <w:sz w:val="1"/>
                <w:szCs w:val="1"/>
                <w:color w:val="auto"/>
              </w:rPr>
            </w:pPr>
          </w:p>
        </w:tc>
      </w:tr>
      <w:tr>
        <w:trPr>
          <w:trHeight w:val="473"/>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31.1</w:t>
            </w: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88"/>
              </w:rPr>
            </w:pPr>
            <w:hyperlink w:anchor="page57">
              <w:r>
                <w:rPr>
                  <w:rFonts w:ascii="Arial" w:cs="Arial" w:eastAsia="Arial" w:hAnsi="Arial"/>
                  <w:sz w:val="16"/>
                  <w:szCs w:val="16"/>
                  <w:color w:val="0000FF"/>
                  <w:w w:val="88"/>
                </w:rPr>
                <w:t>Certification by Chief Executive Officer pursuant to Exchange Act Rule 13a-14(a), as adopted pursuant to Section 302 of the Sarbanes-Oxle</w:t>
              </w:r>
            </w:hyperlink>
          </w:p>
        </w:tc>
        <w:tc>
          <w:tcPr>
            <w:tcW w:w="0" w:type="dxa"/>
            <w:vAlign w:val="bottom"/>
          </w:tcPr>
          <w:p>
            <w:pPr>
              <w:spacing w:after="0"/>
              <w:rPr>
                <w:sz w:val="1"/>
                <w:szCs w:val="1"/>
                <w:color w:val="auto"/>
              </w:rPr>
            </w:pPr>
          </w:p>
        </w:tc>
      </w:tr>
      <w:tr>
        <w:trPr>
          <w:trHeight w:val="20"/>
        </w:trPr>
        <w:tc>
          <w:tcPr>
            <w:tcW w:w="1260" w:type="dxa"/>
            <w:vAlign w:val="bottom"/>
            <w:vMerge w:val="continue"/>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520" w:type="dxa"/>
            <w:vAlign w:val="bottom"/>
            <w:tcBorders>
              <w:right w:val="single" w:sz="8" w:color="CCEE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260" w:type="dxa"/>
            <w:vAlign w:val="bottom"/>
            <w:vMerge w:val="continue"/>
            <w:shd w:val="clear" w:color="auto" w:fill="CCEEFF"/>
          </w:tcPr>
          <w:p>
            <w:pPr>
              <w:spacing w:after="0"/>
              <w:rPr>
                <w:sz w:val="7"/>
                <w:szCs w:val="7"/>
                <w:color w:val="auto"/>
              </w:rPr>
            </w:pPr>
          </w:p>
        </w:tc>
        <w:tc>
          <w:tcPr>
            <w:tcW w:w="420" w:type="dxa"/>
            <w:vAlign w:val="bottom"/>
            <w:vMerge w:val="restart"/>
            <w:shd w:val="clear" w:color="auto" w:fill="CCEEFF"/>
          </w:tcPr>
          <w:p>
            <w:pPr>
              <w:ind w:left="240"/>
              <w:spacing w:after="0" w:line="138" w:lineRule="exact"/>
              <w:rPr>
                <w:sz w:val="20"/>
                <w:szCs w:val="20"/>
                <w:color w:val="auto"/>
              </w:rPr>
            </w:pPr>
            <w:r>
              <w:rPr>
                <w:rFonts w:ascii="Arial" w:cs="Arial" w:eastAsia="Arial" w:hAnsi="Arial"/>
                <w:sz w:val="15"/>
                <w:szCs w:val="15"/>
                <w:color w:val="auto"/>
              </w:rPr>
              <w:t>*</w:t>
            </w:r>
          </w:p>
        </w:tc>
        <w:tc>
          <w:tcPr>
            <w:tcW w:w="9260" w:type="dxa"/>
            <w:vAlign w:val="bottom"/>
            <w:tcBorders>
              <w:right w:val="single" w:sz="8" w:color="CCEEFF"/>
            </w:tcBorders>
            <w:gridSpan w:val="4"/>
            <w:vMerge w:val="restart"/>
            <w:shd w:val="clear" w:color="auto" w:fill="CCEEFF"/>
          </w:tcPr>
          <w:p>
            <w:pPr>
              <w:spacing w:after="0" w:line="138" w:lineRule="exact"/>
              <w:rPr>
                <w:rFonts w:ascii="Arial" w:cs="Arial" w:eastAsia="Arial" w:hAnsi="Arial"/>
                <w:sz w:val="15"/>
                <w:szCs w:val="15"/>
                <w:color w:val="0000FF"/>
              </w:rPr>
            </w:pPr>
            <w:hyperlink w:anchor="page57">
              <w:r>
                <w:rPr>
                  <w:rFonts w:ascii="Arial" w:cs="Arial" w:eastAsia="Arial" w:hAnsi="Arial"/>
                  <w:sz w:val="15"/>
                  <w:szCs w:val="15"/>
                  <w:color w:val="0000FF"/>
                </w:rPr>
                <w:t>Act of 2002</w:t>
              </w:r>
            </w:hyperlink>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260" w:type="dxa"/>
            <w:vAlign w:val="bottom"/>
            <w:tcBorders>
              <w:right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2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5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shd w:val="clear" w:color="auto" w:fill="CCEEFF"/>
          </w:tcPr>
          <w:p>
            <w:pPr>
              <w:jc w:val="center"/>
              <w:ind w:left="141"/>
              <w:spacing w:after="0" w:line="171" w:lineRule="exact"/>
              <w:rPr>
                <w:sz w:val="20"/>
                <w:szCs w:val="20"/>
                <w:color w:val="auto"/>
              </w:rPr>
            </w:pPr>
            <w:r>
              <w:rPr>
                <w:rFonts w:ascii="Arial" w:cs="Arial" w:eastAsia="Arial" w:hAnsi="Arial"/>
                <w:sz w:val="16"/>
                <w:szCs w:val="16"/>
                <w:color w:val="auto"/>
                <w:w w:val="89"/>
              </w:rPr>
              <w:t>31.2</w:t>
            </w:r>
          </w:p>
        </w:tc>
        <w:tc>
          <w:tcPr>
            <w:tcW w:w="420" w:type="dxa"/>
            <w:vAlign w:val="bottom"/>
            <w:tcBorders>
              <w:bottom w:val="single" w:sz="8" w:color="CCEEFF"/>
            </w:tcBorders>
            <w:vMerge w:val="restart"/>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vMerge w:val="restart"/>
            <w:shd w:val="clear" w:color="auto" w:fill="CCEEFF"/>
          </w:tcPr>
          <w:p>
            <w:pPr>
              <w:spacing w:after="0"/>
              <w:rPr>
                <w:rFonts w:ascii="Arial" w:cs="Arial" w:eastAsia="Arial" w:hAnsi="Arial"/>
                <w:sz w:val="16"/>
                <w:szCs w:val="16"/>
                <w:color w:val="0000FF"/>
                <w:w w:val="97"/>
              </w:rPr>
            </w:pPr>
            <w:hyperlink w:anchor="page58">
              <w:r>
                <w:rPr>
                  <w:rFonts w:ascii="Arial" w:cs="Arial" w:eastAsia="Arial" w:hAnsi="Arial"/>
                  <w:sz w:val="16"/>
                  <w:szCs w:val="16"/>
                  <w:color w:val="0000FF"/>
                  <w:w w:val="97"/>
                </w:rPr>
                <w:t>Act of</w:t>
              </w:r>
            </w:hyperlink>
          </w:p>
        </w:tc>
        <w:tc>
          <w:tcPr>
            <w:tcW w:w="8840" w:type="dxa"/>
            <w:vAlign w:val="bottom"/>
            <w:tcBorders>
              <w:bottom w:val="single" w:sz="8" w:color="0000FF"/>
              <w:right w:val="single" w:sz="8" w:color="CCEEFF"/>
            </w:tcBorders>
            <w:gridSpan w:val="2"/>
            <w:shd w:val="clear" w:color="auto" w:fill="CCEEFF"/>
          </w:tcPr>
          <w:p>
            <w:pPr>
              <w:spacing w:after="0" w:line="151" w:lineRule="exact"/>
              <w:rPr>
                <w:rFonts w:ascii="Arial" w:cs="Arial" w:eastAsia="Arial" w:hAnsi="Arial"/>
                <w:sz w:val="16"/>
                <w:szCs w:val="16"/>
                <w:color w:val="0000FF"/>
                <w:w w:val="89"/>
              </w:rPr>
            </w:pPr>
            <w:hyperlink w:anchor="page58">
              <w:r>
                <w:rPr>
                  <w:rFonts w:ascii="Arial" w:cs="Arial" w:eastAsia="Arial" w:hAnsi="Arial"/>
                  <w:sz w:val="16"/>
                  <w:szCs w:val="16"/>
                  <w:color w:val="0000FF"/>
                  <w:w w:val="89"/>
                </w:rPr>
                <w:t>Certification by Chief Financial Officer pursuant to Exchange Act Rule 13a-14(a), as adopted pursuant to Section 302 of the Sarbanes-Oxle</w:t>
              </w:r>
            </w:hyperlink>
          </w:p>
        </w:tc>
        <w:tc>
          <w:tcPr>
            <w:tcW w:w="0" w:type="dxa"/>
            <w:vAlign w:val="bottom"/>
          </w:tcPr>
          <w:p>
            <w:pPr>
              <w:spacing w:after="0"/>
              <w:rPr>
                <w:sz w:val="1"/>
                <w:szCs w:val="1"/>
                <w:color w:val="auto"/>
              </w:rPr>
            </w:pPr>
          </w:p>
        </w:tc>
      </w:tr>
      <w:tr>
        <w:trPr>
          <w:trHeight w:val="157"/>
        </w:trPr>
        <w:tc>
          <w:tcPr>
            <w:tcW w:w="12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8840" w:type="dxa"/>
            <w:vAlign w:val="bottom"/>
            <w:tcBorders>
              <w:right w:val="single" w:sz="8" w:color="CCEEFF"/>
            </w:tcBorders>
            <w:gridSpan w:val="2"/>
            <w:shd w:val="clear" w:color="auto" w:fill="CCEEFF"/>
          </w:tcPr>
          <w:p>
            <w:pPr>
              <w:ind w:left="20"/>
              <w:spacing w:after="0" w:line="138" w:lineRule="exact"/>
              <w:rPr>
                <w:rFonts w:ascii="Arial" w:cs="Arial" w:eastAsia="Arial" w:hAnsi="Arial"/>
                <w:sz w:val="15"/>
                <w:szCs w:val="15"/>
                <w:color w:val="0000FF"/>
              </w:rPr>
            </w:pPr>
            <w:hyperlink w:anchor="page58">
              <w:r>
                <w:rPr>
                  <w:rFonts w:ascii="Arial" w:cs="Arial" w:eastAsia="Arial" w:hAnsi="Arial"/>
                  <w:sz w:val="15"/>
                  <w:szCs w:val="15"/>
                  <w:color w:val="0000FF"/>
                </w:rPr>
                <w:t>2002</w:t>
              </w:r>
            </w:hyperlink>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32.1</w:t>
            </w:r>
          </w:p>
        </w:tc>
        <w:tc>
          <w:tcPr>
            <w:tcW w:w="740" w:type="dxa"/>
            <w:vAlign w:val="bottom"/>
            <w:gridSpan w:val="2"/>
            <w:vMerge w:val="restart"/>
            <w:shd w:val="clear" w:color="auto" w:fill="CCEEFF"/>
          </w:tcPr>
          <w:p>
            <w:pPr>
              <w:ind w:left="240"/>
              <w:spacing w:after="0"/>
              <w:rPr>
                <w:rFonts w:ascii="Arial" w:cs="Arial" w:eastAsia="Arial" w:hAnsi="Arial"/>
                <w:sz w:val="16"/>
                <w:szCs w:val="16"/>
                <w:color w:val="auto"/>
                <w:w w:val="91"/>
              </w:rPr>
            </w:pPr>
            <w:r>
              <w:rPr>
                <w:rFonts w:ascii="Arial" w:cs="Arial" w:eastAsia="Arial" w:hAnsi="Arial"/>
                <w:sz w:val="16"/>
                <w:szCs w:val="16"/>
                <w:color w:val="auto"/>
                <w:w w:val="91"/>
              </w:rPr>
              <w:t xml:space="preserve">** </w:t>
            </w:r>
            <w:hyperlink w:anchor="page59">
              <w:r>
                <w:rPr>
                  <w:rFonts w:ascii="Arial" w:cs="Arial" w:eastAsia="Arial" w:hAnsi="Arial"/>
                  <w:sz w:val="16"/>
                  <w:szCs w:val="16"/>
                  <w:color w:val="0000FF"/>
                  <w:w w:val="91"/>
                </w:rPr>
                <w:t>2002</w:t>
              </w:r>
            </w:hyperlink>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89"/>
              </w:rPr>
            </w:pPr>
            <w:hyperlink w:anchor="page59">
              <w:r>
                <w:rPr>
                  <w:rFonts w:ascii="Arial" w:cs="Arial" w:eastAsia="Arial" w:hAnsi="Arial"/>
                  <w:sz w:val="16"/>
                  <w:szCs w:val="16"/>
                  <w:color w:val="0000FF"/>
                  <w:w w:val="89"/>
                </w:rPr>
                <w:t>Certification by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92"/>
        </w:trPr>
        <w:tc>
          <w:tcPr>
            <w:tcW w:w="1260" w:type="dxa"/>
            <w:vAlign w:val="bottom"/>
            <w:tcBorders>
              <w:top w:val="single" w:sz="8" w:color="CCEEFF"/>
            </w:tcBorders>
            <w:vMerge w:val="continue"/>
            <w:shd w:val="clear" w:color="auto" w:fill="CCEEFF"/>
          </w:tcPr>
          <w:p>
            <w:pPr>
              <w:spacing w:after="0"/>
              <w:rPr>
                <w:sz w:val="7"/>
                <w:szCs w:val="7"/>
                <w:color w:val="auto"/>
              </w:rPr>
            </w:pPr>
          </w:p>
        </w:tc>
        <w:tc>
          <w:tcPr>
            <w:tcW w:w="740" w:type="dxa"/>
            <w:vAlign w:val="bottom"/>
            <w:tcBorders>
              <w:top w:val="single" w:sz="8" w:color="CCEEFF"/>
            </w:tcBorders>
            <w:gridSpan w:val="2"/>
            <w:vMerge w:val="continue"/>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852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52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32.2</w:t>
            </w:r>
          </w:p>
        </w:tc>
        <w:tc>
          <w:tcPr>
            <w:tcW w:w="740" w:type="dxa"/>
            <w:vAlign w:val="bottom"/>
            <w:gridSpan w:val="2"/>
            <w:vMerge w:val="restart"/>
            <w:shd w:val="clear" w:color="auto" w:fill="CCEEFF"/>
          </w:tcPr>
          <w:p>
            <w:pPr>
              <w:ind w:left="240"/>
              <w:spacing w:after="0"/>
              <w:rPr>
                <w:rFonts w:ascii="Arial" w:cs="Arial" w:eastAsia="Arial" w:hAnsi="Arial"/>
                <w:sz w:val="16"/>
                <w:szCs w:val="16"/>
                <w:color w:val="auto"/>
                <w:w w:val="91"/>
              </w:rPr>
            </w:pPr>
            <w:r>
              <w:rPr>
                <w:rFonts w:ascii="Arial" w:cs="Arial" w:eastAsia="Arial" w:hAnsi="Arial"/>
                <w:sz w:val="16"/>
                <w:szCs w:val="16"/>
                <w:color w:val="auto"/>
                <w:w w:val="91"/>
              </w:rPr>
              <w:t xml:space="preserve">** </w:t>
            </w:r>
            <w:hyperlink w:anchor="page60">
              <w:r>
                <w:rPr>
                  <w:rFonts w:ascii="Arial" w:cs="Arial" w:eastAsia="Arial" w:hAnsi="Arial"/>
                  <w:sz w:val="16"/>
                  <w:szCs w:val="16"/>
                  <w:color w:val="0000FF"/>
                  <w:w w:val="91"/>
                </w:rPr>
                <w:t>2002</w:t>
              </w:r>
            </w:hyperlink>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90"/>
              </w:rPr>
            </w:pPr>
            <w:hyperlink w:anchor="page60">
              <w:r>
                <w:rPr>
                  <w:rFonts w:ascii="Arial" w:cs="Arial" w:eastAsia="Arial" w:hAnsi="Arial"/>
                  <w:sz w:val="16"/>
                  <w:szCs w:val="16"/>
                  <w:color w:val="0000FF"/>
                  <w:w w:val="90"/>
                </w:rPr>
                <w:t>Certification by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92"/>
        </w:trPr>
        <w:tc>
          <w:tcPr>
            <w:tcW w:w="1260" w:type="dxa"/>
            <w:vAlign w:val="bottom"/>
            <w:tcBorders>
              <w:top w:val="single" w:sz="8" w:color="CCEEFF"/>
            </w:tcBorders>
            <w:vMerge w:val="continue"/>
            <w:shd w:val="clear" w:color="auto" w:fill="CCEEFF"/>
          </w:tcPr>
          <w:p>
            <w:pPr>
              <w:spacing w:after="0"/>
              <w:rPr>
                <w:sz w:val="7"/>
                <w:szCs w:val="7"/>
                <w:color w:val="auto"/>
              </w:rPr>
            </w:pPr>
          </w:p>
        </w:tc>
        <w:tc>
          <w:tcPr>
            <w:tcW w:w="740" w:type="dxa"/>
            <w:vAlign w:val="bottom"/>
            <w:tcBorders>
              <w:top w:val="single" w:sz="8" w:color="CCEEFF"/>
            </w:tcBorders>
            <w:gridSpan w:val="2"/>
            <w:vMerge w:val="continue"/>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852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52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101.INS</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940" w:type="dxa"/>
            <w:vAlign w:val="bottom"/>
            <w:tcBorders>
              <w:right w:val="single" w:sz="8" w:color="CCEEFF"/>
            </w:tcBorders>
            <w:gridSpan w:val="3"/>
            <w:shd w:val="clear" w:color="auto" w:fill="CCEEFF"/>
          </w:tcPr>
          <w:p>
            <w:pPr>
              <w:ind w:left="100"/>
              <w:spacing w:after="0" w:line="161" w:lineRule="exact"/>
              <w:rPr>
                <w:sz w:val="20"/>
                <w:szCs w:val="20"/>
                <w:color w:val="auto"/>
              </w:rPr>
            </w:pPr>
            <w:r>
              <w:rPr>
                <w:rFonts w:ascii="Arial" w:cs="Arial" w:eastAsia="Arial" w:hAnsi="Arial"/>
                <w:sz w:val="16"/>
                <w:szCs w:val="16"/>
                <w:color w:val="auto"/>
                <w:w w:val="89"/>
              </w:rPr>
              <w:t>Inline XBRL Instance Document -- The instance document does not appear in the Interactive Data File because its XBRL tags are embedde</w:t>
            </w:r>
          </w:p>
        </w:tc>
        <w:tc>
          <w:tcPr>
            <w:tcW w:w="0" w:type="dxa"/>
            <w:vAlign w:val="bottom"/>
          </w:tcPr>
          <w:p>
            <w:pPr>
              <w:spacing w:after="0"/>
              <w:rPr>
                <w:sz w:val="1"/>
                <w:szCs w:val="1"/>
                <w:color w:val="auto"/>
              </w:rPr>
            </w:pPr>
          </w:p>
        </w:tc>
      </w:tr>
      <w:tr>
        <w:trPr>
          <w:trHeight w:val="122"/>
        </w:trPr>
        <w:tc>
          <w:tcPr>
            <w:tcW w:w="1260" w:type="dxa"/>
            <w:vAlign w:val="bottom"/>
            <w:vMerge w:val="continue"/>
            <w:shd w:val="clear" w:color="auto" w:fill="CCEEFF"/>
          </w:tcPr>
          <w:p>
            <w:pPr>
              <w:spacing w:after="0"/>
              <w:rPr>
                <w:sz w:val="10"/>
                <w:szCs w:val="10"/>
                <w:color w:val="auto"/>
              </w:rPr>
            </w:pPr>
          </w:p>
        </w:tc>
        <w:tc>
          <w:tcPr>
            <w:tcW w:w="9680" w:type="dxa"/>
            <w:vAlign w:val="bottom"/>
            <w:tcBorders>
              <w:right w:val="single" w:sz="8" w:color="CCEEFF"/>
            </w:tcBorders>
            <w:gridSpan w:val="5"/>
            <w:vMerge w:val="restart"/>
            <w:shd w:val="clear" w:color="auto" w:fill="CCEEFF"/>
          </w:tcPr>
          <w:p>
            <w:pPr>
              <w:ind w:left="240"/>
              <w:spacing w:after="0"/>
              <w:rPr>
                <w:sz w:val="20"/>
                <w:szCs w:val="20"/>
                <w:color w:val="auto"/>
              </w:rPr>
            </w:pPr>
            <w:r>
              <w:rPr>
                <w:rFonts w:ascii="Arial" w:cs="Arial" w:eastAsia="Arial" w:hAnsi="Arial"/>
                <w:sz w:val="16"/>
                <w:szCs w:val="16"/>
                <w:color w:val="auto"/>
              </w:rPr>
              <w:t>*  within the Inline XBRL document</w:t>
            </w:r>
          </w:p>
        </w:tc>
        <w:tc>
          <w:tcPr>
            <w:tcW w:w="0" w:type="dxa"/>
            <w:vAlign w:val="bottom"/>
          </w:tcPr>
          <w:p>
            <w:pPr>
              <w:spacing w:after="0"/>
              <w:rPr>
                <w:sz w:val="1"/>
                <w:szCs w:val="1"/>
                <w:color w:val="auto"/>
              </w:rPr>
            </w:pPr>
          </w:p>
        </w:tc>
      </w:tr>
      <w:tr>
        <w:trPr>
          <w:trHeight w:val="85"/>
        </w:trPr>
        <w:tc>
          <w:tcPr>
            <w:tcW w:w="1260" w:type="dxa"/>
            <w:vAlign w:val="bottom"/>
            <w:shd w:val="clear" w:color="auto" w:fill="CCEEFF"/>
          </w:tcPr>
          <w:p>
            <w:pPr>
              <w:spacing w:after="0"/>
              <w:rPr>
                <w:sz w:val="7"/>
                <w:szCs w:val="7"/>
                <w:color w:val="auto"/>
              </w:rPr>
            </w:pPr>
          </w:p>
        </w:tc>
        <w:tc>
          <w:tcPr>
            <w:tcW w:w="9680" w:type="dxa"/>
            <w:vAlign w:val="bottom"/>
            <w:tcBorders>
              <w:right w:val="single" w:sz="8" w:color="CCEEFF"/>
            </w:tcBorders>
            <w:gridSpan w:val="5"/>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2"/>
              </w:rPr>
              <w:t>101.SCH</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6"/>
              </w:rPr>
              <w:t>101.CAL</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8"/>
              </w:rPr>
              <w:t>101.DEF</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7"/>
              </w:rPr>
              <w:t>101.LAB</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7"/>
              </w:rPr>
              <w:t>101.PRE</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104</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63500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740" w:top="1072" w:right="239" w:bottom="1440" w:gutter="0" w:footer="0" w:header="0"/>
        </w:sectPr>
      </w:pPr>
    </w:p>
    <w:bookmarkStart w:id="55" w:name="page56"/>
    <w:bookmarkEnd w:id="55"/>
    <w:p>
      <w:pPr>
        <w:jc w:val="center"/>
        <w:ind w:left="400"/>
        <w:spacing w:after="0"/>
        <w:rPr>
          <w:sz w:val="20"/>
          <w:szCs w:val="20"/>
          <w:color w:val="auto"/>
        </w:rPr>
      </w:pPr>
      <w:r>
        <w:rPr>
          <w:rFonts w:ascii="Arial" w:cs="Arial" w:eastAsia="Arial" w:hAnsi="Arial"/>
          <w:sz w:val="18"/>
          <w:szCs w:val="18"/>
          <w:b w:val="1"/>
          <w:bCs w:val="1"/>
          <w:color w:val="auto"/>
        </w:rPr>
        <w:t>SIGNATURES</w:t>
      </w:r>
    </w:p>
    <w:p>
      <w:pPr>
        <w:spacing w:after="0" w:line="114" w:lineRule="exact"/>
        <w:rPr>
          <w:sz w:val="20"/>
          <w:szCs w:val="20"/>
          <w:color w:val="auto"/>
        </w:rPr>
      </w:pPr>
    </w:p>
    <w:p>
      <w:pPr>
        <w:ind w:firstLine="63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700" w:type="dxa"/>
            <w:vAlign w:val="bottom"/>
            <w:gridSpan w:val="2"/>
          </w:tcPr>
          <w:p>
            <w:pPr>
              <w:ind w:left="1680"/>
              <w:spacing w:after="0"/>
              <w:rPr>
                <w:sz w:val="20"/>
                <w:szCs w:val="20"/>
                <w:color w:val="auto"/>
              </w:rPr>
            </w:pPr>
            <w:r>
              <w:rPr>
                <w:rFonts w:ascii="Arial" w:cs="Arial" w:eastAsia="Arial" w:hAnsi="Arial"/>
                <w:sz w:val="16"/>
                <w:szCs w:val="16"/>
                <w:b w:val="1"/>
                <w:bCs w:val="1"/>
                <w:color w:val="auto"/>
              </w:rPr>
              <w:t>LIVEPERSON, INC.</w:t>
            </w:r>
          </w:p>
        </w:tc>
      </w:tr>
      <w:tr>
        <w:trPr>
          <w:trHeight w:val="210"/>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00" w:type="dxa"/>
            <w:vAlign w:val="bottom"/>
          </w:tcPr>
          <w:p>
            <w:pPr>
              <w:ind w:left="1680"/>
              <w:spacing w:after="0"/>
              <w:rPr>
                <w:sz w:val="20"/>
                <w:szCs w:val="20"/>
                <w:color w:val="auto"/>
              </w:rPr>
            </w:pPr>
            <w:r>
              <w:rPr>
                <w:rFonts w:ascii="Arial" w:cs="Arial" w:eastAsia="Arial" w:hAnsi="Arial"/>
                <w:sz w:val="16"/>
                <w:szCs w:val="16"/>
                <w:color w:val="auto"/>
                <w:w w:val="95"/>
              </w:rPr>
              <w:t>(Registrant)</w:t>
            </w:r>
          </w:p>
        </w:tc>
        <w:tc>
          <w:tcPr>
            <w:tcW w:w="5200" w:type="dxa"/>
            <w:vAlign w:val="bottom"/>
          </w:tcPr>
          <w:p>
            <w:pPr>
              <w:spacing w:after="0"/>
              <w:rPr>
                <w:sz w:val="18"/>
                <w:szCs w:val="18"/>
                <w:color w:val="auto"/>
              </w:rPr>
            </w:pPr>
          </w:p>
        </w:tc>
      </w:tr>
      <w:tr>
        <w:trPr>
          <w:trHeight w:val="45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760" w:type="dxa"/>
            <w:vAlign w:val="bottom"/>
          </w:tcPr>
          <w:p>
            <w:pPr>
              <w:ind w:left="180"/>
              <w:spacing w:after="0"/>
              <w:rPr>
                <w:sz w:val="20"/>
                <w:szCs w:val="20"/>
                <w:color w:val="auto"/>
              </w:rPr>
            </w:pPr>
            <w:r>
              <w:rPr>
                <w:rFonts w:ascii="Arial" w:cs="Arial" w:eastAsia="Arial" w:hAnsi="Arial"/>
                <w:sz w:val="16"/>
                <w:szCs w:val="16"/>
                <w:color w:val="auto"/>
              </w:rPr>
              <w:t>May 10, 2022</w:t>
            </w:r>
          </w:p>
        </w:tc>
        <w:tc>
          <w:tcPr>
            <w:tcW w:w="2500" w:type="dxa"/>
            <w:vAlign w:val="bottom"/>
          </w:tcPr>
          <w:p>
            <w:pPr>
              <w:ind w:left="168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P. LOCASCIO</w:t>
            </w:r>
          </w:p>
        </w:tc>
      </w:tr>
      <w:tr>
        <w:trPr>
          <w:trHeight w:val="203"/>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00" w:type="dxa"/>
            <w:vAlign w:val="bottom"/>
          </w:tcPr>
          <w:p>
            <w:pPr>
              <w:ind w:left="168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Robert P. LoCascio</w:t>
            </w:r>
          </w:p>
        </w:tc>
      </w:tr>
      <w:tr>
        <w:trPr>
          <w:trHeight w:val="210"/>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00" w:type="dxa"/>
            <w:vAlign w:val="bottom"/>
          </w:tcPr>
          <w:p>
            <w:pPr>
              <w:ind w:left="168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760" w:type="dxa"/>
            <w:vAlign w:val="bottom"/>
          </w:tcPr>
          <w:p>
            <w:pPr>
              <w:ind w:left="180"/>
              <w:spacing w:after="0"/>
              <w:rPr>
                <w:sz w:val="20"/>
                <w:szCs w:val="20"/>
                <w:color w:val="auto"/>
              </w:rPr>
            </w:pPr>
            <w:r>
              <w:rPr>
                <w:rFonts w:ascii="Arial" w:cs="Arial" w:eastAsia="Arial" w:hAnsi="Arial"/>
                <w:sz w:val="16"/>
                <w:szCs w:val="16"/>
                <w:color w:val="auto"/>
              </w:rPr>
              <w:t>May 10, 2022</w:t>
            </w:r>
          </w:p>
        </w:tc>
        <w:tc>
          <w:tcPr>
            <w:tcW w:w="2500" w:type="dxa"/>
            <w:vAlign w:val="bottom"/>
          </w:tcPr>
          <w:p>
            <w:pPr>
              <w:ind w:left="168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D. COLLINS</w:t>
            </w:r>
          </w:p>
        </w:tc>
      </w:tr>
      <w:tr>
        <w:trPr>
          <w:trHeight w:val="203"/>
        </w:trPr>
        <w:tc>
          <w:tcPr>
            <w:tcW w:w="5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500" w:type="dxa"/>
            <w:vAlign w:val="bottom"/>
          </w:tcPr>
          <w:p>
            <w:pPr>
              <w:ind w:left="168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John D. Collins</w:t>
            </w:r>
          </w:p>
        </w:tc>
      </w:tr>
      <w:tr>
        <w:trPr>
          <w:trHeight w:val="210"/>
        </w:trPr>
        <w:tc>
          <w:tcPr>
            <w:tcW w:w="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500" w:type="dxa"/>
            <w:vAlign w:val="bottom"/>
          </w:tcPr>
          <w:p>
            <w:pPr>
              <w:ind w:left="168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066"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95" w:lineRule="exact"/>
        <w:rPr>
          <w:sz w:val="20"/>
          <w:szCs w:val="20"/>
          <w:color w:val="auto"/>
        </w:rPr>
      </w:pPr>
    </w:p>
    <w:p>
      <w:pPr>
        <w:ind w:left="320" w:hanging="315"/>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94" w:lineRule="exact"/>
        <w:rPr>
          <w:rFonts w:ascii="Arial" w:cs="Arial" w:eastAsia="Arial" w:hAnsi="Arial"/>
          <w:sz w:val="18"/>
          <w:szCs w:val="18"/>
          <w:color w:val="auto"/>
        </w:rPr>
      </w:pPr>
    </w:p>
    <w:p>
      <w:pPr>
        <w:ind w:left="320" w:right="260" w:hanging="315"/>
        <w:spacing w:after="0" w:line="347" w:lineRule="auto"/>
        <w:tabs>
          <w:tab w:leader="none" w:pos="3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0"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ind w:left="320" w:right="20" w:hanging="315"/>
        <w:spacing w:after="0" w:line="252"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ind w:left="320" w:right="180" w:hanging="315"/>
        <w:spacing w:after="0" w:line="252" w:lineRule="auto"/>
        <w:tabs>
          <w:tab w:leader="none" w:pos="3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320" w:right="100" w:hanging="315"/>
        <w:spacing w:after="0" w:line="252"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320" w:right="80" w:hanging="315"/>
        <w:spacing w:after="0" w:line="323" w:lineRule="auto"/>
        <w:tabs>
          <w:tab w:leader="none" w:pos="3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320" w:right="40" w:hanging="315"/>
        <w:spacing w:after="0" w:line="252"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320" w:right="440" w:hanging="315"/>
        <w:spacing w:after="0" w:line="323"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sz w:val="20"/>
          <w:szCs w:val="20"/>
          <w:color w:val="auto"/>
        </w:rPr>
      </w:pPr>
    </w:p>
    <w:p>
      <w:pPr>
        <w:ind w:left="320" w:right="280" w:hanging="315"/>
        <w:spacing w:after="0" w:line="260" w:lineRule="auto"/>
        <w:tabs>
          <w:tab w:leader="none" w:pos="31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left="320" w:right="500" w:hanging="315"/>
        <w:spacing w:after="0" w:line="260"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280"/>
              <w:spacing w:after="0"/>
              <w:rPr>
                <w:sz w:val="20"/>
                <w:szCs w:val="20"/>
                <w:color w:val="auto"/>
              </w:rPr>
            </w:pPr>
            <w:r>
              <w:rPr>
                <w:rFonts w:ascii="Arial" w:cs="Arial" w:eastAsia="Arial" w:hAnsi="Arial"/>
                <w:sz w:val="18"/>
                <w:szCs w:val="18"/>
                <w:color w:val="auto"/>
              </w:rPr>
              <w:t>May 10, 2022</w:t>
            </w:r>
          </w:p>
        </w:tc>
        <w:tc>
          <w:tcPr>
            <w:tcW w:w="2440" w:type="dxa"/>
            <w:vAlign w:val="bottom"/>
          </w:tcPr>
          <w:p>
            <w:pPr>
              <w:ind w:left="17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16"/>
        </w:trPr>
        <w:tc>
          <w:tcPr>
            <w:tcW w:w="6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40" w:type="dxa"/>
            <w:vAlign w:val="bottom"/>
          </w:tcPr>
          <w:p>
            <w:pPr>
              <w:ind w:left="1740"/>
              <w:spacing w:after="0" w:line="203" w:lineRule="exact"/>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23"/>
        </w:trPr>
        <w:tc>
          <w:tcPr>
            <w:tcW w:w="6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40" w:type="dxa"/>
            <w:vAlign w:val="bottom"/>
          </w:tcPr>
          <w:p>
            <w:pPr>
              <w:ind w:left="174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John Collins, certify that:</w:t>
      </w:r>
    </w:p>
    <w:p>
      <w:pPr>
        <w:spacing w:after="0" w:line="95"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94" w:lineRule="exact"/>
        <w:rPr>
          <w:rFonts w:ascii="Arial" w:cs="Arial" w:eastAsia="Arial" w:hAnsi="Arial"/>
          <w:sz w:val="18"/>
          <w:szCs w:val="18"/>
          <w:color w:val="auto"/>
        </w:rPr>
      </w:pPr>
    </w:p>
    <w:p>
      <w:pPr>
        <w:ind w:left="320" w:right="260" w:hanging="315"/>
        <w:spacing w:after="0" w:line="347"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0"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ind w:left="320" w:right="20" w:hanging="315"/>
        <w:spacing w:after="0" w:line="252" w:lineRule="auto"/>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ind w:left="320" w:right="180" w:hanging="315"/>
        <w:spacing w:after="0" w:line="252" w:lineRule="auto"/>
        <w:tabs>
          <w:tab w:leader="none" w:pos="3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320" w:right="100" w:hanging="315"/>
        <w:spacing w:after="0" w:line="252" w:lineRule="auto"/>
        <w:tabs>
          <w:tab w:leader="none" w:pos="3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320" w:right="80" w:hanging="315"/>
        <w:spacing w:after="0" w:line="323" w:lineRule="auto"/>
        <w:tabs>
          <w:tab w:leader="none" w:pos="317"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320" w:right="40" w:hanging="315"/>
        <w:spacing w:after="0" w:line="252" w:lineRule="auto"/>
        <w:tabs>
          <w:tab w:leader="none" w:pos="3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320" w:right="440" w:hanging="315"/>
        <w:spacing w:after="0" w:line="323"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sz w:val="20"/>
          <w:szCs w:val="20"/>
          <w:color w:val="auto"/>
        </w:rPr>
      </w:pPr>
    </w:p>
    <w:p>
      <w:pPr>
        <w:ind w:left="320" w:right="280" w:hanging="315"/>
        <w:spacing w:after="0" w:line="260" w:lineRule="auto"/>
        <w:tabs>
          <w:tab w:leader="none" w:pos="31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left="320" w:right="500" w:hanging="315"/>
        <w:spacing w:after="0" w:line="260"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880" w:type="dxa"/>
            <w:vAlign w:val="bottom"/>
          </w:tcPr>
          <w:p>
            <w:pPr>
              <w:ind w:left="300"/>
              <w:spacing w:after="0"/>
              <w:rPr>
                <w:sz w:val="20"/>
                <w:szCs w:val="20"/>
                <w:color w:val="auto"/>
              </w:rPr>
            </w:pPr>
            <w:r>
              <w:rPr>
                <w:rFonts w:ascii="Arial" w:cs="Arial" w:eastAsia="Arial" w:hAnsi="Arial"/>
                <w:sz w:val="18"/>
                <w:szCs w:val="18"/>
                <w:color w:val="auto"/>
              </w:rPr>
              <w:t>May 10, 2022</w:t>
            </w:r>
          </w:p>
        </w:tc>
        <w:tc>
          <w:tcPr>
            <w:tcW w:w="2300" w:type="dxa"/>
            <w:vAlign w:val="bottom"/>
          </w:tcPr>
          <w:p>
            <w:pPr>
              <w:ind w:left="15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16"/>
        </w:trPr>
        <w:tc>
          <w:tcPr>
            <w:tcW w:w="7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00" w:type="dxa"/>
            <w:vAlign w:val="bottom"/>
          </w:tcPr>
          <w:p>
            <w:pPr>
              <w:ind w:left="1580"/>
              <w:spacing w:after="0" w:line="203"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23"/>
        </w:trPr>
        <w:tc>
          <w:tcPr>
            <w:tcW w:w="7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300" w:type="dxa"/>
            <w:vAlign w:val="bottom"/>
          </w:tcPr>
          <w:p>
            <w:pPr>
              <w:ind w:left="158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2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Robert P. LoCascio, Chief Executive Officer of LivePerson, Inc. (the “Company”), certify, pursuant to 18 U.S.C. Section 1350, as adopted pursuant to Section 906 of the Sarbanes-Oxley Act of 2002, that:</w:t>
      </w:r>
    </w:p>
    <w:p>
      <w:pPr>
        <w:spacing w:after="0" w:line="64" w:lineRule="exact"/>
        <w:rPr>
          <w:sz w:val="20"/>
          <w:szCs w:val="20"/>
          <w:color w:val="auto"/>
        </w:rPr>
      </w:pPr>
    </w:p>
    <w:p>
      <w:pPr>
        <w:ind w:left="640" w:right="120" w:hanging="320"/>
        <w:spacing w:after="0" w:line="323" w:lineRule="auto"/>
        <w:tabs>
          <w:tab w:leader="none" w:pos="63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March 31, 2022, as filed with the Securities and Exchange Commission (the “Report”), fully complies with the requirements of Section 13(a) or 15(d) of the Securities Exchange Act of 1934; and</w:t>
      </w:r>
    </w:p>
    <w:p>
      <w:pPr>
        <w:spacing w:after="0" w:line="3" w:lineRule="exact"/>
        <w:rPr>
          <w:rFonts w:ascii="Arial" w:cs="Arial" w:eastAsia="Arial" w:hAnsi="Arial"/>
          <w:sz w:val="16"/>
          <w:szCs w:val="16"/>
          <w:color w:val="auto"/>
        </w:rPr>
      </w:pPr>
    </w:p>
    <w:p>
      <w:pPr>
        <w:ind w:left="620" w:hanging="300"/>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200"/>
              <w:spacing w:after="0"/>
              <w:rPr>
                <w:sz w:val="20"/>
                <w:szCs w:val="20"/>
                <w:color w:val="auto"/>
              </w:rPr>
            </w:pPr>
            <w:r>
              <w:rPr>
                <w:rFonts w:ascii="Arial" w:cs="Arial" w:eastAsia="Arial" w:hAnsi="Arial"/>
                <w:sz w:val="18"/>
                <w:szCs w:val="18"/>
                <w:color w:val="auto"/>
              </w:rPr>
              <w:t>May 10, 2022</w:t>
            </w:r>
          </w:p>
        </w:tc>
        <w:tc>
          <w:tcPr>
            <w:tcW w:w="2480" w:type="dxa"/>
            <w:vAlign w:val="bottom"/>
          </w:tcPr>
          <w:p>
            <w:pPr>
              <w:ind w:left="178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16"/>
        </w:trPr>
        <w:tc>
          <w:tcPr>
            <w:tcW w:w="6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80" w:type="dxa"/>
            <w:vAlign w:val="bottom"/>
          </w:tcPr>
          <w:p>
            <w:pPr>
              <w:ind w:left="1780"/>
              <w:spacing w:after="0" w:line="203" w:lineRule="exact"/>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23"/>
        </w:trPr>
        <w:tc>
          <w:tcPr>
            <w:tcW w:w="6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480" w:type="dxa"/>
            <w:vAlign w:val="bottom"/>
          </w:tcPr>
          <w:p>
            <w:pPr>
              <w:ind w:left="178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9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 John Collins, Chief Financial Officer of LivePerson, Inc. (the “Company”), certify, pursuant to 18 U.S.C. Section 1350, as adopted pursuant to Section 906 of the Sarbanes-Oxley Act of 2002, that:</w:t>
      </w:r>
    </w:p>
    <w:p>
      <w:pPr>
        <w:spacing w:after="0" w:line="64" w:lineRule="exact"/>
        <w:rPr>
          <w:sz w:val="20"/>
          <w:szCs w:val="20"/>
          <w:color w:val="auto"/>
        </w:rPr>
      </w:pPr>
    </w:p>
    <w:p>
      <w:pPr>
        <w:ind w:left="640" w:right="120" w:hanging="320"/>
        <w:spacing w:after="0" w:line="323" w:lineRule="auto"/>
        <w:tabs>
          <w:tab w:leader="none" w:pos="6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March 31, 2022, as filed with the Securities and Exchange Commission (the “Report”), fully complies with the requirements of Section 13(a) or 15(d) of the Securities Exchange Act of 1934; and</w:t>
      </w:r>
    </w:p>
    <w:p>
      <w:pPr>
        <w:spacing w:after="0" w:line="3" w:lineRule="exact"/>
        <w:rPr>
          <w:rFonts w:ascii="Arial" w:cs="Arial" w:eastAsia="Arial" w:hAnsi="Arial"/>
          <w:sz w:val="16"/>
          <w:szCs w:val="16"/>
          <w:color w:val="auto"/>
        </w:rPr>
      </w:pPr>
    </w:p>
    <w:p>
      <w:pPr>
        <w:ind w:left="620" w:hanging="300"/>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340"/>
              <w:spacing w:after="0"/>
              <w:rPr>
                <w:sz w:val="20"/>
                <w:szCs w:val="20"/>
                <w:color w:val="auto"/>
              </w:rPr>
            </w:pPr>
            <w:r>
              <w:rPr>
                <w:rFonts w:ascii="Arial" w:cs="Arial" w:eastAsia="Arial" w:hAnsi="Arial"/>
                <w:sz w:val="18"/>
                <w:szCs w:val="18"/>
                <w:color w:val="auto"/>
              </w:rPr>
              <w:t>May 10, 2022</w:t>
            </w:r>
          </w:p>
        </w:tc>
        <w:tc>
          <w:tcPr>
            <w:tcW w:w="2460" w:type="dxa"/>
            <w:vAlign w:val="bottom"/>
          </w:tcPr>
          <w:p>
            <w:pPr>
              <w:ind w:left="17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16"/>
        </w:trPr>
        <w:tc>
          <w:tcPr>
            <w:tcW w:w="7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ind w:left="1740"/>
              <w:spacing w:after="0" w:line="203"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23"/>
        </w:trPr>
        <w:tc>
          <w:tcPr>
            <w:tcW w:w="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60" w:type="dxa"/>
            <w:vAlign w:val="bottom"/>
          </w:tcPr>
          <w:p>
            <w:pPr>
              <w:ind w:left="174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5"/>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2022-05-10T16:37:52Z</dcterms:created>
  <dcterms:modified xsi:type="dcterms:W3CDTF">2022-05-10T16:37:52Z</dcterms:modified>
</cp:coreProperties>
</file>