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ind w:left="0" w:right="0" w:firstLine="48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center"/>
        <w:rPr/>
      </w:pPr>
      <w:r>
        <w:rPr>
          <w:color w:val="000000"/>
        </w:rPr>
        <w:t xml:space="preserve">☒ </w:t>
      </w:r>
      <w:r>
        <w:rPr>
          <w:rFonts w:ascii="Times New Roman;sans-serif" w:hAnsi="Times New Roman;sans-serif"/>
          <w:b/>
          <w:color w:val="000000"/>
          <w:sz w:val="19"/>
        </w:rPr>
        <w:t>QUARTERLY REPORT PURSUANT TO SECTION 13 OR 15(d) OF THE SECURITIES EXCHANGE ACT OF 1934</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jc w:val="center"/>
        <w:rPr/>
      </w:pPr>
      <w:r>
        <w:rPr>
          <w:color w:val="000000"/>
        </w:rPr>
        <w:t xml:space="preserve">☐ </w:t>
      </w:r>
      <w:r>
        <w:rPr>
          <w:rFonts w:ascii="Times New Roman;sans-serif" w:hAnsi="Times New Roman;sans-serif"/>
          <w:b/>
          <w:color w:val="000000"/>
          <w:sz w:val="19"/>
        </w:rPr>
        <w:t>TRANSITION REPORT PURSUANT TO SECTION 13 OR 15(d) OF THE SECURITIES EXCHANGE ACT OF 1934</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lineRule="auto" w:line="288" w:before="0" w:after="4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Commission File Number: 000-30141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4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LIVEPERSON, INC.</w:t>
      </w:r>
    </w:p>
    <w:p>
      <w:pPr>
        <w:pStyle w:val="TextBody"/>
        <w:bidi w:val="0"/>
        <w:spacing w:lineRule="auto" w:line="228" w:before="0" w:after="40"/>
        <w:ind w:left="0" w:right="0" w:firstLine="4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13-3861628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(212) 609-4200 </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867" w:type="dxa"/>
        <w:jc w:val="center"/>
        <w:tblInd w:w="0" w:type="dxa"/>
        <w:tblLayout w:type="fixed"/>
        <w:tblCellMar>
          <w:top w:w="28" w:type="dxa"/>
          <w:left w:w="28" w:type="dxa"/>
          <w:bottom w:w="28" w:type="dxa"/>
          <w:right w:w="28" w:type="dxa"/>
        </w:tblCellMar>
      </w:tblPr>
      <w:tblGrid>
        <w:gridCol w:w="1157"/>
        <w:gridCol w:w="1019"/>
        <w:gridCol w:w="1019"/>
        <w:gridCol w:w="272"/>
        <w:gridCol w:w="272"/>
        <w:gridCol w:w="272"/>
        <w:gridCol w:w="520"/>
        <w:gridCol w:w="520"/>
        <w:gridCol w:w="520"/>
        <w:gridCol w:w="272"/>
        <w:gridCol w:w="272"/>
        <w:gridCol w:w="272"/>
        <w:gridCol w:w="1020"/>
        <w:gridCol w:w="1020"/>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9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LPSN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Rights to Purchase Series A Junior</w:t>
              <w:br/>
              <w:t>Participating Preferred Stock</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May 6,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88,614,097 </w:t>
      </w:r>
      <w:r>
        <w:rPr>
          <w:rFonts w:ascii="Times New Roman;sans-serif" w:hAnsi="Times New Roman;sans-serif"/>
          <w:b w:val="false"/>
          <w:color w:val="000000"/>
          <w:sz w:val="20"/>
        </w:rPr>
        <w:t>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before="0" w:after="0"/>
        <w:ind w:left="0" w:right="0" w:firstLine="480"/>
        <w:jc w:val="center"/>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2"/>
        <w:gridCol w:w="248"/>
        <w:gridCol w:w="249"/>
        <w:gridCol w:w="2948"/>
        <w:gridCol w:w="2948"/>
        <w:gridCol w:w="2954"/>
        <w:gridCol w:w="167"/>
        <w:gridCol w:w="167"/>
        <w:gridCol w:w="24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3">
              <w:r>
                <w:rPr>
                  <w:rStyle w:val="InternetLink"/>
                  <w:rFonts w:ascii="Times New Roman;sans-serif" w:hAnsi="Times New Roman;sans-serif"/>
                  <w:b/>
                  <w:color w:val="0000FF"/>
                  <w:sz w:val="20"/>
                  <w:u w:val="single"/>
                </w:rPr>
                <w:t>PART I. FINANCIAL INFORMATION</w:t>
              </w:r>
            </w:hyperlink>
          </w:p>
        </w:tc>
        <w:tc>
          <w:tcPr>
            <w:tcW w:w="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6">
              <w:r>
                <w:rPr>
                  <w:rStyle w:val="InternetLink"/>
                  <w:rFonts w:ascii="Times New Roman;sans-serif" w:hAnsi="Times New Roman;sans-serif"/>
                  <w:b w:val="false"/>
                  <w:color w:val="0000FF"/>
                  <w:sz w:val="20"/>
                  <w:u w:val="single"/>
                </w:rPr>
                <w:t>Financial Statements (Unaudited):</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6">
              <w:r>
                <w:rPr>
                  <w:rStyle w:val="InternetLink"/>
                  <w:rFonts w:ascii="Times New Roman;sans-serif" w:hAnsi="Times New Roman;sans-serif"/>
                  <w:b w:val="false"/>
                  <w:strike w:val="false"/>
                  <w:dstrike w:val="false"/>
                  <w:color w:val="0000FF"/>
                  <w:sz w:val="20"/>
                  <w:u w:val="none"/>
                  <w:effect w:val="none"/>
                </w:rPr>
                <w:t>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9">
              <w:r>
                <w:rPr>
                  <w:rStyle w:val="InternetLink"/>
                  <w:rFonts w:ascii="Times New Roman;sans-serif" w:hAnsi="Times New Roman;sans-serif"/>
                  <w:b w:val="false"/>
                  <w:color w:val="000080"/>
                  <w:sz w:val="20"/>
                  <w:u w:val="single"/>
                </w:rPr>
                <w:t xml:space="preserve">Condensed Consolidated Balance Sheets as of </w:t>
              </w:r>
            </w:hyperlink>
            <w:hyperlink w:anchor="i2072a98bf5b74536af0ff0a8b1acb713_19">
              <w:r>
                <w:rPr>
                  <w:rStyle w:val="InternetLink"/>
                  <w:rFonts w:ascii="Times New Roman;sans-serif" w:hAnsi="Times New Roman;sans-serif"/>
                  <w:b w:val="false"/>
                  <w:color w:val="000080"/>
                  <w:sz w:val="20"/>
                  <w:u w:val="single"/>
                </w:rPr>
                <w:t>March</w:t>
              </w:r>
            </w:hyperlink>
            <w:hyperlink w:anchor="i2072a98bf5b74536af0ff0a8b1acb713_19">
              <w:r>
                <w:rPr>
                  <w:rStyle w:val="InternetLink"/>
                  <w:rFonts w:ascii="Times New Roman;sans-serif" w:hAnsi="Times New Roman;sans-serif"/>
                  <w:b w:val="false"/>
                  <w:color w:val="000080"/>
                  <w:sz w:val="20"/>
                  <w:u w:val="single"/>
                </w:rPr>
                <w:t xml:space="preserve"> 3</w:t>
              </w:r>
            </w:hyperlink>
            <w:hyperlink w:anchor="i2072a98bf5b74536af0ff0a8b1acb713_19">
              <w:r>
                <w:rPr>
                  <w:rStyle w:val="InternetLink"/>
                  <w:rFonts w:ascii="Times New Roman;sans-serif" w:hAnsi="Times New Roman;sans-serif"/>
                  <w:b w:val="false"/>
                  <w:color w:val="000080"/>
                  <w:sz w:val="20"/>
                  <w:u w:val="single"/>
                </w:rPr>
                <w:t>1</w:t>
              </w:r>
            </w:hyperlink>
            <w:hyperlink w:anchor="i2072a98bf5b74536af0ff0a8b1acb713_19">
              <w:r>
                <w:rPr>
                  <w:rStyle w:val="InternetLink"/>
                  <w:rFonts w:ascii="Times New Roman;sans-serif" w:hAnsi="Times New Roman;sans-serif"/>
                  <w:b w:val="false"/>
                  <w:color w:val="000080"/>
                  <w:sz w:val="20"/>
                  <w:u w:val="single"/>
                </w:rPr>
                <w:t>, 202</w:t>
              </w:r>
            </w:hyperlink>
            <w:hyperlink w:anchor="i2072a98bf5b74536af0ff0a8b1acb713_19">
              <w:r>
                <w:rPr>
                  <w:rStyle w:val="InternetLink"/>
                  <w:rFonts w:ascii="Times New Roman;sans-serif" w:hAnsi="Times New Roman;sans-serif"/>
                  <w:b w:val="false"/>
                  <w:color w:val="000080"/>
                  <w:sz w:val="20"/>
                  <w:u w:val="single"/>
                </w:rPr>
                <w:t>4</w:t>
              </w:r>
            </w:hyperlink>
            <w:hyperlink w:anchor="i2072a98bf5b74536af0ff0a8b1acb713_19">
              <w:r>
                <w:rPr>
                  <w:rStyle w:val="InternetLink"/>
                  <w:rFonts w:ascii="Times New Roman;sans-serif" w:hAnsi="Times New Roman;sans-serif"/>
                  <w:b w:val="false"/>
                  <w:color w:val="000080"/>
                  <w:sz w:val="20"/>
                  <w:u w:val="single"/>
                </w:rPr>
                <w:t xml:space="preserve"> and December 31, 202</w:t>
              </w:r>
            </w:hyperlink>
            <w:hyperlink w:anchor="i2072a98bf5b74536af0ff0a8b1acb713_19">
              <w:r>
                <w:rPr>
                  <w:rStyle w:val="InternetLink"/>
                  <w:rFonts w:ascii="Times New Roman;sans-serif" w:hAnsi="Times New Roman;sans-serif"/>
                  <w:b w:val="false"/>
                  <w:color w:val="000080"/>
                  <w:sz w:val="20"/>
                  <w:u w:val="single"/>
                </w:rPr>
                <w:t>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9">
              <w:r>
                <w:rPr>
                  <w:rStyle w:val="InternetLink"/>
                  <w:rFonts w:ascii="Times New Roman;sans-serif" w:hAnsi="Times New Roman;sans-serif"/>
                  <w:b w:val="false"/>
                  <w:strike w:val="false"/>
                  <w:dstrike w:val="false"/>
                  <w:color w:val="0000FF"/>
                  <w:sz w:val="20"/>
                  <w:u w:val="none"/>
                  <w:effect w:val="none"/>
                </w:rPr>
                <w:t>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072a98bf5b74536af0ff0a8b1acb713_25">
              <w:r>
                <w:rPr>
                  <w:rStyle w:val="InternetLink"/>
                  <w:rFonts w:ascii="Times New Roman;sans-serif" w:hAnsi="Times New Roman;sans-serif"/>
                  <w:b w:val="false"/>
                  <w:color w:val="000080"/>
                  <w:sz w:val="20"/>
                  <w:u w:val="single"/>
                </w:rPr>
                <w:t>Condensed Consolidated Statements of Operations for the Three</w:t>
              </w:r>
            </w:hyperlink>
            <w:hyperlink w:anchor="i2072a98bf5b74536af0ff0a8b1acb713_25">
              <w:r>
                <w:rPr>
                  <w:rStyle w:val="InternetLink"/>
                  <w:rFonts w:ascii="Times New Roman;sans-serif" w:hAnsi="Times New Roman;sans-serif"/>
                  <w:b w:val="false"/>
                  <w:color w:val="000080"/>
                  <w:sz w:val="20"/>
                  <w:u w:val="single"/>
                </w:rPr>
                <w:t xml:space="preserve"> Months Ended </w:t>
              </w:r>
            </w:hyperlink>
            <w:hyperlink w:anchor="i2072a98bf5b74536af0ff0a8b1acb713_25">
              <w:r>
                <w:rPr>
                  <w:rStyle w:val="InternetLink"/>
                  <w:rFonts w:ascii="Times New Roman;sans-serif" w:hAnsi="Times New Roman;sans-serif"/>
                  <w:b w:val="false"/>
                  <w:color w:val="000080"/>
                  <w:sz w:val="20"/>
                  <w:u w:val="single"/>
                </w:rPr>
                <w:t>March</w:t>
              </w:r>
            </w:hyperlink>
            <w:hyperlink w:anchor="i2072a98bf5b74536af0ff0a8b1acb713_25">
              <w:r>
                <w:rPr>
                  <w:rStyle w:val="InternetLink"/>
                  <w:rFonts w:ascii="Times New Roman;sans-serif" w:hAnsi="Times New Roman;sans-serif"/>
                  <w:b w:val="false"/>
                  <w:color w:val="000080"/>
                  <w:sz w:val="20"/>
                  <w:u w:val="single"/>
                </w:rPr>
                <w:t xml:space="preserve"> 3</w:t>
              </w:r>
            </w:hyperlink>
            <w:hyperlink w:anchor="i2072a98bf5b74536af0ff0a8b1acb713_25">
              <w:r>
                <w:rPr>
                  <w:rStyle w:val="InternetLink"/>
                  <w:rFonts w:ascii="Times New Roman;sans-serif" w:hAnsi="Times New Roman;sans-serif"/>
                  <w:b w:val="false"/>
                  <w:color w:val="000080"/>
                  <w:sz w:val="20"/>
                  <w:u w:val="single"/>
                </w:rPr>
                <w:t>1</w:t>
              </w:r>
            </w:hyperlink>
            <w:hyperlink w:anchor="i2072a98bf5b74536af0ff0a8b1acb713_25">
              <w:r>
                <w:rPr>
                  <w:rStyle w:val="InternetLink"/>
                  <w:rFonts w:ascii="Times New Roman;sans-serif" w:hAnsi="Times New Roman;sans-serif"/>
                  <w:b w:val="false"/>
                  <w:color w:val="000080"/>
                  <w:sz w:val="20"/>
                  <w:u w:val="single"/>
                </w:rPr>
                <w:t>, 202</w:t>
              </w:r>
            </w:hyperlink>
            <w:hyperlink w:anchor="i2072a98bf5b74536af0ff0a8b1acb713_25">
              <w:r>
                <w:rPr>
                  <w:rStyle w:val="InternetLink"/>
                  <w:rFonts w:ascii="Times New Roman;sans-serif" w:hAnsi="Times New Roman;sans-serif"/>
                  <w:b w:val="false"/>
                  <w:color w:val="000080"/>
                  <w:sz w:val="20"/>
                  <w:u w:val="single"/>
                </w:rPr>
                <w:t>4</w:t>
              </w:r>
            </w:hyperlink>
            <w:hyperlink w:anchor="i2072a98bf5b74536af0ff0a8b1acb713_25">
              <w:r>
                <w:rPr>
                  <w:rStyle w:val="InternetLink"/>
                  <w:rFonts w:ascii="Times New Roman;sans-serif" w:hAnsi="Times New Roman;sans-serif"/>
                  <w:b w:val="false"/>
                  <w:color w:val="000080"/>
                  <w:sz w:val="20"/>
                  <w:u w:val="single"/>
                </w:rPr>
                <w:t xml:space="preserve"> and 202</w:t>
              </w:r>
            </w:hyperlink>
            <w:hyperlink w:anchor="i2072a98bf5b74536af0ff0a8b1acb713_25">
              <w:r>
                <w:rPr>
                  <w:rStyle w:val="InternetLink"/>
                  <w:rFonts w:ascii="Times New Roman;sans-serif" w:hAnsi="Times New Roman;sans-serif"/>
                  <w:b w:val="false"/>
                  <w:color w:val="000080"/>
                  <w:sz w:val="20"/>
                  <w:u w:val="single"/>
                </w:rPr>
                <w:t>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25">
              <w:r>
                <w:rPr>
                  <w:rStyle w:val="InternetLink"/>
                  <w:rFonts w:ascii="Times New Roman;sans-serif" w:hAnsi="Times New Roman;sans-serif"/>
                  <w:b w:val="false"/>
                  <w:strike w:val="false"/>
                  <w:dstrike w:val="false"/>
                  <w:color w:val="0000FF"/>
                  <w:sz w:val="20"/>
                  <w:u w:val="none"/>
                  <w:effect w:val="none"/>
                </w:rPr>
                <w:t>5</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072a98bf5b74536af0ff0a8b1acb713_28">
              <w:r>
                <w:rPr>
                  <w:rStyle w:val="InternetLink"/>
                  <w:rFonts w:ascii="Times New Roman;sans-serif" w:hAnsi="Times New Roman;sans-serif"/>
                  <w:b w:val="false"/>
                  <w:color w:val="0000FF"/>
                  <w:sz w:val="20"/>
                  <w:u w:val="single"/>
                </w:rPr>
                <w:t>Condensed Consolidated Statements of Comprehensive Loss for the Three Months Ended March 31, 2024 and 2023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31">
              <w:r>
                <w:rPr>
                  <w:rStyle w:val="InternetLink"/>
                  <w:rFonts w:ascii="Times New Roman;sans-serif" w:hAnsi="Times New Roman;sans-serif"/>
                  <w:b w:val="false"/>
                  <w:strike w:val="false"/>
                  <w:dstrike w:val="false"/>
                  <w:color w:val="0000FF"/>
                  <w:sz w:val="20"/>
                  <w:u w:val="none"/>
                  <w:effect w:val="none"/>
                </w:rPr>
                <w:t>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072a98bf5b74536af0ff0a8b1acb713_40">
              <w:r>
                <w:rPr>
                  <w:rStyle w:val="InternetLink"/>
                  <w:rFonts w:ascii="Times New Roman;sans-serif" w:hAnsi="Times New Roman;sans-serif"/>
                  <w:b w:val="false"/>
                  <w:color w:val="0000FF"/>
                  <w:sz w:val="20"/>
                  <w:u w:val="single"/>
                </w:rPr>
                <w:t>Condensed Consolidated Statements of Stockholders’ Equity for the Three Months Ended March 31, 2024 and 2023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40">
              <w:r>
                <w:rPr>
                  <w:rStyle w:val="InternetLink"/>
                  <w:rFonts w:ascii="Times New Roman;sans-serif" w:hAnsi="Times New Roman;sans-serif"/>
                  <w:b w:val="false"/>
                  <w:strike w:val="false"/>
                  <w:dstrike w:val="false"/>
                  <w:color w:val="0000FF"/>
                  <w:sz w:val="20"/>
                  <w:u w:val="none"/>
                  <w:effect w:val="none"/>
                </w:rPr>
                <w:t>7</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072a98bf5b74536af0ff0a8b1acb713_43">
              <w:r>
                <w:rPr>
                  <w:rStyle w:val="InternetLink"/>
                  <w:rFonts w:ascii="Times New Roman;sans-serif" w:hAnsi="Times New Roman;sans-serif"/>
                  <w:b w:val="false"/>
                  <w:color w:val="000080"/>
                  <w:sz w:val="20"/>
                  <w:u w:val="single"/>
                </w:rPr>
                <w:t xml:space="preserve">Condensed Consolidated Statements of Cash Flows for the </w:t>
              </w:r>
            </w:hyperlink>
            <w:hyperlink w:anchor="i2072a98bf5b74536af0ff0a8b1acb713_43">
              <w:r>
                <w:rPr>
                  <w:rStyle w:val="InternetLink"/>
                  <w:rFonts w:ascii="Times New Roman;sans-serif" w:hAnsi="Times New Roman;sans-serif"/>
                  <w:b w:val="false"/>
                  <w:color w:val="000080"/>
                  <w:sz w:val="20"/>
                  <w:u w:val="single"/>
                </w:rPr>
                <w:t>Three</w:t>
              </w:r>
            </w:hyperlink>
            <w:hyperlink w:anchor="i2072a98bf5b74536af0ff0a8b1acb713_43">
              <w:r>
                <w:rPr>
                  <w:rStyle w:val="InternetLink"/>
                  <w:rFonts w:ascii="Times New Roman;sans-serif" w:hAnsi="Times New Roman;sans-serif"/>
                  <w:b w:val="false"/>
                  <w:color w:val="000080"/>
                  <w:sz w:val="20"/>
                  <w:u w:val="single"/>
                </w:rPr>
                <w:t xml:space="preserve"> Months Ended </w:t>
              </w:r>
            </w:hyperlink>
            <w:hyperlink w:anchor="i2072a98bf5b74536af0ff0a8b1acb713_43">
              <w:r>
                <w:rPr>
                  <w:rStyle w:val="InternetLink"/>
                  <w:rFonts w:ascii="Times New Roman;sans-serif" w:hAnsi="Times New Roman;sans-serif"/>
                  <w:b w:val="false"/>
                  <w:color w:val="000080"/>
                  <w:sz w:val="20"/>
                  <w:u w:val="single"/>
                </w:rPr>
                <w:t>March 31, 2024</w:t>
              </w:r>
            </w:hyperlink>
            <w:hyperlink w:anchor="i2072a98bf5b74536af0ff0a8b1acb713_43">
              <w:r>
                <w:rPr>
                  <w:rStyle w:val="InternetLink"/>
                  <w:rFonts w:ascii="Times New Roman;sans-serif" w:hAnsi="Times New Roman;sans-serif"/>
                  <w:b w:val="false"/>
                  <w:color w:val="000080"/>
                  <w:sz w:val="20"/>
                  <w:u w:val="single"/>
                </w:rPr>
                <w:t xml:space="preserve"> and 202</w:t>
              </w:r>
            </w:hyperlink>
            <w:hyperlink w:anchor="i2072a98bf5b74536af0ff0a8b1acb713_43">
              <w:r>
                <w:rPr>
                  <w:rStyle w:val="InternetLink"/>
                  <w:rFonts w:ascii="Times New Roman;sans-serif" w:hAnsi="Times New Roman;sans-serif"/>
                  <w:b w:val="false"/>
                  <w:color w:val="000080"/>
                  <w:sz w:val="20"/>
                  <w:u w:val="single"/>
                </w:rPr>
                <w:t>3</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43">
              <w:r>
                <w:rPr>
                  <w:rStyle w:val="InternetLink"/>
                  <w:rFonts w:ascii="Times New Roman;sans-serif" w:hAnsi="Times New Roman;sans-serif"/>
                  <w:b w:val="false"/>
                  <w:strike w:val="false"/>
                  <w:dstrike w:val="false"/>
                  <w:color w:val="0000FF"/>
                  <w:sz w:val="20"/>
                  <w:u w:val="none"/>
                  <w:effect w:val="none"/>
                </w:rPr>
                <w:t>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49">
              <w:r>
                <w:rPr>
                  <w:rStyle w:val="InternetLink"/>
                  <w:rFonts w:ascii="Times New Roman;sans-serif" w:hAnsi="Times New Roman;sans-serif"/>
                  <w:b w:val="false"/>
                  <w:color w:val="0000FF"/>
                  <w:sz w:val="20"/>
                  <w:u w:val="single"/>
                </w:rPr>
                <w:t>Notes to Condensed Consolidated Financial Statements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49">
              <w:r>
                <w:rPr>
                  <w:rStyle w:val="InternetLink"/>
                  <w:rFonts w:ascii="Times New Roman;sans-serif" w:hAnsi="Times New Roman;sans-serif"/>
                  <w:b w:val="false"/>
                  <w:strike w:val="false"/>
                  <w:dstrike w:val="false"/>
                  <w:color w:val="0000FF"/>
                  <w:sz w:val="20"/>
                  <w:u w:val="none"/>
                  <w:effect w:val="none"/>
                </w:rPr>
                <w:t>10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4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45">
              <w:r>
                <w:rPr>
                  <w:rStyle w:val="InternetLink"/>
                  <w:rFonts w:ascii="Times New Roman;sans-serif" w:hAnsi="Times New Roman;sans-serif"/>
                  <w:b w:val="false"/>
                  <w:strike w:val="false"/>
                  <w:dstrike w:val="false"/>
                  <w:color w:val="0000FF"/>
                  <w:sz w:val="20"/>
                  <w:u w:val="none"/>
                  <w:effect w:val="none"/>
                </w:rPr>
                <w:t>33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78">
              <w:r>
                <w:rPr>
                  <w:rStyle w:val="InternetLink"/>
                  <w:rFonts w:ascii="Times New Roman;sans-serif" w:hAnsi="Times New Roman;sans-serif"/>
                  <w:b w:val="false"/>
                  <w:color w:val="000080"/>
                  <w:sz w:val="20"/>
                  <w:u w:val="single"/>
                </w:rPr>
                <w:t xml:space="preserve">Quantitative and Qualitative Disclosures </w:t>
              </w:r>
            </w:hyperlink>
            <w:hyperlink w:anchor="i2072a98bf5b74536af0ff0a8b1acb713_178">
              <w:r>
                <w:rPr>
                  <w:rStyle w:val="InternetLink"/>
                  <w:rFonts w:ascii="Times New Roman;sans-serif" w:hAnsi="Times New Roman;sans-serif"/>
                  <w:b w:val="false"/>
                  <w:color w:val="000080"/>
                  <w:sz w:val="20"/>
                  <w:u w:val="single"/>
                </w:rPr>
                <w:t>A</w:t>
              </w:r>
            </w:hyperlink>
            <w:hyperlink w:anchor="i2072a98bf5b74536af0ff0a8b1acb713_178">
              <w:r>
                <w:rPr>
                  <w:rStyle w:val="InternetLink"/>
                  <w:rFonts w:ascii="Times New Roman;sans-serif" w:hAnsi="Times New Roman;sans-serif"/>
                  <w:b w:val="false"/>
                  <w:color w:val="000080"/>
                  <w:sz w:val="20"/>
                  <w:u w:val="single"/>
                </w:rPr>
                <w:t>bout Market Risk</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78">
              <w:r>
                <w:rPr>
                  <w:rStyle w:val="InternetLink"/>
                  <w:rFonts w:ascii="Times New Roman;sans-serif" w:hAnsi="Times New Roman;sans-serif"/>
                  <w:b w:val="false"/>
                  <w:strike w:val="false"/>
                  <w:dstrike w:val="false"/>
                  <w:color w:val="0000FF"/>
                  <w:sz w:val="20"/>
                  <w:u w:val="none"/>
                  <w:effect w:val="none"/>
                </w:rPr>
                <w:t>39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81">
              <w:r>
                <w:rPr>
                  <w:rStyle w:val="InternetLink"/>
                  <w:rFonts w:ascii="Times New Roman;sans-serif" w:hAnsi="Times New Roman;sans-serif"/>
                  <w:b w:val="false"/>
                  <w:color w:val="0000FF"/>
                  <w:sz w:val="20"/>
                  <w:u w:val="single"/>
                </w:rPr>
                <w:t>Controls and Procedures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81">
              <w:r>
                <w:rPr>
                  <w:rStyle w:val="InternetLink"/>
                  <w:rFonts w:ascii="Times New Roman;sans-serif" w:hAnsi="Times New Roman;sans-serif"/>
                  <w:b w:val="false"/>
                  <w:strike w:val="false"/>
                  <w:dstrike w:val="false"/>
                  <w:color w:val="0000FF"/>
                  <w:sz w:val="20"/>
                  <w:u w:val="none"/>
                  <w:effect w:val="none"/>
                </w:rPr>
                <w:t>40</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84">
              <w:r>
                <w:rPr>
                  <w:rStyle w:val="InternetLink"/>
                  <w:rFonts w:ascii="Times New Roman;sans-serif" w:hAnsi="Times New Roman;sans-serif"/>
                  <w:b/>
                  <w:color w:val="0000FF"/>
                  <w:sz w:val="20"/>
                  <w:u w:val="single"/>
                </w:rPr>
                <w:t>PART II. OTHER INFORMATION</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87">
              <w:r>
                <w:rPr>
                  <w:rStyle w:val="InternetLink"/>
                  <w:rFonts w:ascii="Times New Roman;sans-serif" w:hAnsi="Times New Roman;sans-serif"/>
                  <w:b w:val="false"/>
                  <w:color w:val="0000FF"/>
                  <w:sz w:val="20"/>
                  <w:u w:val="single"/>
                </w:rPr>
                <w:t>Legal Proceedings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87">
              <w:r>
                <w:rPr>
                  <w:rStyle w:val="InternetLink"/>
                  <w:rFonts w:ascii="Times New Roman;sans-serif" w:hAnsi="Times New Roman;sans-serif"/>
                  <w:b w:val="false"/>
                  <w:strike w:val="false"/>
                  <w:dstrike w:val="false"/>
                  <w:color w:val="0000FF"/>
                  <w:sz w:val="20"/>
                  <w:u w:val="none"/>
                  <w:effect w:val="none"/>
                </w:rPr>
                <w:t>40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90">
              <w:r>
                <w:rPr>
                  <w:rStyle w:val="InternetLink"/>
                  <w:rFonts w:ascii="Times New Roman;sans-serif" w:hAnsi="Times New Roman;sans-serif"/>
                  <w:b w:val="false"/>
                  <w:color w:val="0000FF"/>
                  <w:sz w:val="20"/>
                  <w:u w:val="single"/>
                </w:rPr>
                <w:t>Risk Factors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90">
              <w:r>
                <w:rPr>
                  <w:rStyle w:val="InternetLink"/>
                  <w:rFonts w:ascii="Times New Roman;sans-serif" w:hAnsi="Times New Roman;sans-serif"/>
                  <w:b w:val="false"/>
                  <w:strike w:val="false"/>
                  <w:dstrike w:val="false"/>
                  <w:color w:val="0000FF"/>
                  <w:sz w:val="20"/>
                  <w:u w:val="none"/>
                  <w:effect w:val="none"/>
                </w:rPr>
                <w:t>40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93">
              <w:r>
                <w:rPr>
                  <w:rStyle w:val="InternetLink"/>
                  <w:rFonts w:ascii="Times New Roman;sans-serif" w:hAnsi="Times New Roman;sans-serif"/>
                  <w:b w:val="false"/>
                  <w:color w:val="0000FF"/>
                  <w:sz w:val="20"/>
                  <w:u w:val="single"/>
                </w:rPr>
                <w:t>Unregistered Sales of Equity Securities and Use of Proceeds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93">
              <w:r>
                <w:rPr>
                  <w:rStyle w:val="InternetLink"/>
                  <w:rFonts w:ascii="Times New Roman;sans-serif" w:hAnsi="Times New Roman;sans-serif"/>
                  <w:b w:val="false"/>
                  <w:strike w:val="false"/>
                  <w:dstrike w:val="false"/>
                  <w:color w:val="0000FF"/>
                  <w:sz w:val="20"/>
                  <w:u w:val="none"/>
                  <w:effect w:val="none"/>
                </w:rPr>
                <w:t>41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96">
              <w:r>
                <w:rPr>
                  <w:rStyle w:val="InternetLink"/>
                  <w:rFonts w:ascii="Times New Roman;sans-serif" w:hAnsi="Times New Roman;sans-serif"/>
                  <w:b w:val="false"/>
                  <w:color w:val="0000FF"/>
                  <w:sz w:val="20"/>
                  <w:u w:val="single"/>
                </w:rPr>
                <w:t>Defaults Upon Senior Securities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96">
              <w:r>
                <w:rPr>
                  <w:rStyle w:val="InternetLink"/>
                  <w:rFonts w:ascii="Times New Roman;sans-serif" w:hAnsi="Times New Roman;sans-serif"/>
                  <w:b w:val="false"/>
                  <w:strike w:val="false"/>
                  <w:dstrike w:val="false"/>
                  <w:color w:val="0000FF"/>
                  <w:sz w:val="20"/>
                  <w:u w:val="none"/>
                  <w:effect w:val="none"/>
                </w:rPr>
                <w:t>41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199">
              <w:r>
                <w:rPr>
                  <w:rStyle w:val="InternetLink"/>
                  <w:rFonts w:ascii="Times New Roman;sans-serif" w:hAnsi="Times New Roman;sans-serif"/>
                  <w:b w:val="false"/>
                  <w:color w:val="0000FF"/>
                  <w:sz w:val="20"/>
                  <w:u w:val="single"/>
                </w:rPr>
                <w:t>Mine Safety Disclosures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199">
              <w:r>
                <w:rPr>
                  <w:rStyle w:val="InternetLink"/>
                  <w:rFonts w:ascii="Times New Roman;sans-serif" w:hAnsi="Times New Roman;sans-serif"/>
                  <w:b w:val="false"/>
                  <w:strike w:val="false"/>
                  <w:dstrike w:val="false"/>
                  <w:color w:val="0000FF"/>
                  <w:sz w:val="20"/>
                  <w:u w:val="none"/>
                  <w:effect w:val="none"/>
                </w:rPr>
                <w:t>41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202">
              <w:r>
                <w:rPr>
                  <w:rStyle w:val="InternetLink"/>
                  <w:rFonts w:ascii="Times New Roman;sans-serif" w:hAnsi="Times New Roman;sans-serif"/>
                  <w:b w:val="false"/>
                  <w:color w:val="0000FF"/>
                  <w:sz w:val="20"/>
                  <w:u w:val="single"/>
                </w:rPr>
                <w:t>Other Information</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202">
              <w:r>
                <w:rPr>
                  <w:rStyle w:val="InternetLink"/>
                  <w:rFonts w:ascii="Times New Roman;sans-serif" w:hAnsi="Times New Roman;sans-serif"/>
                  <w:b w:val="false"/>
                  <w:strike w:val="false"/>
                  <w:dstrike w:val="false"/>
                  <w:color w:val="0000FF"/>
                  <w:sz w:val="20"/>
                  <w:u w:val="none"/>
                  <w:effect w:val="none"/>
                </w:rPr>
                <w:t>41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205">
              <w:r>
                <w:rPr>
                  <w:rStyle w:val="InternetLink"/>
                  <w:rFonts w:ascii="Times New Roman;sans-serif" w:hAnsi="Times New Roman;sans-serif"/>
                  <w:b w:val="false"/>
                  <w:color w:val="0000FF"/>
                  <w:sz w:val="20"/>
                  <w:u w:val="single"/>
                </w:rPr>
                <w:t>Exhibits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205">
              <w:r>
                <w:rPr>
                  <w:rStyle w:val="InternetLink"/>
                  <w:rFonts w:ascii="Times New Roman;sans-serif" w:hAnsi="Times New Roman;sans-serif"/>
                  <w:b w:val="false"/>
                  <w:strike w:val="false"/>
                  <w:dstrike w:val="false"/>
                  <w:color w:val="0000FF"/>
                  <w:sz w:val="20"/>
                  <w:u w:val="none"/>
                  <w:effect w:val="none"/>
                </w:rPr>
                <w:t>43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72a98bf5b74536af0ff0a8b1acb713_208">
              <w:r>
                <w:rPr>
                  <w:rStyle w:val="InternetLink"/>
                  <w:rFonts w:ascii="Times New Roman;sans-serif" w:hAnsi="Times New Roman;sans-serif"/>
                  <w:b w:val="false"/>
                  <w:color w:val="0000FF"/>
                  <w:sz w:val="20"/>
                  <w:u w:val="single"/>
                </w:rPr>
                <w:t>Signatures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72a98bf5b74536af0ff0a8b1acb713_208">
              <w:r>
                <w:rPr>
                  <w:rStyle w:val="InternetLink"/>
                  <w:rFonts w:ascii="Times New Roman;sans-serif" w:hAnsi="Times New Roman;sans-serif"/>
                  <w:b w:val="false"/>
                  <w:strike w:val="false"/>
                  <w:dstrike w:val="false"/>
                  <w:color w:val="0000FF"/>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w:t>
      </w:r>
      <w:r>
        <w:rPr>
          <w:rFonts w:ascii="Times New Roman;sans-serif" w:hAnsi="Times New Roman;sans-serif"/>
          <w:b w:val="false"/>
          <w:color w:val="000000"/>
          <w:sz w:val="20"/>
          <w:shd w:fill="FFFFFF" w:val="clear"/>
        </w:rPr>
        <w:t>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March 4, 2024 (as amended on April 29, 2024) in the sec</w:t>
      </w:r>
      <w:r>
        <w:rPr>
          <w:rFonts w:ascii="Times New Roman;sans-serif" w:hAnsi="Times New Roman;sans-serif"/>
          <w:b w:val="false"/>
          <w:color w:val="000000"/>
          <w:sz w:val="20"/>
        </w:rPr>
        <w:t>tion entitled Part I, Item 1A. “Risk Factors” and in this Quarterly Report on Form 10-Q in the section entitled Part II,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67"/>
        <w:gridCol w:w="2231"/>
        <w:gridCol w:w="2201"/>
        <w:gridCol w:w="211"/>
        <w:gridCol w:w="826"/>
        <w:gridCol w:w="109"/>
        <w:gridCol w:w="109"/>
        <w:gridCol w:w="109"/>
        <w:gridCol w:w="109"/>
        <w:gridCol w:w="218"/>
        <w:gridCol w:w="854"/>
        <w:gridCol w:w="161"/>
      </w:tblGrid>
      <w:tr>
        <w:trPr/>
        <w:tc>
          <w:tcPr>
            <w:tcW w:w="3067"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$9,235 and $9,290 as of March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of current portion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 (Note 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- 5,000,000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- 200,000,000 shares authorized, 91,131,823 and 90,603,519 shares issued, 88,365,750 and 87,837,446 shares outstanding as of March 31,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- 2,766,073 shares at March 31, 2024 and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xml:space="preserve">     </w:t>
      </w:r>
    </w:p>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52" w:type="dxa"/>
        <w:jc w:val="center"/>
        <w:tblInd w:w="0" w:type="dxa"/>
        <w:tblLayout w:type="fixed"/>
        <w:tblCellMar>
          <w:top w:w="28" w:type="dxa"/>
          <w:left w:w="28" w:type="dxa"/>
          <w:bottom w:w="28" w:type="dxa"/>
          <w:right w:w="28" w:type="dxa"/>
        </w:tblCellMar>
      </w:tblPr>
      <w:tblGrid>
        <w:gridCol w:w="1811"/>
        <w:gridCol w:w="1597"/>
        <w:gridCol w:w="1602"/>
        <w:gridCol w:w="340"/>
        <w:gridCol w:w="1283"/>
        <w:gridCol w:w="175"/>
        <w:gridCol w:w="175"/>
        <w:gridCol w:w="175"/>
        <w:gridCol w:w="175"/>
        <w:gridCol w:w="340"/>
        <w:gridCol w:w="1331"/>
        <w:gridCol w:w="248"/>
      </w:tblGrid>
      <w:tr>
        <w:trPr/>
        <w:tc>
          <w:tcPr>
            <w:tcW w:w="181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 except share and per share amounts)</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expenses and other: </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 assets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expenses and other</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140,330 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(32,669)</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Interest income, net</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w:t>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88,081,654 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75,774,812 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62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88,081,654 </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75,774,812 </w:t>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964" w:type="dxa"/>
        <w:jc w:val="center"/>
        <w:tblInd w:w="0" w:type="dxa"/>
        <w:tblLayout w:type="fixed"/>
        <w:tblCellMar>
          <w:top w:w="28" w:type="dxa"/>
          <w:left w:w="28" w:type="dxa"/>
          <w:bottom w:w="28" w:type="dxa"/>
          <w:right w:w="28" w:type="dxa"/>
        </w:tblCellMar>
      </w:tblPr>
      <w:tblGrid>
        <w:gridCol w:w="1214"/>
        <w:gridCol w:w="1063"/>
        <w:gridCol w:w="1083"/>
        <w:gridCol w:w="211"/>
        <w:gridCol w:w="796"/>
        <w:gridCol w:w="109"/>
        <w:gridCol w:w="109"/>
        <w:gridCol w:w="109"/>
        <w:gridCol w:w="109"/>
        <w:gridCol w:w="211"/>
        <w:gridCol w:w="796"/>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20"/>
        </w:rPr>
        <w:t>See accompanying notes to condensed consolidated financial statements.</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405" w:type="dxa"/>
        <w:jc w:val="center"/>
        <w:tblInd w:w="0" w:type="dxa"/>
        <w:tblLayout w:type="fixed"/>
        <w:tblCellMar>
          <w:top w:w="28" w:type="dxa"/>
          <w:left w:w="28" w:type="dxa"/>
          <w:bottom w:w="28" w:type="dxa"/>
          <w:right w:w="28" w:type="dxa"/>
        </w:tblCellMar>
      </w:tblPr>
      <w:tblGrid>
        <w:gridCol w:w="621"/>
        <w:gridCol w:w="282"/>
        <w:gridCol w:w="283"/>
        <w:gridCol w:w="480"/>
        <w:gridCol w:w="481"/>
        <w:gridCol w:w="196"/>
        <w:gridCol w:w="109"/>
        <w:gridCol w:w="109"/>
        <w:gridCol w:w="109"/>
        <w:gridCol w:w="212"/>
        <w:gridCol w:w="359"/>
        <w:gridCol w:w="120"/>
        <w:gridCol w:w="109"/>
        <w:gridCol w:w="109"/>
        <w:gridCol w:w="109"/>
        <w:gridCol w:w="443"/>
        <w:gridCol w:w="443"/>
        <w:gridCol w:w="196"/>
        <w:gridCol w:w="109"/>
        <w:gridCol w:w="109"/>
        <w:gridCol w:w="109"/>
        <w:gridCol w:w="241"/>
        <w:gridCol w:w="315"/>
        <w:gridCol w:w="13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64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90,603,519 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issued upon vesting of restricted stock units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Employee Stock Purchase Plan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91,131,823 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1405" w:type="dxa"/>
        <w:jc w:val="center"/>
        <w:tblInd w:w="0" w:type="dxa"/>
        <w:tblLayout w:type="fixed"/>
        <w:tblCellMar>
          <w:top w:w="28" w:type="dxa"/>
          <w:left w:w="28" w:type="dxa"/>
          <w:bottom w:w="28" w:type="dxa"/>
          <w:right w:w="28" w:type="dxa"/>
        </w:tblCellMar>
      </w:tblPr>
      <w:tblGrid>
        <w:gridCol w:w="621"/>
        <w:gridCol w:w="282"/>
        <w:gridCol w:w="283"/>
        <w:gridCol w:w="480"/>
        <w:gridCol w:w="481"/>
        <w:gridCol w:w="196"/>
        <w:gridCol w:w="109"/>
        <w:gridCol w:w="109"/>
        <w:gridCol w:w="109"/>
        <w:gridCol w:w="212"/>
        <w:gridCol w:w="359"/>
        <w:gridCol w:w="120"/>
        <w:gridCol w:w="109"/>
        <w:gridCol w:w="109"/>
        <w:gridCol w:w="109"/>
        <w:gridCol w:w="443"/>
        <w:gridCol w:w="443"/>
        <w:gridCol w:w="196"/>
        <w:gridCol w:w="109"/>
        <w:gridCol w:w="109"/>
        <w:gridCol w:w="109"/>
        <w:gridCol w:w="241"/>
        <w:gridCol w:w="315"/>
        <w:gridCol w:w="13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196"/>
        <w:gridCol w:w="64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Equity </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 thousands, except share data)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78,350,984 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issued upon vesting of restricted stock units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in connection with acquisitions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Activity related to divestiture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78,870,717 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(2,766,073)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(773,882)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(9,811)</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480"/>
        <w:jc w:val="center"/>
        <w:rPr/>
      </w:pPr>
      <w:r>
        <w:rPr/>
      </w:r>
    </w:p>
    <w:p>
      <w:pPr>
        <w:pStyle w:val="TextBody"/>
        <w:bidi w:val="0"/>
        <w:spacing w:lineRule="auto" w:line="288" w:before="0" w:after="0"/>
        <w:jc w:val="center"/>
        <w:rPr/>
      </w:pPr>
      <w:r>
        <w:rPr>
          <w:rFonts w:ascii="Times New Roman;sans-serif" w:hAnsi="Times New Roman;sans-serif"/>
          <w:b/>
          <w:color w:val="000000"/>
          <w:sz w:val="20"/>
        </w:rPr>
        <w:t>LIVEP</w:t>
      </w:r>
      <w:r>
        <w:rPr>
          <w:rFonts w:ascii="Times New Roman;sans-serif" w:hAnsi="Times New Roman;sans-serif"/>
          <w:b/>
          <w:color w:val="000000"/>
          <w:sz w:val="20"/>
          <w:shd w:fill="FFFFFF" w:val="clear"/>
        </w:rPr>
        <w:t>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49"/>
        <w:gridCol w:w="2413"/>
        <w:gridCol w:w="2426"/>
        <w:gridCol w:w="211"/>
        <w:gridCol w:w="800"/>
        <w:gridCol w:w="109"/>
        <w:gridCol w:w="109"/>
        <w:gridCol w:w="109"/>
        <w:gridCol w:w="109"/>
        <w:gridCol w:w="211"/>
        <w:gridCol w:w="800"/>
        <w:gridCol w:w="159"/>
      </w:tblGrid>
      <w:tr>
        <w:trPr/>
        <w:tc>
          <w:tcPr>
            <w:tcW w:w="274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7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26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to net cash used in operating activities: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 expense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Reduction of operating lease right-of-use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purchased intangible assets and finance leases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58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goodwill</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intangible and 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contingent consideration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repurchase of convertible notes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Allowance for credit losses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divestiture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loss in joint venture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 net of acquisitions: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Contract acquisition costs </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cash provided by (used in) operating activities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 including capitalized software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intangible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divestiture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cash (used in) provided by investing activities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for financing leases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in connection with the exercise of options and ESPP</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repurchase of convertible senior notes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(149,702)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financing activities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(149,806)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 and cash equivalents</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cash equivalents, and restricted cash</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 beginning of year</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392,197 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480"/>
        <w:jc w:val="center"/>
        <w:rPr/>
      </w:pPr>
      <w:r>
        <w:rPr/>
      </w:r>
    </w:p>
    <w:tbl>
      <w:tblPr>
        <w:tblW w:w="10205" w:type="dxa"/>
        <w:jc w:val="center"/>
        <w:tblInd w:w="0" w:type="dxa"/>
        <w:tblLayout w:type="fixed"/>
        <w:tblCellMar>
          <w:top w:w="28" w:type="dxa"/>
          <w:left w:w="28" w:type="dxa"/>
          <w:bottom w:w="28" w:type="dxa"/>
          <w:right w:w="28" w:type="dxa"/>
        </w:tblCellMar>
      </w:tblPr>
      <w:tblGrid>
        <w:gridCol w:w="2757"/>
        <w:gridCol w:w="2384"/>
        <w:gridCol w:w="2398"/>
        <w:gridCol w:w="211"/>
        <w:gridCol w:w="826"/>
        <w:gridCol w:w="109"/>
        <w:gridCol w:w="109"/>
        <w:gridCol w:w="109"/>
        <w:gridCol w:w="109"/>
        <w:gridCol w:w="211"/>
        <w:gridCol w:w="826"/>
        <w:gridCol w:w="156"/>
      </w:tblGrid>
      <w:tr>
        <w:trPr/>
        <w:tc>
          <w:tcPr>
            <w:tcW w:w="275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Plus: cash classified within current assets held for sale -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cash equivalents, and restricted cash - end of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252,172 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cash equivalents, and restricted cash to condensed consolidated balance sheets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252,172 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other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income taxes,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 and intangible assets recorded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12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 (“LivePerson”, the “Company”, “we”, “our” or “us”) is the enterprise leader in digital customer conversation. Over the past two decades, consumers have made digital conversations a primary way to communicate with others. Since 1998, we have enabled meaningful connections between consumers and our customers through our platform and currently power more than one billion connections and conversations each month. These digital and artificial intelligence (“AI”)-powered conversations decrease costs and increase revenue for our brands, resulting in more convenient, personalized and content-rich journeys across the entire consumer lifecycle, and across consumer channels. AI has accelerated our capability to leverage prior conversations and our customers’ existing investments in Generative AI and Large Language Models (“LLMs”) to enhance the consumer experience and to improve results for our customers by empowering them to leverage the latest developments in AI and LLMs, in a safe and secure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the Company’s enterprise-class digital customer conversation platform, is trusted by the world’s top brands to accelerate their contact center transformation, orchestrate conversations across all channels, departments and systems, increase agent productivity, and deliver more personalized, AI-empowered customer experiences. The Conversational Cloud powers conversations across each of a brand’s primary digital channels, including mobile apps, mobile and desktop web browsers, short messaging service (“SMS”), social media and third-party consumer messaging platforms. Brands can also use the Conversational Cloud to message consumers when they dial a 1-800 number instead of forcing them to navigate interactive voice response systems and wait on hold. Most recently, the Conversational Cloud has been enhanced to provide a secure platform with appropriate guardrails to deploy Generative AI and LLMs in ways that help consumers and drive results for brands without sacrificing trust.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digital customer conversation platform enables what the Company calls “the tango” of humans, LivePerson bots, third-party bots and LLMs, whereby humans act as bot managers, overseeing AI-powered conversations and seamlessly stepping into the flow when a personal touch is needed. Agents become highly efficient, leveraging the AI engine (including generative AI capabilities) to surface relevant content, define next-best actions and take over repetitive transactional work so that the agent can focus on relationship building. By seamlessly integrating messaging with the Company’s proprietary Conversational AI, as well as bots, the Conversational Cloud offers brands a comprehensive approach to scaling automations across their millions of customer conversations.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the financial data and other information disclosed in the notes to the condensed consolidated financial statements as of March 31, 2024 and for the three months ended March 31, 2024 are unaudited. In the opinion of management, the unaudited condensed consolidated financial statements have been prepared on the same basis as the annual financial statements and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2023 has been derived from audited consolidated financial statements at that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financial statements prepared in accordance with accounting principles generally accepted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2023 included in the Company’s Annual Report on Form 10-K filed with the SEC on March 4, 2024.</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the operations of LivePerson and its wholly-owned subsidiaries. All intercompany balances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Items subject to such estimates and assumptions include, but are not limited to: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stock-based compensation expense;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allowance for credit losses;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period of benefit for deferred contract acquisition costs;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of goodwill;</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and useful lives of other long-lived assets;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fair value of assets acquired and liabilities assumed in business combinations;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income taxes; and</w:t>
      </w:r>
    </w:p>
    <w:p>
      <w:pPr>
        <w:pStyle w:val="TextBody"/>
        <w:bidi w:val="0"/>
        <w:spacing w:lineRule="auto" w:line="288" w:before="0" w:after="160"/>
        <w:ind w:left="0" w:right="0" w:hanging="360"/>
        <w:jc w:val="both"/>
        <w:rPr/>
      </w:pPr>
      <w:r>
        <w:rPr>
          <w:color w:val="000000"/>
          <w:shd w:fill="FFFFFF" w:val="clear"/>
        </w:rPr>
        <w:t>•</w:t>
      </w:r>
      <w:r>
        <w:rPr>
          <w:rFonts w:ascii="Times New Roman;sans-serif" w:hAnsi="Times New Roman;sans-serif"/>
          <w:b w:val="false"/>
          <w:color w:val="000000"/>
          <w:sz w:val="20"/>
          <w:shd w:fill="FFFFFF" w:val="clear"/>
        </w:rPr>
        <w:t>recognition, measurement, and disclosure of contingent liabilities.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the Company’s Annual Report on Form 10-K for the year ended December 31, 2023. There have been no significant changes to these policies that have had a material impact on the Company’s condensed consolidated financial statements and related notes for the three months ended March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prepaid expenses and other current assets as of the dates presented:</w:t>
      </w:r>
    </w:p>
    <w:p>
      <w:pPr>
        <w:pStyle w:val="TextBody"/>
        <w:bidi w:val="0"/>
        <w:spacing w:before="0" w:after="0"/>
        <w:ind w:left="0" w:right="0" w:firstLine="720"/>
        <w:jc w:val="both"/>
        <w:rPr/>
      </w:pPr>
      <w:r>
        <w:rPr/>
      </w:r>
    </w:p>
    <w:tbl>
      <w:tblPr>
        <w:tblW w:w="6603" w:type="dxa"/>
        <w:jc w:val="center"/>
        <w:tblInd w:w="0" w:type="dxa"/>
        <w:tblLayout w:type="fixed"/>
        <w:tblCellMar>
          <w:top w:w="28" w:type="dxa"/>
          <w:left w:w="28" w:type="dxa"/>
          <w:bottom w:w="28" w:type="dxa"/>
          <w:right w:w="28" w:type="dxa"/>
        </w:tblCellMar>
      </w:tblPr>
      <w:tblGrid>
        <w:gridCol w:w="1425"/>
        <w:gridCol w:w="1251"/>
        <w:gridCol w:w="1254"/>
        <w:gridCol w:w="211"/>
        <w:gridCol w:w="721"/>
        <w:gridCol w:w="109"/>
        <w:gridCol w:w="109"/>
        <w:gridCol w:w="109"/>
        <w:gridCol w:w="109"/>
        <w:gridCol w:w="253"/>
        <w:gridCol w:w="867"/>
        <w:gridCol w:w="185"/>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server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June 2022, the Financial Accounting Standards Board (“FASB”) issued Accounting Standards Update (“ASU”) 2022-03,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(Topic 820), Fair Value Measurement of Equity Securities Subject to Contractual Sale Restrictions to clarify that a contractual restriction on the sale of an equity security is not considered part of a 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 1.) The fair value of equity securities subject to the contractual sale restrictions reflected on the balance sheet. 2.) The nature and remaining duration of the restriction(s). 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that could cause a lapse in the restriction(s). This guidance is effective for fiscal years beginning after December 15, 2023, and interim periods within those financial years. The Company adopted this guidance on January 1, 2024, which did not have a material effect on the Company’s condensed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March 21, 2024, the FASB issued ASU 2024-01, </w:t>
      </w:r>
      <w:r>
        <w:rPr>
          <w:rFonts w:ascii="Times New Roman;sans-serif" w:hAnsi="Times New Roman;sans-serif"/>
          <w:b w:val="false"/>
          <w:i/>
          <w:color w:val="000000"/>
          <w:sz w:val="20"/>
        </w:rPr>
        <w:t>Compensation—Stock Compensation (Topic 718): Scope Application of Profits Interest and Similar Awards</w:t>
      </w:r>
      <w:r>
        <w:rPr>
          <w:rFonts w:ascii="Times New Roman;sans-serif" w:hAnsi="Times New Roman;sans-serif"/>
          <w:b w:val="false"/>
          <w:color w:val="000000"/>
          <w:sz w:val="20"/>
        </w:rPr>
        <w:t xml:space="preserve">, which provides illustrative guidance to help entities determine whether profits interest and similar awards should be accounted for as share-based payment arrangements within the scope of FASB Accounting Standards Codification (“ASC”) 718, “Compensation—Stock Compensation.” Specifically, the amendments in ASU 2024-01 add an illustrative example that includes four fact patterns to demonstrate how an entity should apply the scope guidance in paragraph 718-10-15-3 to determine whether a profits interest award should be accounted for in accordance with Topic 718. The guidance in ASU 2024-01 applies to all entities that issue profits interest awards as compensation to employees or non-employees in exchange for goods or services. The amendments in this update are effective for annual periods beginning after December 15, 2024, and interim periods within those annual periods. Early adoption is permitted for both interim and annual financial statements that have not yet been issued or made available for issuance. ASU 2024-01 should be applied either retrospectively or prospectively. The Company does not expect this this standard to have a material impact on its condensed consolidated financial statements and related disclosures.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which expands annual and interim disclosure requirements for reportable segments, primarily through enhanced disclosures about significant segment expenses. The updated standard is effective for annual periods beginning after December 15, 2023. The Company is currently evaluating the potential impact of adopting this new guidance on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does not expect this standard to have a material impact on its condensed consolidated financial statements and related disclosures.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w:t>
      </w:r>
      <w:r>
        <w:rPr>
          <w:color w:val="000000"/>
        </w:rPr>
        <w:t xml:space="preserve"> </w:t>
      </w:r>
      <w:r>
        <w:rPr>
          <w:rFonts w:ascii="Times New Roman;sans-serif" w:hAnsi="Times New Roman;sans-serif"/>
          <w:b w:val="false"/>
          <w:color w:val="000000"/>
          <w:sz w:val="20"/>
        </w:rPr>
        <w:t xml:space="preserve">(Subtopic 805-60): </w:t>
      </w:r>
      <w:r>
        <w:rPr>
          <w:rFonts w:ascii="Times New Roman;sans-serif" w:hAnsi="Times New Roman;sans-serif"/>
          <w:b w:val="false"/>
          <w:i/>
          <w:color w:val="000000"/>
          <w:sz w:val="20"/>
        </w:rPr>
        <w:t>Recognition and Initial Measurement</w:t>
      </w:r>
      <w:r>
        <w:rPr>
          <w:rFonts w:ascii="Times New Roman;sans-serif" w:hAnsi="Times New Roman;sans-serif"/>
          <w:b w:val="false"/>
          <w:color w:val="000000"/>
          <w:sz w:val="20"/>
        </w:rPr>
        <w:t>, which addresses the accounting for contributions made to a joint venture, upon formation, in a joint venture’s separate financial statements. The amendments require certain joint ventures to apply a new basis of accounting upon formation by recognizing and initially measuring most of their assets and liabilities at fair value. The objectives of the amendments are to provide decision-useful information to investors and other allocators of capital in a joint venture’s financial statements and also to reduce diversity in practice. ASU 2023-05 is effective for both public and private joint venture entities with a formation date on or after January 1, 2025.</w:t>
      </w:r>
      <w:r>
        <w:rPr>
          <w:color w:val="000000"/>
          <w:shd w:fill="FFFFFF" w:val="clear"/>
        </w:rPr>
        <w:t xml:space="preserve"> </w:t>
      </w:r>
      <w:r>
        <w:rPr>
          <w:rFonts w:ascii="Times New Roman;sans-serif" w:hAnsi="Times New Roman;sans-serif"/>
          <w:b w:val="false"/>
          <w:color w:val="000000"/>
          <w:sz w:val="20"/>
          <w:shd w:fill="FFFFFF" w:val="clear"/>
        </w:rPr>
        <w:t>Early adoption is permitted. Entities may elect to apply the guidance retrospectively to joint ventures with a formation date prior to</w:t>
      </w:r>
      <w:r>
        <w:rPr>
          <w:color w:val="000000"/>
        </w:rPr>
        <w:t xml:space="preserve"> </w:t>
      </w:r>
      <w:r>
        <w:rPr>
          <w:rFonts w:ascii="Times New Roman;sans-serif" w:hAnsi="Times New Roman;sans-serif"/>
          <w:b w:val="false"/>
          <w:color w:val="000000"/>
          <w:sz w:val="20"/>
        </w:rPr>
        <w:t xml:space="preserve">January 1, 2025. The Company does not expect the adoption of this standard to have a material impact on its condensed consolidated financial statements and related disclosures.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Revenue Recognition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generated from hosted service revenues, which is inclusive of its platform pricing model,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months ended March 31, 2024 and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revenue source:</w:t>
      </w:r>
    </w:p>
    <w:tbl>
      <w:tblPr>
        <w:tblW w:w="4630" w:type="dxa"/>
        <w:jc w:val="center"/>
        <w:tblInd w:w="0" w:type="dxa"/>
        <w:tblLayout w:type="fixed"/>
        <w:tblCellMar>
          <w:top w:w="28" w:type="dxa"/>
          <w:left w:w="28" w:type="dxa"/>
          <w:bottom w:w="28" w:type="dxa"/>
          <w:right w:w="28" w:type="dxa"/>
        </w:tblCellMar>
      </w:tblPr>
      <w:tblGrid>
        <w:gridCol w:w="650"/>
        <w:gridCol w:w="574"/>
        <w:gridCol w:w="576"/>
        <w:gridCol w:w="233"/>
        <w:gridCol w:w="799"/>
        <w:gridCol w:w="120"/>
        <w:gridCol w:w="120"/>
        <w:gridCol w:w="120"/>
        <w:gridCol w:w="120"/>
        <w:gridCol w:w="233"/>
        <w:gridCol w:w="915"/>
        <w:gridCol w:w="170"/>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Hosted services </w:t>
            </w:r>
            <w:r>
              <w:rPr>
                <w:rFonts w:ascii="Times New Roman;sans-serif" w:hAnsi="Times New Roman;sans-serif"/>
                <w:b w:val="false"/>
                <w:color w:val="000000"/>
                <w:sz w:val="13"/>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(1)On March 20, 2023, the Company completed the sale of Kasamba and therefore ceased recognizing revenue related to Kasamba effective on the transaction close date. Further, this sale eliminated the entire Consumer segment, as a result of which revenue is presented within a single condensed consolidated segment. Hosted services</w:t>
      </w:r>
      <w:r>
        <w:rPr>
          <w:color w:val="000000"/>
          <w:shd w:fill="FFFFFF" w:val="clear"/>
        </w:rPr>
        <w:t xml:space="preserve"> </w:t>
      </w:r>
      <w:r>
        <w:rPr>
          <w:rFonts w:ascii="Times New Roman;sans-serif" w:hAnsi="Times New Roman;sans-serif"/>
          <w:b w:val="false"/>
          <w:color w:val="000000"/>
          <w:sz w:val="16"/>
        </w:rPr>
        <w:t>includes $7.2 million of revenue for the three months ended March 31 2023, relating to Kasamba.</w:t>
      </w:r>
    </w:p>
    <w:p>
      <w:pPr>
        <w:pStyle w:val="TextBody"/>
        <w:bidi w:val="0"/>
        <w:spacing w:before="0" w:after="0"/>
        <w:ind w:left="0" w:right="0" w:firstLine="48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aggregate amount of the total transaction price allocated in contracts with original duration of one year or greater to the remaining performance obligations was $296.7 million. Approximately 91%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 </w:t>
      </w:r>
    </w:p>
    <w:p>
      <w:pPr>
        <w:pStyle w:val="TextBody"/>
        <w:bidi w:val="0"/>
        <w:spacing w:before="0" w:after="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revenues attributable to domestic and foreign operations for the periods presented:</w:t>
      </w:r>
    </w:p>
    <w:p>
      <w:pPr>
        <w:pStyle w:val="TextBody"/>
        <w:bidi w:val="0"/>
        <w:spacing w:before="0" w:after="60"/>
        <w:ind w:left="0" w:right="0" w:firstLine="720"/>
        <w:jc w:val="both"/>
        <w:rPr/>
      </w:pPr>
      <w:r>
        <w:rPr/>
      </w:r>
    </w:p>
    <w:tbl>
      <w:tblPr>
        <w:tblW w:w="4404" w:type="dxa"/>
        <w:jc w:val="left"/>
        <w:tblInd w:w="0" w:type="dxa"/>
        <w:tblLayout w:type="fixed"/>
        <w:tblCellMar>
          <w:top w:w="28" w:type="dxa"/>
          <w:left w:w="28" w:type="dxa"/>
          <w:bottom w:w="28" w:type="dxa"/>
          <w:right w:w="28" w:type="dxa"/>
        </w:tblCellMar>
      </w:tblPr>
      <w:tblGrid>
        <w:gridCol w:w="571"/>
        <w:gridCol w:w="500"/>
        <w:gridCol w:w="503"/>
        <w:gridCol w:w="233"/>
        <w:gridCol w:w="799"/>
        <w:gridCol w:w="120"/>
        <w:gridCol w:w="120"/>
        <w:gridCol w:w="120"/>
        <w:gridCol w:w="120"/>
        <w:gridCol w:w="233"/>
        <w:gridCol w:w="915"/>
        <w:gridCol w:w="170"/>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Americas </w:t>
            </w:r>
            <w:r>
              <w:rPr>
                <w:rFonts w:ascii="Times New Roman;sans-serif" w:hAnsi="Times New Roman;sans-serif"/>
                <w:b w:val="false"/>
                <w:color w:val="000000"/>
                <w:sz w:val="13"/>
              </w:rPr>
              <w:t>(1)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EMEA </w:t>
            </w:r>
            <w:r>
              <w:rPr>
                <w:rFonts w:ascii="Times New Roman;sans-serif" w:hAnsi="Times New Roman;sans-serif"/>
                <w:b w:val="false"/>
                <w:color w:val="000000"/>
                <w:sz w:val="13"/>
              </w:rPr>
              <w:t>(2) (3)</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APAC </w:t>
            </w:r>
            <w:r>
              <w:rPr>
                <w:rFonts w:ascii="Times New Roman;sans-serif" w:hAnsi="Times New Roman;sans-serif"/>
                <w:b w:val="false"/>
                <w:color w:val="000000"/>
                <w:sz w:val="13"/>
              </w:rPr>
              <w:t>(4)</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16"/>
        </w:rPr>
        <w:t>Canada, Latin America and South America</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(2)</w:t>
      </w:r>
      <w:r>
        <w:rPr>
          <w:rFonts w:ascii="Times New Roman;sans-serif" w:hAnsi="Times New Roman;sans-serif"/>
          <w:b w:val="false"/>
          <w:color w:val="000000"/>
          <w:sz w:val="16"/>
        </w:rPr>
        <w:t>Europe, the Middle East and Africa (“EMEA”)</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(3)</w:t>
      </w:r>
      <w:r>
        <w:rPr>
          <w:rFonts w:ascii="Times New Roman;sans-serif" w:hAnsi="Times New Roman;sans-serif"/>
          <w:b w:val="false"/>
          <w:color w:val="000000"/>
          <w:sz w:val="16"/>
        </w:rPr>
        <w:t>Includes revenue from the United Kingdom of $10.7 million and $15.3 million for the three months ended March 31, 2024 and 2023, respectively.</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(4)</w:t>
      </w:r>
      <w:r>
        <w:rPr>
          <w:rFonts w:ascii="Times New Roman;sans-serif" w:hAnsi="Times New Roman;sans-serif"/>
          <w:b w:val="false"/>
          <w:color w:val="000000"/>
          <w:sz w:val="16"/>
        </w:rPr>
        <w:t>Asia-Pacific (“APAC”)</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Information about Contract Balances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revenue balance consists of services, which have been invoiced upfront, and are recognized as revenue only when the revenue recognition criteria are met.</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net of allowance for credit losses on the condensed consolidated balance sheets.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of $42.5 million and $44.1 million for the three months ended March 31, 2024 and 2023, respectively, which was included in the corresponding deferred revenue balance at the beginning of the year.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revenue balance consists of services, which have been invoiced upfront, and are recognized as revenue only when the revenue recognition criteria are met. Our long-term deferred revenues are included in Other liabilities on the condensed consolidated balance sheets. The opening and closing balances of the Company’s accounts receivable, unbilled receivables, and deferred revenues are as follows: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90"/>
        <w:gridCol w:w="518"/>
        <w:gridCol w:w="522"/>
        <w:gridCol w:w="258"/>
        <w:gridCol w:w="885"/>
        <w:gridCol w:w="133"/>
        <w:gridCol w:w="109"/>
        <w:gridCol w:w="109"/>
        <w:gridCol w:w="109"/>
        <w:gridCol w:w="254"/>
        <w:gridCol w:w="869"/>
        <w:gridCol w:w="131"/>
        <w:gridCol w:w="109"/>
        <w:gridCol w:w="109"/>
        <w:gridCol w:w="109"/>
        <w:gridCol w:w="276"/>
        <w:gridCol w:w="944"/>
        <w:gridCol w:w="144"/>
        <w:gridCol w:w="109"/>
        <w:gridCol w:w="109"/>
        <w:gridCol w:w="109"/>
        <w:gridCol w:w="304"/>
        <w:gridCol w:w="1039"/>
        <w:gridCol w:w="156"/>
        <w:gridCol w:w="109"/>
        <w:gridCol w:w="109"/>
        <w:gridCol w:w="109"/>
        <w:gridCol w:w="342"/>
        <w:gridCol w:w="755"/>
        <w:gridCol w:w="177"/>
        <w:gridCol w:w="109"/>
        <w:gridCol w:w="109"/>
        <w:gridCol w:w="109"/>
        <w:gridCol w:w="109"/>
        <w:gridCol w:w="16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Unbilled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Contract Acquisition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Costs, Net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Revenue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Deferred Revenue </w:t>
              <w:br/>
              <w:t>(Non-current)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600" w:type="dxa"/>
            <w:gridSpan w:val="5"/>
            <w:tcBorders/>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58"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53,468 </w:t>
            </w:r>
          </w:p>
        </w:tc>
        <w:tc>
          <w:tcPr>
            <w:tcW w:w="133"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33,069 </w:t>
            </w:r>
          </w:p>
        </w:tc>
        <w:tc>
          <w:tcPr>
            <w:tcW w:w="131"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43,804 </w:t>
            </w:r>
          </w:p>
        </w:tc>
        <w:tc>
          <w:tcPr>
            <w:tcW w:w="144"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84,494 </w:t>
            </w:r>
          </w:p>
        </w:tc>
        <w:tc>
          <w:tcPr>
            <w:tcW w:w="15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7"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60,382 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4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in connection with contract acquisition cost was approximately $4.9 million and $8.3 million for the three months ended March 31, 2024 and 2023,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Accounts receivable are recorded at the invoiced amount and do not bear interest. The allowance for credit losses is the Company’s best estimate of the amount of probable credit losses in the Company’s existing accounts receivable, based on both specific and general reserves. The Company</w:t>
      </w:r>
      <w:r>
        <w:rPr>
          <w:color w:val="000000"/>
          <w:shd w:fill="FFFFFF" w:val="clear"/>
        </w:rPr>
        <w:t xml:space="preserve"> </w:t>
      </w:r>
      <w:r>
        <w:rPr>
          <w:rFonts w:ascii="Times New Roman;sans-serif" w:hAnsi="Times New Roman;sans-serif"/>
          <w:b w:val="false"/>
          <w:color w:val="000000"/>
          <w:sz w:val="20"/>
          <w:shd w:fill="FFFFFF" w:val="clear"/>
        </w:rPr>
        <w:t>maintains general reserves on a collective basis by considering factors such as historical experience, creditworthiness, the age of the trade receivable balances, and current econom</w:t>
      </w:r>
      <w:r>
        <w:rPr>
          <w:rFonts w:ascii="Times New Roman;sans-serif" w:hAnsi="Times New Roman;sans-serif"/>
          <w:b w:val="false"/>
          <w:color w:val="000000"/>
          <w:sz w:val="20"/>
        </w:rPr>
        <w:t>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is as follows:</w:t>
      </w:r>
    </w:p>
    <w:p>
      <w:pPr>
        <w:pStyle w:val="TextBody"/>
        <w:bidi w:val="0"/>
        <w:spacing w:before="0" w:after="0"/>
        <w:ind w:left="0" w:right="0" w:firstLine="720"/>
        <w:jc w:val="both"/>
        <w:rPr/>
      </w:pPr>
      <w:r>
        <w:rPr/>
      </w:r>
    </w:p>
    <w:tbl>
      <w:tblPr>
        <w:tblW w:w="6012" w:type="dxa"/>
        <w:jc w:val="center"/>
        <w:tblInd w:w="0" w:type="dxa"/>
        <w:tblLayout w:type="fixed"/>
        <w:tblCellMar>
          <w:top w:w="28" w:type="dxa"/>
          <w:left w:w="28" w:type="dxa"/>
          <w:bottom w:w="28" w:type="dxa"/>
          <w:right w:w="28" w:type="dxa"/>
        </w:tblCellMar>
      </w:tblPr>
      <w:tblGrid>
        <w:gridCol w:w="1233"/>
        <w:gridCol w:w="1084"/>
        <w:gridCol w:w="1088"/>
        <w:gridCol w:w="220"/>
        <w:gridCol w:w="642"/>
        <w:gridCol w:w="113"/>
        <w:gridCol w:w="109"/>
        <w:gridCol w:w="109"/>
        <w:gridCol w:w="109"/>
        <w:gridCol w:w="280"/>
        <w:gridCol w:w="819"/>
        <w:gridCol w:w="206"/>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20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Deductions/write-offs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w:t>
            </w:r>
          </w:p>
        </w:tc>
        <w:tc>
          <w:tcPr>
            <w:tcW w:w="20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9,290 </w:t>
            </w:r>
          </w:p>
        </w:tc>
        <w:tc>
          <w:tcPr>
            <w:tcW w:w="20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3. Net Loss Per Share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Basic earnings per share (“EPS”) excludes dilution for common stock equivalents and is computed by dividing net income or loss attributable to common stockholders by the weighted average number of shares of common stock outstanding for the period. Diluted EPS is calculated based on the weighted average number of shares of common stock plus the effect of dilutive potential common shares outstanding during the period. Potentially dilutive securities consist of common stock options, restricted stock units, contingently issuable shares and convertible securities. The dilutive effect of stock options, restricted stock units and contingently issuable shares is reflected in diluted EPS by application of the treasury stock method. The dilutive effect of convertible securities is reflected in the diluted EPS by application of the “if-converted” meth</w:t>
      </w:r>
      <w:r>
        <w:rPr>
          <w:rFonts w:ascii="Times New Roman;sans-serif" w:hAnsi="Times New Roman;sans-serif"/>
          <w:b w:val="false"/>
          <w:color w:val="000000"/>
          <w:sz w:val="20"/>
          <w:shd w:fill="FFFFFF" w:val="clear"/>
        </w:rPr>
        <w:t xml:space="preserve">od. The “if-converted” method is only assumed in periods where such application would be dilutive. </w:t>
      </w:r>
      <w:r>
        <w:rPr>
          <w:rFonts w:ascii="Times New Roman;sans-serif" w:hAnsi="Times New Roman;sans-serif"/>
          <w:b w:val="false"/>
          <w:color w:val="000000"/>
          <w:sz w:val="20"/>
        </w:rPr>
        <w:t>In applying the “if-converted” method for diluted EPS, the Company would assume conversion of the 0.750% Convertible Senior Notes due 2024 (“2024 Notes”) at a ratio of 25.9182 shares of its common stock per $1,000 principal amount of the 2024 Notes. Assumed converted shares of the Company’s common stock are weighted for the period the 2024 Notes were outstanding.</w:t>
      </w:r>
      <w:r>
        <w:rPr>
          <w:color w:val="000000"/>
          <w:shd w:fill="FFFFFF" w:val="clear"/>
        </w:rPr>
        <w:t xml:space="preserve"> </w:t>
      </w:r>
      <w:r>
        <w:rPr>
          <w:rFonts w:ascii="Times New Roman;sans-serif" w:hAnsi="Times New Roman;sans-serif"/>
          <w:b w:val="false"/>
          <w:color w:val="000000"/>
          <w:sz w:val="20"/>
          <w:shd w:fill="FFFFFF" w:val="clear"/>
        </w:rPr>
        <w:t>In applying the “if-converted” method for diluted EPS, t</w:t>
      </w:r>
      <w:r>
        <w:rPr>
          <w:rFonts w:ascii="Times New Roman;sans-serif" w:hAnsi="Times New Roman;sans-serif"/>
          <w:b w:val="false"/>
          <w:color w:val="000000"/>
          <w:sz w:val="20"/>
        </w:rPr>
        <w:t xml:space="preserve">he Company would assume conversion of its 0% Convertible Senior Notes due 2026 at a ratio of 13.2933 shares of its common stock per $1,000 principal amount of such notes. See Note 8 – </w:t>
      </w:r>
      <w:r>
        <w:rPr>
          <w:rFonts w:ascii="Times New Roman;sans-serif" w:hAnsi="Times New Roman;sans-serif"/>
          <w:b w:val="false"/>
          <w:i/>
          <w:color w:val="000000"/>
          <w:sz w:val="20"/>
        </w:rPr>
        <w:t>Convertible Senior Notes, Net of Current Portion and Capped Call Transactions</w:t>
      </w:r>
      <w:r>
        <w:rPr>
          <w:color w:val="000000"/>
        </w:rPr>
        <w:t xml:space="preserve"> </w:t>
      </w:r>
      <w:r>
        <w:rPr>
          <w:rFonts w:ascii="Times New Roman;sans-serif" w:hAnsi="Times New Roman;sans-serif"/>
          <w:b w:val="false"/>
          <w:color w:val="000000"/>
          <w:sz w:val="20"/>
        </w:rPr>
        <w:t xml:space="preserve">for additional information about the 2024 Notes and 2026 Notes.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following table presents</w:t>
      </w:r>
      <w:r>
        <w:rPr>
          <w:color w:val="000000"/>
          <w:shd w:fill="FFFFFF" w:val="clear"/>
        </w:rPr>
        <w:t xml:space="preserve"> </w:t>
      </w:r>
      <w:r>
        <w:rPr>
          <w:rFonts w:ascii="Times New Roman;sans-serif" w:hAnsi="Times New Roman;sans-serif"/>
          <w:b w:val="false"/>
          <w:color w:val="000000"/>
          <w:sz w:val="20"/>
          <w:shd w:fill="FFFFFF" w:val="clear"/>
        </w:rPr>
        <w:t>shares used in calculating basic and diluted EPS for the</w:t>
      </w:r>
      <w:r>
        <w:rPr>
          <w:color w:val="000000"/>
        </w:rPr>
        <w:t xml:space="preserv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March 31, 2024 and 2023, as follows:</w:t>
      </w:r>
    </w:p>
    <w:tbl>
      <w:tblPr>
        <w:tblW w:w="8936" w:type="dxa"/>
        <w:jc w:val="left"/>
        <w:tblInd w:w="0" w:type="dxa"/>
        <w:tblLayout w:type="fixed"/>
        <w:tblCellMar>
          <w:top w:w="28" w:type="dxa"/>
          <w:left w:w="28" w:type="dxa"/>
          <w:bottom w:w="28" w:type="dxa"/>
          <w:right w:w="28" w:type="dxa"/>
        </w:tblCellMar>
      </w:tblPr>
      <w:tblGrid>
        <w:gridCol w:w="1992"/>
        <w:gridCol w:w="1742"/>
        <w:gridCol w:w="1770"/>
        <w:gridCol w:w="278"/>
        <w:gridCol w:w="1051"/>
        <w:gridCol w:w="143"/>
        <w:gridCol w:w="143"/>
        <w:gridCol w:w="143"/>
        <w:gridCol w:w="143"/>
        <w:gridCol w:w="278"/>
        <w:gridCol w:w="1051"/>
        <w:gridCol w:w="202"/>
      </w:tblGrid>
      <w:tr>
        <w:trPr/>
        <w:tc>
          <w:tcPr>
            <w:tcW w:w="199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 except per share amounts)</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basic and diluted</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88,081,654 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75,774,812 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the following securities were excluded from the computation of diluted EPS, as their effect would have been anti-dilutive:</w:t>
      </w:r>
    </w:p>
    <w:tbl>
      <w:tblPr>
        <w:tblW w:w="10205" w:type="dxa"/>
        <w:jc w:val="center"/>
        <w:tblInd w:w="0" w:type="dxa"/>
        <w:tblLayout w:type="fixed"/>
        <w:tblCellMar>
          <w:top w:w="28" w:type="dxa"/>
          <w:left w:w="28" w:type="dxa"/>
          <w:bottom w:w="28" w:type="dxa"/>
          <w:right w:w="28" w:type="dxa"/>
        </w:tblCellMar>
      </w:tblPr>
      <w:tblGrid>
        <w:gridCol w:w="2588"/>
        <w:gridCol w:w="2275"/>
        <w:gridCol w:w="2282"/>
        <w:gridCol w:w="540"/>
        <w:gridCol w:w="541"/>
        <w:gridCol w:w="176"/>
        <w:gridCol w:w="161"/>
        <w:gridCol w:w="161"/>
        <w:gridCol w:w="161"/>
        <w:gridCol w:w="540"/>
        <w:gridCol w:w="541"/>
        <w:gridCol w:w="239"/>
      </w:tblGrid>
      <w:tr>
        <w:trPr/>
        <w:tc>
          <w:tcPr>
            <w:tcW w:w="258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As of March 31, </w:t>
            </w:r>
          </w:p>
        </w:tc>
      </w:tr>
      <w:tr>
        <w:trPr/>
        <w:tc>
          <w:tcPr>
            <w:tcW w:w="7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 and employee stock purchase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3,251,520 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4,078,938 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8,052,908 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4,331,255 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23,818,594 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1,878,862 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18,183,711 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40,986,932 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4. Segment Information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w:t>
      </w:r>
      <w:r>
        <w:rPr>
          <w:rFonts w:ascii="Times New Roman;sans-serif" w:hAnsi="Times New Roman;sans-serif"/>
          <w:b w:val="false"/>
          <w:color w:val="000000"/>
          <w:sz w:val="20"/>
          <w:shd w:fill="FFFFFF" w:val="clear"/>
        </w:rPr>
        <w:t>he chief operating decision maker (“CODM”), who is the Company’s Chief Executive Officer, evaluates performance, makes operating decisions, and allocates resources based on the financial information presented on a consolidated basis. Accordingly, management has determined that the Company operates as one operating and reportable segment.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was previously organized into two operating segments for purposes of making operating decisions and assessing performance: the Business segment and the Consumer segment. </w:t>
      </w:r>
      <w:r>
        <w:rPr>
          <w:rFonts w:ascii="Times New Roman;sans-serif" w:hAnsi="Times New Roman;sans-serif"/>
          <w:b w:val="false"/>
          <w:color w:val="000000"/>
          <w:sz w:val="20"/>
          <w:shd w:fill="FFFFFF" w:val="clear"/>
        </w:rPr>
        <w:t xml:space="preserve">During the first quarter of 2023, the Consumer segment (consisting solely of the Kasamba business) was divested. </w:t>
      </w:r>
      <w:r>
        <w:rPr>
          <w:rFonts w:ascii="Times New Roman;sans-serif" w:hAnsi="Times New Roman;sans-serif"/>
          <w:b w:val="false"/>
          <w:color w:val="000000"/>
          <w:sz w:val="20"/>
        </w:rPr>
        <w:t xml:space="preserve">As a result, the divestiture of Kasamba eliminated the Company’s Consumer segment. See Note 19 – </w:t>
      </w:r>
      <w:r>
        <w:rPr>
          <w:rFonts w:ascii="Times New Roman;sans-serif" w:hAnsi="Times New Roman;sans-serif"/>
          <w:b w:val="false"/>
          <w:i/>
          <w:color w:val="000000"/>
          <w:sz w:val="20"/>
        </w:rPr>
        <w:t xml:space="preserve">Divestiture </w:t>
      </w:r>
      <w:r>
        <w:rPr>
          <w:rFonts w:ascii="Times New Roman;sans-serif" w:hAnsi="Times New Roman;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Geographic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long-lived assets by geographic region as of March 31, 2024 and December 31, 2023:</w:t>
      </w:r>
    </w:p>
    <w:p>
      <w:pPr>
        <w:pStyle w:val="TextBody"/>
        <w:bidi w:val="0"/>
        <w:spacing w:before="0" w:after="60"/>
        <w:ind w:left="0" w:right="0" w:firstLine="720"/>
        <w:jc w:val="both"/>
        <w:rPr/>
      </w:pPr>
      <w:r>
        <w:rPr/>
      </w:r>
    </w:p>
    <w:tbl>
      <w:tblPr>
        <w:tblW w:w="4742"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31"/>
        <w:gridCol w:w="905"/>
        <w:gridCol w:w="168"/>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(1)United Kingdom, Japan, France, Italy, Spain, Canada, and Singapore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Goodwill and Intangible Assets, Net</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Goodwill is not amortized, but is tested for impairment at the reporting unit level using either a qualitative or quantitative assessment on an annual basis, or whenever events or changes in circumstances indicate that the carrying value may not be recoverable. In the valuation of goodwill, management must make assumptions regarding estimated future cash flows to be derived from the Company’s business. If these estimates or their related assumptions change in the future, the Company may be required to record impairment for these assets.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as of March 31, 2024 and December 31, 2023 are as follows:</w:t>
      </w:r>
    </w:p>
    <w:p>
      <w:pPr>
        <w:pStyle w:val="TextBody"/>
        <w:bidi w:val="0"/>
        <w:spacing w:before="0" w:after="120"/>
        <w:ind w:left="0" w:right="0" w:firstLine="720"/>
        <w:jc w:val="both"/>
        <w:rPr/>
      </w:pPr>
      <w:r>
        <w:rPr/>
      </w:r>
    </w:p>
    <w:tbl>
      <w:tblPr>
        <w:tblW w:w="4342" w:type="dxa"/>
        <w:jc w:val="left"/>
        <w:tblInd w:w="0" w:type="dxa"/>
        <w:tblLayout w:type="fixed"/>
        <w:tblCellMar>
          <w:top w:w="28" w:type="dxa"/>
          <w:left w:w="28" w:type="dxa"/>
          <w:bottom w:w="28" w:type="dxa"/>
          <w:right w:w="28" w:type="dxa"/>
        </w:tblCellMar>
      </w:tblPr>
      <w:tblGrid>
        <w:gridCol w:w="1021"/>
        <w:gridCol w:w="896"/>
        <w:gridCol w:w="902"/>
        <w:gridCol w:w="231"/>
        <w:gridCol w:w="908"/>
        <w:gridCol w:w="121"/>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impairment </w:t>
            </w:r>
            <w:r>
              <w:rPr>
                <w:rFonts w:ascii="Times New Roman;sans-serif" w:hAnsi="Times New Roman;sans-serif"/>
                <w:b w:val="false"/>
                <w:color w:val="000000"/>
                <w:sz w:val="13"/>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impairment</w:t>
            </w:r>
            <w:r>
              <w:rPr>
                <w:color w:val="000000"/>
              </w:rPr>
              <w:t xml:space="preserve"> </w:t>
            </w:r>
            <w:r>
              <w:rPr>
                <w:rFonts w:ascii="Times New Roman;sans-serif" w:hAnsi="Times New Roman;sans-serif"/>
                <w:b w:val="false"/>
                <w:color w:val="000000"/>
                <w:sz w:val="14"/>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 These amounts represent the entire accumulated goodwill impairment balance as of March 31, 2024.</w:t>
      </w:r>
    </w:p>
    <w:p>
      <w:pPr>
        <w:pStyle w:val="TextBody"/>
        <w:bidi w:val="0"/>
        <w:spacing w:before="0" w:after="0"/>
        <w:ind w:left="0" w:right="0" w:firstLine="90"/>
        <w:jc w:val="left"/>
        <w:rPr/>
      </w:pPr>
      <w:r>
        <w:rPr/>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Company’s intention to sell or dispose of its WildHealth reporting unit, the Company recorded a non-cash impairment charge of $3.6 million in the condensed consolidated statements of operations during the three months ended March 31, 2024, to recognize a full impairment of goodwill associated with its WildHealth reporting unit. There were no impairments in the Company’s Business reporting unit during the three months ended March 31, 2024. There were no impairments of goodwill during the three months ended March 31, 2023.</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summarized as follows: </w:t>
      </w:r>
    </w:p>
    <w:tbl>
      <w:tblPr>
        <w:tblW w:w="9119"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48"/>
        <w:gridCol w:w="868"/>
        <w:gridCol w:w="130"/>
        <w:gridCol w:w="109"/>
        <w:gridCol w:w="109"/>
        <w:gridCol w:w="109"/>
        <w:gridCol w:w="395"/>
        <w:gridCol w:w="1351"/>
        <w:gridCol w:w="204"/>
        <w:gridCol w:w="109"/>
        <w:gridCol w:w="109"/>
        <w:gridCol w:w="109"/>
        <w:gridCol w:w="378"/>
        <w:gridCol w:w="378"/>
        <w:gridCol w:w="53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480"/>
        <w:jc w:val="both"/>
        <w:rPr/>
      </w:pPr>
      <w:r>
        <w:rPr/>
      </w:r>
    </w:p>
    <w:tbl>
      <w:tblPr>
        <w:tblW w:w="9119"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48"/>
        <w:gridCol w:w="868"/>
        <w:gridCol w:w="130"/>
        <w:gridCol w:w="109"/>
        <w:gridCol w:w="109"/>
        <w:gridCol w:w="109"/>
        <w:gridCol w:w="395"/>
        <w:gridCol w:w="1351"/>
        <w:gridCol w:w="204"/>
        <w:gridCol w:w="109"/>
        <w:gridCol w:w="109"/>
        <w:gridCol w:w="109"/>
        <w:gridCol w:w="378"/>
        <w:gridCol w:w="378"/>
        <w:gridCol w:w="53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Amortization expense is calculated over the estimated useful life of the asset. Aggregate amortization expense for intangible assets and finance leases, net was $4.2 million and $5.4 million for the three months ended March 31, 2024 and 2023, respectively. Amortization expense included in cost of revenue in our condensed consolidated statements of operations was $3.3 million</w:t>
      </w:r>
      <w:r>
        <w:rPr>
          <w:color w:val="000000"/>
          <w:shd w:fill="FFFFFF" w:val="clear"/>
        </w:rPr>
        <w:t xml:space="preserve"> </w:t>
      </w:r>
      <w:r>
        <w:rPr>
          <w:rFonts w:ascii="Times New Roman;sans-serif" w:hAnsi="Times New Roman;sans-serif"/>
          <w:b w:val="false"/>
          <w:color w:val="000000"/>
          <w:sz w:val="20"/>
          <w:shd w:fill="FFFFFF" w:val="clear"/>
        </w:rPr>
        <w:t>and $4.6 million for the three months ended March 31,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our impairment test in the first quarter of 2024, the Company recognized an immaterial non-cash impairment charge of $2.2 million included in impairment of intangibles and other assets in the condensed consolidated statements of operations, related to intangible assets associated with its WildHealth reporting unit, due to a plan to sell or dispose of the WildHealth reporting unit, as discussed above. There were no impairments of intangible assets during the three months ended March 31, 2023.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estimated annual amortization expense for the next five years and thereafter is as follows:  </w:t>
      </w:r>
    </w:p>
    <w:tbl>
      <w:tblPr>
        <w:tblW w:w="4620" w:type="dxa"/>
        <w:jc w:val="center"/>
        <w:tblInd w:w="0" w:type="dxa"/>
        <w:tblLayout w:type="fixed"/>
        <w:tblCellMar>
          <w:top w:w="28" w:type="dxa"/>
          <w:left w:w="28" w:type="dxa"/>
          <w:bottom w:w="28" w:type="dxa"/>
          <w:right w:w="28" w:type="dxa"/>
        </w:tblCellMar>
      </w:tblPr>
      <w:tblGrid>
        <w:gridCol w:w="608"/>
        <w:gridCol w:w="534"/>
        <w:gridCol w:w="538"/>
        <w:gridCol w:w="569"/>
        <w:gridCol w:w="1952"/>
        <w:gridCol w:w="419"/>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Estimated Amortization Expense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56,009 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Property and Equipment,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ongoing basis. The following table presents the detail of property and equipment, net for the periods presented:</w:t>
      </w:r>
    </w:p>
    <w:p>
      <w:pPr>
        <w:pStyle w:val="TextBody"/>
        <w:bidi w:val="0"/>
        <w:spacing w:before="0" w:after="12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1460"/>
        <w:gridCol w:w="1277"/>
        <w:gridCol w:w="1284"/>
        <w:gridCol w:w="211"/>
        <w:gridCol w:w="826"/>
        <w:gridCol w:w="109"/>
        <w:gridCol w:w="109"/>
        <w:gridCol w:w="109"/>
        <w:gridCol w:w="109"/>
        <w:gridCol w:w="231"/>
        <w:gridCol w:w="905"/>
        <w:gridCol w:w="118"/>
        <w:gridCol w:w="109"/>
        <w:gridCol w:w="109"/>
        <w:gridCol w:w="109"/>
        <w:gridCol w:w="916"/>
        <w:gridCol w:w="916"/>
        <w:gridCol w:w="1298"/>
      </w:tblGrid>
      <w:tr>
        <w:trPr/>
        <w:tc>
          <w:tcPr>
            <w:tcW w:w="14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Useful life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op w:val="single" w:sz="8" w:space="0" w:color="000000"/>
            </w:tcBorders>
            <w:shd w:fill="D9F2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to 5 </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building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lesser of 5 or estimated useful life</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Depreciation and amortization expense of property and equipment was $8.2 million and $7.4 million during the three months ended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 xml:space="preserve">and 2023,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routine maintenance and repairs are charged to operating expense as incurred. Major renewals and improvements are capitalized and depreciated over their estimated useful lives.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impairments of property and equipment during the three months ended March 31,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included in our condensed consolidated statements of operations for the three months ended March 31, 2024 and 2023 is as follows: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4677" w:type="dxa"/>
        <w:jc w:val="center"/>
        <w:tblInd w:w="0" w:type="dxa"/>
        <w:tblLayout w:type="fixed"/>
        <w:tblCellMar>
          <w:top w:w="28" w:type="dxa"/>
          <w:left w:w="28" w:type="dxa"/>
          <w:bottom w:w="28" w:type="dxa"/>
          <w:right w:w="28" w:type="dxa"/>
        </w:tblCellMar>
      </w:tblPr>
      <w:tblGrid>
        <w:gridCol w:w="852"/>
        <w:gridCol w:w="751"/>
        <w:gridCol w:w="752"/>
        <w:gridCol w:w="220"/>
        <w:gridCol w:w="642"/>
        <w:gridCol w:w="113"/>
        <w:gridCol w:w="109"/>
        <w:gridCol w:w="109"/>
        <w:gridCol w:w="109"/>
        <w:gridCol w:w="219"/>
        <w:gridCol w:w="641"/>
        <w:gridCol w:w="160"/>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Accrued Expenses and Other Current Liabilities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accrued expenses and other current liabilities for the periods presented:</w:t>
      </w:r>
    </w:p>
    <w:tbl>
      <w:tblPr>
        <w:tblW w:w="7518" w:type="dxa"/>
        <w:jc w:val="left"/>
        <w:tblInd w:w="0" w:type="dxa"/>
        <w:tblLayout w:type="fixed"/>
        <w:tblCellMar>
          <w:top w:w="28" w:type="dxa"/>
          <w:left w:w="28" w:type="dxa"/>
          <w:bottom w:w="28" w:type="dxa"/>
          <w:right w:w="28" w:type="dxa"/>
        </w:tblCellMar>
      </w:tblPr>
      <w:tblGrid>
        <w:gridCol w:w="1753"/>
        <w:gridCol w:w="1544"/>
        <w:gridCol w:w="1548"/>
        <w:gridCol w:w="211"/>
        <w:gridCol w:w="721"/>
        <w:gridCol w:w="109"/>
        <w:gridCol w:w="109"/>
        <w:gridCol w:w="109"/>
        <w:gridCol w:w="109"/>
        <w:gridCol w:w="253"/>
        <w:gridCol w:w="867"/>
        <w:gridCol w:w="185"/>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consulting and other vendor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other 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liability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Non-income tax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Convertible Senior Notes, Net of Current Portion and Capped Call Transactions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Senior Notes due 2024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2019, the Company issued $230.0 million aggregate principal amount of its 0.750% Convertible Senior Notes due 2024 (the “2024 Notes”) in a private placement. Interest on the 2024 Notes was payable semi-annually in arrears on March 1 and September 1 of each year. The 2024 Notes matured on March 1, 2024, on which date the Company repaid in full the outstanding $72.5 million in aggregate principal amount of the 2024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$157.5 million in aggregate principal amount of the 2024 Notes (the “Note Repurchases”). </w:t>
      </w: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 xml:space="preserve">uring the first quarter of 2023, the Company recognized a </w:t>
      </w:r>
      <w:r>
        <w:rPr>
          <w:rFonts w:ascii="Times New Roman;sans-serif" w:hAnsi="Times New Roman;sans-serif"/>
          <w:b w:val="false"/>
          <w:color w:val="000000"/>
          <w:sz w:val="20"/>
          <w:shd w:fill="FFFFFF" w:val="clear"/>
        </w:rPr>
        <w:t>$6.1 million</w:t>
      </w:r>
      <w:r>
        <w:rPr>
          <w:color w:val="000000"/>
        </w:rPr>
        <w:t xml:space="preserve"> </w:t>
      </w:r>
      <w:r>
        <w:rPr>
          <w:rFonts w:ascii="Times New Roman;sans-serif" w:hAnsi="Times New Roman;sans-serif"/>
          <w:b w:val="false"/>
          <w:color w:val="000000"/>
          <w:sz w:val="20"/>
        </w:rPr>
        <w:t>gain, net of transaction costs of $0.5 million on debt extinguishment, which represented the difference between the carrying value and the fair value of the 2024 Notes just prior to the Note Repurchases, which was recorded in Other (expense) income, net in the condensed consolidated statements of operations. The gain on debt extinguishment was subsequently adjusted by an immaterial amount of $1.1 million with a total gain of $7.2 million reported as of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there was no outstanding principal amount of the 2024 Notes.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2026 and Capped Calls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issued $517.5 million aggregate principal amount of its 0% Convertible Senior Notes due 2026 (the “2026 Notes” and together with the 2024 Notes, the “Notes”) in a private placement.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which includes the failure of our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2024, the conditions allowing holders of the 2026 Notes to convert were not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2026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adoption of ASU 2020-06, the 2026 Notes are accounted for as a single liability, and the carrying amount of the 2026 Notes is $512.1 million as of March 31, 2024, consisting of principal of $517.5 million, net of unamortized issuance costs of $5.4 million. The 2026 Notes were classified as long term liabilities in the accompanying condensed consolidated balance sheets as of March 31, 2024. The remaining term over which the 2026 Notes’ debt issuance costs will be amortized is 2.7 years at an effective interest rate of 0.40% for the three months ended March 31, 2024.</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incurred in connection with securing the Company’s financing arrangements are presented in the condensed consolidated balance sheets as a direct deduction from the carrying amount of the outstanding borrowings, consistent with debt discounts. All deferred financing costs are amortized to interest expense. The net carrying amount of the liability component of the Notes as of March 31, 2024 and December 31, 2023 is as follows:</w:t>
      </w:r>
    </w:p>
    <w:p>
      <w:pPr>
        <w:pStyle w:val="TextBody"/>
        <w:bidi w:val="0"/>
        <w:spacing w:before="0" w:after="0"/>
        <w:ind w:left="0" w:right="0" w:firstLine="720"/>
        <w:jc w:val="both"/>
        <w:rPr/>
      </w:pPr>
      <w:r>
        <w:rPr/>
      </w:r>
    </w:p>
    <w:tbl>
      <w:tblPr>
        <w:tblW w:w="5132" w:type="dxa"/>
        <w:jc w:val="center"/>
        <w:tblInd w:w="0" w:type="dxa"/>
        <w:tblLayout w:type="fixed"/>
        <w:tblCellMar>
          <w:top w:w="28" w:type="dxa"/>
          <w:left w:w="28" w:type="dxa"/>
          <w:bottom w:w="28" w:type="dxa"/>
          <w:right w:w="28" w:type="dxa"/>
        </w:tblCellMar>
      </w:tblPr>
      <w:tblGrid>
        <w:gridCol w:w="853"/>
        <w:gridCol w:w="748"/>
        <w:gridCol w:w="754"/>
        <w:gridCol w:w="211"/>
        <w:gridCol w:w="826"/>
        <w:gridCol w:w="109"/>
        <w:gridCol w:w="109"/>
        <w:gridCol w:w="109"/>
        <w:gridCol w:w="109"/>
        <w:gridCol w:w="231"/>
        <w:gridCol w:w="905"/>
        <w:gridCol w:w="168"/>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before="0" w:after="6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Notes:</w:t>
      </w:r>
    </w:p>
    <w:tbl>
      <w:tblPr>
        <w:tblW w:w="6267" w:type="dxa"/>
        <w:jc w:val="center"/>
        <w:tblInd w:w="0" w:type="dxa"/>
        <w:tblLayout w:type="fixed"/>
        <w:tblCellMar>
          <w:top w:w="28" w:type="dxa"/>
          <w:left w:w="28" w:type="dxa"/>
          <w:bottom w:w="28" w:type="dxa"/>
          <w:right w:w="28" w:type="dxa"/>
        </w:tblCellMar>
      </w:tblPr>
      <w:tblGrid>
        <w:gridCol w:w="1085"/>
        <w:gridCol w:w="954"/>
        <w:gridCol w:w="960"/>
        <w:gridCol w:w="287"/>
        <w:gridCol w:w="634"/>
        <w:gridCol w:w="148"/>
        <w:gridCol w:w="148"/>
        <w:gridCol w:w="148"/>
        <w:gridCol w:w="148"/>
        <w:gridCol w:w="287"/>
        <w:gridCol w:w="839"/>
        <w:gridCol w:w="148"/>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Interest expense of </w:t>
      </w:r>
      <w:r>
        <w:rPr>
          <w:rFonts w:ascii="Times New Roman;sans-serif" w:hAnsi="Times New Roman;sans-serif"/>
          <w:b w:val="false"/>
          <w:color w:val="000000"/>
          <w:sz w:val="20"/>
          <w:shd w:fill="FFFFFF" w:val="clear"/>
        </w:rPr>
        <w:t>$0.7 million</w:t>
      </w:r>
      <w:r>
        <w:rPr>
          <w:color w:val="000000"/>
        </w:rPr>
        <w:t xml:space="preserve"> </w:t>
      </w:r>
      <w:r>
        <w:rPr>
          <w:rFonts w:ascii="Times New Roman;sans-serif" w:hAnsi="Times New Roman;sans-serif"/>
          <w:b w:val="false"/>
          <w:color w:val="000000"/>
          <w:sz w:val="20"/>
        </w:rPr>
        <w:t xml:space="preserve">and $1.4 million is reflected as a component of interest expense, net in the accompanying condensed consolidated statements of operations for the three months ended March 31, 2024 and 2023,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operating and finance leases for its corporate offices and other service agreements. Its leases have remaining lease terms of less than one to five years, some of which include options to extend. The Company uses the non-cancelable lease term when recognizing the right-of-use (“ROU”) assets and lease liabilities, unless it is reasonably certain that a renewal or termination option will be exercised.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assess its global lease portfolio. However, any additional de-recognition of ROU assets and incurrence of various one-time expenses in connection with early termination of additional leases are not expected to be material to its financial condition or results of operations.</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periods ended March 31, 2024 and 2023 is as follows:</w:t>
      </w:r>
    </w:p>
    <w:p>
      <w:pPr>
        <w:pStyle w:val="TextBody"/>
        <w:bidi w:val="0"/>
        <w:spacing w:before="0" w:after="120"/>
        <w:ind w:left="0" w:right="0" w:firstLine="720"/>
        <w:jc w:val="both"/>
        <w:rPr/>
      </w:pPr>
      <w:r>
        <w:rPr/>
      </w:r>
    </w:p>
    <w:tbl>
      <w:tblPr>
        <w:tblW w:w="8026" w:type="dxa"/>
        <w:jc w:val="left"/>
        <w:tblInd w:w="0" w:type="dxa"/>
        <w:tblLayout w:type="fixed"/>
        <w:tblCellMar>
          <w:top w:w="28" w:type="dxa"/>
          <w:left w:w="28" w:type="dxa"/>
          <w:bottom w:w="28" w:type="dxa"/>
          <w:right w:w="28" w:type="dxa"/>
        </w:tblCellMar>
      </w:tblPr>
      <w:tblGrid>
        <w:gridCol w:w="2126"/>
        <w:gridCol w:w="1864"/>
        <w:gridCol w:w="1874"/>
        <w:gridCol w:w="211"/>
        <w:gridCol w:w="466"/>
        <w:gridCol w:w="109"/>
        <w:gridCol w:w="109"/>
        <w:gridCol w:w="109"/>
        <w:gridCol w:w="109"/>
        <w:gridCol w:w="211"/>
        <w:gridCol w:w="46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periods ended March 31, 2024 and 2023 are as follows:</w:t>
      </w:r>
    </w:p>
    <w:p>
      <w:pPr>
        <w:pStyle w:val="TextBody"/>
        <w:bidi w:val="0"/>
        <w:spacing w:before="0" w:after="120"/>
        <w:ind w:left="0" w:right="0" w:firstLine="480"/>
        <w:jc w:val="both"/>
        <w:rPr/>
      </w:pPr>
      <w:r>
        <w:rPr/>
      </w:r>
    </w:p>
    <w:tbl>
      <w:tblPr>
        <w:tblW w:w="5648" w:type="dxa"/>
        <w:jc w:val="left"/>
        <w:tblInd w:w="0" w:type="dxa"/>
        <w:tblLayout w:type="fixed"/>
        <w:tblCellMar>
          <w:top w:w="28" w:type="dxa"/>
          <w:left w:w="28" w:type="dxa"/>
          <w:bottom w:w="28" w:type="dxa"/>
          <w:right w:w="28" w:type="dxa"/>
        </w:tblCellMar>
      </w:tblPr>
      <w:tblGrid>
        <w:gridCol w:w="1107"/>
        <w:gridCol w:w="974"/>
        <w:gridCol w:w="978"/>
        <w:gridCol w:w="334"/>
        <w:gridCol w:w="284"/>
        <w:gridCol w:w="287"/>
        <w:gridCol w:w="172"/>
        <w:gridCol w:w="172"/>
        <w:gridCol w:w="172"/>
        <w:gridCol w:w="334"/>
        <w:gridCol w:w="284"/>
        <w:gridCol w:w="287"/>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right of use assets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tbl>
      <w:tblPr>
        <w:tblW w:w="5965" w:type="dxa"/>
        <w:jc w:val="left"/>
        <w:tblInd w:w="0" w:type="dxa"/>
        <w:tblLayout w:type="fixed"/>
        <w:tblCellMar>
          <w:top w:w="28" w:type="dxa"/>
          <w:left w:w="28" w:type="dxa"/>
          <w:bottom w:w="28" w:type="dxa"/>
          <w:right w:w="28" w:type="dxa"/>
        </w:tblCellMar>
      </w:tblPr>
      <w:tblGrid>
        <w:gridCol w:w="1310"/>
        <w:gridCol w:w="1151"/>
        <w:gridCol w:w="1154"/>
        <w:gridCol w:w="216"/>
        <w:gridCol w:w="216"/>
        <w:gridCol w:w="542"/>
        <w:gridCol w:w="109"/>
        <w:gridCol w:w="109"/>
        <w:gridCol w:w="109"/>
        <w:gridCol w:w="159"/>
        <w:gridCol w:w="159"/>
        <w:gridCol w:w="731"/>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1.7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9368" w:type="dxa"/>
        <w:jc w:val="left"/>
        <w:tblInd w:w="0" w:type="dxa"/>
        <w:tblLayout w:type="fixed"/>
        <w:tblCellMar>
          <w:top w:w="28" w:type="dxa"/>
          <w:left w:w="28" w:type="dxa"/>
          <w:bottom w:w="28" w:type="dxa"/>
          <w:right w:w="28" w:type="dxa"/>
        </w:tblCellMar>
      </w:tblPr>
      <w:tblGrid>
        <w:gridCol w:w="877"/>
        <w:gridCol w:w="773"/>
        <w:gridCol w:w="779"/>
        <w:gridCol w:w="1334"/>
        <w:gridCol w:w="1334"/>
        <w:gridCol w:w="1337"/>
        <w:gridCol w:w="109"/>
        <w:gridCol w:w="109"/>
        <w:gridCol w:w="109"/>
        <w:gridCol w:w="220"/>
        <w:gridCol w:w="642"/>
        <w:gridCol w:w="113"/>
        <w:gridCol w:w="109"/>
        <w:gridCol w:w="109"/>
        <w:gridCol w:w="109"/>
        <w:gridCol w:w="280"/>
        <w:gridCol w:w="819"/>
        <w:gridCol w:w="206"/>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right-of-use assets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operating and finance leases (with an initial or remaining lease term in excess of one year) are as follows:</w:t>
      </w:r>
    </w:p>
    <w:tbl>
      <w:tblPr>
        <w:tblW w:w="6564" w:type="dxa"/>
        <w:jc w:val="left"/>
        <w:tblInd w:w="0" w:type="dxa"/>
        <w:tblLayout w:type="fixed"/>
        <w:tblCellMar>
          <w:top w:w="28" w:type="dxa"/>
          <w:left w:w="28" w:type="dxa"/>
          <w:bottom w:w="28" w:type="dxa"/>
          <w:right w:w="28" w:type="dxa"/>
        </w:tblCellMar>
      </w:tblPr>
      <w:tblGrid>
        <w:gridCol w:w="1530"/>
        <w:gridCol w:w="1345"/>
        <w:gridCol w:w="1354"/>
        <w:gridCol w:w="230"/>
        <w:gridCol w:w="671"/>
        <w:gridCol w:w="119"/>
        <w:gridCol w:w="109"/>
        <w:gridCol w:w="109"/>
        <w:gridCol w:w="109"/>
        <w:gridCol w:w="211"/>
        <w:gridCol w:w="466"/>
        <w:gridCol w:w="311"/>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Operating </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Finance </w:t>
              <w:br/>
              <w:t>Leases</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2024 (remaining nine months for March 31, 2024) </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Fair Value Measurements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Observable inputs that reflect quoted prices (unadjusted) for identical assets or liabilities in active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TextBody"/>
        <w:bidi w:val="0"/>
        <w:spacing w:before="0" w:after="0"/>
        <w:ind w:left="0" w:right="0" w:hanging="1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accounts receivable, and accounts payable approximate their fair value due to their short-term nature. The Company’s assets and liabilities that are measured at fair value on a recurring basis, by level, within the fair value hierarchy as of March 31, 2024 and December 31, 2023, are summarized as follows: </w:t>
      </w:r>
    </w:p>
    <w:p>
      <w:pPr>
        <w:pStyle w:val="TextBody"/>
        <w:bidi w:val="0"/>
        <w:spacing w:before="0" w:after="120"/>
        <w:ind w:left="0" w:right="0" w:firstLine="480"/>
        <w:jc w:val="both"/>
        <w:rPr/>
      </w:pPr>
      <w:r>
        <w:rPr/>
      </w:r>
    </w:p>
    <w:tbl>
      <w:tblPr>
        <w:tblW w:w="6375" w:type="dxa"/>
        <w:jc w:val="center"/>
        <w:tblInd w:w="0" w:type="dxa"/>
        <w:tblLayout w:type="fixed"/>
        <w:tblCellMar>
          <w:top w:w="28" w:type="dxa"/>
          <w:left w:w="28" w:type="dxa"/>
          <w:bottom w:w="28" w:type="dxa"/>
          <w:right w:w="28" w:type="dxa"/>
        </w:tblCellMar>
      </w:tblPr>
      <w:tblGrid>
        <w:gridCol w:w="650"/>
        <w:gridCol w:w="572"/>
        <w:gridCol w:w="577"/>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 2024</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585" w:type="dxa"/>
        <w:jc w:val="left"/>
        <w:tblInd w:w="0" w:type="dxa"/>
        <w:tblLayout w:type="fixed"/>
        <w:tblCellMar>
          <w:top w:w="28" w:type="dxa"/>
          <w:left w:w="28" w:type="dxa"/>
          <w:bottom w:w="28" w:type="dxa"/>
          <w:right w:w="28" w:type="dxa"/>
        </w:tblCellMar>
      </w:tblPr>
      <w:tblGrid>
        <w:gridCol w:w="650"/>
        <w:gridCol w:w="572"/>
        <w:gridCol w:w="577"/>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Company’s money market funds are measured at fair value on a recurring basis based on quoted market prices in active markets and are classified as Level 1 within the fair value hierarchy. The Company’s contingent earn-out liability was measured at fair value on a recurring basis and was classified as Level 3 within the fair value hierarchy.</w:t>
      </w:r>
      <w:r>
        <w:rPr>
          <w:color w:val="000000"/>
          <w:shd w:fill="FFFFFF" w:val="clear"/>
        </w:rPr>
        <w:t xml:space="preserve"> </w:t>
      </w:r>
      <w:r>
        <w:rPr>
          <w:rFonts w:ascii="Times New Roman;sans-serif" w:hAnsi="Times New Roman;sans-serif"/>
          <w:b w:val="false"/>
          <w:color w:val="000000"/>
          <w:sz w:val="20"/>
          <w:shd w:fill="FFFFFF" w:val="clear"/>
        </w:rPr>
        <w:t>For 2</w:t>
      </w:r>
      <w:r>
        <w:rPr>
          <w:rFonts w:ascii="Times New Roman;sans-serif" w:hAnsi="Times New Roman;sans-serif"/>
          <w:b w:val="false"/>
          <w:color w:val="000000"/>
          <w:sz w:val="20"/>
        </w:rPr>
        <w:t xml:space="preserve">023, the fair value was based on the negotiated contracts with the selling shareholders. Significant changes in unobservable inputs could result in significantly lower or higher fair value measurements.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outstanding balances of our 2024 Notes and 2026 Notes are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608"/>
        <w:gridCol w:w="432"/>
        <w:gridCol w:w="430"/>
        <w:gridCol w:w="466"/>
        <w:gridCol w:w="466"/>
        <w:gridCol w:w="468"/>
        <w:gridCol w:w="109"/>
        <w:gridCol w:w="109"/>
        <w:gridCol w:w="109"/>
        <w:gridCol w:w="211"/>
        <w:gridCol w:w="826"/>
        <w:gridCol w:w="109"/>
        <w:gridCol w:w="109"/>
        <w:gridCol w:w="109"/>
        <w:gridCol w:w="109"/>
        <w:gridCol w:w="261"/>
        <w:gridCol w:w="1023"/>
        <w:gridCol w:w="134"/>
        <w:gridCol w:w="109"/>
        <w:gridCol w:w="109"/>
        <w:gridCol w:w="109"/>
        <w:gridCol w:w="424"/>
        <w:gridCol w:w="1273"/>
        <w:gridCol w:w="222"/>
        <w:gridCol w:w="109"/>
        <w:gridCol w:w="109"/>
        <w:gridCol w:w="109"/>
        <w:gridCol w:w="272"/>
        <w:gridCol w:w="1068"/>
        <w:gridCol w:w="204"/>
      </w:tblGrid>
      <w:tr>
        <w:trPr/>
        <w:tc>
          <w:tcPr>
            <w:tcW w:w="60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of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Unamortized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Value</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March 31, 2024</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December 31, 2023</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2026 Notes</w:t>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Management determines the fair value by using Level 2 inputs base</w:t>
      </w:r>
      <w:r>
        <w:rPr>
          <w:rFonts w:ascii="Times New Roman;sans-serif" w:hAnsi="Times New Roman;sans-serif"/>
          <w:b w:val="false"/>
          <w:color w:val="000000"/>
          <w:sz w:val="20"/>
          <w:shd w:fill="FFFFFF" w:val="clear"/>
        </w:rPr>
        <w:t>d on antithetic variable technique don</w:t>
      </w:r>
      <w:r>
        <w:rPr>
          <w:rFonts w:ascii="Times New Roman;sans-serif" w:hAnsi="Times New Roman;sans-serif"/>
          <w:b w:val="false"/>
          <w:color w:val="000000"/>
          <w:sz w:val="20"/>
        </w:rPr>
        <w:t>e by an independent valuation specia</w:t>
      </w:r>
      <w:r>
        <w:rPr>
          <w:rFonts w:ascii="Times New Roman;sans-serif" w:hAnsi="Times New Roman;sans-serif"/>
          <w:b w:val="false"/>
          <w:color w:val="000000"/>
          <w:sz w:val="20"/>
          <w:shd w:fill="FFFFFF" w:val="clear"/>
        </w:rPr>
        <w:t xml:space="preserve">list. Refer to </w:t>
      </w:r>
      <w:r>
        <w:rPr>
          <w:rFonts w:ascii="Times New Roman;sans-serif" w:hAnsi="Times New Roman;sans-serif"/>
          <w:b w:val="false"/>
          <w:color w:val="000000"/>
          <w:sz w:val="20"/>
        </w:rPr>
        <w:t>Note 8</w:t>
      </w:r>
      <w:r>
        <w:rPr>
          <w:color w:val="000000"/>
          <w:shd w:fill="FFFFFF" w:val="clear"/>
        </w:rPr>
        <w:t xml:space="preserve"> – </w:t>
      </w:r>
      <w:r>
        <w:rPr>
          <w:rFonts w:ascii="Times New Roman;sans-serif" w:hAnsi="Times New Roman;sans-serif"/>
          <w:b w:val="false"/>
          <w:i/>
          <w:color w:val="000000"/>
          <w:sz w:val="20"/>
          <w:shd w:fill="FFFFFF" w:val="clear"/>
        </w:rPr>
        <w:t xml:space="preserve">Convertible Senior Notes, Net of Current Portion and Capped Call Transactions </w:t>
      </w:r>
      <w:r>
        <w:rPr>
          <w:rFonts w:ascii="Times New Roman;sans-serif" w:hAnsi="Times New Roman;sans-serif"/>
          <w:b w:val="false"/>
          <w:color w:val="000000"/>
          <w:sz w:val="20"/>
          <w:shd w:fill="FFFFFF" w:val="clear"/>
        </w:rPr>
        <w:t>for additional information.</w:t>
      </w:r>
      <w:r>
        <w:rPr>
          <w:color w:val="000000"/>
          <w:shd w:fill="FFFFFF" w:val="clear"/>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Level 3 liabilities during the three months ended March 31, 2024. The changes in fair value of the Level 3 liabilities during the annual period ended December 31, 2023 are as follows:</w:t>
      </w:r>
    </w:p>
    <w:tbl>
      <w:tblPr>
        <w:tblW w:w="5250" w:type="dxa"/>
        <w:jc w:val="center"/>
        <w:tblInd w:w="0" w:type="dxa"/>
        <w:tblLayout w:type="fixed"/>
        <w:tblCellMar>
          <w:top w:w="28" w:type="dxa"/>
          <w:left w:w="28" w:type="dxa"/>
          <w:bottom w:w="28" w:type="dxa"/>
          <w:right w:w="28" w:type="dxa"/>
        </w:tblCellMar>
      </w:tblPr>
      <w:tblGrid>
        <w:gridCol w:w="1472"/>
        <w:gridCol w:w="1294"/>
        <w:gridCol w:w="1299"/>
        <w:gridCol w:w="230"/>
        <w:gridCol w:w="787"/>
        <w:gridCol w:w="168"/>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in the period</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liability awards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Certain </w:t>
      </w:r>
      <w:r>
        <w:rPr>
          <w:rFonts w:ascii="Times New Roman;sans-serif" w:hAnsi="Times New Roman;sans-serif"/>
          <w:b w:val="false"/>
          <w:color w:val="000000"/>
          <w:sz w:val="20"/>
          <w:shd w:fill="FFFFFF" w:val="clear"/>
        </w:rPr>
        <w:t>former</w:t>
      </w:r>
      <w:r>
        <w:rPr>
          <w:color w:val="000000"/>
        </w:rPr>
        <w:t xml:space="preserve"> </w:t>
      </w:r>
      <w:r>
        <w:rPr>
          <w:rFonts w:ascii="Times New Roman;sans-serif" w:hAnsi="Times New Roman;sans-serif"/>
          <w:b w:val="false"/>
          <w:color w:val="000000"/>
          <w:sz w:val="20"/>
        </w:rPr>
        <w:t xml:space="preserve">stakeholders of the Company’s acquisitions were eligible to receive additional cash or share considerations based on the attainment of certain operating metrics in the periods subsequent to the acquisitions. These earn-out arrangements were accounted for as either contingent considerations arrangements or compensation arrangements. Contingent considerations were fair valued using significant inputs that are not observable in the market.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earn-outs determined to be compensatory were remeasured each reporting period based on whether the performance targets were probable of being achieved and recognized over the related service periods. During the year ended December 31, 2023, the Company settled the VoiceBase, Tenfold and e-Bot7 and WildHealth, Inc. earn-outs for approximately $19.9 million, $9.3 million, $7.7 million, and $12.0 million, respectively.</w:t>
      </w:r>
    </w:p>
    <w:p>
      <w:pPr>
        <w:pStyle w:val="TextBody"/>
        <w:bidi w:val="0"/>
        <w:spacing w:before="0" w:after="0"/>
        <w:ind w:left="0" w:right="0" w:firstLine="720"/>
        <w:jc w:val="both"/>
        <w:rPr/>
      </w:pPr>
      <w:r>
        <w:rPr/>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the fair value of the earnouts were recognized as a component of stock-based compensation expense and other income (expense), net in the accompanying condensed consolidated statements of operations. Payments in cash were recognized as a component of compensation expense and payments in stock were recognized as a component of equity in the accompanying condensed consolidated statements of operations. There were no outstanding earnout liabilities as of March 31, 2024 based on settlements that were completed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Benefit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$1.1 million and $1.4 million of employer matching contributions for the three months ended March 31, 2024 and 2023,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letters of credit totaling $0.5 million outstanding as a security deposit for the due performance by the Company of the terms and conditions of a supply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Company’s purchase obligations consist of agreements to purchase goods and services entered into in the ordinary course of business. These purchase obligation agreements are primarily related to contracts with vendors in connection with Information Technology (“IT”) infrastructure and cloud computing-related services with remaining terms of </w:t>
      </w:r>
      <w:r>
        <w:rPr>
          <w:rFonts w:ascii="Times New Roman;sans-serif" w:hAnsi="Times New Roman;sans-serif"/>
          <w:b w:val="false"/>
          <w:color w:val="000000"/>
          <w:sz w:val="20"/>
          <w:shd w:fill="FFFFFF" w:val="clear"/>
        </w:rPr>
        <w:t>two years</w:t>
      </w:r>
      <w:r>
        <w:rPr>
          <w:color w:val="000000"/>
        </w:rPr>
        <w:t xml:space="preserve"> </w:t>
      </w:r>
      <w:r>
        <w:rPr>
          <w:rFonts w:ascii="Times New Roman;sans-serif" w:hAnsi="Times New Roman;sans-serif"/>
          <w:b w:val="false"/>
          <w:color w:val="000000"/>
          <w:sz w:val="20"/>
        </w:rPr>
        <w:t xml:space="preserve">or less. Our contractual obligations as of March 31, 2024, did not materially change from the amounts disclosed in our 2023 Annual Report on Form 10-K.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subject to customary deductibles. As a result of its insurance policy coverage, the Company believes the estimated fair value of these indemnification agreements is minimal. The Company has no liabilities recorded for these agreements as of March 31, 2024 and December 31,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Non-Income Related Taxes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is subject to sales tax liabilities, plus applicable interest, for states in which it has an economic nexus. The accru</w:t>
      </w:r>
      <w:r>
        <w:rPr>
          <w:rFonts w:ascii="Times New Roman;sans-serif" w:hAnsi="Times New Roman;sans-serif"/>
          <w:b w:val="false"/>
          <w:color w:val="000000"/>
          <w:sz w:val="20"/>
          <w:shd w:fill="FFFFFF" w:val="clear"/>
        </w:rPr>
        <w:t xml:space="preserve">al balance for sales tax liabilities included within the condensed consolidated balance sheets </w:t>
      </w:r>
      <w:r>
        <w:rPr>
          <w:rFonts w:ascii="Times New Roman;sans-serif" w:hAnsi="Times New Roman;sans-serif"/>
          <w:b w:val="false"/>
          <w:color w:val="000000"/>
          <w:sz w:val="20"/>
        </w:rPr>
        <w:t>was $0.6 million as of March 31, 2024 and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ind w:left="0" w:right="0" w:firstLine="480"/>
        <w:jc w:val="both"/>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2019 Stock Incentive Plan became effective on April 11, 2019. The 2019 Stock Incentive Plan, as amended and restated, allows the Company to grant incentive stock options and restricted stock units to its employees and directors to participate in the Company’s future performance through stock-based awards at the discretion of the board of directors. The number of shares authorized for issuance as of March 31, 2024 was 42,367,744 shares in the aggregate. Options to acquire common stock granted thereunder have ten-year terms. As of March 31, 2024, 2,286,084 shares of common stock remained available for issuance (taking into account all option exercises and other equity award settlements through March 31, 2024).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Stock Purchase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there were 2,000,000 shares authorized and reserved for issuance under the 2019 ESPP. As of March 31, 2024, 948,453 shares of common stock remained available for issuance under the ESPP (taking into account all share purchases through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are 11,459,009 shares of common stock authorized and reserved for issuance under the 2018 Inducement Plan. On March 8, 2024, the Company’s board of directors amended the plan and authorized 5,300,000 new shares for issuance. As of March 31, 2024, 5,994,216 shares of common stock remained available for issuance under the Inducement Plan (taking into account all option exercises and other equity award settlements through March 31,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Company’s stock option activity for the three months ended March 31, 2024:</w:t>
      </w:r>
    </w:p>
    <w:tbl>
      <w:tblPr>
        <w:tblW w:w="10205" w:type="dxa"/>
        <w:jc w:val="left"/>
        <w:tblInd w:w="0" w:type="dxa"/>
        <w:tblLayout w:type="fixed"/>
        <w:tblCellMar>
          <w:top w:w="28" w:type="dxa"/>
          <w:left w:w="28" w:type="dxa"/>
          <w:bottom w:w="28" w:type="dxa"/>
          <w:right w:w="28" w:type="dxa"/>
        </w:tblCellMar>
      </w:tblPr>
      <w:tblGrid>
        <w:gridCol w:w="928"/>
        <w:gridCol w:w="816"/>
        <w:gridCol w:w="818"/>
        <w:gridCol w:w="373"/>
        <w:gridCol w:w="371"/>
        <w:gridCol w:w="373"/>
        <w:gridCol w:w="115"/>
        <w:gridCol w:w="115"/>
        <w:gridCol w:w="115"/>
        <w:gridCol w:w="260"/>
        <w:gridCol w:w="760"/>
        <w:gridCol w:w="136"/>
        <w:gridCol w:w="109"/>
        <w:gridCol w:w="109"/>
        <w:gridCol w:w="109"/>
        <w:gridCol w:w="898"/>
        <w:gridCol w:w="898"/>
        <w:gridCol w:w="900"/>
        <w:gridCol w:w="109"/>
        <w:gridCol w:w="109"/>
        <w:gridCol w:w="109"/>
        <w:gridCol w:w="484"/>
        <w:gridCol w:w="828"/>
        <w:gridCol w:w="363"/>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Remaining 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Aggregate Intrinsic Value </w:t>
              <w:br/>
              <w:t>(In thousands)</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Options </w:t>
              <w:br/>
              <w:t>(In thousands)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2023</w:t>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March 31, 2024</w:t>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w:t>
            </w:r>
          </w:p>
        </w:tc>
        <w:tc>
          <w:tcPr>
            <w:tcW w:w="7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March 31, 2024</w:t>
            </w:r>
          </w:p>
        </w:tc>
        <w:tc>
          <w:tcPr>
            <w:tcW w:w="74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3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a stock option award, granted to the Company’s new Chief Executive Officer, to acquire shares of the Company’s common stock that will vest upon the satisfaction of certain performance-based and time-based vesting conditions. This award, provided for under the terms of the Chief Executive Officer’s employment agreement, was approved by the Compensation Committee of the Company’s board of directors (the “Board”) as a standalone inducement award under applicable Nasdaq rules and does not count against the number of shares reserved for issuance under the Company’s 2019 Stock Incentive Plan or the Company’s 2018 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approximately $2.8 million of total unrecognized compensation cost related to nonvested share-based compensation arrangements. That cost is expected to be recognized over a weighted average period of approximately 1.9 years.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 and Performance-Vesting Restricted Stock Unit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Company’s RSUs and PRSUs activity for the three months ended March 31, 2024:</w:t>
      </w:r>
    </w:p>
    <w:tbl>
      <w:tblPr>
        <w:tblW w:w="10205" w:type="dxa"/>
        <w:jc w:val="center"/>
        <w:tblInd w:w="0" w:type="dxa"/>
        <w:tblLayout w:type="fixed"/>
        <w:tblCellMar>
          <w:top w:w="28" w:type="dxa"/>
          <w:left w:w="28" w:type="dxa"/>
          <w:bottom w:w="28" w:type="dxa"/>
          <w:right w:w="28" w:type="dxa"/>
        </w:tblCellMar>
      </w:tblPr>
      <w:tblGrid>
        <w:gridCol w:w="1273"/>
        <w:gridCol w:w="1119"/>
        <w:gridCol w:w="1122"/>
        <w:gridCol w:w="492"/>
        <w:gridCol w:w="465"/>
        <w:gridCol w:w="467"/>
        <w:gridCol w:w="109"/>
        <w:gridCol w:w="109"/>
        <w:gridCol w:w="109"/>
        <w:gridCol w:w="660"/>
        <w:gridCol w:w="1928"/>
        <w:gridCol w:w="340"/>
        <w:gridCol w:w="109"/>
        <w:gridCol w:w="109"/>
        <w:gridCol w:w="109"/>
        <w:gridCol w:w="326"/>
        <w:gridCol w:w="1115"/>
        <w:gridCol w:w="244"/>
      </w:tblGrid>
      <w:tr>
        <w:trPr/>
        <w:tc>
          <w:tcPr>
            <w:tcW w:w="127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3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at December 31, 2023</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at March 31, 2024</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to vest </w:t>
            </w:r>
          </w:p>
        </w:tc>
        <w:tc>
          <w:tcPr>
            <w:tcW w:w="9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generally vest over a three to four-year period or upon achievement of certain performance conditions. As of March 31, 2024, total unrecognized compensation cost, adjusted for estimated forfeitures, related to nonvested RSUs and PRSUs was approximately $37.7 million and the weighted-average remaining vesting period was 1.9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months ended March 31, 2024. PRSUs grant</w:t>
      </w:r>
      <w:r>
        <w:rPr>
          <w:rFonts w:ascii="Times New Roman;sans-serif" w:hAnsi="Times New Roman;sans-serif"/>
          <w:b w:val="false"/>
          <w:color w:val="000000"/>
          <w:sz w:val="20"/>
          <w:shd w:fill="FFFFFF" w:val="clear"/>
        </w:rPr>
        <w:t>ed during the three months ended March 31, 2023 were</w:t>
      </w:r>
      <w:r>
        <w:rPr>
          <w:color w:val="000000"/>
        </w:rPr>
        <w:t xml:space="preserve"> </w:t>
      </w:r>
      <w:r>
        <w:rPr>
          <w:rFonts w:ascii="Times New Roman;sans-serif" w:hAnsi="Times New Roman;sans-serif"/>
          <w:b w:val="false"/>
          <w:color w:val="000000"/>
          <w:sz w:val="20"/>
        </w:rPr>
        <w:t>immaterial.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costs included in our condensed consolidated statements of operations for the three months ended March 31, 2024 and 2023 are as follows:</w:t>
      </w:r>
    </w:p>
    <w:p>
      <w:pPr>
        <w:pStyle w:val="TextBody"/>
        <w:bidi w:val="0"/>
        <w:spacing w:before="0" w:after="0"/>
        <w:ind w:left="0" w:right="0" w:firstLine="720"/>
        <w:jc w:val="both"/>
        <w:rPr/>
      </w:pPr>
      <w:r>
        <w:rPr/>
      </w:r>
    </w:p>
    <w:tbl>
      <w:tblPr>
        <w:tblW w:w="5185" w:type="dxa"/>
        <w:jc w:val="left"/>
        <w:tblInd w:w="0" w:type="dxa"/>
        <w:tblLayout w:type="fixed"/>
        <w:tblCellMar>
          <w:top w:w="28" w:type="dxa"/>
          <w:left w:w="28" w:type="dxa"/>
          <w:bottom w:w="28" w:type="dxa"/>
          <w:right w:w="28" w:type="dxa"/>
        </w:tblCellMar>
      </w:tblPr>
      <w:tblGrid>
        <w:gridCol w:w="852"/>
        <w:gridCol w:w="751"/>
        <w:gridCol w:w="752"/>
        <w:gridCol w:w="254"/>
        <w:gridCol w:w="743"/>
        <w:gridCol w:w="131"/>
        <w:gridCol w:w="131"/>
        <w:gridCol w:w="131"/>
        <w:gridCol w:w="131"/>
        <w:gridCol w:w="254"/>
        <w:gridCol w:w="870"/>
        <w:gridCol w:w="185"/>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13. Restructuring </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LivePerson began a restructuring initiative to realign the Company’s cost structure to better reflect significant product and business model innovation and then-recent changes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In 2023, due to the changing technology landscape related to the evolution of LLMs, we were able to identify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In connection with the restructuring initiatives, the Company recognized restructuring costs of $3.3 million and $11.5 million during the three months ended March 31, 2024 and 2023, respectively, which is included in restructuring costs in the accompanying condensed consolidated statements of operations. Such costs primarily include severance and other compensation costs as well as IT infrastructure contract termination costs.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the liability for the Company’s restructuring charges, which is included within accrued expenses and other current liabilities within the accompanying condensed consolidated balance sheets as of March 31, 2024 and December 31, 2023:</w:t>
      </w:r>
    </w:p>
    <w:p>
      <w:pPr>
        <w:pStyle w:val="TextBody"/>
        <w:bidi w:val="0"/>
        <w:spacing w:before="0" w:after="0"/>
        <w:ind w:left="0" w:right="0" w:firstLine="480"/>
        <w:jc w:val="both"/>
        <w:rPr/>
      </w:pPr>
      <w:r>
        <w:rPr/>
      </w:r>
    </w:p>
    <w:tbl>
      <w:tblPr>
        <w:tblW w:w="6723" w:type="dxa"/>
        <w:jc w:val="center"/>
        <w:tblInd w:w="0" w:type="dxa"/>
        <w:tblLayout w:type="fixed"/>
        <w:tblCellMar>
          <w:top w:w="28" w:type="dxa"/>
          <w:left w:w="28" w:type="dxa"/>
          <w:bottom w:w="28" w:type="dxa"/>
          <w:right w:w="28" w:type="dxa"/>
        </w:tblCellMar>
      </w:tblPr>
      <w:tblGrid>
        <w:gridCol w:w="1548"/>
        <w:gridCol w:w="1361"/>
        <w:gridCol w:w="1366"/>
        <w:gridCol w:w="211"/>
        <w:gridCol w:w="616"/>
        <w:gridCol w:w="109"/>
        <w:gridCol w:w="109"/>
        <w:gridCol w:w="109"/>
        <w:gridCol w:w="109"/>
        <w:gridCol w:w="255"/>
        <w:gridCol w:w="744"/>
        <w:gridCol w:w="186"/>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associated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payments associated with the employee severance and other compensation associated costs reflected in the table above will be substantially completed by December 31, 2024.</w:t>
      </w:r>
    </w:p>
    <w:p>
      <w:pPr>
        <w:pStyle w:val="TextBody"/>
        <w:bidi w:val="0"/>
        <w:spacing w:before="0" w:after="0"/>
        <w:ind w:left="0" w:right="0" w:firstLine="4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expenses for the Company’s restructuring charges for the three months ended March 31, 2024 and 2023:</w:t>
      </w:r>
    </w:p>
    <w:p>
      <w:pPr>
        <w:pStyle w:val="TextBody"/>
        <w:bidi w:val="0"/>
        <w:spacing w:before="0" w:after="0"/>
        <w:jc w:val="center"/>
        <w:rPr/>
      </w:pPr>
      <w:r>
        <w:rPr/>
      </w:r>
    </w:p>
    <w:tbl>
      <w:tblPr>
        <w:tblW w:w="5439" w:type="dxa"/>
        <w:jc w:val="center"/>
        <w:tblInd w:w="0" w:type="dxa"/>
        <w:tblLayout w:type="fixed"/>
        <w:tblCellMar>
          <w:top w:w="28" w:type="dxa"/>
          <w:left w:w="28" w:type="dxa"/>
          <w:bottom w:w="28" w:type="dxa"/>
          <w:right w:w="28" w:type="dxa"/>
        </w:tblCellMar>
      </w:tblPr>
      <w:tblGrid>
        <w:gridCol w:w="1120"/>
        <w:gridCol w:w="983"/>
        <w:gridCol w:w="987"/>
        <w:gridCol w:w="211"/>
        <w:gridCol w:w="616"/>
        <w:gridCol w:w="109"/>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associated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Legal Matters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Stockholder Litigation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A parallel litigation on behalf of stockholders who purchased their shares on the Tel Aviv Stock Exchange, entitled Weissbrod v. LivePerson, Inc., is pending in the Tel Aviv District Court in Israel, but has been stayed pending further developments in the Damri case.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most of the members of the current board of directors and several former directors. The derivative litigation claims that the Company itself was harmed by the same acts and omissions underlying the Damri federal securities lawsuit, and seeks to recover unspecified losses on behalf of the Company. The Marti case is stayed pending further developments in the Damri case</w:t>
      </w:r>
      <w:r>
        <w:rPr>
          <w:rFonts w:ascii="Times New Roman;sans-serif" w:hAnsi="Times New Roman;sans-serif"/>
          <w:b/>
          <w:i/>
          <w:color w:val="000000"/>
          <w:sz w:val="20"/>
        </w:rPr>
        <w: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 xml:space="preserve">n January 2024, a purported stockholder of the Company filed a lawsuit against the Company and its Board of Directors entitled Browne v. Layfield, No. 2024-0079, in the Court of Chancery of the State of Delaware. The complaint asserted a claim for breach of fiduciary duty based upon a Tax Benefits Preservation Plan. In February 2024, the Board approved technical amendments to the Tax Benefits Preservation Plan which were filed by the Company on Form 8-K, and the case was dismissed as moot, subject to attorneys’ fees on behalf of the plaintiff.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alleges common law fraud, fraudulent inducement and negligent misrepresentation in connection with an alleged scheme to induce Starboard to settle its 2022 proxy contest against the Company and, as stated in the complaint, involves previous Starboard allegations of misrepresentations in the Company's public disclosures that the Company previously informed Starboard were found to be unsubstantiated following an independent investigation. The complaint seeks unspecified damages. The defendants have filed an answer denying the substantive allegations of the compliant.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COVID-Related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have been the subject of inquiry and review by Medicare, the Department of Justice and the U.S. Food and Drug Administration.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discontinued all products and services related to COVID-19, and has responded to and intends to continue to cooperate with governmental inquiries related to its previous engagement in COVID-19 related product and service offerings.</w:t>
      </w:r>
    </w:p>
    <w:p>
      <w:pPr>
        <w:pStyle w:val="TextBody"/>
        <w:bidi w:val="0"/>
        <w:spacing w:before="0" w:after="0"/>
        <w:ind w:left="0" w:right="0" w:firstLine="720"/>
        <w:jc w:val="both"/>
        <w:rPr/>
      </w:pPr>
      <w:r>
        <w:rPr/>
      </w:r>
    </w:p>
    <w:p>
      <w:pPr>
        <w:pStyle w:val="TextBody"/>
        <w:bidi w:val="0"/>
        <w:spacing w:lineRule="auto" w:line="288" w:before="0" w:after="0"/>
        <w:ind w:left="0" w:right="0" w:firstLine="4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Administrative, Governmental and Regulatory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our business, as well as Actions brought against the Company’s customers for which the Company has a contractual indemnification obligation.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the outcome, Actions can have an adverse impact on the Company because of defense and/or settlement costs, diversion of management resources, reputational risks and other factors.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Accruals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certain contingencies when it is both probable that a liability has been incurred and the amount of the loss can be reasonably estimated and discloses certain contingencies for which no accrual has been made as appropriate and in compliance with ASC 450, “Contingencies”.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15. Income Taxes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includes interest accrued on the underpayment of income taxes and certain interest expense and penalties, if any, related to unrecognized tax benefits as a component of the income tax provision. The Company maintains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 During the year ended December 31, 2023, there was an increase in the valuation allowance recorded of $23.7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For the three months ended March 31, 2024, the Company recorded a tax provision o</w:t>
      </w:r>
      <w:r>
        <w:rPr>
          <w:rFonts w:ascii="Times New Roman;sans-serif" w:hAnsi="Times New Roman;sans-serif"/>
          <w:b w:val="false"/>
          <w:color w:val="000000"/>
          <w:sz w:val="20"/>
        </w:rPr>
        <w:t>f $0.4 million.</w:t>
      </w:r>
      <w:r>
        <w:rPr>
          <w:color w:val="000000"/>
          <w:shd w:fill="FFFFFF" w:val="clear"/>
        </w:rPr>
        <w:t xml:space="preserve"> </w:t>
      </w:r>
      <w:r>
        <w:rPr>
          <w:rFonts w:ascii="Times New Roman;sans-serif" w:hAnsi="Times New Roman;sans-serif"/>
          <w:b w:val="false"/>
          <w:color w:val="000000"/>
          <w:sz w:val="20"/>
          <w:shd w:fill="FFFFFF" w:val="clear"/>
        </w:rPr>
        <w:t>This entire amount consists of a tax pro</w:t>
      </w:r>
      <w:r>
        <w:rPr>
          <w:rFonts w:ascii="Times New Roman;sans-serif" w:hAnsi="Times New Roman;sans-serif"/>
          <w:b w:val="false"/>
          <w:color w:val="000000"/>
          <w:sz w:val="20"/>
        </w:rPr>
        <w:t>vision on operating earnings of non-U</w:t>
      </w:r>
      <w:r>
        <w:rPr>
          <w:rFonts w:ascii="Times New Roman;sans-serif" w:hAnsi="Times New Roman;sans-serif"/>
          <w:b w:val="false"/>
          <w:color w:val="000000"/>
          <w:sz w:val="20"/>
          <w:shd w:fill="FFFFFF" w:val="clear"/>
        </w:rPr>
        <w:t xml:space="preserve">S subsidiaries and interest accrual on unrecognized tax benefits in Israel.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had a valuation allowance on certain deferred tax assets for the year ended December 31, 2023 of $211.2 million. Inherent in the Company’s 2024 annual effective tax rate is an estimated increase in the valuation allowance of </w:t>
      </w:r>
      <w:r>
        <w:rPr>
          <w:rFonts w:ascii="Times New Roman;sans-serif" w:hAnsi="Times New Roman;sans-serif"/>
          <w:b w:val="false"/>
          <w:color w:val="000000"/>
          <w:sz w:val="20"/>
        </w:rPr>
        <w:t>$24.9 million, al</w:t>
      </w:r>
      <w:r>
        <w:rPr>
          <w:rFonts w:ascii="Times New Roman;sans-serif" w:hAnsi="Times New Roman;sans-serif"/>
          <w:b w:val="false"/>
          <w:color w:val="000000"/>
          <w:sz w:val="20"/>
          <w:shd w:fill="FFFFFF" w:val="clear"/>
        </w:rPr>
        <w:t>l of which would be recorded as an expense. During 2023, an increase in the valuation allowance in the amount of $23.7 million was recorded as an expense.</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Equity Method Investment</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On February 13, 2022, the Company and Pasaca Capital Inc. (“Pasaca”) entered into a joint venture agreement (the “JV Agreement”) to form Claire Holdings, Inc. (“Claire”), a joint venture to build, create, and administer a marketplace for health and well-being diagnostic testing.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The Company accounts for its 19.2% interest in Claire using the equity method of accounting. The Company recorded its ownership percentage of losses of Claire in Other income (expense), net in the amount of $0.6 million for the three months ended March 31, 2023. The Company’s equity method investment in joint venture was reduced to zero during the prior year, based on the prior year losses, and remained at zero on the condensed consolidated balance sheet as of March 31, 2024. Refer to Note 18 –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 Variable Interest Entities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condensed consolidated financial statements in accordance with ASC 810, “Consolidation”, which provides for the consolidation of variable interest entities (“VIEs”) of which the Company is the primary beneficiary.</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The agreement entitles WildHealth to control rights sufficient to require the Company to consolidate the balance sheet and results of operations of the PCs as VIEs. The Company determined that the PCs are VIEs as WildHealth is the primary beneficiary of the PCs.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liabilities, revenues, and operating results of the VIEs after elimination of intercompany transactions were not material as of and for the three months ended March 31,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Related Parties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Related parties are defined as entities related to the Company’s directors</w:t>
      </w:r>
      <w:r>
        <w:rPr>
          <w:color w:val="000000"/>
          <w:shd w:fill="FFFFFF" w:val="clear"/>
        </w:rPr>
        <w:t xml:space="preserve"> </w:t>
      </w:r>
      <w:r>
        <w:rPr>
          <w:rFonts w:ascii="Times New Roman;sans-serif" w:hAnsi="Times New Roman;sans-serif"/>
          <w:b w:val="false"/>
          <w:color w:val="000000"/>
          <w:sz w:val="20"/>
          <w:shd w:fill="FFFFFF" w:val="clear"/>
        </w:rPr>
        <w:t>or main sha</w:t>
      </w:r>
      <w:r>
        <w:rPr>
          <w:rFonts w:ascii="Times New Roman;sans-serif" w:hAnsi="Times New Roman;sans-serif"/>
          <w:b w:val="false"/>
          <w:color w:val="000000"/>
          <w:sz w:val="20"/>
        </w:rPr>
        <w:t xml:space="preserve">reholders as well as equity method affiliates. During the year ended December 31, 2023, the Company provided services to Claire, an equity method affiliate (refer to Note 16 – </w:t>
      </w:r>
      <w:r>
        <w:rPr>
          <w:rFonts w:ascii="Times New Roman;sans-serif" w:hAnsi="Times New Roman;sans-serif"/>
          <w:b w:val="false"/>
          <w:i/>
          <w:color w:val="000000"/>
          <w:sz w:val="20"/>
        </w:rPr>
        <w:t>Equity Method Investment</w:t>
      </w:r>
      <w:r>
        <w:rPr>
          <w:color w:val="000000"/>
        </w:rPr>
        <w:t xml:space="preserve"> </w:t>
      </w:r>
      <w:r>
        <w:rPr>
          <w:rFonts w:ascii="Times New Roman;sans-serif" w:hAnsi="Times New Roman;sans-serif"/>
          <w:b w:val="false"/>
          <w:color w:val="000000"/>
          <w:sz w:val="20"/>
        </w:rPr>
        <w:t>for additional information on the equity method affiliate) in exchange for fees through certain commercial arrangements. These arrangements facilitated Claire’s build out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connection with the JV Agreement, the Company entered into commercial agreements with Claire, under which the Company agreed to provide custom software development and managed services in exchange for fees governed by the terms and conditions set forth therein. In accordance with guidance under ASC 606, Claire is considered a customer of the Company. No revenues were recognized for the services provided to Claire included in the Company’s condensed consolidated statements of operations for the three months ended March 31, 2024, compared to revenues of $3.8 million for the three months ended March 31, 2023. As of March 31, 2024, the Company has accounts receivable of $2.1 million included in the Company’s condensed consolidated balance sheet, which is fully recognized in its allowance for credit losses. Total accounts receivable of $2.1 million as of </w:t>
      </w:r>
      <w:r>
        <w:rPr>
          <w:rFonts w:ascii="Times New Roman;sans-serif" w:hAnsi="Times New Roman;sans-serif"/>
          <w:b w:val="false"/>
          <w:color w:val="000000"/>
          <w:sz w:val="20"/>
          <w:shd w:fill="FFFFFF" w:val="clear"/>
        </w:rPr>
        <w:t xml:space="preserve">December 31, 2023 was included in the Company’s condensed consolidated balance sheet, for which the Company recognized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in its allowance for credit losses.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19. Divestiture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Fiscal 2023 Divestitures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the fourth quarter of 2022, the Company entered into a non-binding Letter of Intent to divest Kasamba, Inc. and Kasamba LTD (together “Kasamba”), which represented the Company’s </w:t>
      </w:r>
      <w:r>
        <w:rPr>
          <w:rFonts w:ascii="Times New Roman;sans-serif" w:hAnsi="Times New Roman;sans-serif"/>
          <w:b w:val="false"/>
          <w:color w:val="000000"/>
          <w:sz w:val="20"/>
          <w:shd w:fill="FFFFFF" w:val="clear"/>
        </w:rPr>
        <w:t xml:space="preserve">Consumer segment. </w:t>
      </w:r>
      <w:r>
        <w:rPr>
          <w:rFonts w:ascii="Times New Roman;sans-serif" w:hAnsi="Times New Roman;sans-serif"/>
          <w:b w:val="false"/>
          <w:color w:val="000000"/>
          <w:sz w:val="20"/>
        </w:rPr>
        <w:t>Pursuant to ASC Subtopic 360-10, “Impairment or Disposal of Long-Lived Assets”,</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 xml:space="preserve">he Company applied held for sale accounting treatment to the assets and liabilities of Kasamba. Accordingly, the related net assets were separately presented in current assets and current liabilities as held for sale on the consolidated balance sheets as of </w:t>
      </w:r>
      <w:r>
        <w:rPr>
          <w:rFonts w:ascii="Times New Roman;sans-serif" w:hAnsi="Times New Roman;sans-serif"/>
          <w:b w:val="false"/>
          <w:color w:val="000000"/>
          <w:sz w:val="20"/>
          <w:shd w:fill="FFFFFF" w:val="clear"/>
        </w:rPr>
        <w:t>December 31, 2022, up until the close of the transaction</w:t>
      </w:r>
      <w:r>
        <w:rPr>
          <w:rFonts w:ascii="Times New Roman;sans-serif" w:hAnsi="Times New Roman;sans-serif"/>
          <w:b w:val="false"/>
          <w:color w:val="000000"/>
          <w:sz w:val="20"/>
        </w:rPr>
        <w:t xml:space="preserve">. The held for sale classification also resulted in ceasing depreciation and amortization on the designated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Share Purchase Agreement between Ingenio, LLC (“Ingenio”) and the Company closed on March 20, 2023. In accordance with the Share Purchase Agreement, the Company sold all of the issued and outstanding shares of Kasamba for $16.9 million which was received in cash upon closing; and $2.6 million deferred payment to be received within a year of the close transaction date, which was included in prepaid expenses and other current assets on the Company’s condensed consolidated balance sheets as of </w:t>
      </w:r>
      <w:r>
        <w:rPr>
          <w:rFonts w:ascii="Times New Roman;sans-serif" w:hAnsi="Times New Roman;sans-serif"/>
          <w:b w:val="false"/>
          <w:color w:val="000000"/>
          <w:sz w:val="20"/>
        </w:rPr>
        <w:t xml:space="preserve">March 31, 2023. $11.8 million </w:t>
      </w:r>
      <w:r>
        <w:rPr>
          <w:rFonts w:ascii="Times New Roman;sans-serif" w:hAnsi="Times New Roman;sans-serif"/>
          <w:b w:val="false"/>
          <w:color w:val="000000"/>
          <w:sz w:val="20"/>
          <w:shd w:fill="FFFFFF" w:val="clear"/>
        </w:rPr>
        <w:t xml:space="preserve">was required to be held in various escrow accounts for up to 15 months, and was included in restricted cash on the Company’s consolidated balance sheets; </w:t>
      </w:r>
      <w:r>
        <w:rPr>
          <w:rFonts w:ascii="Times New Roman;sans-serif" w:hAnsi="Times New Roman;sans-serif"/>
          <w:b w:val="false"/>
          <w:color w:val="000000"/>
          <w:sz w:val="20"/>
        </w:rPr>
        <w:t xml:space="preserve">however, $9.8 million of this escrow amount was released as of December 31, 2023. </w:t>
      </w:r>
      <w:r>
        <w:rPr>
          <w:rFonts w:ascii="Times New Roman;sans-serif" w:hAnsi="Times New Roman;sans-serif"/>
          <w:b w:val="false"/>
          <w:color w:val="000000"/>
          <w:sz w:val="20"/>
          <w:shd w:fill="FFFFFF" w:val="clear"/>
        </w:rPr>
        <w:t xml:space="preserve">The transaction resulted in a gain of $17.6 million, </w:t>
      </w:r>
      <w:r>
        <w:rPr>
          <w:rFonts w:ascii="Times New Roman;sans-serif" w:hAnsi="Times New Roman;sans-serif"/>
          <w:b w:val="false"/>
          <w:color w:val="000000"/>
          <w:sz w:val="20"/>
        </w:rPr>
        <w:t xml:space="preserve">which was recognized and presented separately as a gain on divestiture </w:t>
      </w:r>
      <w:r>
        <w:rPr>
          <w:rFonts w:ascii="Times New Roman;sans-serif" w:hAnsi="Times New Roman;sans-serif"/>
          <w:b w:val="false"/>
          <w:color w:val="000000"/>
          <w:sz w:val="20"/>
          <w:shd w:fill="FFFFFF" w:val="clear"/>
        </w:rPr>
        <w:t>on the Company’s consolidated statements of operations during the year ended December 31, 2023. During the three months ended March 31, 2024, the Company recognized a post-closing adjustment pertaining to the final agreement in the amount of $1.8 million, which is recorded in General and administrative expenses in the condensed consolidated statement of operations.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pPr>
      <w:r>
        <w:rPr>
          <w:rFonts w:ascii="Times New Roman;sans-serif" w:hAnsi="Times New Roman;sans-serif"/>
          <w:b/>
          <w:color w:val="000000"/>
          <w:sz w:val="20"/>
        </w:rPr>
        <w:t>Item 2. Management</w:t>
      </w:r>
      <w:r>
        <w:rPr>
          <w:color w:val="000000"/>
        </w:rPr>
        <w:t>’</w:t>
      </w:r>
      <w:r>
        <w:rPr>
          <w:rFonts w:ascii="Times New Roman;sans-serif" w:hAnsi="Times New Roman;sans-serif"/>
          <w:b/>
          <w:color w:val="000000"/>
          <w:sz w:val="20"/>
        </w:rPr>
        <w:t>s Discussion and Analysis of Financial Condition and Results of Operations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of our financial condition and results of operations in conjunction with the condensed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Average Annual Revenue Per Enterprise and Mid-market Customer (“ARPC”) and revenue retention are currently the key performance metrics our management uses to assess the health and trajectory of the Company. These metrics should be viewed independently of revenue, deferred revenue and remaining performance obligations. ARPC increased to approximately $625,000 for the trailing twelve months ended March 31, 2024, as compared to approximately $560,000 for the trailing twelve months ended March 31, 2023. </w:t>
      </w:r>
      <w:r>
        <w:rPr>
          <w:rFonts w:ascii="Times New Roman;sans-serif" w:hAnsi="Times New Roman;sans-serif"/>
          <w:b w:val="false"/>
          <w:color w:val="000000"/>
          <w:sz w:val="20"/>
          <w:shd w:fill="FFFFFF" w:val="clear"/>
        </w:rPr>
        <w:t xml:space="preserve">Revenue retention for our enterprise and mid-market customers on the Conversational Cloud, which represents </w:t>
      </w:r>
      <w:r>
        <w:rPr>
          <w:rFonts w:ascii="Times New Roman;sans-serif" w:hAnsi="Times New Roman;sans-serif"/>
          <w:b w:val="false"/>
          <w:color w:val="000000"/>
          <w:sz w:val="20"/>
        </w:rPr>
        <w:t xml:space="preserve">the trailing twelve month change in total revenue from existing customers after upsells, downsells and attrition,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89% in the first quarter of 2024, below</w:t>
      </w:r>
      <w:r>
        <w:rPr>
          <w:color w:val="000000"/>
          <w:shd w:fill="FFFFFF" w:val="clear"/>
        </w:rPr>
        <w:t xml:space="preserve"> </w:t>
      </w:r>
      <w:r>
        <w:rPr>
          <w:rFonts w:ascii="Times New Roman;sans-serif" w:hAnsi="Times New Roman;sans-serif"/>
          <w:b w:val="false"/>
          <w:color w:val="000000"/>
          <w:sz w:val="20"/>
          <w:shd w:fill="FFFFFF" w:val="clear"/>
        </w:rPr>
        <w:t>our target range of</w:t>
      </w:r>
      <w:r>
        <w:rPr>
          <w:color w:val="000000"/>
        </w:rPr>
        <w:t xml:space="preserve"> </w:t>
      </w:r>
      <w:r>
        <w:rPr>
          <w:rFonts w:ascii="Times New Roman;sans-serif" w:hAnsi="Times New Roman;sans-serif"/>
          <w:b w:val="false"/>
          <w:color w:val="000000"/>
          <w:sz w:val="20"/>
        </w:rPr>
        <w:t>105% to 115% and below the comparable period in 2023.</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three months ended March 31, 2024, as compared to the critical accounting policies and estimates disclosed in Management’s Discussion and Analysis of Financial Condition and Results of Operations included in our Annual Report on Form 10-K for the year ended December 31, 2023, filed with the SEC on March 4, 2024.</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Note 1 – </w:t>
      </w:r>
      <w:r>
        <w:rPr>
          <w:rFonts w:ascii="Times New Roman;sans-serif" w:hAnsi="Times New Roman;sans-serif"/>
          <w:b w:val="false"/>
          <w:i/>
          <w:color w:val="000000"/>
          <w:sz w:val="20"/>
        </w:rPr>
        <w:t>Description of Business and Basis of Presentation</w:t>
      </w:r>
      <w:r>
        <w:rPr>
          <w:color w:val="000000"/>
        </w:rPr>
        <w:t xml:space="preserve"> </w:t>
      </w:r>
      <w:r>
        <w:rPr>
          <w:rFonts w:ascii="Times New Roman;sans-serif" w:hAnsi="Times New Roman;sans-serif"/>
          <w:b w:val="false"/>
          <w:color w:val="000000"/>
          <w:sz w:val="20"/>
        </w:rPr>
        <w:t>under Item 1 of this Quarterly Report on Form 10-Q for additional information about recent accounting guidance not yet adopted and recently adopted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enable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one consumer.</w:t>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March 31,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our revenues for those periods. The period-to-period comparison of financial results is not necessarily indicative of future results.    </w:t>
      </w:r>
    </w:p>
    <w:p>
      <w:pPr>
        <w:pStyle w:val="TextBody"/>
        <w:bidi w:val="0"/>
        <w:spacing w:before="0" w:after="0"/>
        <w:ind w:left="0" w:right="0" w:firstLine="720"/>
        <w:jc w:val="both"/>
        <w:rPr/>
      </w:pPr>
      <w:r>
        <w:rPr/>
      </w:r>
    </w:p>
    <w:tbl>
      <w:tblPr>
        <w:tblW w:w="4732" w:type="dxa"/>
        <w:jc w:val="center"/>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826"/>
        <w:gridCol w:w="109"/>
        <w:gridCol w:w="109"/>
        <w:gridCol w:w="109"/>
        <w:gridCol w:w="109"/>
        <w:gridCol w:w="218"/>
        <w:gridCol w:w="218"/>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222222"/>
          <w:sz w:val="20"/>
        </w:rPr>
        <w:t xml:space="preserve">Revenue </w:t>
      </w:r>
      <w:r>
        <w:rPr>
          <w:rFonts w:ascii="Times New Roman;sans-serif" w:hAnsi="Times New Roman;sans-serif"/>
          <w:b w:val="false"/>
          <w:color w:val="000000"/>
          <w:sz w:val="20"/>
        </w:rPr>
        <w:t>decrease</w:t>
      </w:r>
      <w:r>
        <w:rPr>
          <w:rFonts w:ascii="Times New Roman;sans-serif" w:hAnsi="Times New Roman;sans-serif"/>
          <w:b w:val="false"/>
          <w:color w:val="222222"/>
          <w:sz w:val="20"/>
        </w:rPr>
        <w:t>d by </w:t>
      </w:r>
      <w:r>
        <w:rPr>
          <w:rFonts w:ascii="Times New Roman;sans-serif" w:hAnsi="Times New Roman;sans-serif"/>
          <w:b w:val="false"/>
          <w:color w:val="000000"/>
          <w:sz w:val="20"/>
        </w:rPr>
        <w:t>21%</w:t>
      </w:r>
      <w:r>
        <w:rPr>
          <w:color w:val="222222"/>
        </w:rPr>
        <w:t> </w:t>
      </w:r>
      <w:r>
        <w:rPr>
          <w:rFonts w:ascii="Times New Roman;sans-serif" w:hAnsi="Times New Roman;sans-serif"/>
          <w:b w:val="false"/>
          <w:color w:val="222222"/>
          <w:sz w:val="20"/>
        </w:rPr>
        <w:t>to </w:t>
      </w:r>
      <w:r>
        <w:rPr>
          <w:rFonts w:ascii="Times New Roman;sans-serif" w:hAnsi="Times New Roman;sans-serif"/>
          <w:b w:val="false"/>
          <w:color w:val="000000"/>
          <w:sz w:val="20"/>
        </w:rPr>
        <w:t>$85.1 million</w:t>
      </w:r>
      <w:r>
        <w:rPr>
          <w:color w:val="222222"/>
        </w:rPr>
        <w:t> </w:t>
      </w:r>
      <w:r>
        <w:rPr>
          <w:rFonts w:ascii="Times New Roman;sans-serif" w:hAnsi="Times New Roman;sans-serif"/>
          <w:b w:val="false"/>
          <w:color w:val="222222"/>
          <w:sz w:val="20"/>
        </w:rPr>
        <w:t xml:space="preserve">for the three months ended </w:t>
      </w:r>
      <w:r>
        <w:rPr>
          <w:rFonts w:ascii="Times New Roman;sans-serif" w:hAnsi="Times New Roman;sans-serif"/>
          <w:b w:val="false"/>
          <w:color w:val="000000"/>
          <w:sz w:val="20"/>
        </w:rPr>
        <w:t>March 31, 2024</w:t>
      </w:r>
      <w:r>
        <w:rPr>
          <w:color w:val="222222"/>
        </w:rPr>
        <w:t xml:space="preserve"> </w:t>
      </w:r>
      <w:r>
        <w:rPr>
          <w:rFonts w:ascii="Times New Roman;sans-serif" w:hAnsi="Times New Roman;sans-serif"/>
          <w:b w:val="false"/>
          <w:color w:val="222222"/>
          <w:sz w:val="20"/>
        </w:rPr>
        <w:t>from </w:t>
      </w:r>
      <w:r>
        <w:rPr>
          <w:rFonts w:ascii="Times New Roman;sans-serif" w:hAnsi="Times New Roman;sans-serif"/>
          <w:b w:val="false"/>
          <w:color w:val="000000"/>
          <w:sz w:val="20"/>
        </w:rPr>
        <w:t xml:space="preserve">$107.7 million </w:t>
      </w:r>
      <w:r>
        <w:rPr>
          <w:rFonts w:ascii="Times New Roman;sans-serif" w:hAnsi="Times New Roman;sans-serif"/>
          <w:b w:val="false"/>
          <w:color w:val="222222"/>
          <w:sz w:val="20"/>
        </w:rPr>
        <w:t>for the comparable period in </w:t>
      </w:r>
      <w:r>
        <w:rPr>
          <w:rFonts w:ascii="Times New Roman;sans-serif" w:hAnsi="Times New Roman;sans-serif"/>
          <w:b w:val="false"/>
          <w:color w:val="000000"/>
          <w:sz w:val="20"/>
        </w:rPr>
        <w:t>2023</w:t>
      </w:r>
      <w:r>
        <w:rPr>
          <w:rFonts w:ascii="Times New Roman;sans-serif" w:hAnsi="Times New Roman;sans-serif"/>
          <w:b w:val="false"/>
          <w:color w:val="222222"/>
          <w:sz w:val="20"/>
        </w:rPr>
        <w:t xml:space="preserve">. This decrease in revenue is driven primarily by decreases in hosted services of </w:t>
      </w:r>
      <w:r>
        <w:rPr>
          <w:rFonts w:ascii="Times New Roman;sans-serif" w:hAnsi="Times New Roman;sans-serif"/>
          <w:b w:val="false"/>
          <w:color w:val="000000"/>
          <w:sz w:val="20"/>
        </w:rPr>
        <w:t>$15.8 million</w:t>
      </w:r>
      <w:r>
        <w:rPr>
          <w:color w:val="222222"/>
        </w:rPr>
        <w:t xml:space="preserve"> </w:t>
      </w:r>
      <w:r>
        <w:rPr>
          <w:rFonts w:ascii="Times New Roman;sans-serif" w:hAnsi="Times New Roman;sans-serif"/>
          <w:b w:val="false"/>
          <w:color w:val="222222"/>
          <w:sz w:val="20"/>
        </w:rPr>
        <w:t xml:space="preserve">and professional services of approximately </w:t>
      </w:r>
      <w:r>
        <w:rPr>
          <w:rFonts w:ascii="Times New Roman;sans-serif" w:hAnsi="Times New Roman;sans-serif"/>
          <w:b w:val="false"/>
          <w:color w:val="000000"/>
          <w:sz w:val="20"/>
        </w:rPr>
        <w:t>$6.7 million</w:t>
      </w:r>
      <w:r>
        <w:rPr>
          <w:rFonts w:ascii="Times New Roman;sans-serif" w:hAnsi="Times New Roman;sans-serif"/>
          <w:b w:val="false"/>
          <w:color w:val="222222"/>
          <w:sz w:val="20"/>
        </w:rPr>
        <w:t xml:space="preserve">. Included in hosted services is a decrease in revenue that is variable based on interactions and usage of approximately </w:t>
      </w:r>
      <w:r>
        <w:rPr>
          <w:rFonts w:ascii="Times New Roman;sans-serif" w:hAnsi="Times New Roman;sans-serif"/>
          <w:b w:val="false"/>
          <w:color w:val="000000"/>
          <w:sz w:val="20"/>
        </w:rPr>
        <w:t>$4.5 million</w:t>
      </w:r>
      <w:r>
        <w:rPr>
          <w:color w:val="222222"/>
        </w:rPr>
        <w:t xml:space="preserve"> </w:t>
      </w:r>
      <w:r>
        <w:rPr>
          <w:rFonts w:ascii="Times New Roman;sans-serif" w:hAnsi="Times New Roman;sans-serif"/>
          <w:b w:val="false"/>
          <w:color w:val="222222"/>
          <w:sz w:val="20"/>
        </w:rPr>
        <w:t xml:space="preserve">for the three months ended </w:t>
      </w:r>
      <w:r>
        <w:rPr>
          <w:rFonts w:ascii="Times New Roman;sans-serif" w:hAnsi="Times New Roman;sans-serif"/>
          <w:b w:val="false"/>
          <w:color w:val="000000"/>
          <w:sz w:val="20"/>
        </w:rPr>
        <w:t>March 31, 2024</w:t>
      </w:r>
      <w:r>
        <w:rPr>
          <w:rFonts w:ascii="Times New Roman;sans-serif" w:hAnsi="Times New Roman;sans-serif"/>
          <w:b w:val="false"/>
          <w:color w:val="222222"/>
          <w:sz w:val="20"/>
        </w:rPr>
        <w:t xml:space="preserve">. 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w:t>
      </w:r>
      <w:r>
        <w:rPr>
          <w:rFonts w:ascii="Times New Roman;sans-serif" w:hAnsi="Times New Roman;sans-serif"/>
          <w:b w:val="false"/>
          <w:color w:val="000000"/>
          <w:sz w:val="20"/>
        </w:rPr>
        <w:t>Hosted services</w:t>
      </w:r>
      <w:r>
        <w:rPr>
          <w:color w:val="222222"/>
        </w:rPr>
        <w:t xml:space="preserve"> </w:t>
      </w:r>
      <w:r>
        <w:rPr>
          <w:rFonts w:ascii="Times New Roman;sans-serif" w:hAnsi="Times New Roman;sans-serif"/>
          <w:b w:val="false"/>
          <w:color w:val="222222"/>
          <w:sz w:val="20"/>
        </w:rPr>
        <w:t xml:space="preserve">for Consumer included $7.1 million for the three months ended March 31, 2023 relating to Kasamba.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 </w:t>
      </w:r>
    </w:p>
    <w:p>
      <w:pPr>
        <w:pStyle w:val="TextBody"/>
        <w:bidi w:val="0"/>
        <w:spacing w:before="0" w:after="0"/>
        <w:ind w:left="0" w:right="0" w:firstLine="720"/>
        <w:jc w:val="both"/>
        <w:rPr/>
      </w:pPr>
      <w:r>
        <w:rPr/>
      </w:r>
    </w:p>
    <w:tbl>
      <w:tblPr>
        <w:tblW w:w="6118" w:type="dxa"/>
        <w:jc w:val="center"/>
        <w:tblInd w:w="0" w:type="dxa"/>
        <w:tblLayout w:type="fixed"/>
        <w:tblCellMar>
          <w:top w:w="28" w:type="dxa"/>
          <w:left w:w="28" w:type="dxa"/>
          <w:bottom w:w="28" w:type="dxa"/>
          <w:right w:w="28" w:type="dxa"/>
        </w:tblCellMar>
      </w:tblPr>
      <w:tblGrid>
        <w:gridCol w:w="840"/>
        <w:gridCol w:w="740"/>
        <w:gridCol w:w="744"/>
        <w:gridCol w:w="211"/>
        <w:gridCol w:w="721"/>
        <w:gridCol w:w="271"/>
        <w:gridCol w:w="109"/>
        <w:gridCol w:w="109"/>
        <w:gridCol w:w="109"/>
        <w:gridCol w:w="211"/>
        <w:gridCol w:w="193"/>
        <w:gridCol w:w="483"/>
        <w:gridCol w:w="109"/>
        <w:gridCol w:w="109"/>
        <w:gridCol w:w="109"/>
        <w:gridCol w:w="218"/>
        <w:gridCol w:w="218"/>
        <w:gridCol w:w="614"/>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32% to $29.5 million for the three months ended March 31, 2024, from $43.1 million for the comparable period in 2023. This decrease in expense is primarily attributable to a decrease in outsourced labor and related costs of approximately $6.6 million, a decrease in salary and employee-related expenses due to attrition from prior period of approximately $3.9 million, a decrease in compensation expense of $1.7 million, a decrease in amortization expenses of approximately $1.8 million related to purchased intangible assets associated with prior period acquisitions and finance leases settled during the three months ended March 31, 2024. These decreases were partially offset by an increase in software, hosting and other expenses of approximately $0.5 million.</w:t>
      </w:r>
    </w:p>
    <w:p>
      <w:pPr>
        <w:pStyle w:val="TextBody"/>
        <w:bidi w:val="0"/>
        <w:spacing w:before="0" w:after="0"/>
        <w:ind w:left="0" w:right="0" w:firstLine="360"/>
        <w:jc w:val="both"/>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Sales and Marketing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compensation and related expenses for sales and marketing personnel, as well as advertising, marketing events, public relations, trade show exhibit expenses and allocated occupancy costs and related overhead. </w:t>
      </w:r>
    </w:p>
    <w:tbl>
      <w:tblPr>
        <w:tblW w:w="6118" w:type="dxa"/>
        <w:jc w:val="center"/>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193"/>
        <w:gridCol w:w="483"/>
        <w:gridCol w:w="109"/>
        <w:gridCol w:w="109"/>
        <w:gridCol w:w="109"/>
        <w:gridCol w:w="218"/>
        <w:gridCol w:w="218"/>
        <w:gridCol w:w="61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and marketing expenses decreased by 13% to $30.1 million for the three months ended March 31, 2024 from $34.5 million for the comparable period in 2023. This decrease was primarily attribu</w:t>
      </w:r>
      <w:r>
        <w:rPr>
          <w:rFonts w:ascii="Times New Roman;sans-serif" w:hAnsi="Times New Roman;sans-serif"/>
          <w:b w:val="false"/>
          <w:color w:val="000000"/>
          <w:sz w:val="20"/>
          <w:shd w:fill="FFFFFF" w:val="clear"/>
        </w:rPr>
        <w:t>table to a decrease in marketing expense of approximately $4.3 million, a decrease in salary and employee-related expenses of approximately $0.7 million, and a decrease in software and hosting expenses of approximately $0.6 million, partially offset by an increase in business services and outsourced subcontracted labor of approximately $1.1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of compensation and related expenses for executive, accounting, legal, human resources and administrative personnel, professional fees and other general corporate expenses. </w:t>
      </w:r>
    </w:p>
    <w:p>
      <w:pPr>
        <w:pStyle w:val="TextBody"/>
        <w:bidi w:val="0"/>
        <w:spacing w:before="0" w:after="0"/>
        <w:ind w:left="0" w:right="0" w:firstLine="720"/>
        <w:jc w:val="both"/>
        <w:rPr/>
      </w:pPr>
      <w:r>
        <w:rPr/>
      </w:r>
    </w:p>
    <w:tbl>
      <w:tblPr>
        <w:tblW w:w="6435" w:type="dxa"/>
        <w:jc w:val="center"/>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8"/>
        <w:gridCol w:w="218"/>
        <w:gridCol w:w="61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General and administrative expenses decreased by 31% to $21.8 million for the three months ended March 31, 2024 from $31.4 million </w:t>
      </w:r>
      <w:r>
        <w:rPr>
          <w:rFonts w:ascii="Times New Roman;sans-serif" w:hAnsi="Times New Roman;sans-serif"/>
          <w:b w:val="false"/>
          <w:color w:val="000000"/>
          <w:sz w:val="20"/>
          <w:shd w:fill="FFFFFF" w:val="clear"/>
        </w:rPr>
        <w:t>for the comparable p</w:t>
      </w:r>
      <w:r>
        <w:rPr>
          <w:rFonts w:ascii="Times New Roman;sans-serif" w:hAnsi="Times New Roman;sans-serif"/>
          <w:b w:val="false"/>
          <w:color w:val="000000"/>
          <w:sz w:val="20"/>
        </w:rPr>
        <w:t>eriod in 2023. </w:t>
      </w:r>
      <w:r>
        <w:rPr>
          <w:rFonts w:ascii="Times New Roman;sans-serif" w:hAnsi="Times New Roman;sans-serif"/>
          <w:b w:val="false"/>
          <w:color w:val="000000"/>
          <w:sz w:val="20"/>
          <w:shd w:fill="FFFFFF" w:val="clear"/>
        </w:rPr>
        <w:t xml:space="preserve">This decrease is primarily attributable to </w:t>
      </w:r>
      <w:r>
        <w:rPr>
          <w:rFonts w:ascii="Times New Roman;sans-serif" w:hAnsi="Times New Roman;sans-serif"/>
          <w:b w:val="false"/>
          <w:color w:val="000000"/>
          <w:sz w:val="20"/>
        </w:rPr>
        <w:t>a decrease in other expenses of approximately $5.5 million related to legal fees,</w:t>
      </w:r>
      <w:r>
        <w:rPr>
          <w:color w:val="000000"/>
          <w:shd w:fill="FFFFFF" w:val="clear"/>
        </w:rPr>
        <w:t xml:space="preserve"> </w:t>
      </w:r>
      <w:r>
        <w:rPr>
          <w:rFonts w:ascii="Times New Roman;sans-serif" w:hAnsi="Times New Roman;sans-serif"/>
          <w:b w:val="false"/>
          <w:color w:val="000000"/>
          <w:sz w:val="20"/>
        </w:rPr>
        <w:t xml:space="preserve">a decrease in salary and employee-related expenses of approximately $2.5 million from restructuring activities, and a decrease in </w:t>
      </w:r>
      <w:r>
        <w:rPr>
          <w:rFonts w:ascii="Times New Roman;sans-serif" w:hAnsi="Times New Roman;sans-serif"/>
          <w:b w:val="false"/>
          <w:color w:val="000000"/>
          <w:sz w:val="20"/>
          <w:shd w:fill="FFFFFF" w:val="clear"/>
        </w:rPr>
        <w:t>business services and outsourced subcontracted labor of approximately $3.3 million. These decreases were partially offset by a divestiture-related working capital adjustment of approximately $1.8 million for the three months ended March 31, 2024.</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expenses consist of compensation and related expenses for product development personnel as well as allocated occupancy costs and related overhead and outsourced labor and expenses for testing new versions of our software. </w:t>
      </w:r>
    </w:p>
    <w:tbl>
      <w:tblPr>
        <w:tblW w:w="6435"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8"/>
        <w:gridCol w:w="218"/>
        <w:gridCol w:w="61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Product development costs decreased by 18% to $30.1 million for the three months ended March 31, 2024 from $36.5 million for</w:t>
      </w:r>
      <w:r>
        <w:rPr>
          <w:color w:val="000000"/>
          <w:shd w:fill="FFFFFF" w:val="clear"/>
        </w:rPr>
        <w:t xml:space="preserve"> </w:t>
      </w:r>
      <w:r>
        <w:rPr>
          <w:rFonts w:ascii="Times New Roman;sans-serif" w:hAnsi="Times New Roman;sans-serif"/>
          <w:b w:val="false"/>
          <w:color w:val="000000"/>
          <w:sz w:val="20"/>
          <w:shd w:fill="FFFFFF" w:val="clear"/>
        </w:rPr>
        <w:t xml:space="preserve">the comparable period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 xml:space="preserve">This decrease is primarily related to a decrease in salaries and employee-related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expenses of approximately $4.9 million and a decrease in business services and outsourcing subcontracted labor of approximately $2.6 million, partially offset by an increase in depreciation of approximately $1.3 million.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new product development efforts to expand the capability of the Conversational Cloud. Upon completion, the project costs will be depreciated over five years. For the three months ended March 31, 2024, $5.7 million was capitalized for software development costs, compared to $8.1 million for the comparable period in 2023.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Restructuring costs consist of reprioritizing and reallocating resources to focus on areas believed to show high growth potential. </w:t>
      </w:r>
    </w:p>
    <w:tbl>
      <w:tblPr>
        <w:tblW w:w="6970" w:type="dxa"/>
        <w:jc w:val="center"/>
        <w:tblInd w:w="0" w:type="dxa"/>
        <w:tblLayout w:type="fixed"/>
        <w:tblCellMar>
          <w:top w:w="28" w:type="dxa"/>
          <w:left w:w="28" w:type="dxa"/>
          <w:bottom w:w="28" w:type="dxa"/>
          <w:right w:w="28" w:type="dxa"/>
        </w:tblCellMar>
      </w:tblPr>
      <w:tblGrid>
        <w:gridCol w:w="843"/>
        <w:gridCol w:w="740"/>
        <w:gridCol w:w="742"/>
        <w:gridCol w:w="211"/>
        <w:gridCol w:w="616"/>
        <w:gridCol w:w="271"/>
        <w:gridCol w:w="109"/>
        <w:gridCol w:w="109"/>
        <w:gridCol w:w="109"/>
        <w:gridCol w:w="211"/>
        <w:gridCol w:w="721"/>
        <w:gridCol w:w="271"/>
        <w:gridCol w:w="109"/>
        <w:gridCol w:w="109"/>
        <w:gridCol w:w="109"/>
        <w:gridCol w:w="220"/>
        <w:gridCol w:w="220"/>
        <w:gridCol w:w="551"/>
        <w:gridCol w:w="109"/>
        <w:gridCol w:w="109"/>
        <w:gridCol w:w="109"/>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09" w:before="0" w:after="120"/>
        <w:ind w:left="0" w:right="0" w:firstLine="720"/>
        <w:jc w:val="both"/>
        <w:rPr/>
      </w:pPr>
      <w:r>
        <w:rPr>
          <w:rFonts w:ascii="Times New Roman;sans-serif" w:hAnsi="Times New Roman;sans-serif"/>
          <w:b w:val="false"/>
          <w:color w:val="000000"/>
          <w:sz w:val="20"/>
        </w:rPr>
        <w:t xml:space="preserve">Restructuring costs decreased by 71% to $3.3 million during the three months ended March 31, 2024 from $11.5 million for the comparable period in 2023. Restructuring costs decreased due to incremental reductions in costs related to the restructuring initiative that commenced during the second quarter of 2022, primarily consisting of severance and other associated costs related to the reduction in our workforce. Severance and other related compensation costs decreased by $8.9 million, partially offset by an increase of $0.7 million of IT infrastructure contract termination costs for the three months ended March 31, 2024 compared to March 31, 2023. We began a restructuring initiative to realign our cost structure to better reflect significant product and business model innovation and have had changes since then due to acquisitions and various other factors outside our control. In the first quarter of 2023, due to the changing technology landscape related to the evolution of LLMs, we identified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Refer to Note 13 –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additional information about the restructuring initiative.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Goodwill</w:t>
      </w:r>
    </w:p>
    <w:p>
      <w:pPr>
        <w:pStyle w:val="TextBody"/>
        <w:bidi w:val="0"/>
        <w:spacing w:before="0" w:after="0"/>
        <w:ind w:left="0" w:right="0" w:firstLine="480"/>
        <w:jc w:val="both"/>
        <w:rPr/>
      </w:pPr>
      <w:r>
        <w:rPr/>
      </w:r>
    </w:p>
    <w:tbl>
      <w:tblPr>
        <w:tblW w:w="6655" w:type="dxa"/>
        <w:jc w:val="left"/>
        <w:tblInd w:w="0" w:type="dxa"/>
        <w:tblLayout w:type="fixed"/>
        <w:tblCellMar>
          <w:top w:w="28" w:type="dxa"/>
          <w:left w:w="28" w:type="dxa"/>
          <w:bottom w:w="28" w:type="dxa"/>
          <w:right w:w="28" w:type="dxa"/>
        </w:tblCellMar>
      </w:tblPr>
      <w:tblGrid>
        <w:gridCol w:w="843"/>
        <w:gridCol w:w="739"/>
        <w:gridCol w:w="743"/>
        <w:gridCol w:w="211"/>
        <w:gridCol w:w="616"/>
        <w:gridCol w:w="271"/>
        <w:gridCol w:w="109"/>
        <w:gridCol w:w="109"/>
        <w:gridCol w:w="109"/>
        <w:gridCol w:w="211"/>
        <w:gridCol w:w="406"/>
        <w:gridCol w:w="271"/>
        <w:gridCol w:w="109"/>
        <w:gridCol w:w="109"/>
        <w:gridCol w:w="109"/>
        <w:gridCol w:w="330"/>
        <w:gridCol w:w="330"/>
        <w:gridCol w:w="331"/>
        <w:gridCol w:w="109"/>
        <w:gridCol w:w="109"/>
        <w:gridCol w:w="109"/>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Goodwill impairment was approximately $3.6 million during the three months ended March 31, 2024. This non-cash charge was a result of an interim goodwill impairment test and was attributable to the WildHealth reporting unit.</w:t>
      </w:r>
      <w:r>
        <w:rPr>
          <w:color w:val="000000"/>
          <w:shd w:fill="FFFFFF" w:val="clear"/>
        </w:rPr>
        <w:t xml:space="preserve"> </w:t>
      </w:r>
      <w:r>
        <w:rPr>
          <w:rFonts w:ascii="Times New Roman;sans-serif" w:hAnsi="Times New Roman;sans-serif"/>
          <w:b w:val="false"/>
          <w:color w:val="000000"/>
          <w:sz w:val="20"/>
          <w:shd w:fill="FFFFFF" w:val="clear"/>
        </w:rPr>
        <w:t>There were no impairment charges for the three months ended March 31,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Intangibles and Other Assets</w:t>
      </w:r>
    </w:p>
    <w:p>
      <w:pPr>
        <w:pStyle w:val="TextBody"/>
        <w:bidi w:val="0"/>
        <w:spacing w:before="0" w:after="0"/>
        <w:ind w:left="0" w:right="0" w:firstLine="480"/>
        <w:jc w:val="both"/>
        <w:rPr/>
      </w:pPr>
      <w:r>
        <w:rPr/>
      </w:r>
    </w:p>
    <w:tbl>
      <w:tblPr>
        <w:tblW w:w="7896" w:type="dxa"/>
        <w:jc w:val="left"/>
        <w:tblInd w:w="0" w:type="dxa"/>
        <w:tblLayout w:type="fixed"/>
        <w:tblCellMar>
          <w:top w:w="28" w:type="dxa"/>
          <w:left w:w="28" w:type="dxa"/>
          <w:bottom w:w="28" w:type="dxa"/>
          <w:right w:w="28" w:type="dxa"/>
        </w:tblCellMar>
      </w:tblPr>
      <w:tblGrid>
        <w:gridCol w:w="1283"/>
        <w:gridCol w:w="1125"/>
        <w:gridCol w:w="1132"/>
        <w:gridCol w:w="211"/>
        <w:gridCol w:w="616"/>
        <w:gridCol w:w="271"/>
        <w:gridCol w:w="109"/>
        <w:gridCol w:w="109"/>
        <w:gridCol w:w="109"/>
        <w:gridCol w:w="211"/>
        <w:gridCol w:w="406"/>
        <w:gridCol w:w="271"/>
        <w:gridCol w:w="109"/>
        <w:gridCol w:w="109"/>
        <w:gridCol w:w="109"/>
        <w:gridCol w:w="233"/>
        <w:gridCol w:w="233"/>
        <w:gridCol w:w="551"/>
        <w:gridCol w:w="109"/>
        <w:gridCol w:w="109"/>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Impairment of intangibles and other assets was approximately $2.2 million during the three months ended March 31, 2024. This non-cash charge was a result of our impairment test in the first quarter of 2024 and was attributable to</w:t>
      </w:r>
      <w:r>
        <w:rPr>
          <w:color w:val="000000"/>
          <w:shd w:fill="FFFFFF" w:val="clear"/>
        </w:rPr>
        <w:t xml:space="preserve"> </w:t>
      </w:r>
      <w:r>
        <w:rPr>
          <w:rFonts w:ascii="Times New Roman;sans-serif" w:hAnsi="Times New Roman;sans-serif"/>
          <w:b w:val="false"/>
          <w:color w:val="000000"/>
          <w:sz w:val="20"/>
          <w:shd w:fill="FFFFFF" w:val="clear"/>
        </w:rPr>
        <w:t>our intangible assets associated with our WildHealth reporting unit. There were no impairments of intangible assets during the three months ended March 31, 2023.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primarily of fair value adjustments for earn-outs, foreign currency gains and losses and income (loss) from our equity method investment. Interest income, net includes interest income from cash deposits, amortization of debt discount, amortization of issuance costs, and interest expense from our convertible senior notes.</w:t>
      </w:r>
    </w:p>
    <w:p>
      <w:pPr>
        <w:pStyle w:val="TextBody"/>
        <w:bidi w:val="0"/>
        <w:spacing w:before="0" w:after="0"/>
        <w:ind w:left="0" w:right="0" w:firstLine="720"/>
        <w:jc w:val="both"/>
        <w:rPr/>
      </w:pPr>
      <w:r>
        <w:rPr/>
      </w:r>
    </w:p>
    <w:tbl>
      <w:tblPr>
        <w:tblW w:w="6806" w:type="dxa"/>
        <w:jc w:val="center"/>
        <w:tblInd w:w="0" w:type="dxa"/>
        <w:tblLayout w:type="fixed"/>
        <w:tblCellMar>
          <w:top w:w="28" w:type="dxa"/>
          <w:left w:w="28" w:type="dxa"/>
          <w:bottom w:w="28" w:type="dxa"/>
          <w:right w:w="28" w:type="dxa"/>
        </w:tblCellMar>
      </w:tblPr>
      <w:tblGrid>
        <w:gridCol w:w="864"/>
        <w:gridCol w:w="759"/>
        <w:gridCol w:w="762"/>
        <w:gridCol w:w="211"/>
        <w:gridCol w:w="616"/>
        <w:gridCol w:w="109"/>
        <w:gridCol w:w="109"/>
        <w:gridCol w:w="109"/>
        <w:gridCol w:w="109"/>
        <w:gridCol w:w="211"/>
        <w:gridCol w:w="721"/>
        <w:gridCol w:w="109"/>
        <w:gridCol w:w="109"/>
        <w:gridCol w:w="109"/>
        <w:gridCol w:w="109"/>
        <w:gridCol w:w="269"/>
        <w:gridCol w:w="271"/>
        <w:gridCol w:w="551"/>
        <w:gridCol w:w="109"/>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net decreased by 93% to $1.1 million for the three months ended March 31, 2024 from $16.5 million for the comparable period in 2023. The decrease is primarily attributable to the Company’s prior year gain of $10.0 million related to a legal settlement and a gain of $7.2 million resulting from the repurchase of 2024 Notes during the three months ended March 31, 2023. The remaining amount of total other income, net fluctuation is attributable to the prior write down of all accounts receivable from the Company’s equity method investment and currency rate fluctuations compared to the three months ended March 31,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6346" w:type="dxa"/>
        <w:jc w:val="center"/>
        <w:tblInd w:w="0" w:type="dxa"/>
        <w:tblLayout w:type="fixed"/>
        <w:tblCellMar>
          <w:top w:w="28" w:type="dxa"/>
          <w:left w:w="28" w:type="dxa"/>
          <w:bottom w:w="28" w:type="dxa"/>
          <w:right w:w="28" w:type="dxa"/>
        </w:tblCellMar>
      </w:tblPr>
      <w:tblGrid>
        <w:gridCol w:w="825"/>
        <w:gridCol w:w="726"/>
        <w:gridCol w:w="729"/>
        <w:gridCol w:w="211"/>
        <w:gridCol w:w="466"/>
        <w:gridCol w:w="109"/>
        <w:gridCol w:w="109"/>
        <w:gridCol w:w="109"/>
        <w:gridCol w:w="109"/>
        <w:gridCol w:w="211"/>
        <w:gridCol w:w="616"/>
        <w:gridCol w:w="109"/>
        <w:gridCol w:w="109"/>
        <w:gridCol w:w="109"/>
        <w:gridCol w:w="109"/>
        <w:gridCol w:w="220"/>
        <w:gridCol w:w="220"/>
        <w:gridCol w:w="551"/>
        <w:gridCol w:w="109"/>
        <w:gridCol w:w="109"/>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 for income taxes was $0.4 million and $1.2 million for the three months ended March 31, 2024 and 2023, respectively. Our consolidated effective tax rate during the three months ended March 31, 2024 was impacted by the statutory income tax rates applicable to each of the jurisdictions in which we operate, valuation allowance recorded against losses generated in the U.S. and Germany and changes to unrecognized tax benefits in Israel. The decrease in the tax provision in the current period as compared to the prior period is due to changes in the forecasted earnings by jurisdiction year over year and a provision related to an increase in valuation allowance on deferred tax assets resulting from a release of deferred tax liabilities related to the sale of Kasamba, Inc. that existed in the prior period.     </w:t>
      </w:r>
    </w:p>
    <w:p>
      <w:pPr>
        <w:pStyle w:val="TextBody"/>
        <w:bidi w:val="0"/>
        <w:spacing w:before="0" w:after="0"/>
        <w:ind w:left="0" w:right="0" w:firstLine="720"/>
        <w:jc w:val="left"/>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ind w:left="0" w:right="0" w:firstLine="480"/>
        <w:jc w:val="center"/>
        <w:rPr/>
      </w:pPr>
      <w:r>
        <w:rPr/>
      </w:r>
    </w:p>
    <w:tbl>
      <w:tblPr>
        <w:tblW w:w="7707" w:type="dxa"/>
        <w:jc w:val="center"/>
        <w:tblInd w:w="0" w:type="dxa"/>
        <w:tblLayout w:type="fixed"/>
        <w:tblCellMar>
          <w:top w:w="28" w:type="dxa"/>
          <w:left w:w="28" w:type="dxa"/>
          <w:bottom w:w="28" w:type="dxa"/>
          <w:right w:w="28" w:type="dxa"/>
        </w:tblCellMar>
      </w:tblPr>
      <w:tblGrid>
        <w:gridCol w:w="1766"/>
        <w:gridCol w:w="1552"/>
        <w:gridCol w:w="1556"/>
        <w:gridCol w:w="220"/>
        <w:gridCol w:w="833"/>
        <w:gridCol w:w="114"/>
        <w:gridCol w:w="114"/>
        <w:gridCol w:w="114"/>
        <w:gridCol w:w="114"/>
        <w:gridCol w:w="220"/>
        <w:gridCol w:w="943"/>
        <w:gridCol w:w="161"/>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Statements of Cash Flows Data:</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March 31, 2024, we had approximatel</w:t>
      </w:r>
      <w:r>
        <w:rPr>
          <w:rFonts w:ascii="Times New Roman;sans-serif" w:hAnsi="Times New Roman;sans-serif"/>
          <w:b w:val="false"/>
          <w:color w:val="000000"/>
          <w:sz w:val="20"/>
          <w:shd w:fill="FFFFFF" w:val="clear"/>
        </w:rPr>
        <w:t xml:space="preserve">y $129.0 million </w:t>
      </w:r>
      <w:r>
        <w:rPr>
          <w:rFonts w:ascii="Times New Roman;sans-serif" w:hAnsi="Times New Roman;sans-serif"/>
          <w:b w:val="false"/>
          <w:color w:val="000000"/>
          <w:sz w:val="20"/>
        </w:rPr>
        <w:t>in cash, cash equivalents, and restricted cash, a decrease of approximately $83.9 million from December 31, 2023. The decrease is primarily attributable to the Company’s repayment in full at maturity of the outstanding $72.5 million in aggregate principal amount of the 2024 Notes, coupled with various other uses of cash for operating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provided by operating activities was $1.1 million for the three months ended March 31, 2024. Our net loss of $35.6 million includes the effect of non-cash expenses related to depreciation of $8.2 million, a net expense in stock-based compensation of $7.6 million, amortization of purchased intangible assets and finance leases of $4.2 million, allowance for credit losses of $4.7 million, a goodwill impairment of $3.6 million and intangible and other assets impairment of $2.2 million. This was further driven by a decrease in accrued expenses and other current liabilities of $17.0 million, an increase in contract acquisition costs of $2.4 million, partially offset by a decrease in accounts receivable of $5.4 million, a decrease in prepaid expenses and other current assets of $5.9 million, an increase in other liabilities of $0.9 million, an increase in accounts payable of $2.0 million,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an increase in deferred revenue of $10.9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Our net loss of </w:t>
      </w:r>
      <w:r>
        <w:rPr>
          <w:rFonts w:ascii="Times New Roman;sans-serif" w:hAnsi="Times New Roman;sans-serif"/>
          <w:b w:val="false"/>
          <w:color w:val="000000"/>
          <w:sz w:val="20"/>
        </w:rPr>
        <w:t>$17.4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March 31, 2023</w:t>
      </w:r>
      <w:r>
        <w:rPr>
          <w:color w:val="000000"/>
          <w:shd w:fill="FFFFFF" w:val="clear"/>
        </w:rPr>
        <w:t xml:space="preserve"> </w:t>
      </w:r>
      <w:r>
        <w:rPr>
          <w:rFonts w:ascii="Times New Roman;sans-serif" w:hAnsi="Times New Roman;sans-serif"/>
          <w:b w:val="false"/>
          <w:color w:val="000000"/>
          <w:sz w:val="20"/>
          <w:shd w:fill="FFFFFF" w:val="clear"/>
        </w:rPr>
        <w:t xml:space="preserve">includes the effect of non-cash expenses related to stock-based compensation of $11.3 million, depreciation of $7.4 million, amortization of purchased intangible assets and finance leases of $5.4 million partially offset by a gain on divestiture of $17.6 million. This was further driven by an increase in accounts receivable of $34.7 million, an increase in prepaid expenses and other current assets of $6.3 million, a decrease in other liabilities of $5.9 million, a decrease in accounts payable of $9.9 million, partially offset by an increase in accrued expenses and other current liabilities of $41.3 million and an increase in deferred revenue of $24.8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Net cash used in investing activities was $12.7 million for the three months ended March 31, 2024, and was primarily driven by purchases of property and equipment and capitalization of internally developed software.</w:t>
      </w:r>
      <w:r>
        <w:rPr>
          <w:color w:val="000000"/>
        </w:rPr>
        <w:t> </w:t>
      </w:r>
      <w:r>
        <w:rPr>
          <w:rFonts w:ascii="Times New Roman;sans-serif" w:hAnsi="Times New Roman;sans-serif"/>
          <w:b w:val="false"/>
          <w:color w:val="000000"/>
          <w:sz w:val="20"/>
          <w:shd w:fill="FFFFFF" w:val="clear"/>
        </w:rPr>
        <w:t xml:space="preserve">Net cash provided by investing activities was $2.8 million for the three months ended </w:t>
      </w:r>
      <w:r>
        <w:rPr>
          <w:rFonts w:ascii="Times New Roman;sans-serif" w:hAnsi="Times New Roman;sans-serif"/>
          <w:b w:val="false"/>
          <w:color w:val="000000"/>
          <w:sz w:val="20"/>
        </w:rPr>
        <w:t>March 31, 2023</w:t>
      </w:r>
      <w:r>
        <w:rPr>
          <w:color w:val="000000"/>
          <w:shd w:fill="FFFFFF" w:val="clear"/>
        </w:rPr>
        <w:t xml:space="preserve"> </w:t>
      </w:r>
      <w:r>
        <w:rPr>
          <w:rFonts w:ascii="Times New Roman;sans-serif" w:hAnsi="Times New Roman;sans-serif"/>
          <w:b w:val="false"/>
          <w:color w:val="000000"/>
          <w:sz w:val="20"/>
          <w:shd w:fill="FFFFFF" w:val="clear"/>
        </w:rPr>
        <w:t>and was primarily driven by the proceeds from the sale of Kasamba, offset by purchases of property and equipment and capitalization of internally developed software.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Net cash used in financing activities was $72.7 million for the three months ended March 31, 2024, which was driven primarily by the full repayment of our 2024 Notes.</w:t>
      </w:r>
      <w:r>
        <w:rPr>
          <w:color w:val="000000"/>
        </w:rPr>
        <w:t xml:space="preserve"> </w:t>
      </w:r>
      <w:r>
        <w:rPr>
          <w:rFonts w:ascii="Times New Roman;sans-serif" w:hAnsi="Times New Roman;sans-serif"/>
          <w:b w:val="false"/>
          <w:color w:val="000000"/>
          <w:sz w:val="20"/>
          <w:shd w:fill="FFFFFF" w:val="clear"/>
        </w:rPr>
        <w:t xml:space="preserve">Net cash used in financing activities was $150.4 million for the three months ended </w:t>
      </w:r>
      <w:r>
        <w:rPr>
          <w:rFonts w:ascii="Times New Roman;sans-serif" w:hAnsi="Times New Roman;sans-serif"/>
          <w:b w:val="false"/>
          <w:color w:val="000000"/>
          <w:sz w:val="20"/>
        </w:rPr>
        <w:t>March 31, 2023</w:t>
      </w:r>
      <w:r>
        <w:rPr>
          <w:rFonts w:ascii="Times New Roman;sans-serif" w:hAnsi="Times New Roman;sans-serif"/>
          <w:b w:val="false"/>
          <w:color w:val="000000"/>
          <w:sz w:val="20"/>
          <w:shd w:fill="FFFFFF" w:val="clear"/>
        </w:rPr>
        <w:t>, which was driven primarily by the repurchase of our 2024 convertible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incurred significant expenses to develop our technology and services, to hire employees in our customer service and sales and marketing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we had an accumulated deficit of approximately $892.6 million.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the net proceeds from the issuance of our convertible senior notes, after deducting purchaser discounts and debt issuance costs paid by us,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Further, we plan to refinance the 2026 Notes on or prior to their maturity, and we are currently reviewing our capital structure with a goal of refinancing the 2026 Notes. We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engage in off-balance sheet financing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 Our Israeli operations have currency rate fluctuation risk associated with the exchange rate movement of the U.S. dollar against the NIS. During the three months ended March 31, 2024, the U.S. dollar appreciated by approximately 1% as compared to the NIS. During the three months ended March 31, 2024, expenses generated by our Israeli operations totaled approximately $3.6 million. Based on our exposure to NIS exchange rate fluctuation against a dollar as of March 31, 2024, an increase or decrease in the value of the NIS would not have a material impact on our income before income taxes.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Collection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accounts receivable are subject, in the normal course of business, to collection risks. We regularly assess these risks and have established policies and business practices to protect against the adverse effects of collection risk</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 xml:space="preserve">During the three months ended March 31, 2024, our allowance for credit losses decreased by $0.1 million to approximately $9.2 million. During the three months ended March 31, 2023, we decreased our allowance for credit losses by $0.1 million to approximately $9.1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credit losses when accounts previously reserved have been collected.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consist of cash and cash equivalents. Therefore, changes in market interest rates do not affect in any material respect the value of the investments as recorded by us.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2024.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Based on that evaluation, the Chief Executive Officer and Chief Financial Officer concluded that our disclosure controls and procedures were effective as of March 31, 2024.</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quarter ended March 31, 2024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Limitations of the Effectiveness of Internal Control</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information called for by this Item is incorporated herein by reference to </w:t>
      </w:r>
      <w:r>
        <w:rPr>
          <w:rFonts w:ascii="Times New Roman;sans-serif" w:hAnsi="Times New Roman;sans-serif"/>
          <w:b w:val="false"/>
          <w:color w:val="000000"/>
          <w:sz w:val="20"/>
        </w:rPr>
        <w:t>Note 14</w:t>
      </w:r>
      <w:r>
        <w:rPr>
          <w:color w:val="000000"/>
          <w:shd w:fill="FFFFFF" w:val="clear"/>
        </w:rPr>
        <w:t xml:space="preserve"> – </w:t>
      </w:r>
      <w:r>
        <w:rPr>
          <w:rFonts w:ascii="Times New Roman;sans-serif" w:hAnsi="Times New Roman;sans-serif"/>
          <w:b w:val="false"/>
          <w:i/>
          <w:color w:val="000000"/>
          <w:sz w:val="20"/>
          <w:shd w:fill="FFFFFF" w:val="clear"/>
        </w:rPr>
        <w:t>Legal Matters</w:t>
      </w:r>
      <w:r>
        <w:rPr>
          <w:rFonts w:ascii="Times New Roman;sans-serif" w:hAnsi="Times New Roman;sans-serif"/>
          <w:b w:val="false"/>
          <w:color w:val="000000"/>
          <w:sz w:val="20"/>
          <w:shd w:fill="FFFFFF" w:val="clear"/>
        </w:rPr>
        <w:t>, in the Notes to the Unaudited Condensed Consolidated Financial Statements.</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financial results are subject to various risks and uncertainties, including those described in Part I, Item 1A. “Risk Factors” in our Annual Report on Form 10-K for the year ended December 31, 2023, filed on March 4, 2024,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failure to regain compliance with the continued listing requirements of the Nasdaq Global Select Market could result in a delisting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currently is listed on the Nasdaq Global Select Market. We are required to meet specified financial requirements in order to maintain such listing, including a closing bid price of at least $1.00.</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2024 we received a notification from Nasdaq stating that the closing bid price of our common stock has been less than $1.00 for 30 consecutive trading days. We have 180 calendar days from such notification to regain compliance with the minimum closing bid price requirement by maintaining a closing bid price of at least $1.00 for a minimum of ten consecutive trading days.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 provide no assurance that we will be able to regain our compliance with the listing requirements or that any actions taken by us in an effort to restore our compliance would allow our common stock to remain listed, stabilize the market price of our common stock, improve the liquidity of our common stock, prevent our common stock from again dropping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minimum bid price requirement, or prevent future non-compliance with the listing requirements. In addition, to maintain a listing on Nasdaq, we must satisfy minimum financial and other continued listing requirements and standards, including those regarding minimum stockholders’ equity, and certain corporate governance requirements. If we are unable to satisfy these requirements or standards, we could be subject to delisting, which would have a negative effect on the price of our common stock and would impair your ability to sell or purchase our common stock when you wish to do so. Further, the failure of our common stock to be listed or quoted on any of The Nasdaq Global Select Market, The Nasdaq Global Market or The New York Stock Exchange would constitute a “fundamental change” under the indenture governing the 2026 Notes.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common stock is delisted from Nasdaq, it is unlikely that our common stock would qualify for listing on another national securities exchange in the United States, and trading of our common stock would most likely take place on an over-the-counter market established for unlisted securities, such as the OTCQX, the OTCQB or the Pink Market maintained by OTC Markets Group Inc. We cannot assure you that our common stock, if delisted from Nasdaq, will ever be listed on another securities exchange or quoted on an over-the-counter quotation system.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Accordingly, delisting from Nasdaq could make trading our common stock more difficult for investors, likely leading to declines in our share price, trading volume and liquidity. Delisting from Nasdaq could also result in negative publicity and make it more difficult for us to raise additional capital. The absence of such a listing may adversely affect the acceptance of our common stock as transaction consideration or the value accorded our common stock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common stock is delisted, it may come within the definition of “penny stock” as defined in the Exchange Act and would be covered by Rule 15g-9 of the Exchange Act. This rule imposes additional sales practice requirements on broker-dealers who sell securities to persons other than established customers and accredited investors which may further limit the market liquidity of our common stock and the ability of our stockholders to sell our common stock in the secondary market.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pStyle w:val="TextBody"/>
        <w:bidi w:val="0"/>
        <w:spacing w:before="0" w:after="0"/>
        <w:jc w:val="left"/>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ind w:left="0" w:right="0" w:firstLine="48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There were no unregistered sales of equity securities by the issuer during the three 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the Issuer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There were no repurchases of equity securities by the issuer during</w:t>
      </w:r>
      <w:r>
        <w:rPr>
          <w:color w:val="000000"/>
        </w:rPr>
        <w:t xml:space="preserve"> </w:t>
      </w:r>
      <w:r>
        <w:rPr>
          <w:rFonts w:ascii="Times New Roman;sans-serif" w:hAnsi="Times New Roman;sans-serif"/>
          <w:b w:val="false"/>
          <w:color w:val="000000"/>
          <w:sz w:val="20"/>
        </w:rPr>
        <w:t>the three months ended March 31, 2024.</w:t>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March 31, 2024, no director or executive officer of the Company adopted or terminated a “Rule 10b5-1 trading arrangement” or “non-Rule 10b5-1 trading arrangement,” as each term is defined in Item 408(a) of Regulations S-K, except as described in the table below.</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334"/>
        <w:gridCol w:w="294"/>
        <w:gridCol w:w="296"/>
        <w:gridCol w:w="109"/>
        <w:gridCol w:w="109"/>
        <w:gridCol w:w="109"/>
        <w:gridCol w:w="597"/>
        <w:gridCol w:w="597"/>
        <w:gridCol w:w="607"/>
        <w:gridCol w:w="109"/>
        <w:gridCol w:w="109"/>
        <w:gridCol w:w="109"/>
        <w:gridCol w:w="487"/>
        <w:gridCol w:w="487"/>
        <w:gridCol w:w="488"/>
        <w:gridCol w:w="109"/>
        <w:gridCol w:w="109"/>
        <w:gridCol w:w="109"/>
        <w:gridCol w:w="227"/>
        <w:gridCol w:w="227"/>
        <w:gridCol w:w="228"/>
        <w:gridCol w:w="112"/>
        <w:gridCol w:w="112"/>
        <w:gridCol w:w="112"/>
        <w:gridCol w:w="519"/>
        <w:gridCol w:w="519"/>
        <w:gridCol w:w="521"/>
        <w:gridCol w:w="112"/>
        <w:gridCol w:w="112"/>
        <w:gridCol w:w="112"/>
        <w:gridCol w:w="716"/>
        <w:gridCol w:w="577"/>
        <w:gridCol w:w="831"/>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Trading Arrangement</w:t>
            </w:r>
          </w:p>
        </w:tc>
      </w:tr>
      <w:tr>
        <w:trPr/>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Director/</w:t>
              <w:b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Date of Adoption/Termination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Rule 10b5-1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Trading Arrangement End 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Aggregate Number of Securities to be Purchased or Sold</w:t>
            </w:r>
          </w:p>
        </w:tc>
      </w:tr>
      <w:tr>
        <w:trPr/>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Hansen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3/06/2025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34,045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vesting of RSUs.</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Kroman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&amp;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3/07/2025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185,875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vesting of RSUs and performance share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6. EXHIBITS </w:t>
      </w:r>
    </w:p>
    <w:p>
      <w:pPr>
        <w:pStyle w:val="TextBody"/>
        <w:bidi w:val="0"/>
        <w:spacing w:before="0" w:after="12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233"/>
        <w:gridCol w:w="180"/>
        <w:gridCol w:w="184"/>
        <w:gridCol w:w="109"/>
        <w:gridCol w:w="109"/>
        <w:gridCol w:w="109"/>
        <w:gridCol w:w="2803"/>
        <w:gridCol w:w="2682"/>
        <w:gridCol w:w="3796"/>
      </w:tblGrid>
      <w:tr>
        <w:trPr/>
        <w:tc>
          <w:tcPr>
            <w:tcW w:w="2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Certificate of Designations of the Series A Junior Participating Preferred Stock of the Company, dated January 22, 2024 (incorporated by reference to Exhibit 3.1 to LivePerson’s Current Report on Form 8-K filed on January 22, 2024)</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Tax Benefits Preservation Plan, dated as of January 22, 2024, by and between the Company and Equiniti Trust Company, LLC as rights agent (which includes the Form of Rights Certificate as Exhibit B thereto) (incorporated by reference to Exhibit 4.1 to LivePerson’s Current Form 8-K filed on January 22, 2024)</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Amendment, dated as of February 16, 2024, to the Tax Benefits Preservation Plan, between LivePerson, Inc. and Equiniti Trust Company, LLC (incorporated by reference to Exhibit 4.1 to LivePerson’s Current Form 8-K filed on February 16, 2024)</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Amendment to LivePerson, Inc. 2018 Inducement Plan (as amended through February 9, 2022) (incorporated by reference to Exhibit 99.2 to LivePerson’s Registration Statement on Form S-8 filed on March, 8, 2024</w:t>
              </w:r>
            </w:hyperlink>
            <w:r>
              <w:rPr>
                <w:rFonts w:ascii="Times New Roman;sans-serif" w:hAnsi="Times New Roman;sans-serif"/>
                <w:b w:val="false"/>
                <w:color w:val="000000"/>
                <w:sz w:val="18"/>
              </w:rPr>
              <w: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18"/>
                  <w:u w:val="single"/>
                </w:rPr>
                <w:t xml:space="preserve">Separation and Release of Claims Agreement, dated January </w:t>
              </w:r>
            </w:hyperlink>
            <w:hyperlink r:id="rId7">
              <w:r>
                <w:rPr>
                  <w:rStyle w:val="InternetLink"/>
                  <w:rFonts w:ascii="Times New Roman;sans-serif" w:hAnsi="Times New Roman;sans-serif"/>
                  <w:b w:val="false"/>
                  <w:color w:val="000080"/>
                  <w:sz w:val="18"/>
                  <w:u w:val="single"/>
                </w:rPr>
                <w:t>3</w:t>
              </w:r>
            </w:hyperlink>
            <w:hyperlink r:id="rId8">
              <w:r>
                <w:rPr>
                  <w:rStyle w:val="InternetLink"/>
                  <w:rFonts w:ascii="Times New Roman;sans-serif" w:hAnsi="Times New Roman;sans-serif"/>
                  <w:b w:val="false"/>
                  <w:color w:val="000080"/>
                  <w:sz w:val="18"/>
                  <w:u w:val="single"/>
                </w:rPr>
                <w:t>1, 2024, between LivePerson, Inc. and Robert LoCascio</w:t>
              </w:r>
            </w:hyperlink>
            <w:hyperlink r:id="rId9">
              <w:r>
                <w:rPr>
                  <w:rStyle w:val="InternetLink"/>
                  <w:rFonts w:ascii="Times New Roman;sans-serif" w:hAnsi="Times New Roman;sans-serif"/>
                  <w:b w:val="false"/>
                  <w:color w:val="000080"/>
                  <w:sz w:val="18"/>
                  <w:u w:val="single"/>
                </w:rPr>
                <w:t xml:space="preserve"> (inc</w:t>
              </w:r>
            </w:hyperlink>
            <w:hyperlink r:id="rId10">
              <w:r>
                <w:rPr>
                  <w:rStyle w:val="InternetLink"/>
                  <w:rFonts w:ascii="Times New Roman;sans-serif" w:hAnsi="Times New Roman;sans-serif"/>
                  <w:b w:val="false"/>
                  <w:color w:val="000080"/>
                  <w:sz w:val="18"/>
                  <w:u w:val="single"/>
                </w:rPr>
                <w:t>orporated by reference to Exhibit 10.29 to LivePerson</w:t>
              </w:r>
            </w:hyperlink>
            <w:hyperlink r:id="rId11">
              <w:r>
                <w:rPr>
                  <w:rStyle w:val="InternetLink"/>
                  <w:rFonts w:ascii="Times New Roman;sans-serif" w:hAnsi="Times New Roman;sans-serif"/>
                  <w:b w:val="false"/>
                  <w:color w:val="000080"/>
                  <w:sz w:val="18"/>
                  <w:u w:val="single"/>
                </w:rPr>
                <w:t>’</w:t>
              </w:r>
            </w:hyperlink>
            <w:hyperlink r:id="rId12">
              <w:r>
                <w:rPr>
                  <w:rStyle w:val="InternetLink"/>
                  <w:rFonts w:ascii="Times New Roman;sans-serif" w:hAnsi="Times New Roman;sans-serif"/>
                  <w:b w:val="false"/>
                  <w:color w:val="000080"/>
                  <w:sz w:val="18"/>
                  <w:u w:val="single"/>
                </w:rPr>
                <w:t>s Form 10-K/A filed on April 29, 2024)</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q12024ex311-ceocertificati.htm">
              <w:r>
                <w:rPr>
                  <w:rStyle w:val="InternetLink"/>
                  <w:rFonts w:ascii="Times New Roman;sans-serif" w:hAnsi="Times New Roman;sans-serif"/>
                  <w:b w:val="false"/>
                  <w:color w:val="0000FF"/>
                  <w:sz w:val="18"/>
                  <w:u w:val="single"/>
                </w:rPr>
                <w:t>Certification by principal executive officer pursuant to Exchange Act Rule 13a-14(a) and 15d-14(a), as adopted pursuant to Section 302 of the Sarbanes-Oxley Act of 2002</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q12024ex312-cfocertificati.htm">
              <w:r>
                <w:rPr>
                  <w:rStyle w:val="InternetLink"/>
                  <w:rFonts w:ascii="Times New Roman;sans-serif" w:hAnsi="Times New Roman;sans-serif"/>
                  <w:b w:val="false"/>
                  <w:color w:val="0000FF"/>
                  <w:sz w:val="18"/>
                  <w:u w:val="single"/>
                </w:rPr>
                <w:t>Certification by principal financial officer pursuant to Exchange Act Rule 13a-14(a) and 15d-14(a), as adopted pursuant to Section 302 of the Sarbanes-Oxley Act of 2002</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12024ex321-ceocertificati.htm">
              <w:r>
                <w:rPr>
                  <w:rStyle w:val="InternetLink"/>
                  <w:rFonts w:ascii="Times New Roman;sans-serif" w:hAnsi="Times New Roman;sans-serif"/>
                  <w:b w:val="false"/>
                  <w:color w:val="0E32E1"/>
                  <w:sz w:val="18"/>
                  <w:u w:val="single"/>
                </w:rPr>
                <w:t>Certification by Chief Executive Officer pursuant to 18 U.S.C. Section 1350, as adopted pursuant to Section 906 of the Sarbanes-Oxley Act of 2002</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12024ex322-cfocertificati.htm">
              <w:r>
                <w:rPr>
                  <w:rStyle w:val="InternetLink"/>
                  <w:rFonts w:ascii="Times New Roman;sans-serif" w:hAnsi="Times New Roman;sans-serif"/>
                  <w:b w:val="false"/>
                  <w:color w:val="0000FF"/>
                  <w:sz w:val="18"/>
                  <w:u w:val="single"/>
                </w:rPr>
                <w:t>Certification by Chief Financial Officer pursuant to 18 U.S.C. Section 1350, as adopted pursuant to Section 906 of the Sarbanes-Oxley Act of 2002</w:t>
              </w:r>
            </w:hyperlink>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w:t>
            </w:r>
          </w:p>
        </w:tc>
      </w:tr>
    </w:tbl>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12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20"/>
        <w:ind w:left="0" w:right="0" w:firstLine="720"/>
        <w:jc w:val="both"/>
        <w:rPr/>
      </w:pPr>
      <w:r>
        <w:rPr/>
      </w:r>
    </w:p>
    <w:tbl>
      <w:tblPr>
        <w:tblW w:w="4626" w:type="dxa"/>
        <w:jc w:val="left"/>
        <w:tblInd w:w="0" w:type="dxa"/>
        <w:tblLayout w:type="fixed"/>
        <w:tblCellMar>
          <w:top w:w="28" w:type="dxa"/>
          <w:left w:w="28" w:type="dxa"/>
          <w:bottom w:w="28" w:type="dxa"/>
          <w:right w:w="28" w:type="dxa"/>
        </w:tblCellMar>
      </w:tblPr>
      <w:tblGrid>
        <w:gridCol w:w="179"/>
        <w:gridCol w:w="157"/>
        <w:gridCol w:w="159"/>
        <w:gridCol w:w="369"/>
        <w:gridCol w:w="369"/>
        <w:gridCol w:w="372"/>
        <w:gridCol w:w="282"/>
        <w:gridCol w:w="282"/>
        <w:gridCol w:w="282"/>
        <w:gridCol w:w="635"/>
        <w:gridCol w:w="635"/>
        <w:gridCol w:w="90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LIVEPERSON,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(Registrant)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10, 2024</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Executive Officer</w:t>
            </w: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before="0" w:after="120"/>
        <w:ind w:left="0" w:right="0" w:firstLine="4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Sabino,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03"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Collins,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044"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Sabino, Chief Executive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of the Company on Form 10-Q for the period ended March 31, 2024,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868"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Collins, Chief Financial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of the Company on Form 10-Q for the period ended March 31, 2024,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9044"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2993/000110299324000019/lpsn-20240122.htm" TargetMode="External"/><Relationship Id="rId3" Type="http://schemas.openxmlformats.org/officeDocument/2006/relationships/hyperlink" Target="https://www.sec.gov/ix?doc=/Archives/edgar/data/0001102993/000110299324000019/lpsn-20240122.htm" TargetMode="External"/><Relationship Id="rId4" Type="http://schemas.openxmlformats.org/officeDocument/2006/relationships/hyperlink" Target="https://www.sec.gov/ix?doc=/Archives/edgar/data/0001102993/000110299324000029/lpsn-20240216.htm" TargetMode="External"/><Relationship Id="rId5" Type="http://schemas.openxmlformats.org/officeDocument/2006/relationships/hyperlink" Target="https://www.sec.gov/Archives/edgar/data/1102993/000110299324000042/exhibit992-livepersonincx2.htm" TargetMode="External"/><Relationship Id="rId6" Type="http://schemas.openxmlformats.org/officeDocument/2006/relationships/hyperlink" Target="https://www.sec.gov/Archives/edgar/data/1102993/000110299324000068/ex-1029roblocasciosepara.htm" TargetMode="External"/><Relationship Id="rId7" Type="http://schemas.openxmlformats.org/officeDocument/2006/relationships/hyperlink" Target="https://www.sec.gov/Archives/edgar/data/1102993/000110299324000068/ex-1029roblocasciosepara.htm" TargetMode="External"/><Relationship Id="rId8" Type="http://schemas.openxmlformats.org/officeDocument/2006/relationships/hyperlink" Target="https://www.sec.gov/Archives/edgar/data/1102993/000110299324000068/ex-1029roblocasciosepara.htm" TargetMode="External"/><Relationship Id="rId9" Type="http://schemas.openxmlformats.org/officeDocument/2006/relationships/hyperlink" Target="https://www.sec.gov/Archives/edgar/data/1102993/000110299324000068/ex-1029roblocasciosepara.htm" TargetMode="External"/><Relationship Id="rId10" Type="http://schemas.openxmlformats.org/officeDocument/2006/relationships/hyperlink" Target="https://www.sec.gov/Archives/edgar/data/1102993/000110299324000068/ex-1029roblocasciosepara.htm" TargetMode="External"/><Relationship Id="rId11" Type="http://schemas.openxmlformats.org/officeDocument/2006/relationships/hyperlink" Target="https://www.sec.gov/Archives/edgar/data/1102993/000110299324000068/ex-1029roblocasciosepara.htm" TargetMode="External"/><Relationship Id="rId12" Type="http://schemas.openxmlformats.org/officeDocument/2006/relationships/hyperlink" Target="https://www.sec.gov/Archives/edgar/data/1102993/000110299324000068/ex-1029roblocasciosepar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20389</Words>
  <Characters>113955</Characters>
  <CharactersWithSpaces>132992</CharactersWithSpaces>
  <Paragraphs>2293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