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ind w:left="0" w:right="0" w:hanging="36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7"/>
        </w:rPr>
      </w:pPr>
      <w:r>
        <w:rPr>
          <w:rFonts w:ascii="Times New Roman;sans-serif" w:hAnsi="Times New Roman;sans-serif"/>
          <w:b/>
          <w:color w:val="000000"/>
          <w:sz w:val="27"/>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pPr>
      <w:r>
        <w:rPr>
          <w:color w:val="000000"/>
        </w:rPr>
        <w:t>☒    </w:t>
      </w:r>
      <w:r>
        <w:rPr>
          <w:rFonts w:ascii="Times New Roman;sans-serif" w:hAnsi="Times New Roman;sans-serif"/>
          <w:b/>
          <w:color w:val="000000"/>
          <w:sz w:val="17"/>
        </w:rPr>
        <w:t>ANNUAL REPORT PURSUANT TO SECTION 13 OR 15(d) OF THE SECURITIES EXCHANGE ACT OF 1934</w:t>
      </w:r>
    </w:p>
    <w:p>
      <w:pPr>
        <w:pStyle w:val="TextBody"/>
        <w:bidi w:val="0"/>
        <w:spacing w:lineRule="auto" w:line="288" w:before="0" w:after="60"/>
        <w:jc w:val="center"/>
        <w:rPr/>
      </w:pPr>
      <w:r>
        <w:rPr>
          <w:rFonts w:ascii="Times New Roman;sans-serif" w:hAnsi="Times New Roman;sans-serif"/>
          <w:b/>
          <w:color w:val="000000"/>
          <w:sz w:val="18"/>
        </w:rPr>
        <w:t>For the Fiscal Year Ended December 31, 2023</w:t>
      </w:r>
      <w:r>
        <w:rPr>
          <w:color w:val="000000"/>
        </w:rPr>
        <w:t xml:space="preserve"> </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60"/>
        <w:jc w:val="center"/>
        <w:rPr/>
      </w:pPr>
      <w:r>
        <w:rPr>
          <w:color w:val="000000"/>
        </w:rPr>
        <w:t>☐    </w:t>
      </w:r>
      <w:r>
        <w:rPr>
          <w:rFonts w:ascii="Times New Roman;sans-serif" w:hAnsi="Times New Roman;sans-serif"/>
          <w:b/>
          <w:color w:val="000000"/>
          <w:sz w:val="17"/>
        </w:rPr>
        <w:t>TRANSITION REPORT PURSUANT TO SECTION 13 OR 15(d) OF THE SECURITIES EXCHANGE ACT OF 1934</w:t>
      </w:r>
    </w:p>
    <w:p>
      <w:pPr>
        <w:pStyle w:val="TextBody"/>
        <w:bidi w:val="0"/>
        <w:spacing w:lineRule="auto" w:line="288" w:before="0" w:after="4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 to _____</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000-30141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LIVEPERSON, INC. </w:t>
      </w:r>
    </w:p>
    <w:p>
      <w:pPr>
        <w:pStyle w:val="TextBody"/>
        <w:bidi w:val="0"/>
        <w:spacing w:lineRule="auto" w:line="276"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150"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38"/>
        <w:gridCol w:w="738"/>
        <w:gridCol w:w="105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13-3861628</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530 7th Ave, Floor 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10018</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40"/>
        <w:jc w:val="center"/>
        <w:rPr>
          <w:rFonts w:ascii="Times New Roman;sans-serif" w:hAnsi="Times New Roman;sans-serif"/>
          <w:b/>
          <w:color w:val="000000"/>
          <w:sz w:val="18"/>
        </w:rPr>
      </w:pPr>
      <w:r>
        <w:rPr>
          <w:rFonts w:ascii="Times New Roman;sans-serif" w:hAnsi="Times New Roman;sans-serif"/>
          <w:b/>
          <w:color w:val="000000"/>
          <w:sz w:val="18"/>
        </w:rPr>
        <w:t xml:space="preserve">(212) 609-4200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617" w:type="dxa"/>
        <w:jc w:val="center"/>
        <w:tblInd w:w="0" w:type="dxa"/>
        <w:tblLayout w:type="fixed"/>
        <w:tblCellMar>
          <w:top w:w="28" w:type="dxa"/>
          <w:left w:w="28" w:type="dxa"/>
          <w:bottom w:w="28" w:type="dxa"/>
          <w:right w:w="28" w:type="dxa"/>
        </w:tblCellMar>
      </w:tblPr>
      <w:tblGrid>
        <w:gridCol w:w="1155"/>
        <w:gridCol w:w="1013"/>
        <w:gridCol w:w="1027"/>
        <w:gridCol w:w="109"/>
        <w:gridCol w:w="109"/>
        <w:gridCol w:w="109"/>
        <w:gridCol w:w="484"/>
        <w:gridCol w:w="484"/>
        <w:gridCol w:w="486"/>
        <w:gridCol w:w="109"/>
        <w:gridCol w:w="109"/>
        <w:gridCol w:w="109"/>
        <w:gridCol w:w="970"/>
        <w:gridCol w:w="970"/>
        <w:gridCol w:w="137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LPSN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1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Rights to Purchase Series A Junior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Participating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1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0" w:after="8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5253"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0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80"/>
        <w:jc w:val="both"/>
        <w:rPr/>
      </w:pPr>
      <w:r>
        <w:rPr>
          <w:rFonts w:ascii="Times New Roman;sans-serif" w:hAnsi="Times New Roman;sans-serif"/>
          <w:b w:val="false"/>
          <w:color w:val="000000"/>
          <w:sz w:val="18"/>
        </w:rPr>
        <w:t xml:space="preserve">The aggregate market value of the voting common stock held by non-affiliates of the registrant as of June 30, 2023 (the last business day of the registrant’s most recently completed second fiscal quarter) was approximately $314,293,318 </w:t>
      </w:r>
      <w:r>
        <w:rPr>
          <w:rFonts w:ascii="Times New Roman;sans-serif" w:hAnsi="Times New Roman;sans-serif"/>
          <w:b w:val="false"/>
          <w:color w:val="000000"/>
          <w:sz w:val="18"/>
          <w:shd w:fill="FFFFFF" w:val="clear"/>
        </w:rPr>
        <w:t>(computed by reference to the last reported sale price on The Nasdaq Global Select Market on that date). The registrant does not have any non-voting common stock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00"/>
        <w:jc w:val="both"/>
        <w:rPr/>
      </w:pPr>
      <w:r>
        <w:rPr>
          <w:rFonts w:ascii="Times New Roman;sans-serif" w:hAnsi="Times New Roman;sans-serif"/>
          <w:b w:val="false"/>
          <w:color w:val="000000"/>
          <w:sz w:val="18"/>
        </w:rPr>
        <w:t>On February 23, 2024, 88,111,015 s</w:t>
      </w:r>
      <w:r>
        <w:rPr>
          <w:rFonts w:ascii="Times New Roman;sans-serif" w:hAnsi="Times New Roman;sans-serif"/>
          <w:b w:val="false"/>
          <w:color w:val="000000"/>
          <w:sz w:val="18"/>
          <w:shd w:fill="FFFFFF" w:val="clear"/>
        </w:rPr>
        <w:t>hares of</w:t>
      </w:r>
      <w:r>
        <w:rPr>
          <w:color w:val="000000"/>
        </w:rPr>
        <w:t xml:space="preserve"> </w:t>
      </w:r>
      <w:r>
        <w:rPr>
          <w:rFonts w:ascii="Times New Roman;sans-serif" w:hAnsi="Times New Roman;sans-serif"/>
          <w:b w:val="false"/>
          <w:color w:val="000000"/>
          <w:sz w:val="18"/>
        </w:rPr>
        <w:t>the registrant’s common stock were outstanding.</w:t>
      </w:r>
    </w:p>
    <w:p>
      <w:pPr>
        <w:pStyle w:val="TextBody"/>
        <w:bidi w:val="0"/>
        <w:spacing w:before="0" w:after="10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called for by Part III will be incorporated by reference from the Registrant’s definitive Proxy Statement for its Annual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Meeting of Shareholders to be filed pursuant to Regulation 14A, or will be included in an amendment 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22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3"/>
        <w:gridCol w:w="266"/>
        <w:gridCol w:w="267"/>
        <w:gridCol w:w="2928"/>
        <w:gridCol w:w="2915"/>
        <w:gridCol w:w="2952"/>
        <w:gridCol w:w="167"/>
        <w:gridCol w:w="167"/>
        <w:gridCol w:w="240"/>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8ef64ef974242869517aee433ffdd_16">
              <w:r>
                <w:rPr>
                  <w:rStyle w:val="InternetLink"/>
                  <w:rFonts w:ascii="Times New Roman;sans-serif" w:hAnsi="Times New Roman;sans-serif"/>
                  <w:b/>
                  <w:color w:val="0000FF"/>
                  <w:sz w:val="20"/>
                  <w:u w:val="single"/>
                </w:rPr>
                <w:t>PART I</w:t>
              </w:r>
            </w:hyperlink>
          </w:p>
        </w:tc>
        <w:tc>
          <w:tcPr>
            <w:tcW w:w="5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9">
              <w:r>
                <w:rPr>
                  <w:rStyle w:val="InternetLink"/>
                  <w:rFonts w:ascii="Times New Roman;sans-serif" w:hAnsi="Times New Roman;sans-serif"/>
                  <w:b w:val="false"/>
                  <w:color w:val="0000FF"/>
                  <w:sz w:val="20"/>
                  <w:u w:val="single"/>
                </w:rPr>
                <w:t>Business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9">
              <w:r>
                <w:rPr>
                  <w:rStyle w:val="InternetLink"/>
                  <w:rFonts w:ascii="Times New Roman;sans-serif" w:hAnsi="Times New Roman;sans-serif"/>
                  <w:b w:val="false"/>
                  <w:color w:val="0000FF"/>
                  <w:sz w:val="20"/>
                  <w:u w:val="single"/>
                </w:rPr>
                <w:t>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1A.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2">
              <w:r>
                <w:rPr>
                  <w:rStyle w:val="InternetLink"/>
                  <w:rFonts w:ascii="Times New Roman;sans-serif" w:hAnsi="Times New Roman;sans-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815">
              <w:r>
                <w:rPr>
                  <w:rStyle w:val="InternetLink"/>
                  <w:rFonts w:ascii="Times New Roman;sans-serif" w:hAnsi="Times New Roman;sans-serif"/>
                  <w:b w:val="false"/>
                  <w:color w:val="0000FF"/>
                  <w:sz w:val="20"/>
                  <w:u w:val="single"/>
                </w:rPr>
                <w:t>8</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1B.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5">
              <w:r>
                <w:rPr>
                  <w:rStyle w:val="InternetLink"/>
                  <w:rFonts w:ascii="Times New Roman;sans-serif" w:hAnsi="Times New Roman;sans-serif"/>
                  <w:b w:val="false"/>
                  <w:color w:val="0000FF"/>
                  <w:sz w:val="20"/>
                  <w:u w:val="single"/>
                </w:rPr>
                <w:t>Unresolved Staff Comments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25">
              <w:r>
                <w:rPr>
                  <w:rStyle w:val="InternetLink"/>
                  <w:rFonts w:ascii="Times New Roman;sans-serif" w:hAnsi="Times New Roman;sans-serif"/>
                  <w:b w:val="false"/>
                  <w:color w:val="0000FF"/>
                  <w:sz w:val="20"/>
                  <w:u w:val="single"/>
                </w:rPr>
                <w:t>39</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907">
              <w:r>
                <w:rPr>
                  <w:rStyle w:val="InternetLink"/>
                  <w:rFonts w:ascii="Times New Roman;sans-serif" w:hAnsi="Times New Roman;sans-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907">
              <w:r>
                <w:rPr>
                  <w:rStyle w:val="InternetLink"/>
                  <w:rFonts w:ascii="Times New Roman;sans-serif" w:hAnsi="Times New Roman;sans-serif"/>
                  <w:b w:val="false"/>
                  <w:color w:val="0000FF"/>
                  <w:sz w:val="20"/>
                  <w:u w:val="single"/>
                </w:rPr>
                <w:t>39</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2.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8">
              <w:r>
                <w:rPr>
                  <w:rStyle w:val="InternetLink"/>
                  <w:rFonts w:ascii="Times New Roman;sans-serif" w:hAnsi="Times New Roman;sans-serif"/>
                  <w:b w:val="false"/>
                  <w:color w:val="0000FF"/>
                  <w:sz w:val="20"/>
                  <w:u w:val="single"/>
                </w:rPr>
                <w:t>Properties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28">
              <w:r>
                <w:rPr>
                  <w:rStyle w:val="InternetLink"/>
                  <w:rFonts w:ascii="Times New Roman;sans-serif" w:hAnsi="Times New Roman;sans-serif"/>
                  <w:b w:val="false"/>
                  <w:color w:val="0000FF"/>
                  <w:sz w:val="20"/>
                  <w:u w:val="single"/>
                </w:rPr>
                <w:t>41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31">
              <w:r>
                <w:rPr>
                  <w:rStyle w:val="InternetLink"/>
                  <w:rFonts w:ascii="Times New Roman;sans-serif" w:hAnsi="Times New Roman;sans-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31">
              <w:r>
                <w:rPr>
                  <w:rStyle w:val="InternetLink"/>
                  <w:rFonts w:ascii="Times New Roman;sans-serif" w:hAnsi="Times New Roman;sans-serif"/>
                  <w:b w:val="false"/>
                  <w:color w:val="0000FF"/>
                  <w:sz w:val="20"/>
                  <w:u w:val="single"/>
                </w:rPr>
                <w:t>41</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4.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34">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34">
              <w:r>
                <w:rPr>
                  <w:rStyle w:val="InternetLink"/>
                  <w:rFonts w:ascii="Times New Roman;sans-serif" w:hAnsi="Times New Roman;sans-serif"/>
                  <w:b w:val="false"/>
                  <w:color w:val="0000FF"/>
                  <w:sz w:val="20"/>
                  <w:u w:val="single"/>
                </w:rPr>
                <w:t>41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8ef64ef974242869517aee433ffdd_37">
              <w:r>
                <w:rPr>
                  <w:rStyle w:val="InternetLink"/>
                  <w:rFonts w:ascii="Times New Roman;sans-serif" w:hAnsi="Times New Roman;sans-serif"/>
                  <w:b/>
                  <w:color w:val="0000FF"/>
                  <w:sz w:val="20"/>
                  <w:u w:val="single"/>
                </w:rPr>
                <w:t>PART II</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5.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40">
              <w:r>
                <w:rPr>
                  <w:rStyle w:val="InternetLink"/>
                  <w:rFonts w:ascii="Times New Roman;sans-serif" w:hAnsi="Times New Roman;sans-serif"/>
                  <w:b w:val="false"/>
                  <w:color w:val="0000FF"/>
                  <w:sz w:val="20"/>
                  <w:u w:val="single"/>
                </w:rPr>
                <w:t>42</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43">
              <w:r>
                <w:rPr>
                  <w:rStyle w:val="InternetLink"/>
                  <w:rFonts w:ascii="Times New Roman;sans-serif" w:hAnsi="Times New Roman;sans-serif"/>
                  <w:b w:val="false"/>
                  <w:color w:val="000080"/>
                  <w:sz w:val="20"/>
                  <w:u w:val="single"/>
                </w:rPr>
                <w:t>[</w:t>
              </w:r>
            </w:hyperlink>
            <w:hyperlink w:anchor="i3688ef64ef974242869517aee433ffdd_43">
              <w:r>
                <w:rPr>
                  <w:rStyle w:val="InternetLink"/>
                  <w:rFonts w:ascii="Times New Roman;sans-serif" w:hAnsi="Times New Roman;sans-serif"/>
                  <w:b w:val="false"/>
                  <w:color w:val="000080"/>
                  <w:sz w:val="20"/>
                  <w:u w:val="single"/>
                </w:rPr>
                <w:t>Reserv</w:t>
              </w:r>
            </w:hyperlink>
            <w:hyperlink w:anchor="i3688ef64ef974242869517aee433ffdd_43">
              <w:r>
                <w:rPr>
                  <w:rStyle w:val="InternetLink"/>
                  <w:rFonts w:ascii="Times New Roman;sans-serif" w:hAnsi="Times New Roman;sans-serif"/>
                  <w:b w:val="false"/>
                  <w:color w:val="000080"/>
                  <w:sz w:val="20"/>
                  <w:u w:val="single"/>
                </w:rPr>
                <w:t>ed</w:t>
              </w:r>
            </w:hyperlink>
            <w:hyperlink w:anchor="i3688ef64ef974242869517aee433ffdd_43">
              <w:r>
                <w:rPr>
                  <w:rStyle w:val="InternetLink"/>
                  <w:rFonts w:ascii="Times New Roman;sans-serif" w:hAnsi="Times New Roman;sans-serif"/>
                  <w:b w:val="false"/>
                  <w:color w:val="000080"/>
                  <w:sz w:val="20"/>
                  <w:u w:val="single"/>
                </w:rPr>
                <w:t>]</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43">
              <w:r>
                <w:rPr>
                  <w:rStyle w:val="InternetLink"/>
                  <w:rFonts w:ascii="Times New Roman;sans-serif" w:hAnsi="Times New Roman;sans-serif"/>
                  <w:b w:val="false"/>
                  <w:color w:val="0000FF"/>
                  <w:sz w:val="20"/>
                  <w:u w:val="single"/>
                </w:rPr>
                <w:t>43</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7.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49">
              <w:r>
                <w:rPr>
                  <w:rStyle w:val="InternetLink"/>
                  <w:rFonts w:ascii="Times New Roman;sans-serif" w:hAnsi="Times New Roman;sans-serif"/>
                  <w:b w:val="false"/>
                  <w:color w:val="0000FF"/>
                  <w:sz w:val="20"/>
                  <w:u w:val="single"/>
                </w:rPr>
                <w:t>43</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7A.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76">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76">
              <w:r>
                <w:rPr>
                  <w:rStyle w:val="InternetLink"/>
                  <w:rFonts w:ascii="Times New Roman;sans-serif" w:hAnsi="Times New Roman;sans-serif"/>
                  <w:b w:val="false"/>
                  <w:color w:val="0000FF"/>
                  <w:sz w:val="20"/>
                  <w:u w:val="single"/>
                </w:rPr>
                <w:t>52</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8.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79">
              <w:r>
                <w:rPr>
                  <w:rStyle w:val="InternetLink"/>
                  <w:rFonts w:ascii="Times New Roman;sans-serif" w:hAnsi="Times New Roman;sans-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79">
              <w:r>
                <w:rPr>
                  <w:rStyle w:val="InternetLink"/>
                  <w:rFonts w:ascii="Times New Roman;sans-serif" w:hAnsi="Times New Roman;sans-serif"/>
                  <w:b w:val="false"/>
                  <w:color w:val="0000FF"/>
                  <w:sz w:val="20"/>
                  <w:u w:val="single"/>
                </w:rPr>
                <w:t>54</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9.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75">
              <w:r>
                <w:rPr>
                  <w:rStyle w:val="InternetLink"/>
                  <w:rFonts w:ascii="Times New Roman;sans-serif" w:hAnsi="Times New Roman;sans-serif"/>
                  <w:b w:val="false"/>
                  <w:color w:val="000080"/>
                  <w:sz w:val="20"/>
                  <w:u w:val="single"/>
                </w:rPr>
                <w:t xml:space="preserve">Changes in and Disagreements </w:t>
              </w:r>
            </w:hyperlink>
            <w:hyperlink w:anchor="i3688ef64ef974242869517aee433ffdd_175">
              <w:r>
                <w:rPr>
                  <w:rStyle w:val="InternetLink"/>
                  <w:rFonts w:ascii="Times New Roman;sans-serif" w:hAnsi="Times New Roman;sans-serif"/>
                  <w:b w:val="false"/>
                  <w:color w:val="000080"/>
                  <w:sz w:val="20"/>
                  <w:u w:val="single"/>
                </w:rPr>
                <w:t>W</w:t>
              </w:r>
            </w:hyperlink>
            <w:hyperlink w:anchor="i3688ef64ef974242869517aee433ffdd_175">
              <w:r>
                <w:rPr>
                  <w:rStyle w:val="InternetLink"/>
                  <w:rFonts w:ascii="Times New Roman;sans-serif" w:hAnsi="Times New Roman;sans-serif"/>
                  <w:b w:val="false"/>
                  <w:color w:val="000080"/>
                  <w:sz w:val="20"/>
                  <w:u w:val="single"/>
                </w:rPr>
                <w:t>ith Accountants on Accounting and Financial Disclosure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75">
              <w:r>
                <w:rPr>
                  <w:rStyle w:val="InternetLink"/>
                  <w:rFonts w:ascii="Times New Roman;sans-serif" w:hAnsi="Times New Roman;sans-serif"/>
                  <w:b w:val="false"/>
                  <w:color w:val="0000FF"/>
                  <w:sz w:val="20"/>
                  <w:u w:val="single"/>
                </w:rPr>
                <w:t>98</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9A.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78">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78">
              <w:r>
                <w:rPr>
                  <w:rStyle w:val="InternetLink"/>
                  <w:rFonts w:ascii="Times New Roman;sans-serif" w:hAnsi="Times New Roman;sans-serif"/>
                  <w:b w:val="false"/>
                  <w:color w:val="0000FF"/>
                  <w:sz w:val="20"/>
                  <w:u w:val="single"/>
                </w:rPr>
                <w:t>98</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9B.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81">
              <w:r>
                <w:rPr>
                  <w:rStyle w:val="InternetLink"/>
                  <w:rFonts w:ascii="Times New Roman;sans-serif" w:hAnsi="Times New Roman;sans-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81">
              <w:r>
                <w:rPr>
                  <w:rStyle w:val="InternetLink"/>
                  <w:rFonts w:ascii="Times New Roman;sans-serif" w:hAnsi="Times New Roman;sans-serif"/>
                  <w:b w:val="false"/>
                  <w:color w:val="0000FF"/>
                  <w:sz w:val="20"/>
                  <w:u w:val="single"/>
                </w:rPr>
                <w:t>101</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84">
              <w:r>
                <w:rPr>
                  <w:rStyle w:val="InternetLink"/>
                  <w:rFonts w:ascii="Times New Roman;sans-serif" w:hAnsi="Times New Roman;sans-serif"/>
                  <w:b w:val="false"/>
                  <w:color w:val="0000FF"/>
                  <w:sz w:val="20"/>
                  <w:u w:val="single"/>
                </w:rPr>
                <w:t>Disclosure Regarding Foreign Jurisdictions that Prevent Inspections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84">
              <w:r>
                <w:rPr>
                  <w:rStyle w:val="InternetLink"/>
                  <w:rFonts w:ascii="Times New Roman;sans-serif" w:hAnsi="Times New Roman;sans-serif"/>
                  <w:b w:val="false"/>
                  <w:color w:val="0000FF"/>
                  <w:sz w:val="20"/>
                  <w:u w:val="single"/>
                </w:rPr>
                <w:t>101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8ef64ef974242869517aee433ffdd_187">
              <w:r>
                <w:rPr>
                  <w:rStyle w:val="InternetLink"/>
                  <w:rFonts w:ascii="Times New Roman;sans-serif" w:hAnsi="Times New Roman;sans-serif"/>
                  <w:b/>
                  <w:color w:val="0000FF"/>
                  <w:sz w:val="20"/>
                  <w:u w:val="single"/>
                </w:rPr>
                <w:t>PART III</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10.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90">
              <w:r>
                <w:rPr>
                  <w:rStyle w:val="InternetLink"/>
                  <w:rFonts w:ascii="Times New Roman;sans-serif" w:hAnsi="Times New Roman;sans-serif"/>
                  <w:b w:val="false"/>
                  <w:color w:val="0000FF"/>
                  <w:sz w:val="20"/>
                  <w:u w:val="single"/>
                </w:rPr>
                <w:t>Directors, Executive Officers and Corporate Governance</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90">
              <w:r>
                <w:rPr>
                  <w:rStyle w:val="InternetLink"/>
                  <w:rFonts w:ascii="Times New Roman;sans-serif" w:hAnsi="Times New Roman;sans-serif"/>
                  <w:b w:val="false"/>
                  <w:color w:val="0000FF"/>
                  <w:sz w:val="20"/>
                  <w:u w:val="single"/>
                </w:rPr>
                <w:t>101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11.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93">
              <w:r>
                <w:rPr>
                  <w:rStyle w:val="InternetLink"/>
                  <w:rFonts w:ascii="Times New Roman;sans-serif" w:hAnsi="Times New Roman;sans-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93">
              <w:r>
                <w:rPr>
                  <w:rStyle w:val="InternetLink"/>
                  <w:rFonts w:ascii="Times New Roman;sans-serif" w:hAnsi="Times New Roman;sans-serif"/>
                  <w:b w:val="false"/>
                  <w:color w:val="0000FF"/>
                  <w:sz w:val="20"/>
                  <w:u w:val="single"/>
                </w:rPr>
                <w:t>101</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12.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9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96">
              <w:r>
                <w:rPr>
                  <w:rStyle w:val="InternetLink"/>
                  <w:rFonts w:ascii="Times New Roman;sans-serif" w:hAnsi="Times New Roman;sans-serif"/>
                  <w:b w:val="false"/>
                  <w:color w:val="0000FF"/>
                  <w:sz w:val="20"/>
                  <w:u w:val="single"/>
                </w:rPr>
                <w:t>101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13.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9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99">
              <w:r>
                <w:rPr>
                  <w:rStyle w:val="InternetLink"/>
                  <w:rFonts w:ascii="Times New Roman;sans-serif" w:hAnsi="Times New Roman;sans-serif"/>
                  <w:b w:val="false"/>
                  <w:color w:val="0000FF"/>
                  <w:sz w:val="20"/>
                  <w:u w:val="single"/>
                </w:rPr>
                <w:t>101</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14.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02">
              <w:r>
                <w:rPr>
                  <w:rStyle w:val="InternetLink"/>
                  <w:rFonts w:ascii="Times New Roman;sans-serif" w:hAnsi="Times New Roman;sans-serif"/>
                  <w:b w:val="false"/>
                  <w:color w:val="0000FF"/>
                  <w:sz w:val="20"/>
                  <w:u w:val="single"/>
                </w:rPr>
                <w:t>Principal Accountant Fees and Services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202">
              <w:r>
                <w:rPr>
                  <w:rStyle w:val="InternetLink"/>
                  <w:rFonts w:ascii="Times New Roman;sans-serif" w:hAnsi="Times New Roman;sans-serif"/>
                  <w:b w:val="false"/>
                  <w:color w:val="0000FF"/>
                  <w:sz w:val="20"/>
                  <w:u w:val="single"/>
                </w:rPr>
                <w:t>101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8ef64ef974242869517aee433ffdd_205">
              <w:r>
                <w:rPr>
                  <w:rStyle w:val="InternetLink"/>
                  <w:rFonts w:ascii="Times New Roman;sans-serif" w:hAnsi="Times New Roman;sans-serif"/>
                  <w:b/>
                  <w:color w:val="0000FF"/>
                  <w:sz w:val="20"/>
                  <w:u w:val="single"/>
                </w:rPr>
                <w:t>PART IV</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15.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08">
              <w:r>
                <w:rPr>
                  <w:rStyle w:val="InternetLink"/>
                  <w:rFonts w:ascii="Times New Roman;sans-serif" w:hAnsi="Times New Roman;sans-serif"/>
                  <w:b w:val="false"/>
                  <w:color w:val="0000FF"/>
                  <w:sz w:val="20"/>
                  <w:u w:val="single"/>
                </w:rPr>
                <w:t>Exhibits and Financial Statement Schedules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208">
              <w:r>
                <w:rPr>
                  <w:rStyle w:val="InternetLink"/>
                  <w:rFonts w:ascii="Times New Roman;sans-serif" w:hAnsi="Times New Roman;sans-serif"/>
                  <w:b w:val="false"/>
                  <w:color w:val="0000FF"/>
                  <w:sz w:val="20"/>
                  <w:u w:val="single"/>
                </w:rPr>
                <w:t>102</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16.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11">
              <w:r>
                <w:rPr>
                  <w:rStyle w:val="InternetLink"/>
                  <w:rFonts w:ascii="Times New Roman;sans-serif" w:hAnsi="Times New Roman;sans-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211">
              <w:r>
                <w:rPr>
                  <w:rStyle w:val="InternetLink"/>
                  <w:rFonts w:ascii="Times New Roman;sans-serif" w:hAnsi="Times New Roman;sans-serif"/>
                  <w:b w:val="false"/>
                  <w:color w:val="0000FF"/>
                  <w:sz w:val="20"/>
                  <w:u w:val="single"/>
                </w:rPr>
                <w:t>102</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14">
              <w:r>
                <w:rPr>
                  <w:rStyle w:val="InternetLink"/>
                  <w:rFonts w:ascii="Times New Roman;sans-serif" w:hAnsi="Times New Roman;sans-serif"/>
                  <w:b w:val="false"/>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214">
              <w:r>
                <w:rPr>
                  <w:rStyle w:val="InternetLink"/>
                  <w:rFonts w:ascii="Times New Roman;sans-serif" w:hAnsi="Times New Roman;sans-serif"/>
                  <w:b w:val="false"/>
                  <w:color w:val="0000FF"/>
                  <w:sz w:val="20"/>
                  <w:u w:val="single"/>
                </w:rPr>
                <w:t>103</w:t>
              </w:r>
            </w:hyperlink>
          </w:p>
        </w:tc>
      </w:tr>
    </w:tbl>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Annual Report on Form 10-K about LivePerson, Inc.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Annual Report on Form 10-K. When used in this Annual Report on Form 10-K,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Annual Report on Form 10-K include those set forth in the section entitled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 (“LivePerson”, the “Company”, “we”, “our” or “us”) is the enterprise leader in digital customer conversation. Over the past decades, consumers have made digital conversations a primary way to communicate with others. Since 1998, we have enabled meaningful connections between consumers and our customers through our platform and currently power more than one billion connections and conversations each month. These digital and artificial intelligence (“AI”)-powered conversations decrease costs and increase revenue for our brands, resulting in more convenient, personalized and content-rich journeys across the entire consumer lifecycle, and across consumer channels. AI has accelerated our capability to leverage prior conversations and our customers’ existing investments in Generative AI and Large Language Models (“LLMs”) to enhance the consumer experience and to improve results for our customers by empowering them to leverage the latest developments in AI and LLMs, in a safe and secure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the Company’s enterprise-class digital customer conversation platform, is trusted by the world’s top brands to accelerate their contact center transformation, orchestrate conversations across all channels, departments and systems, increase agent productivity, and deliver more personalized, AI-empowered customer experiences. The Conversational Cloud powers conversations across each of a brand’s primary digital channels, including mobile apps, mobile and desktop web browsers, short messaging service (“SMS”), social media and third-party consumer messaging platforms. Brands can also use the Conversational Cloud to message consumers when they dial a 1-800 number instead of forcing them to navigate interactive voice response systems and wait on hold. Similarly, the Conversational Cloud can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appropriate guardrails to deploy Generative AI and LLMs in ways that help consumers and drive results for brands without sacrificing trust.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robust, cloud-based suite of rich messaging, real-time chat, Generative AI, AI and automation, and conversation orchestration offerings features LLM powered automation (Autopilot), LLM powered agent tools (Copilot: Assist, Summary, Rewrite), Conversation Intelligence tools (Generative Insights, Analytics Studio), integrations (Salesforce connector, iHub workflows powered by Workato), and engagement solutions (proactive messaging, voice to messaging) among others.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digital customer conversation platform enables what the Company calls “the tango” of humans, LivePerson bots, third-party bots, and LLMs, whereby humans act as bot managers, overseeing AI-powered conversations and seamlessly stepping into the flow when a personal touch is needed. Agents become highly efficient, leveraging the AI engine (including generative AI capabilities) to surface relevant content, define next-best actions and take over repetitive transactional work so that the agent can focus on relationship building. By seamlessly integrating messaging with the Company’s proprietary Conversational AI, as well as bots, the Conversational Cloud offers brands a comprehensive approach to scaling automations across their millions of customer conversations.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Complementing the Company’s proprietary digital customer conversations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digital customer service and support and unlock the power of AI in safe and responsible ways, and deliver measurable return on investment (“ROI”) for our customers.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can realize the following advantages from our offerings:</w:t>
      </w:r>
    </w:p>
    <w:p>
      <w:pPr>
        <w:pStyle w:val="TextBody"/>
        <w:bidi w:val="0"/>
        <w:spacing w:before="0" w:after="0"/>
        <w:ind w:left="0" w:right="0" w:firstLine="720"/>
        <w:jc w:val="both"/>
        <w:rPr/>
      </w:pPr>
      <w:r>
        <w:rPr/>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 xml:space="preserve">the ability for each agent to manage dozens of messaging conversations at a time, as compared to one at a time for a voice agent and two to four at a time for a chat agent. Adding AI and bots provides even greater scale to the number of conversations managed; </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labor efficiency gains of at least two times that of voice agents, effectively cutting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improving the overall customer experience, thereby fueling customer satisfaction score increases by double digit percentage points, and enhancing retention and loyalty;</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 xml:space="preserve">more convenient, personalized and content-rich conversations that increase sales conversion by double digit percentages, and increase average order value and reduce abandonment; </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more satisfied contact center agents, thereby substantially reducing agent churn;</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a valued connection with consumers via mobile devices, either through native applications, websites, text messages, or third-party messaging platforms; and</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leveraged spending that drives visitor traffic by increasing visitor conversions.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“cloud computing” or software-as-a 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information technology (“IT”) resources required to implement, maintain, and support traditional on-premise software.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Hundreds of the world’s biggest brands, including HSBC, Virgin Media, and Burberry use our digital customer conversation solutions to integrate humans and AI, at scale, and create a convenient personalized relationship with their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 LivePerson is headquartered in New York City.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Market Opportunity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LivePerson’s proprietary digital customer conversations solutions enable consumers and businesses to communicate with each other on conversational channels such as voice, messaging apps, a brand’s own website and apps, and social platforms, in order to get answers to questions, make purchases and resolve customer care inquiries.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brands have predominantly promoted calling their 1-800 number, opening a ticket, or using email as the primary means of contact with consumers, with about 70% of all customer conversations continuing to take place on the legacy voice channel. We believe that moving these calls to messaging represents the largest portion of go-to-market opportunity. We believe many of today’s consumers prefer digital experiences, and in response, today’s contact centers are moving away from legacy, synchronous experiences like voice and toward asynchronous, digital channels. As a result, we anticipate that the billions of dollars previously invested by brands across legacy channels will be increasingly allocated to digital experiences powered by AI and automation platforms.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believes that AI and automation are the foundation for transforming the conversational experience, disrupting how agents operate and how brands engage with consumers. With AI at the center of the solution and by harnessing data from all primary channels, including voice, messaging, chat, and human agents, LivePerson is in a unique position to provide the best conversational experiences for consumers. In addition, our deep integrations with CRM, service, and IT systems allows us to deliver a unified agent experience through a single pane of glass.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LivePerson’s proprietary digital customer conversations offerings provide a superior alternative to traditional customer experiences. Brands that shift to digital-first customer service and support stand to outperform their competitors by giving consumers the experiences they clearly prefer.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solutions offerings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The Conversational Cloud. </w:t>
      </w:r>
      <w:r>
        <w:rPr>
          <w:rFonts w:ascii="Times New Roman;sans-serif" w:hAnsi="Times New Roman;sans-serif"/>
          <w:b w:val="false"/>
          <w:color w:val="000000"/>
          <w:sz w:val="20"/>
        </w:rPr>
        <w:t xml:space="preserve">The Conversational Cloud, LivePerson’s enterprise-class digital customer conversation platform, enables businesses and consumers to connect through conversational channels, such as voice, in-app and mobile messaging, while leveraging bots and AI to increase efficiency. The platform, which is marketed primarily to customer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contact center, customer experience, e-commerce, marketing, and technology executives, combines sophisticated mobile and online engagement technology with robust business intelligence and operational and conversational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Benefits of the Conversational Cloud include increased agent efficiency, decreased customer care costs, improved customer experiences, higher conversion rates and increased customer lifetime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powers the Conversational Flywheel, LivePerson’s powerful framework for driving velocity and continuous improvement across our brands’ conversational AI journey. The flywheel, comprising four stages, empowers brands to: (1) understand what customers want by analyzing conversational data to drive actionable business decisions through proprietary analytics utilizing data to target end users with compelling engagement options at any step in the conversion funnel and throughout the customer lifecycle; (2) connect business systems to channels, engaging consumers where they are and feeding those conversations back into the systems brands use every day, maximizing online revenue opportunities, improving conversion rates and reducing shopping cart abandonment by proactively engaging the right visitor, using the right channel, at the right time; (3) assist teams with AI-powered tools and insights designed to help them focus on the tasks and interactions that matter most, providing real-time recommendations to human agents, and leveraging automation and human agents working together seamlessly to support consumers, all over our best-in-class agent workspace; and (4) automate to enable self-service and drive faster resolutions, through personal, connected interactions; all feeding data back into the system. This comprehensive solution blends a proven value-based methodology with an active rules-based engagement engine and deep domain expertise to increase first-contact resolution, improve consumer satisfaction, and reduce attrition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LivePerson’s Conversational AI.</w:t>
      </w:r>
      <w:r>
        <w:rPr>
          <w:color w:val="000000"/>
        </w:rPr>
        <w:t xml:space="preserve"> </w:t>
      </w:r>
      <w:r>
        <w:rPr>
          <w:rFonts w:ascii="Times New Roman;sans-serif" w:hAnsi="Times New Roman;sans-serif"/>
          <w:b w:val="false"/>
          <w:color w:val="000000"/>
          <w:sz w:val="20"/>
        </w:rPr>
        <w:t>LivePerson’s Conversational AI, announced in December 2018, operates as the brains behind LivePerson AI-based products, and was developed using our conversational data set of billions of brand-to-consumer interactions. LivePerson’s digital customer conversation platform enables what we call “the tango” of humans, LivePerson bots, third-party bots, and LLMs, whereby humans act as bot managers, overseeing AI-powered conversations and seamlessly stepping into the flow when a personal touch is needed. Through the Conversational Cloud, agents become highly efficient, leveraging the AI engine (including generative AI capabilities) to surface relevant content, define next-best actions and take over repetitive transactional work so that the agent can focus on relationship building. By seamlessly integrating the Conversational Cloud with our proprietary AI, as well as bots, the platform provides businesses with a comprehensive view of all AI-based and human-based conversations from a single console. Products developed on LivePerson’s Conversational AI engine include:</w:t>
      </w:r>
    </w:p>
    <w:p>
      <w:pPr>
        <w:pStyle w:val="TextBody"/>
        <w:bidi w:val="0"/>
        <w:spacing w:before="0" w:after="0"/>
        <w:ind w:left="0" w:right="0" w:firstLine="72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20"/>
        </w:rPr>
        <w:t>Conversation Builder,</w:t>
      </w:r>
      <w:r>
        <w:rPr>
          <w:color w:val="000000"/>
        </w:rPr>
        <w:t xml:space="preserve"> </w:t>
      </w:r>
      <w:r>
        <w:rPr>
          <w:rFonts w:ascii="Times New Roman;sans-serif" w:hAnsi="Times New Roman;sans-serif"/>
          <w:b w:val="false"/>
          <w:color w:val="000000"/>
          <w:sz w:val="20"/>
        </w:rPr>
        <w:t>which non-technical staff such as contact center agents use to design high-quality automated conversations. The conversations are not built from scratch. Conversation Builder creates the initial versions by mining a brand’s existing conversation transcripts. Prebuilt industry templates are also available, providing the dialogue and integrations necessary for common use cases such as billing.</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20"/>
        </w:rPr>
        <w:t>Conversation Manager,</w:t>
      </w:r>
      <w:r>
        <w:rPr>
          <w:color w:val="000000"/>
        </w:rPr>
        <w:t xml:space="preserve"> </w:t>
      </w:r>
      <w:r>
        <w:rPr>
          <w:rFonts w:ascii="Times New Roman;sans-serif" w:hAnsi="Times New Roman;sans-serif"/>
          <w:b w:val="false"/>
          <w:color w:val="000000"/>
          <w:sz w:val="20"/>
        </w:rPr>
        <w:t>a console that suggests automated responses and next best actions to contact center agents, who edit and select from them. 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20"/>
        </w:rPr>
        <w:t>Conversational Intelligence</w:t>
      </w:r>
      <w:r>
        <w:rPr>
          <w:rFonts w:ascii="Times New Roman;sans-serif" w:hAnsi="Times New Roman;sans-serif"/>
          <w:b w:val="false"/>
          <w:color w:val="000000"/>
          <w:sz w:val="20"/>
        </w:rPr>
        <w:t>, dashboards and reporting which take the true voice of the customer - their direct discussions with a brand, spoken in their natural language - and turn it into actionable sales and service intelligence. Generative Insights discovers trends in what customers are saying and delivers them in an LLM-powered conversational experience that is easy to understand. Report Center measures how both AI and human-powered messaging and voice conversations are performing. Analytics Studio converts the content of voice and messaging conversations into actionable data that makes sense of customer behaviors, preferences, and signals across channels. A major wireless provider using Conversational Intelligence reported the product identifies the root cause of service issues faster than monitoring software, enabling the provider to accelerate the fix and reduce inbound customer inquiries. A leading hospitality firm used Conversational Intelligence to identify and add new, top-selling items to its menu selection.</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i/>
          <w:color w:val="000000"/>
          <w:sz w:val="20"/>
        </w:rPr>
        <w:t>Intent Manager</w:t>
      </w:r>
      <w:r>
        <w:rPr>
          <w:rFonts w:ascii="Times New Roman;sans-serif" w:hAnsi="Times New Roman;sans-serif"/>
          <w:b w:val="false"/>
          <w:color w:val="000000"/>
          <w:sz w:val="20"/>
        </w:rPr>
        <w:t xml:space="preserve">, a real-time intent recognition and classification engine that analyzes consumer intentions at every turn of the conversation. Intent Manager is powered by LivePerson’s proprietary natural language understanding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NLU”) capabilities and machine learning algorithms, which are grounded in over 20+ years of conversational data and more than one billion messaging transcripts across a variety of industries. Intent Manager is currently being used by top brands to gain real-time insights and take action to improve customer service, marketing, and sales automation.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Professional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mission of our LP 360 Professional Services team is to help customers optimize the performance of our products in order to drive 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channels and human/bot agent optimization is an important component of the LivePerson offering, and gives our customers a competitive advantage in the digital world.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benefit organizations of all sizes conducting business or communicating with consumers through messaging and chat. Our customers include Fortune 500 companies, dedicated internet businesses, a broad range of online merchants, automotive dealers, educational institutions, the public sector and not-for-profit organizations. We plan to continue to focus on key target markets: telecommunications, financial services, travel/hospitality, technology, healthcare, automotive, and consumer/retail within the United States of America (“U.S.”) and Canada, Latin America, Europe, and the Asia-Pacific (“APAC”) region.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accounted for or exceeded 10% of our total revenue for 2023, 2022, or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Sales. </w:t>
      </w:r>
      <w:r>
        <w:rPr>
          <w:rFonts w:ascii="Times New Roman;sans-serif" w:hAnsi="Times New Roman;sans-serif"/>
          <w:b w:val="false"/>
          <w:color w:val="000000"/>
          <w:sz w:val="20"/>
        </w:rPr>
        <w:t xml:space="preserve">Our mobile and online messaging solutions are targeted at corporate executives whose primary responsibility is optimization of customer care, sales and marketing, or optimizing a consumer’s journey across the brand’s digital properties. Our solutions enable organizations to provide effective customer service, sales and marketing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business solutions segment we have aligned our field organization to address the different sales strategies of our target markets: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Enterprise and large mid-market.</w:t>
      </w:r>
      <w:r>
        <w:rPr>
          <w:color w:val="000000"/>
        </w:rPr>
        <w:t xml:space="preserve"> </w:t>
      </w:r>
      <w:r>
        <w:rPr>
          <w:rFonts w:ascii="Times New Roman;sans-serif" w:hAnsi="Times New Roman;sans-serif"/>
          <w:b w:val="false"/>
          <w:color w:val="000000"/>
          <w:sz w:val="20"/>
        </w:rPr>
        <w:t>We target enterprises which have thousands of agents in their contact centers and collectively connect with billions of consumers each year. We leverage thought leadership and related events to showcase our strength in messaging and AI, and highlight existing reference customers who share their successes on our platform and how they achieved positive ROIs. Increasingly, we are working with large third-party system integrators, technology providers and business process outsourcers to supplement our direct sales effort.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Small business and small mid-market. </w:t>
      </w:r>
      <w:r>
        <w:rPr>
          <w:rFonts w:ascii="Times New Roman;sans-serif" w:hAnsi="Times New Roman;sans-serif"/>
          <w:b w:val="false"/>
          <w:color w:val="000000"/>
          <w:sz w:val="20"/>
        </w:rPr>
        <w:t>We target small business and small mid-market customers with a mix of direct, online self-service, and 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Customer Support. </w:t>
      </w:r>
      <w:r>
        <w:rPr>
          <w:rFonts w:ascii="Times New Roman;sans-serif" w:hAnsi="Times New Roman;sans-serif"/>
          <w:b w:val="false"/>
          <w:color w:val="000000"/>
          <w:sz w:val="20"/>
        </w:rPr>
        <w:t>Our LP 360 Professional Services team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Marketing. </w:t>
      </w:r>
      <w:r>
        <w:rPr>
          <w:rFonts w:ascii="Times New Roman;sans-serif" w:hAnsi="Times New Roman;sans-serif"/>
          <w:b w:val="false"/>
          <w:color w:val="000000"/>
          <w:sz w:val="20"/>
        </w:rPr>
        <w:t>We have a global team, spread across key geographies, that is focused on marketing our brand, products and services to executives responsible for the digital channel, the consumer experience, marketing, sales, IT, and consumer service operations of their 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focus is on the consumer/retail, telecommunications, financial services, travel/hospitality, technology, healthcare, and automotive industries.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strategy encompasses a strategic communications approach that integrates public relations, social media, and analyst/influencer relations. Communications seek to highlight key customer success stories, and promote executive thought leadership via contributed content, speaking opportunities and press interviews, to raise LivePerson’s profile and reinforce our position as an industry leader.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pPr>
      <w:r>
        <w:rPr>
          <w:rFonts w:ascii="Times New Roman;sans-serif" w:hAnsi="Times New Roman;sans-serif"/>
          <w:b/>
          <w:color w:val="000000"/>
          <w:sz w:val="20"/>
        </w:rPr>
        <w:t>Competition</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AI-enhanced customer interaction, mobile and online business messaging, and digital engagement technology are intensely competitive, rapidly changing and characterized by aggressive marketing, pricing pressure, evolving industry standards, rapid technology developments, and frequent new product introductions.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most contact center technology vendors incorrectly view messaging as simply a feature or channel. They are content with building integrations to a messaging endpoint and offering messaging as just another product in their suite. We believe that messaging and AI are the foundation for conversational experiences, which transform how agents operate and how brands engage with consumers across service, sales, marketing, and brick and mortar. Brands must adapt their contact centers to an asynchronous messaging environment and leverage a combination of human agents, bots and AI to achieve scale and efficiencies.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differentiated approach to enterprise conversations, combined with our unique technology and expertise, has established the Company as a market leader, with an ability to deliver superior returns on investment:</w:t>
      </w:r>
    </w:p>
    <w:p>
      <w:pPr>
        <w:pStyle w:val="TextBody"/>
        <w:bidi w:val="0"/>
        <w:spacing w:before="0" w:after="0"/>
        <w:ind w:left="0" w:right="0" w:firstLine="72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 xml:space="preserve">The Conversational Cloud, LivePerson’s enterprise-class digital customer conversation platform, was designed for AI-assisted and human-powered messaging in mobile and online channels. The platform is designed for security and scalability, offers the broadest ecosystem of messaging endpoints, is designed for ease of use, and features an AI engine custom built for enterprise conversations,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 </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 xml:space="preserve">The platform has expanded to power conversations across a broad spectrum of channels and use cases, from traditional sales and customer service, to marketing, social, email, advertising and brick and mortar. </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 xml:space="preserve">We believe we have a significant advantage in the form of a data moat built on billions of conversations across industries, geographies and use cases. This data is used to feed machine learning models that can understand and handle conversations, and can customize generative AI for enterprise-level performance and safety. </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 xml:space="preserve">LivePerson has deep domain expertise across verticals and messaging endpoints, a global footprint, referenceable enterprise brands and a team of technical, solutions and consulting professionals to assist customers along their transformational journeys.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this focus on technological innovation, expertise and enterprise-class capabilities is positioning LivePerson as a leader in digital customer conversations.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pStyle w:val="TextBody"/>
        <w:bidi w:val="0"/>
        <w:spacing w:before="0" w:after="0"/>
        <w:ind w:left="0" w:right="0" w:firstLine="72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technology or service providers offering or powering competing digital engagement, contact center, communications, or customer relationship management solutions such as eGain, Genesys, Nuance, Oracle, Salesforce.com, and Twilio;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service providers that offer basic messaging products or services with limited functionality free of charge or at significantly reduced entry level prices;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social media, social listening, messaging, AI, bots, e-commerce, and/or data and data analytics companies, such as Facebook, Google, and WeChat, which may leverage their existing or future capabilities and consumer relationships to offer competing business-to-business solutions; and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customers that develop and manage their messaging solutions in-house.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 key technological features distinguish the LivePerson services:</w:t>
      </w:r>
    </w:p>
    <w:p>
      <w:pPr>
        <w:pStyle w:val="TextBody"/>
        <w:bidi w:val="0"/>
        <w:spacing w:before="0" w:after="0"/>
        <w:ind w:left="0" w:right="0" w:firstLine="72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LivePerson’s powerful Conversational AI capabilities have historically enabled brands to successfully automate conversations, and these tools are now made even more powerful with the advent of generative AI. To make generative AI systems usable for the enterprise, proprietary data integrations are required, along with Conversational AI test and release management capabilities, and the ability to leverage human feedback and customize models and other system behavior. LivePerson’s Conversational AI systems have these capabilities, and are integrated with best-in-class generative AI systems including OpenAI, Microsoft, Google, and others, situating the LivePerson technology stack to benefit from the anticipated growth in the generative AI space.</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We support our customers through a secure, scalable server infrastructure. Currently,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(“U.K.”) and are supported by a top-tier backup server facility located in The Netherlands. In the Asia Pacific region, our primary and backup servers are hosted in fully-secured, top-tier, third-party server centers located in Australia. By managing our servers directly with in-house personnel, we maintain greater flexibility and control over the production environment allowing us to be responsive to customer needs and to continue to provide a superior level of service. Utilizing scalable network infrastructure and protocols, our network, hardware and software are designed to accommodate our customers’ demand for secure, high-quality 24/7 service, including during peak times such as the holiday shopping season. Beginning in 2020, we began projects to migrate some or all of our infrastructure to the public cloud; this migration remains ongoing.</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Network Architecture and Security. </w:t>
      </w:r>
      <w:r>
        <w:rPr>
          <w:rFonts w:ascii="Times New Roman;sans-serif" w:hAnsi="Times New Roman;sans-serif"/>
          <w:b w:val="false"/>
          <w:color w:val="000000"/>
          <w:sz w:val="20"/>
        </w:rPr>
        <w:t>Our network is scalable. Our backup data is housed in separate locations from our primary hosting facilities. We comply with security standards such as SOC 2 (System and Organization Controls) and payment card industry (“PCI”) Data Security Standards. For increased security, through a multi-layered approach, we use advanced endpoint detection and response and offer enterprise encryption standards and employ third-party independent service providers (“Experts”) to further validate our systems’ security. We also enable our customers to mask certain sensitive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customers are subject to numerous laws and regulations applicable to our and their businesses throughout the world, including laws regarding data privacy, data protection, information security, cybersecurity, restrictions on the collection, use, storage, protection, disposal, transfer or other processing of consumer data, content, consumer protection, advertising, taxation, provision of online payment services (including credit card processing), and intellectual property rights, which are continuously evolving and developing. Compliance with these laws and regulations may be costly, and any failure to comply could have a material adverse effect on our and our customers’ reputation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Intellectual Property and Proprietary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own a portfolio of patents and patent applications in the United States and internationally and regularly file patent applications to protect intellectual property that we believe is important to our business. As of December 31, 2023, we have 286 patents issued in the U.S. and abroad, and 307 patents pending. We had 34 patents awarded in the U.S. during 2023, and added 144 global patents. Our patents cover Conversational AI and insights, messaging across various consumer channels, behavioral analytics and personalization, and agent effectiveness and call center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leading provider of digital customer conversation solutions, we are at the forefront of a consumer-led shift to Conversational AI, and our Conversational Cloud is setting the industry standard for this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December 31, 2023, we had approximately 1,095 full-time employees worldwide, located in more than 14 countries. Of these, 538 were located in the Americas, 343 in Europe, the Middle East, and Africa (“EMEA”), and 121 in APAC. Although we have statutory employee representation obligations in certain countries, our U.S. employees are not covered by collective bargaining arrangements. </w:t>
      </w:r>
      <w:r>
        <w:rPr>
          <w:rFonts w:ascii="Times New Roman;sans-serif" w:hAnsi="Times New Roman;sans-serif"/>
          <w:b w:val="false"/>
          <w:color w:val="000000"/>
          <w:sz w:val="20"/>
          <w:shd w:fill="FFFFFF" w:val="clear"/>
        </w:rPr>
        <w:t>We believe we have good relations with our employe</w:t>
      </w:r>
      <w:r>
        <w:rPr>
          <w:rFonts w:ascii="Times New Roman;sans-serif" w:hAnsi="Times New Roman;sans-serif"/>
          <w:b w:val="false"/>
          <w:color w:val="000000"/>
          <w:sz w:val="20"/>
        </w:rPr>
        <w:t xml:space="preserve">es. For 2023, our key human capital management efforts focused on the following: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Talent Acquisition and Development. </w:t>
      </w:r>
      <w:r>
        <w:rPr>
          <w:rFonts w:ascii="Times New Roman;sans-serif" w:hAnsi="Times New Roman;sans-serif"/>
          <w:b w:val="false"/>
          <w:color w:val="000000"/>
          <w:sz w:val="20"/>
        </w:rPr>
        <w:t xml:space="preserve">We place a high priority on attracting, recruiting, developing and retaining diverse global talent. As a company, we are focused on benefits and programs that support our employees across the entire employee lifecycle, from recruitment and onboarding, to well-being, learning and development. Our recruiting processes are designed to ensure that we bring on employees who are aligned to our values and culture, and we follow a comprehensive process in order to solicit multiple perspectives and eliminate bias.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 resource groups create networking opportunities, support professional development, enhance employee engagement and morale and provide feedback on our programs, policies, and initiatives. We support employee training and development through our online Learning Management Systems which provides access to LivePerson product and process training. In addition, employees have access to more than 28,000 learning courses focused on a myriad of topics that include: professional skills, technical skills, leadership skills, communication skills, time management skills, AI and machine learning, project management, professional certification prep courses, and additional topics that support an engaged and balanced workforce. We encourage employees to create developmental goals to support their ongoing learning.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Diversity, Equity, Inclusion and Accessibility </w:t>
      </w:r>
      <w:r>
        <w:rPr>
          <w:rFonts w:ascii="Times New Roman;sans-serif" w:hAnsi="Times New Roman;sans-serif"/>
          <w:b w:val="false"/>
          <w:color w:val="000000"/>
          <w:sz w:val="20"/>
        </w:rPr>
        <w:t>(“DEI&amp;A”)</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DEI&amp;A is core to our global strategy. We believe that diverse and inclusive teams foster innovation, creativity and productivity. We have invested resources in this area for some time, including retaining a dedicated leader to focus on our global diversity recruiting practices, working with diversity recruiting platforms and investing in recruiting events in the U.S. and EMEA to help us connect underrepresented talent to open positions, and intend to continue to enhance and improve our efforts.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fostering a diverse and inclusive workplace that celebrates different perspectives, cultures, and experiences. We regularly measure the representation of women and minority groups in the Company, including in leadership and technical positions, and will continue our ongoing efforts to increase hiring of employees from these groups. This year we engaged employees around the globe in programs designed to create a shared understanding of DEI&amp;A concepts and practices. Our technical and product teams received inclusive design training, and our Employee Resource Groups expanded their reach and hosted our third annual Women in Tech Summit. We are also committed to equal pay for equal work. As part of that commitment, we run a pay equity analysis when we conduct our annual compensation assessments and when we grant equity. Our employee-led DEI&amp;A Council plays a pivotal role in setting strategies, providing guidance, and implementing programs and policies that promote diversity, equity, inclusivity and accessibility. The 2023 calendar year culminated with the publishing of our first DEI&amp;A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Website Access to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make available on our website (</w:t>
      </w:r>
      <w:r>
        <w:rPr>
          <w:rFonts w:ascii="Times New Roman;sans-serif" w:hAnsi="Times New Roman;sans-serif"/>
          <w:b w:val="false"/>
          <w:i/>
          <w:color w:val="000000"/>
          <w:sz w:val="20"/>
        </w:rPr>
        <w:t>ir.liveperson.com</w:t>
      </w:r>
      <w:r>
        <w:rPr>
          <w:rFonts w:ascii="Times New Roman;sans-serif" w:hAnsi="Times New Roman;sans-serif"/>
          <w:b w:val="false"/>
          <w:color w:val="000000"/>
          <w:sz w:val="20"/>
        </w:rPr>
        <w:t xml:space="preserve">), our annual reports on Form 10-K, our quarterly reports on Form 10-Q, and our current reports on Form 8-K and any amendments to those reports filed or furnished pursuant to Sections 13(a) or 15(d) of the Securities Exchange Act of 1934 as soon as reasonably practicable after we have electronically filed such material with, or furnished it to, the Securities and Exchange Commission (“SEC”). </w:t>
      </w:r>
      <w:r>
        <w:rPr>
          <w:rFonts w:ascii="Times New Roman;sans-serif" w:hAnsi="Times New Roman;sans-serif"/>
          <w:b w:val="false"/>
          <w:i/>
          <w:color w:val="000000"/>
          <w:sz w:val="20"/>
        </w:rPr>
        <w:t xml:space="preserve">The Company’s website address provided above is not intended to function as a hyperlink, and the information on the Company’s website is not and should not be considered part of this Annual Report on Form 10-K and is not incorporated by reference herein. </w:t>
      </w:r>
      <w:r>
        <w:rPr>
          <w:rFonts w:ascii="Times New Roman;sans-serif" w:hAnsi="Times New Roman;sans-serif"/>
          <w:b w:val="false"/>
          <w:color w:val="000000"/>
          <w:sz w:val="20"/>
        </w:rPr>
        <w:t>The SEC maintains an internet site that contains reports, proxy and information statements, and other information regarding issuers that file electronically with the SEC at www.sec.gov.</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1A. Risk Factors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certain of the important risk factors that make an investment in our securities speculative or risky. The risks described below are not the only ones we face. Additional risks not presently known to us, or that we currently deem to be immaterial, could also materially and adversely affect our business, results of operations, financial condition, cash flows or prospects, or the price of our outstanding securities.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Summary of Risk Factors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risks and uncertainties that make an investment in our securities speculative or risky and could materially adversely affect our business, results of operations, financial condition, cash flows or prospects, or the price of our outstanding securities. These risks are discussed more fully below and include:</w:t>
      </w:r>
    </w:p>
    <w:p>
      <w:pPr>
        <w:pStyle w:val="TextBody"/>
        <w:bidi w:val="0"/>
        <w:spacing w:before="0" w:after="0"/>
        <w:ind w:left="0" w:right="0" w:firstLine="48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Supporting our customer base strains our personnel resources and infrastructure, and if we are unable to scale our operations and increase productivity, we may not be able to successfully implement our business plan.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success of our business depends on retention of existing customers and their purchase of additional services, and attracting new customers.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depends significantly on our ability to retain our key personnel, attract new personnel, and manage attrition.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Gainshare program offers contingent pricing and if we are unsuccessful at achieving customer objectives, the program could result in operating losses.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expansion into new products, services, and technologies could subject us to additional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do not successfully integrate past or potential future acquisitions, we may not realize the expected business or financial benefits and our business could be adversely impacted.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not be able to refinance our substantial indebtedness before it becomes due. In addition, capital needs necessary to execute our business strategy could increase substantially. There is a significant risk that we may not be able to secure necessary financing on commercially reasonable terms, or at all.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sales cycles can be lengthy, and the timing of sales can cause our operating results to vary significantly.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in our implementation cycles could have an adverse effect on our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quarterly revenue and operating results may fluctuate significantly, which may cause a substantial decline in the trading price of our securities.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 the past we have experienced losses, we had an accumulated deficit of $857.0 million as of December 31, 2023 and we may incur losses in the future.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non-payment or late payment of amounts due to us from a significant number of customers may negatively impact our financial condition or make it difficult to forecast our revenues accurately.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Because we recognize revenue from subscriptions for our service over the term of the subscription, declines in business may not be immediately reflected in our operating results.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are unable to develop and maintain successful relationships with partners, service partners, social media, and other third-party consumer messaging platforms and endpoints, our business, results of operations, and financial condition could be adversely affected.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are unable to effectively operate on mobile devices, our business could be adversely affected.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markets in which we participate are highly competitive, and we may lose customers and revenue if we are not able to innovate or effectively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Downturns in the global economic environment or in particular industries in which our sales are concentrated may adversely affect our business and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Failures or security breaches in our services or systems, those of our third-party service providers, or in the websites of our customers, including those resulting from cyber-attacks, security vulnerabilities, defects, or errors, could harm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liable if third parties access or misappropriate confidential or personal data from our systems or services.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provide service-level commitments to certain customers. If we do not meet these contractual commitments, we could be obligated to provide credits or refunds or face contract terminations, which could adversely affect our revenue and harm our reputation.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to license necessary third-party software for use in our products and services, or failure to successfully integrate third-party software, could cause delays or reductions in our sales, or errors or failures of our service.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is subject to a variety of U.S. and international laws and regulations regarding privacy, data protection, and AI, and increased public scrutiny of privacy, security, and AI issues could result in increased government regulation, industry standards, and other legal obligations that could adversely affect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the subject of a number of ongoing actions that have resulted in significant expense, and adverse developments in our ongoing actions and/or future actions could have a material adverse effect on our business results of operations and financial condition.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Industry-specific regulation is evolving and unfavorable industry-specific laws, regulations, or interpretive positions could harm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Future regulation of the internet or mobile devices may result in decreased demand for our services and increased costs of doing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and services may infringe upon intellectual property rights of third parties and any infringement could require us to incur substantial costs and may distract our management.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and prospects would suffer if we are unable to protect and enforce our intellectual property rights.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Issues in the use of AI in our product offerings or by our vendors may result in reputational harm or liability.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results of operations may be adversely impacted due to our exposure to foreign currency exchange rate fluctuations.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unsuccessful in expanding our operations internationally due to additional regulatory requirements, tax liabilities, currency exchange rate fluctuations, and other risks, which could adversely affect our results of operations.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operations may expose us to greater than anticipated income, non-income, and transactional tax liabilities, which could harm our financial condition and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use our net operating losses to offset future taxable income may be subject to certain limitations.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Political, economic, and military conditions in Israel could negatively impact our Israeli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Servicing our debt may require a significant amount of cash, and we may not have sufficient cash flow from our business to pay our indebtedness.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not have the ability to raise the funds necessary to settle conversions of our outstanding convertible debt securities in cash or to repurchase them upon a fundamental change, and any future debt may contain limitations on our ability to pay cash upon conversion or repurchase of our outstanding convertible debt securities.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conditional conversion feature of our outstanding convertible debt securities, if triggered, may adversely affect our financial condition and operating results.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accounting method for convertible debt securities that may be settled in cash, such as our outstanding convertible debt securities, could have a material effect on our reported financial results.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capped call transactions may affect the value of our outstanding convertible debt securities and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stock price has been, and may continue to be, highly volatile, which could reduce the value of your investment and subject us to litigation.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common stock is traded on more than one market and this may result in price variations.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Provisions in our charter documents, Delaware law and the indentures for our outstanding convertible debt securities could discourage, delay or prevent a takeover that stockholders may consider favorable.</w:t>
      </w:r>
    </w:p>
    <w:p>
      <w:pPr>
        <w:pStyle w:val="TextBody"/>
        <w:bidi w:val="0"/>
        <w:spacing w:before="0" w:after="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Operating our Business</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Supporting our customer base strains our personnel resources and infrastructure, and if we are unable to scale our operations and increase productivity, we may not be able to successfully implement our business plan.</w:t>
      </w:r>
      <w:r>
        <w:rPr>
          <w:color w:val="000000"/>
        </w:rPr>
        <w:t xml:space="preser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additional investments in our internal infrastructure, research, and customer support and development will be required to scale our operations and increase productivity, to address the needs of our customers, to further develop and enhance our services, to expand into new geographic areas, and to scale with our overall growth. The additional investments we are making will increase our cost base, which will make it more difficult for us to offset any future revenue shortfalls by reducing expenses in the short term, and there can be no assurance that they will be successful or meet our customers’ needs.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upon the ability of our senior management to manage our projected growth effectively. To do so, we must continue to increase the productivity of our existing employees and to hire, train and manage new employees as needed. To optimize the performance of our business, we will need to continue to improve our operational, financial and management controls and our reporting systems and procedures. If we fail to successfully scale our operations and increase productivity, we may be unable to execute our business plan and the market price of our securities could decline. </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The success of our business depends on retention of existing customers and their purchase of additional services, and attracting new customers.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typically subscribe for our services for a twelve-month term and have no obligation to renew their subscription after expiration of the twelve-month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as well as reductions in our customers’ spending levels, or declines in customer activity as a result of general economic conditions or uncertainty in financial markets, could also lead customers to terminate our service.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monthly fees and interaction-based fees from our services for substantially all of our revenue. As part of our strategy, we frequently offer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Our revenue could decline unless we are able to obtain additional customers or alternate revenue sources.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business depends significantly on our ability to retain our key personnel, attract new personnel, and manage attrition.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largely on the continued services of our senior management team. We have had recent changes in our senior management team, including the appointment of a new Chief Executive Officer at the end of 2023.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harm our ability to release new products and services and upgrade existing products and services on a timely basis, and put us at a competitive disadvantage.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technology industry, there is substantial competition for key personnel, including skilled engineers, sales executives and operations personnel. We may not be able to successfully recruit, integrate and retain qualified personnel in the future, which could impact our ability to innovate and deliver new or updated products to our customers, which could harm our business. If our retention and recruitment efforts are ineffective, employee turnover could increase and our ability to provide services to our customers would be materially and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onset of the global novel coronavirus disease (“COVID-19”) pandemic, we vacated most of our physical offices around the world, and transitioned to a work-from-anywhere model. While we have been able to operate effectively from remote locations, the long-term impact of such work arrangements remains unknown. For example, such remote work arrangements may present workplace culture challenges.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Gainshare program offers contingent pricing and if we are unsuccessful at achieving customer objectives, the program could result in operating losses.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developed Gainshare, a fully managed solution where LivePerson provides messaging and AI automation technology as well as labor, automation, and end-to-end program management. Gainshare pricing is contingent on the degree to which a customer achieves its financial objectives, such as increased revenue or reduced operating costs. If we are unsuccessful in achieving these objectives for our customers (including as a result of broader market events, such as inflation and recessionary pressures or decreased consumer confidence), it will reduce the revenue that we recognize from Gainshare and could result in our operating the program at a financial loss, which could have a materially adverse impact on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expansion into new products, services, and technologies could subject us to additional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in new products, services, and technologies. We may have limited or no experience in new market segments that we enter or new services that we decide to offer, and customers may not choose to buy or use our service offerings. These offerings, which can present new and difficult technology challenges, may subject us to claims if customers of these offerings experience service disruptions or failures or other quality issues. Our newer activities may involve significant risks and uncertainties, including diversion of resources and management attention from current operations, as well as, in certain circumstances, the use of alternative investment, governance, or revenue strategies that may fail to adequately align incentives across our business or otherwise accomplish our objectives. In addition, new and evolving products, services, and technologies, including those that use AI, machine learning, and blockchain, can raise ethical, technological, legal, regulatory, and other challenges, which may negatively affect our business and demand for our products and services. Profitability, if any, in our newer activities may not meet our expectations, and we may not be successful enough in these newer activities to recoup our investments in them. Failure to realize the benefits of amounts we invest in new technologies, products, or services could result in the value of those investments being written down or written off.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integrate past or potential future acquisitions, we may not realize the expected business or financial benefits and our business could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made and may continue to make acquisitions to add complementary businesses, products, technologies, revenue and intellectual property rights. Acquiring and integrating technology companies presents unique risks including difficulties in adapting and developing new software technologies and systems protocols, increased software integration expenses, and incompatibility of acquired technologies. Acquisitions and investments also involve numerous other risks to us, including:</w:t>
      </w:r>
    </w:p>
    <w:p>
      <w:pPr>
        <w:pStyle w:val="TextBody"/>
        <w:bidi w:val="0"/>
        <w:spacing w:before="0" w:after="0"/>
        <w:jc w:val="both"/>
        <w:rPr/>
      </w:pPr>
      <w:r>
        <w:rPr/>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potential failure to achieve the expected benefits of the combination or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inability to generate sufficient revenue to offset acquisition or investment cost;</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difficulties in integrating operations, technologies, products, and personnel;</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diversion of financial and management resources from efforts related to existing operations;</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risks of entering new markets in which we have little or no experience or where competitors may have stronger market positions;</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potential loss of our existing key employees or key employees of the company we acquire;</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inability to maintain relationships with customers and partners of the acquired business;</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potential unknown liabilities associated with the acquired businesses; and</w:t>
      </w:r>
    </w:p>
    <w:p>
      <w:pPr>
        <w:pStyle w:val="TextBody"/>
        <w:bidi w:val="0"/>
        <w:spacing w:lineRule="auto" w:line="288" w:before="0" w:after="120"/>
        <w:jc w:val="both"/>
        <w:rPr>
          <w:color w:val="000000"/>
        </w:rPr>
      </w:pPr>
      <w:r>
        <w:rPr>
          <w:color w:val="000000"/>
        </w:rPr>
        <w:t xml:space="preserve">• </w:t>
      </w:r>
      <w:r>
        <w:rPr>
          <w:rFonts w:ascii="Times New Roman;sans-serif" w:hAnsi="Times New Roman;sans-serif"/>
          <w:b w:val="false"/>
          <w:color w:val="000000"/>
          <w:sz w:val="20"/>
        </w:rPr>
        <w:t>the tax effects of any such acquisitions.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These d</w:t>
      </w:r>
      <w:r>
        <w:rPr>
          <w:rFonts w:ascii="Times New Roman;sans-serif" w:hAnsi="Times New Roman;sans-serif"/>
          <w:b w:val="false"/>
          <w:color w:val="000000"/>
          <w:sz w:val="20"/>
          <w:shd w:fill="FFFFFF" w:val="clear"/>
        </w:rPr>
        <w:t>if</w:t>
      </w:r>
      <w:r>
        <w:rPr>
          <w:rFonts w:ascii="Times New Roman;sans-serif" w:hAnsi="Times New Roman;sans-serif"/>
          <w:b w:val="false"/>
          <w:color w:val="000000"/>
          <w:sz w:val="20"/>
        </w:rPr>
        <w:t>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effectively implement our plans to migrate our technology infrastructure to the public cloud, our operations could be significantly disrupted.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announced plans to migrate our technology infrastructure to the public cloud. This initiative is a major undertaking as we migrate and reconfigure our current system processes, transactions, data and controls to a new cloud-based platform. It could have a significant impact on our business processes, financial reporting, information systems and internal controls.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As we implement the transition of our technology infrastructure to the public cloud, we may need to divert resources and management attention away from other important business operations. While we plan to implement business contingency and other plans to facilitate continuous internet access, sustained or concurrent service denials or similar failures could limit our ability to provide our customers access to cloud-based services or otherwise operate our business. Additionally, we may experience issues with customer migration, as many of our customers may not migrate to cloud-based technologies on a timely basis or at all or may choose not to utilize our products and services during and after our transition to cloud-based technologies, which could negatively impact our revenue. Additionally, we may experience difficulties as we manage these changes and transition our technology infrastructure to the public cloud, including loss or corruption of data, interruptions in service and downtime, increased cyber threats and activity, delayed financial reporting, unanticipated expenses including increased costs of implementation and of conducting business, and lost revenue.</w:t>
      </w:r>
      <w:r>
        <w:rPr>
          <w:color w:val="000000"/>
        </w:rPr>
        <w:t xml:space="preserve"> </w:t>
      </w:r>
      <w:r>
        <w:rPr>
          <w:rFonts w:ascii="Times New Roman;sans-serif" w:hAnsi="Times New Roman;sans-serif"/>
          <w:b w:val="false"/>
          <w:color w:val="000000"/>
          <w:sz w:val="20"/>
          <w:shd w:fill="FFFFFF" w:val="clear"/>
        </w:rPr>
        <w:t>Although we plan to conduct design validations and user testing, these may cause delays in transacting our business due to system challenges, limitations in functionality, inadequate management or process deficiencies in the development and use of our systems. Difficulties in implementing or an inability to effectively implement our migration plans could disrupt our operations and harm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As we increase our reliance on public cloud infrastructure, our products and services will become increasingly reliant on continued access to, and the continued stability, reliability, and flexibility of third-party public cloud services. </w:t>
      </w:r>
      <w:r>
        <w:rPr>
          <w:rFonts w:ascii="Times New Roman;sans-serif" w:hAnsi="Times New Roman;sans-serif"/>
          <w:b w:val="false"/>
          <w:color w:val="000000"/>
          <w:sz w:val="20"/>
        </w:rPr>
        <w:t xml:space="preserve">Additionally, we may in the future be unable to secure additional cloud hosting capacity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to us, we may be required to transfer to another provider and may incur significant costs and experience service interruptions. </w:t>
      </w:r>
      <w:r>
        <w:rPr>
          <w:rFonts w:ascii="Times New Roman;sans-serif" w:hAnsi="Times New Roman;sans-serif"/>
          <w:b w:val="false"/>
          <w:color w:val="000000"/>
          <w:sz w:val="20"/>
          <w:shd w:fill="FFFFFF" w:val="clear"/>
        </w:rPr>
        <w:t>We have limited control over the public cloud operations and facilities on which we plan to host our technology infrastructure. Any changes in third-party service levels or any disruptions or delays from errors, defects, hacking incidents, security breaches, computer viruses, misconfigurations, distributed denial of service attacks, bad acts or performance problems could harm our reputation, damage our customers’ businesses, and harm our business. Our public cloud providers are also vulnerable to damage or interruption from earthquakes, hurricanes, floods, fires, war, public health crises, such as COVID-19, terrorist attacks, power losses, hardware failures, systems failures, telecommunications failures and similar events. Although our transition and migration to the public cloud may increase our risk of liability and cause us to incur significant technical, legal or other costs, we may have limited remedies against third-party providers in connection with such liabilities.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our public cloud providers may not be able to effectively manage existing traffic levels or increased demand in capacity requirements, especially to cover peak levels or spikes in traffic, and as a result, our customers may experience delays in accessing our solutions or encounter slower performance in our solutions, which could significantly harm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operations of our customers. Interruptions in our services might reduce our revenue, cause us to issue credits to customers, subject us to potential liability, and cause customers to terminate their subscriptions or harm our renewal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may not be able to refinance our substantial indebtedness before it becomes due. In addition, capital needs necessary to execute our business strategy could increase substantially. There is a significant risk that we may not be able to secure necessary financing on commercially reasonable terms, or at all.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level of indebtedness increases the possibility that we may be unable to generate cash sufficient to refinance our outstanding indebtedness. In particular, we have $517.5 million in aggregate principal amount of 0% Convertible Notes due in December 2026. From time to time, we have explored, and expect to continue to explore, a variety of transactions to improve our liquidity and/or to refinance our indebtedness, including issuing new debt or equity and repurchasing outstanding notes in the open market with available liquidity. We cannot assure you that we will enter into or consummate successfully any liquidity-generating or debt refinancing transactions, and we cannot currently predict the impact that any such transactions, if consummated, would have on us.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recent past, we have obtained financing principally through the sale of convertible notes which required minimal interest payments. If additional funds are raised through the issuance of debt or preferred equity securities, or borrowing from financial institutions under credit facilities, these instruments could require materially higher interest payments than we have historically paid,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 If we cannot make scheduled payments on our indebtedness, we will be in default under one or more of the agreements governing our indebtedness, and as a result, we could be forced into bankruptcy or liquidation.</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sales cycles can be lengthy, and the timing of sales can cause our operating results to vary significantly.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spend substantial time, effort, and money educating potential customers about the value of our offerings. The increasingly complex needs of our customers can further contribute to a longer sales cycle.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quarterly sales have historically reflected an uneven pattern in which a disproportionate percentage of a quarter’s total sales occur in the last month, weeks and days of each quarter. This makes prediction of revenue especially difficult and uncertain and increases the risk of unanticipated variations in our results of operations. In addition, historically a large portion of our revenue has derived from large orders from large clients. Consequently, delays in the closing of sales, especially from large clients, could have a material impact on the timing of revenue and results of operations.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Delays in our implementation cycles could have an adverse effect on our results of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Our services are subject to payment-related risks.</w:t>
      </w:r>
      <w:r>
        <w:rPr>
          <w:color w:val="000000"/>
        </w:rPr>
        <w:t xml:space="preserv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Our reputation depends, in part, on factors which are partially or entirely outside of our control</w:t>
      </w:r>
      <w:r>
        <w:rPr>
          <w:rFonts w:ascii="Times New Roman;sans-serif" w:hAnsi="Times New Roman;sans-serif"/>
          <w:b/>
          <w:i/>
          <w:color w:val="000000"/>
          <w:sz w:val="20"/>
        </w:rPr>
        <w:t xml:space="preser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typically appear under the LivePerson brand or as a LivePerson-branded icon on our customers’ websites. The customer service operators who respond to the inquiries of our customers’ users are employees or agents of our customers or independent consultants rather than employees of LivePerson. As a result, we are not able to control the actions of these operators and the impression that such operator leaves the user with whom they interact. A user may not know that the operator is not a LivePerson employee. If a user were to have a negative experience in a LivePerson-powered real-time dialogue, it is possible that this experience could be attributed to us, which could diminish our brand and harm our business. Additionally, we have no control over the content of our customers’ websites on which our website chat icon appears.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social and governance (“ESG”) matters may increase our costs, harm our reputation, or otherwise adversely impact our business.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Governmental authorities, non-governmental organizations, rating agencies, customers, investors, employees, and other stakeholders are increasingly focused on ESG concerns, such as diversity and inclusion, climate change, sustainability, social responsibility, and corporate governance and transparency. This focus on ESG concerns could result in increased costs and complexities of compliance, including with respect to collecting, measuring, and reporting ESG-related information in connection with expanding mandatory and voluntary reporting, diligence and disclosure requirements. Certain market participants, including major institutional investors and capital providers, use third-party benchmarks and scores to assess companies’ ESG profiles in making investment or voting decisions. Unfavorable ESG ratings could lead to increased negative investor sentiment, which could negatively impact our share price as well as our access to and cost of capital. Responding to ESG considerations and implementation of our ESG goals and initiatives involves risks and uncertainties, requires investments, and depends in part on third-party performance or data that is outside of our control. In addition, some stakeholders may disagree with our ESG goals and initiatives, and we could be criticized for the timing, scope or nature of our ESG goals or initiatives. If we fail to meet our goals and initiatives or otherwise do not act responsibly, or if we are perceived to not be acting responsibly, in key ESG areas, we risk negative stockholder reaction, including from proxy advisory services, as well as damage to our reputation, loss of customers or business partners, inability to attract and retain employee talent, and other material adverse effects on our business, results of operations and cash flows. </w:t>
      </w:r>
    </w:p>
    <w:p>
      <w:pPr>
        <w:pStyle w:val="TextBody"/>
        <w:bidi w:val="0"/>
        <w:spacing w:before="0" w:after="0"/>
        <w:jc w:val="left"/>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Financial Condition and Operating Results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quarterly revenue and operating results may fluctuate significantly, which may cause a substantial decline in the trading price of our securities.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revenue and operating results may fluctuate significantly as a result of a variety of factors, many of which are outside of our control. Some of the important factors that may cause our revenue and operating results to fluctuate include: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attract and retain new customers;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retain and increase sales to existing customers;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demand from customers for our services;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innovate and provide new services to current and future customers;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add AI, machine learning, and automation into our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introduction of new services by us or our competitors;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avoid and/or manage service interruptions, disruptions, or security incidents;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changes in our pricing models or policies or in those of our competitors;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maintain and add integrations with third-party consumer messaging platforms and endpoints;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adoption by companies of mobile and cloud-based messaging solutions;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investments in growing our sales and marketing programs;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adoption by users of conversational AI and web and mobile-based conversation technology;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exposure to foreign currency exchange rate fluctuations;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amount and timing of capital expenditures and other costs related to operation and expansion of our business, including those related to acquisitions.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and operating results may also fluctuate significantly in the future due to the following factors that are entirely outside of our control: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new laws, regulations, or regulatory or law enforcement initiatives;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economic conditions specific to the web, mobile technology, electronic commerce, and cloud computing; consequences of unexpected geopolitical events, natural disasters, acts of war or terrorism, outbreaks of contagious disease (e.g., COVID-19), or climate change;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general, regional, and/or global economic and political conditions.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securities could decline significantly.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 the past we have experienced losses, we had an accumulated deficit of $857.0 million as of December 31, 2023 and we may incur losses in the future.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We have in the past experienced, and we may in the future experience, losses and negative cash flow, either or both of which may be significant. </w:t>
      </w:r>
      <w:r>
        <w:rPr>
          <w:rFonts w:ascii="Times New Roman;sans-serif" w:hAnsi="Times New Roman;sans-serif"/>
          <w:b w:val="false"/>
          <w:color w:val="000000"/>
          <w:sz w:val="20"/>
        </w:rPr>
        <w:t>We recorded</w:t>
      </w:r>
      <w:r>
        <w:rPr>
          <w:color w:val="000000"/>
          <w:shd w:fill="FFFFFF" w:val="clear"/>
        </w:rPr>
        <w:t xml:space="preserve"> </w:t>
      </w:r>
      <w:r>
        <w:rPr>
          <w:rFonts w:ascii="Times New Roman;sans-serif" w:hAnsi="Times New Roman;sans-serif"/>
          <w:b w:val="false"/>
          <w:color w:val="000000"/>
          <w:sz w:val="20"/>
          <w:shd w:fill="FFFFFF" w:val="clear"/>
        </w:rPr>
        <w:t xml:space="preserve">a net loss of $100.4 million for the year ended December 31, 2023, and as of December 31, 2023, our accumulated deficit was approximately $857.0 million. We cannot assure you that we can sustain or increase profitability on a quarterly or annual basis in the future. Failure to maintain profitability may materially and adversely affect the market price of our securities.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 non-payment or late payment of amounts due to us from a significant number of customers may negatively impact our financial condition or make it difficult to forecast our revenues accurately.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During 2023, we </w:t>
      </w:r>
      <w:r>
        <w:rPr>
          <w:rFonts w:ascii="Times New Roman;sans-serif" w:hAnsi="Times New Roman;sans-serif"/>
          <w:b w:val="false"/>
          <w:color w:val="000000"/>
          <w:sz w:val="20"/>
        </w:rPr>
        <w:t>increased</w:t>
      </w:r>
      <w:r>
        <w:rPr>
          <w:color w:val="000000"/>
          <w:shd w:fill="FFFFFF" w:val="clear"/>
        </w:rPr>
        <w:t xml:space="preserve"> </w:t>
      </w:r>
      <w:r>
        <w:rPr>
          <w:rFonts w:ascii="Times New Roman;sans-serif" w:hAnsi="Times New Roman;sans-serif"/>
          <w:b w:val="false"/>
          <w:color w:val="000000"/>
          <w:sz w:val="20"/>
          <w:shd w:fill="FFFFFF" w:val="clear"/>
        </w:rPr>
        <w:t xml:space="preserve">our allowance for credit losses from </w:t>
      </w:r>
      <w:r>
        <w:rPr>
          <w:rFonts w:ascii="Times New Roman;sans-serif" w:hAnsi="Times New Roman;sans-serif"/>
          <w:b w:val="false"/>
          <w:color w:val="000000"/>
          <w:sz w:val="20"/>
        </w:rPr>
        <w:t>$9.2 million</w:t>
      </w:r>
      <w:r>
        <w:rPr>
          <w:color w:val="000000"/>
          <w:shd w:fill="FFFFFF" w:val="clear"/>
        </w:rPr>
        <w:t xml:space="preserve"> </w:t>
      </w:r>
      <w:r>
        <w:rPr>
          <w:rFonts w:ascii="Times New Roman;sans-serif" w:hAnsi="Times New Roman;sans-serif"/>
          <w:b w:val="false"/>
          <w:color w:val="000000"/>
          <w:sz w:val="20"/>
          <w:shd w:fill="FFFFFF" w:val="clear"/>
        </w:rPr>
        <w:t xml:space="preserve">to approximately </w:t>
      </w:r>
      <w:r>
        <w:rPr>
          <w:rFonts w:ascii="Times New Roman;sans-serif" w:hAnsi="Times New Roman;sans-serif"/>
          <w:b w:val="false"/>
          <w:color w:val="000000"/>
          <w:sz w:val="20"/>
        </w:rPr>
        <w:t>$9.3 million</w:t>
      </w:r>
      <w:r>
        <w:rPr>
          <w:rFonts w:ascii="Times New Roman;sans-serif" w:hAnsi="Times New Roman;sans-serif"/>
          <w:b w:val="false"/>
          <w:color w:val="000000"/>
          <w:sz w:val="20"/>
          <w:shd w:fill="FFFFFF" w:val="clear"/>
        </w:rPr>
        <w:t xml:space="preserve">. During 2022, we increased our allowance for credit losses from </w:t>
      </w:r>
      <w:r>
        <w:rPr>
          <w:rFonts w:ascii="Times New Roman;sans-serif" w:hAnsi="Times New Roman;sans-serif"/>
          <w:b w:val="false"/>
          <w:color w:val="000000"/>
          <w:sz w:val="20"/>
        </w:rPr>
        <w:t>$6.3 million</w:t>
      </w:r>
      <w:r>
        <w:rPr>
          <w:color w:val="000000"/>
          <w:shd w:fill="FFFFFF" w:val="clear"/>
        </w:rPr>
        <w:t xml:space="preserve"> </w:t>
      </w:r>
      <w:r>
        <w:rPr>
          <w:rFonts w:ascii="Times New Roman;sans-serif" w:hAnsi="Times New Roman;sans-serif"/>
          <w:b w:val="false"/>
          <w:color w:val="000000"/>
          <w:sz w:val="20"/>
          <w:shd w:fill="FFFFFF" w:val="clear"/>
        </w:rPr>
        <w:t xml:space="preserve">to approximately </w:t>
      </w:r>
      <w:r>
        <w:rPr>
          <w:rFonts w:ascii="Times New Roman;sans-serif" w:hAnsi="Times New Roman;sans-serif"/>
          <w:b w:val="false"/>
          <w:color w:val="000000"/>
          <w:sz w:val="20"/>
        </w:rPr>
        <w:t>$9.2 million</w:t>
      </w:r>
      <w:r>
        <w:rPr>
          <w:rFonts w:ascii="Times New Roman;sans-serif" w:hAnsi="Times New Roman;sans-serif"/>
          <w:b w:val="false"/>
          <w:color w:val="000000"/>
          <w:sz w:val="20"/>
          <w:shd w:fill="FFFFFF" w:val="clear"/>
        </w:rPr>
        <w:t>. We base our allowance for credit losses on specifically identified credit risks of customers, historical trends, and other information that we believe to be reasonable. A large p</w:t>
      </w:r>
      <w:r>
        <w:rPr>
          <w:rFonts w:ascii="Times New Roman;sans-serif" w:hAnsi="Times New Roman;sans-serif"/>
          <w:b w:val="false"/>
          <w:color w:val="000000"/>
          <w:sz w:val="20"/>
        </w:rPr>
        <w:t>roportion of receivables is due from larger corporate customers that typically have longer payment cycles. We adjust our allowance for credit losses when accounts previously reserved have been collected. As a result of increasingly long payment cycles, we have experienced unanticipated fluctuations in our revenues from period to period. Any failure to achieve anticipated revenues in a period could cause the market price of our securities to decline.</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There are inherent limitations on the effectiveness of our controls.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2022, we identified a material weakness in our internal controls. Although this material weakness has been remediated, there can be no assurance that similar control issues will not be identified in the future. If we cannot remediate future material weaknesses or significant deficiencies in a timely manner, or if we identify additional control deficiencies that individually or together constitute significant deficiencies or material weaknesses, our ability to accurately record, process,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 financial information and our ability to prepare financial statements within required time periods, could be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Failure to maintain effective internal controls could result in violations of applicable securities laws, stock exchange listing requirements, subject us to litigation and investigations, negatively affect investor confidence in our financial statements, and adversely impact our stock price and our ability to access capital markets.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Because we recognize revenue from subscriptions for our service over the term of the subscription, declines in our business may not be immediately reflected in our operating results.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If our goodwill or amortizable intangible assets become impaired, we may be required to record a significant charge to earnings.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As discussed in Note 5 – Goodwill and Intangible Assets, Net in the Notes to the Consolidated Financial Statements under Item 8 of this Annual Report on Form 10-K, we have experienced impairments in the past, and from time to time, we may be required to record a significant charge to earnings in our consolidated financial statements during the period in which any impairment of our goodwill or amortizable intangible assets is determined, resulting in a negative impact on our results of operations. </w:t>
      </w:r>
      <w:r>
        <w:rPr>
          <w:rFonts w:ascii="Times New Roman;sans-serif" w:hAnsi="Times New Roman;sans-serif"/>
          <w:b w:val="false"/>
          <w:color w:val="000000"/>
          <w:sz w:val="20"/>
          <w:shd w:fill="FFFFFF" w:val="clear"/>
        </w:rPr>
        <w:t xml:space="preserve">As a result of the Company’s annual goodwill impairment test in the third quarter of 2023, the Company recorded a </w:t>
      </w:r>
      <w:r>
        <w:rPr>
          <w:rFonts w:ascii="Times New Roman;sans-serif" w:hAnsi="Times New Roman;sans-serif"/>
          <w:b w:val="false"/>
          <w:color w:val="000000"/>
          <w:sz w:val="20"/>
        </w:rPr>
        <w:t>no</w:t>
      </w:r>
      <w:r>
        <w:rPr>
          <w:rFonts w:ascii="Times New Roman;sans-serif" w:hAnsi="Times New Roman;sans-serif"/>
          <w:b w:val="false"/>
          <w:color w:val="000000"/>
          <w:sz w:val="20"/>
          <w:shd w:fill="FFFFFF" w:val="clear"/>
        </w:rPr>
        <w:t xml:space="preserve">n-cash impairment charge of </w:t>
      </w:r>
      <w:r>
        <w:rPr>
          <w:rFonts w:ascii="Times New Roman;sans-serif" w:hAnsi="Times New Roman;sans-serif"/>
          <w:b w:val="false"/>
          <w:color w:val="000000"/>
          <w:sz w:val="20"/>
        </w:rPr>
        <w:t xml:space="preserve">$11.9 million </w:t>
      </w:r>
      <w:r>
        <w:rPr>
          <w:rFonts w:ascii="Times New Roman;sans-serif" w:hAnsi="Times New Roman;sans-serif"/>
          <w:b w:val="false"/>
          <w:color w:val="000000"/>
          <w:sz w:val="20"/>
          <w:shd w:fill="FFFFFF" w:val="clear"/>
        </w:rPr>
        <w:t>in th</w:t>
      </w:r>
      <w:r>
        <w:rPr>
          <w:rFonts w:ascii="Times New Roman;sans-serif" w:hAnsi="Times New Roman;sans-serif"/>
          <w:b w:val="false"/>
          <w:color w:val="000000"/>
          <w:sz w:val="20"/>
        </w:rPr>
        <w:t>e consolidated statements of operations</w:t>
      </w:r>
      <w:r>
        <w:rPr>
          <w:color w:val="000000"/>
          <w:shd w:fill="FFFFFF" w:val="clear"/>
        </w:rPr>
        <w:t xml:space="preserve"> </w:t>
      </w: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to recognize the im</w:t>
      </w:r>
      <w:r>
        <w:rPr>
          <w:rFonts w:ascii="Times New Roman;sans-serif" w:hAnsi="Times New Roman;sans-serif"/>
          <w:b w:val="false"/>
          <w:color w:val="000000"/>
          <w:sz w:val="20"/>
        </w:rPr>
        <w:t xml:space="preserve">pairment of goodwill in the WildHealth reporting unit. </w:t>
      </w:r>
      <w:r>
        <w:rPr>
          <w:rFonts w:ascii="Times New Roman;sans-serif" w:hAnsi="Times New Roman;sans-serif"/>
          <w:b w:val="false"/>
          <w:color w:val="000000"/>
          <w:sz w:val="20"/>
          <w:shd w:fill="FFFFFF" w:val="clear"/>
        </w:rPr>
        <w:t>As a result of our impairment test in the third quarter of 2023</w:t>
      </w:r>
      <w:r>
        <w:rPr>
          <w:rFonts w:ascii="Times New Roman;sans-serif" w:hAnsi="Times New Roman;sans-serif"/>
          <w:b w:val="false"/>
          <w:color w:val="000000"/>
          <w:sz w:val="20"/>
        </w:rPr>
        <w:t>, the Company recognized an immaterial non-cash impairment charge of $3.0 million included in the cost of revenue in the consolidated statements of operations, related to our intangible assets – developed technology associated with WildHealth.</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Industry Dynamics and Competition</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If we are unable to develop and maintain successful relationships with partners, service partners, social media, and other third-party consumer messaging platforms and endpoints, our business, results of operations, and financial condition could be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continued growth for companies in our industry depends, in part, on enabling brands to connect with consumers across consumers’ preferred conversational channels and messaging endpoints, such as SMS, Facebook Messenger, WhatsApp, Apple Business Chat, Google Rich Business Messenger, Line, Kakao Talk, Instagram, and WeChat. In order to grow our business, we have identified and developed, and maintain, strategic relationships with many key technology partners. As part of our growth strategy, we plan to further develop partnerships and specific solution areas with additional technology partners. We typically rely on our strategic partners and third-party service providers to supplement our own subject matter expertise and to leverage industry best practice, provide enhanced products and services, and reduce costs. If we fail to establish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relationships in a timely and cost-effective manner or at all, if these strategic partners or third-party service providers fail to provide the services expected, or if we lose any or all of our current relationships, then our business, results of operations, and financial condition could be adversely affected. Replacing a strategic relationship could also take a long time and result in increased expenses. Additionally, even if we are successful at developing these relationships, but there are problems or issues with the integrations, or our ability to scale and onboard our customers onto new endpoints, our reputation and our ability to grow our business may be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announced plans to migrate our technology infrastructure to the public cloud and may in the future be unable to secure additional cloud hosting capacity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to us, we may be required to transfer to another provider and may incur significant costs and experience service interruptions.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If we are unable to effectively operate on mobile devices, our business could be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extended our products and services to support messaging on mobile phone and tablet applications belonging to our company and our customers. If the mobile solutions we have developed do not meet our customers’ needs or the needs of their website visitors, we may fail to retain existing customers and we may have difficulty attracting new customers. Such solutions also present risks related to privacy and security, which could subject us to investigations, litigation, or reputational harm. If we are unable to rapidly innovate and grow mobile revenue, or if we incur excessive expenses in this effort, our financial performance and ability to continue to grow overall revenue may be negatively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released, it is difficult to predict the challenges we may encounter in developing versions of our solutions for use on these alternative devices.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 markets in which we participate are highly competitive, and we may lose customers and revenue if we are not able to innovate or effectively compete.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for mobile and online business messaging, digital engagement and AI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pressure. If we are unable to accurately anticipate technology developments and continue to innovate in the markets in which we compete and develop successful integrations with third-party consumer messaging platforms, AI providers, and endpoints, or our competitors are more successful than us at developing compelling new products, services, and integrations, or at attracting and retaining customers, we may lose revenue and market share and our operating results could be adversely affected.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technology or service providers offering or powering competing digital engagement, contact center, communications, or customer relationship management solutions, such as eGain, Genesys, Nuance, Oracle, Salesforce.com and Twilio;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service providers that offer basic messaging products or services with limited functionality free of charge or at significantly reduced entry level prices;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social media, social listening, messaging, AI, bots, e-commerce, and/or data and data analytics companies, such as Meta Platforms, Google and WeChat, which may leverage their existing or future capabilities and consumer relationships to offer competing B2B solutions;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customers that develop and manage their messaging solutions in-house.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our current and potential competitors have substantial competitive advantages, such as greater brand recognition, significantly larger financial, marketing, and resource and development budgets, access to larger customer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may be unable to respond to rapid technological change and changing customer preferences in the online sales, marketing, customer service, and/or online e-commerce industries and this may harm our business.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for technological, legal, financial, or other reasons, to adapt in a timely manner to changing market conditions in the online sales, marketing, customer service, and/or e-commerce industries or our customers’ requirements or preferences, our business, results of operations, and financial condition would be materially and adversely affected. Online business is characterized by rapid technological change. Sudden changes in customer and consumer requirements and preferences, frequent new product and service introductions embodying new technologies, and the emergence of new industry and regulatory standards and practices including without limitation data privacy, security, and AI standards, could render the LivePerson services and our proprietary technology and systems obsolete. The rapid evolution of these products and services requires that we continually improve the performance, features and reliability of our services. Our success depends, in part, on our ability to: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enhance the features and performance of our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develop and offer new services that are valuable to companies doing business online;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respond to technological advances and emerging industry and regulatory standards and practices in a cost-effective and timely manner.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new services, including upgrades to our current services, do not meet our customers’ or consumers’ expectations, we could lose customers and our business may be harmed. Updating our technology may require significant additional capital expenditures.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update our technology or expand our operations in an efficient manner could cause our expenses to grow, our revenue to decline or grow more slowly than expected and could otherwise have a material adverse effect on our business, results of operations, and financial condition.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Downturns in the global economic environment or in particular industries in which our sales are concentrated may adversely affect our business and results of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other global economies have experienced in the past and could in the future experience economic downturn that affects all sectors of the economy, resulting in declines in economic growth and consumer confidence, increases in unemployment rates and uncertainty about economic stability. Further, there is increased uncertainty regarding social, political, immigration and trade policies in the U.S.,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and will continue to be, dependent on sales to customers in the telecommunications, financial services, retail, travel, consumer/retail, automotive,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Weak economic conditions may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technology, including services such as ours. Economic conditions may also lead consumers and businesses to postpone spending, which may cause our customers to decrease or delay their purchases of our products and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Security Vulnerabilities and Service Reliability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Failures or security breaches in our services or systems, those of our third-party service providers, customers or partners, including those resulting from cyber-attacks, security vulnerabilities, defects, or errors, could harm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involve the storage and transmission of proprietary information and personal data related to our customers and their users, employees and consumers. Theft and security breaches expose us to a risk of improper use, disclosure or loss of such information, which could result in litigation, regulatory investigation, and potential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period prior to the completion of our public cloud migration, we are exposed to risks inherent in maintaining the stability and security of our legacy infrastructure due to prior customization, aging and obsolescence of related legacy systems and third-party technologies. Because our customers are, and may continue to be, dependent upon these legacy systems, we also face an increased level of embedded risk in maintaining the legacy systems. Moreover, our ability to timely mitigate, manage and patch vulnerabilities related to legacy systems and related legacy third-party technologies could impact our system security as well as our day-to-day operations, and the deployment of technology enhancements and innovation. In addition, we face risks related to recently acquired businesses and in-process integration of related technologies and platforms. If our operational systems, or those of external parties on which our business depends, are unable to meet our or our customers’ business and operations requirements, or if they fail, have other significant shortcomings or are impacted by cyber-attacks, we could be materially and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cyber-attacks of varying degrees on a regular basis in the ordinary course of our business. Our security measures may also be breached and such breach may be difficult to contain—due to employee or other error, lack of appropriately restricted technical and administrative or privileged access controls, intentional malfeasance and other third-party acts, and system errors or vulnerabilities, including vulnerabilities of our third-party service providers, our customers, partners, or otherwise. We have announced plans to move our technology infrastructure to the public cloud, which will require us to rely on third-party cloud providers to maintain appropriate safeguards.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following the COVID-19 pandemic, we elected to maintain a globally distributed, substantially remote workforce. Remote working arrangements may increase the risk of cybersecurity incidents or data breaches. Our use of employees and contractors from countries with higher rates of cybercrime and whose privacy laws reduce our ability to perform full background checks may increase risk of a cybersecurity incident or data breach, including insider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take measures to enhance our information security program and safeguard our products and services, cybersecurity threats and vulnerabilities in desktop computers, mobile phones, smartphones and handheld devices, as well as cyber-attacks, cybersecurity threats, malicious actors and other security incidents continue to evolve in sophistication and frequency industry-wide and there can be no assurance that we can prevent all security risks. Furthermore, while the Company has designed an information security program to protect our information systems from cybersecurity threats, and to ensure the confidentiality, integrity and availability of systems and information used, owned or managed by the Company related to our employees, our customers and their users, implementation of the supporting controls has coverage gaps and weaknesses and potential for human error that could provide threat actors a window of time to exploit such weaknesses before they are addressed.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goal of the information security program is to manage risks in a prioritized fashion; however, control gaps and/or effectiveness, resource constraints, and execution failure can pose cybersecurity risk to LivePerson. In addition, although we work to continuously improve our internal controls and procedures on cybersecurity incident management, prevention, detection, mitigation, response, and recovery, we may be unsuccessful in detecting, reporting or responding to these events in a timely manner, accurately assessing the severity of an event, or sufficiently preventing, limiting, or containing harm arising out of an event.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Additionally, the global threat of cyber-attacks has increased in response to the Russia-Ukraine War. An advanced threat actor of high sophistication, such as a nation state, with essentially unlimited resources, poses a significant risk to LivePerson and arguably all similarly situated firms with LivePerson’s size and resources. A significant cyber-attack, or a security incident of any magnitude that is profiled in the media, involving our, our third-party service providers’ or our customers’ systems, could result in material harm to our brand and reputation, and our ability to deliver our services or retain customers, and expose us to lawsuits, regulatory investigations, and significant damages, fines or penalties.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our customers may authorize third-party access to their customer data located in our cloud environment. Because we do not control the transmissions to customer-authorized third parties, or the processing of such data by customer-authorized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and applications. Such adverse impact could include a decrease in demand for our services, damage to our reputation and to our customer relationships, legal exposure, and other financial liability or harm to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may be liable if third parties access or misappropriate confidential or personal data from our systems or services.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dialogue transcripts of the text-based chats, email interactions and other interactions between our customers and their users may include sensitive and/or personally identifiable information such as personal contact and demographic information, financial information, personal health matters, and account numbers.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These risks could arise from acts of external parties or from acts or omissions of employees or third-party service provider personnel to whom we have granted access to our systems, including if the information systems used by such third parties are penetrated or compromised by an insider or by external third parties.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copy and/or misappropriate personal data relating to our customers’ users or the text of customer service inquiries, our competitive position may be harmed and we could be subject to liability. In the event of a security incident, we could be required to comply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U.S. federal and state laws, international laws, securities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 security risks, such insurance coverage is subject to certain exclusions and exceptions and may be insufficient to cover all losses.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certain software and services that we use to operate our business are hosted and/or operated by third parties or integrated with our systems. As we expand our use of cloud-based services, we will increasingly rely on third-party cloud providers to maintain appropriate safeguards to protect confidential or personal data we receive. While we have conducted initial due diligence on these cloud providers with respect to their security and business controls, we may not have the visibility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effectively monitor the implementation, configuration, and efficacy of these controls. If third-party services do not have adequate security measures in place, experience service interruptions, or have their security breached, our business operations could be similarly disrupted and we could be exposed to liability and costly investigations or litigation. The risk of circumvention of our security measures or those of third parties on which we rely has been heightened by advances in computer and software capabilities and the increasingly complex techniques employed by, bad actors. In particular, supply-chain attacks have increased in frequency and severity, and there can be no assurance that third parties’ infrastructure in our supply chain or our third-party service providers’ supply chains have not been compromised.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need to properly secure, and securely transmit and store, confidential information online requires caution and has shaped the e-commerce and online communications landscape, and increasingly has become an area of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provide service-level commitments to certain customers. If we do not meet these contractual commitments, or if we suffer significant outages, we could be obligated to provide credits or refunds or face contract terminations, which could adversely affect our revenue and harm our reputation.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for many cloud service providers, we offer service-level commitments in certain of our customer contracts, primarily related to uptime of our service. If we are unable to meet the stated service-level commitments or suffer periods of downtime that exceed the periods allowed under our customer contracts, whether due to downtime caused by us or our third-party service providers, which has occurred on several occasions in the past and could occur in the future (including in connection with the migration of our technology infrastructure to the public cloud), we may be contractually obligated to provide these customers with service credits and/or pay financial penalties, which could significantly impact our revenue. In addition, even if our contracts provide otherwise, these customers may attempt to terminate or reduce their contracts, which has occurred from time to time, and/or pursue other legal remedies. Recurring or extended service outages and the inability to recover our services and systems in a timely fashion could also cause damage to our reputation and result in substantial customer dissatisfaction or loss, could cause significant interruptions to our business operations, and could cause us to incur significant costs or divert the attention of our technical or other personnel to recover, all of which could adversely affect our current and future revenue and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are dependent on technology systems and third-party content that are beyond our control.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from our product development efforts or cause significant customer relations problems.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outsource certain critical business activities to third parties and plan to continue to do so. We rely in part on service providers and other third parties for various services, including, but not limited to, internet connectivity, network infrastructure hosting, security and maintenance, and utilize software and hardware from a variety of vendors. As a result, we rely upon the successful implementation and execution of the business continuity and repopulation planning of these providers. These providers may experience problems that result in slower than normal response times, interruptions in service or other operational failures. If we are unable to continue utilizing the third-party services that support our web hosting and infrastructure or if our services experience interruptions or delays due to existing third-party service providers, new third-party service providers or a transition between third-party service providers, our reputation and business could be harmed, and we may be exposed to legal and reputational risk, and significant remediation costs.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the security of our third-party service providers to protect our proprietary information and information of our customers and their end users. IT system failures, including a breach of our or our third-party service providers’ data security, could disrupt our ability to function in the normal course of business by potentially causing, among other things, an unintentional disclosure of customer information or loss of information. Additionally, despite our security procedures or those of our third-party service providers, information systems may be vulnerable to threats such as computer hacking, ransomware, cyber-terrorism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depend on third parties for hardware and software. Such products could contain errors, defects, software bugs, material vulnerabilities, or inaccurate information that may be difficult to detect and correct, and could require us to incur significant costs or divert the attention of our technical or other personnel from our product development efforts. To the extent any such problems require us to replace such hardware or software, we may not be able to do so on acceptable terms, if at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Technological or other defects could disrupt or negatively impact our services, which could harm our business and reputation.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including in connection with our plans to migrate our technology infrastructure to the public cloud. These problems, if not remedied, could harm our business.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services also depend on complex software which may contain defects, particularly when we introduce new versions. We may not discover software defects that affect our new or current services or enhancements until after they are deployed. It is possible that, despite testing by us, defects may occur in the software. These defects could result in: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damage to our reputation;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lost sales;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contract terminations;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loss of market share;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delays in or loss of market acceptance of our products;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unexpected expenses and diversion of resources to remedy errors.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products are complex, and errors, failures, or “bugs” may be difficult to correct.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license necessary third-party software for use in our products and services, or failure to successfully integrate third-party software, could cause delays or reductions in our sales, or errors or failures of our service.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license third-party software that we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 successfully license and integrate third-party technology, we could experience a reduction in functionality and/or errors or failures of our products, which may reduce demand for our products and services.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licenses may expose us to increased risks, including risks associated with the integration of new technology, the impact of new technology integration on our existing technology, open-source software disclosure requirements, the diversion of resources from the development of our own proprietary technology, and our inability to generate revenue from new technology sufficient to offset associated acquisition and maintenance costs.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subject to the risks of earthquakes, fires, floods, and other natural catastrophic events and to interruption by man-made problems such as terrorism or cyber-attacks.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intend to migrate our technology infrastructure to the public cloud, a substantial majority of our computer and communications infrastructure is running in our private cloud on hardware that is located at a limited number of facilities in the United States, Europe, and Australia. Our systems, operations, and data centers are vulnerable to damage or interruption from earthquakes, fires, floods, hurricanes, other acts of nature, power losses, telecommunications failures, terrorist attacks, acts of war, human errors, break-ins, state-sponsored or other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Our global data providers could be vulnerable to the physical effects of climate change, including increased frequency and duration of extreme weather events and natural disasters. In addition, acts of terrorism could cause disruptions in our business or the economy as a whole. Our headquarters are located in New York City and we have a significant employee presence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data recovery capabilities, there can be no assurance that we will not suffer from business interruption, or unavailability or loss of data, as a result of any such events, or that data recovery would be complete or on a timeline expected by our customers.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Regulatory and Data Privacy Issues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a variety of U.S. and international laws and regulations regarding privacy, data protection and AI, and increased public scrutiny of privacy, security and AI issues could result in increased government regulation, industry standards, and other legal obligations that could adversely affect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and international privacy laws and regulations are evolving and changing, subject to differing interpretations, may be costly to comply with, and may be inconsistent among countries and jurisdictions or conflict with other rules. As we expand our operations in other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data protection and AI,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 and practices regarding handling and use of personal and other information by companies have come under increased public scrutiny, and governmental entities, consumer agencies and consumer advocacy groups have called for,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instances, enacted increased regulation and changes in industry practices. For example, we are subject to the European Union (“E.U.”) General Data Protection Regulation (“GDPR”), which imposes significantly greater compliance burdens on companies that control or process personal data of users primarily located in the E.U. and, for noncompliance, provides for considerable fines up to the higher of 20 million Euros or 4% of global annual revenue. Additionally, following the United Kingdom’s withdrawal from the E.U., we also are subject to the U.K. General Data Protection Regulation (“U.K. GDPR”), a version of the GDPR as implemented into the laws of the U.K.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The GDPR and U.K. GDPR also impose certain technological requirements that may, from time to time, require us to make changes to our services to enable LivePerson and/or our customers to meet legal requirements and may impact how data protection is addressed in our customer and vendor agreements. E.U. and U.K. regulators have issued numerous fines pursuant to the GDPR and U.K. GDPR, respectively. Ensuring compliance with the GDPR and U.K.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Data Protection Authorities (including in the E.U. and U.K.) or lawsuits by private parties, and our business could be negatively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E.U.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complexity and regulatory compliance uncertainty under the GDPR regarding certain transfers of personal information from the European Economic Area (the “EEA”) to the United States and certain other third countries remains. For example, on July 16, 2020, the Court of Justice of the European Union (“CJEU”) invalidated the E.U.-U.S. Privacy Shield Framework (the “E.U.-U.S. Privacy Shield”) under which personal information could be transferred from the EEA to U.S. entities who had self-certified under the Privacy Shield program. Even though the CJEU decision upheld the standard contractual clauses (“SCCs”) as an adequate transfer mechanism, the decision created uncertainty around the validity of all E.U.-to-U.S. data transfers.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U.S. entities self-certified under the DPF. On October 12, 2023, the U.K. Extension to the DPF came into effect (as approved by the U.K. Government), as a U.K. GDPR data transfer mechanism to U.S. entities self-certified under the U.K. Extension to the DPF. We currently rely on the DPF and on a similar Swiss-US Data Privacy Framework to transfer certain personal data from the EEA and Switzerland, respectively to the United States and on the U.K. Extension to the DPF to transfer certain personal data from the U.K. to the United States. We also currently rely on the E.U. SCCs and the U.K. Addendum to the E.U. standard contractual clauses and the U.K. International Data Transfer Agreement as relevant to transfer personal data outside the EEA and the U.K. with respect to both intragroup and third-party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transfer mechanisms we rely on are not sufficient and we are unable to transfer personal data between and among countries and regions in which we operate, it could affect the manner in which we provide our services and could adversely affect our financial results, and, until the legal uncertainties regarding how to legally continue transfers pursuant to the SCCs and other mechanisms are settled, we will continue to face uncertainty as to whether our efforts to comply with our obligations under the GDPR and U.K. GDPR will be sufficient. Failure to comply with existing or new rules may result in significant penalties or orders to stop the alleged noncompliant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changing regulatory landscape in the E.U. and the U.K., we are subject to U.S. laws and regulations at the state level, such as the California Consumer Privacy Act of 2018 as amended by the California Privacy Rights Act (“CPRA”), which took effect on January 1, 2023 (the “CCPA”). Among other things, the CCPA gives California residents expanded data privacy rights, allowing consumers to opt out of certain data sharing with third parties, provides a private cause of action for data breaches, imposes additional obligations such as data minimization and storage limitations; on covered businesses; and forms a dedicated privacy regulator in California, the California Privacy Protection Agency, to implement and enforce the law. The CCPA marked the beginning of a trend toward more stringent state data privacy legislation in the United States, which may result in significant costs to our business, damage our reputation, and require us to amend our business practices, and could adversely affect our business, especially to the extent the specific requirements vary from those and other existing laws. Four such laws, in Virginia, Colorado, Connecticut, and Utah, have taken effect in 2023, and at least three more laws in Montana, Texas and Oregon are scheduled to take effect in 2024. Moreover, laws in all 50 U.S. states require businesses to provide notice under certain circumstances to consumers whose personal information has been disclosed as a result of a data breach. Many similar laws have been proposed at the federal and state level; accordingly, we also may be subject to additional compliance obligations as such legislation is considered and adopted, which may require us to modify our data processing practices and policies and incur substantial costs and expenses to comply.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business is subject to a variety of U.S. and foreign laws, and existing, new and developing regulatory or other legal requirements could subject us to claims or materially impact our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 not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U.S. There is a risk that these laws may be interpreted and applied differently in any given jurisdiction in a manner that is not consistent with our current practices, which could cause us to incur substantial cost and could negatively impact our brand, reputation and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instance, some states in the U.S.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Similarly, some U.S. courts have interpreted certain two-party consent wiretap statutes, such as the California Invasion of Privacy Act, to require the collection of prior consent from consumers who engage in a dialogue with chatbots. If the scope of such laws or newly enacted legislation were interpreted to apply to our services, we and/or our customers may be required to obtain the express consent of web visitors in order for our technology to perform its intended functions. Requirements that a website must first obtain consent from its web visitors before using our technology could reduce the amount and value of the services we provide to customers, which might impede sales and/or cause some existing customers to discontinue using our services or could subject us to fines and/or proceedings by governmental agencies, regulatory bodies, and/or private litigation, which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increased focus in 2023 on laws and regulations related to AI, including the current U.S. presidential administration, the U.S. Congress, and U.S. regulators, which cover, among other things, algorithm accountability, privacy, and transparency. For example, the Biden Administration issued an Executive Order aimed at establishing new standards for AI safety and security, privacy, consumer and employee protection and innovation and competition associated with the use of AI. The European Commission has also released a revised draft of the EU AI Act. The EU AI Act would establish requirements for the provision and use of products that leverage AI, machine learning, and similar technologies, including chatbots, with potential fines reaching up to the greater of €35 million and 7% of global income. The EU AI Act is expected to be adopted by Parliament in 2024, taking effect in 2025 or 2026. Additionally, other countries have proposed legal frameworks on AI, which is a trend that is expected to increase. Any failure or perceived failure by us to comply with such requirements could have an adverse impact on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various federal, state and foreign government bodies and agencies are highly focused on consumer protection initiatives, particularly in light of the increase in new technologies and services that incorporate or use bots, artificial intelligence and/or machine learning. For example, the California B.O.T. Act came into effect in July 2019 and requires that companies using bots on platforms with more than ten million unique monthly visitors from the U.S. use clear and conspicuous disclosure to inform consumers that they are not speaking to a human. Similar bills have been introduced from time to time at the state and federal level in recent years. Further, the use of certain AI and machine learning may be subject to laws and evolving regulations, controlling for, among other things, data bias and antidiscrimination. For example, the Federal Trade Commission (“FTC”) enforces consumer protection laws such as Section 5 of the FTC Act, which prohibits unfair and deceptive practices, including use of biased algorithms in AI. The European Commission’s EU AI Act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Given the increased focus by the FTC and other regulators on the use of AI, it is likely that additional laws, regulations, and standards related to AI may be introduced in the future. Regulation in this area could impact how businesses use our products and services to interact with consumers and how we provide our services to our customers. AI tools can also present unique technological and legal challenges, such as the possibility of insufficient data sets, or data sets that contain biased or inaccurate information, which can negatively impact the decisions, predictions or analyses that AI applications produce. Deficiencies such as these could cause us reputational harm and subject us to legal liability, including claims of product liability, breach of warranty, or negligence.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AI and machine learning proposed and enacted in various jurisdictions.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in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also likely that, as our business grows and evolves, an increasing portion of our business shifts to mobile, and our solutions are offered and used in a greater number of countries, we will become subject to laws and regulations in additional jurisdictions. We may need to expend considerable effort and resources to develop new product features and/or procedures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our business, results of operations and financial condition. Any costs incurred as a result of this potential liability could harm our business and operating results.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global opt-out signals from internet browsers, the ability to delete information of minors, age appropriate design obligations for companies that offer online services, products or features “likely to be accessed” by children,</w:t>
      </w:r>
      <w:r>
        <w:rPr>
          <w:color w:val="000000"/>
          <w:shd w:fill="F4F4F5" w:val="clear"/>
        </w:rPr>
        <w:t> </w:t>
      </w:r>
      <w:r>
        <w:rPr>
          <w:rFonts w:ascii="Times New Roman;sans-serif" w:hAnsi="Times New Roman;sans-serif"/>
          <w:b w:val="false"/>
          <w:color w:val="000000"/>
          <w:sz w:val="20"/>
        </w:rPr>
        <w:t xml:space="preserve">and new data breach notification requirements. </w:t>
      </w:r>
      <w:r>
        <w:rPr>
          <w:rFonts w:ascii="Times New Roman;sans-serif" w:hAnsi="Times New Roman;sans-serif"/>
          <w:b w:val="false"/>
          <w:color w:val="000000"/>
          <w:sz w:val="20"/>
          <w:shd w:fill="FFFFFF" w:val="clear"/>
        </w:rPr>
        <w:t xml:space="preserve">Washington State recently enacted the “My Health, My Data Act,” which broadly protects the privacy of certain personal health information and generally requires consent for the collection, use, or sharing of any such information. Similarly, </w:t>
      </w:r>
      <w:r>
        <w:rPr>
          <w:rFonts w:ascii="Times New Roman;sans-serif" w:hAnsi="Times New Roman;sans-serif"/>
          <w:b w:val="false"/>
          <w:color w:val="000000"/>
          <w:sz w:val="20"/>
        </w:rPr>
        <w:t>outside the E.U. and the U.S., a number of countries have adopted or are considering privacy laws and regulations that may result in significant greater compliance burdens. Existing and proposed laws and regulations regarding cybersecurity and monitoring of online behavioral data, such as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Various governmental bodies and many customers and businesses are increasingly focused on environmental, social and governance issues, which has in the past resulted, and may in the future continue to result, in the adoption of new laws and regulations and changing buying practices. If we fail to keep pace with these developments, our reputation and results of operations could be adversely impacted.</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might unintentionally violate such laws now or in the future; such laws or their interpretation or application may be modified; and new laws may be enacted in the future. Any such developments could subject us to legal liability exposure, and harm our business, operating results and financial condition.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the subject of a number of ongoing Actions that have resulted in significant expense, and adverse developments in our ongoing Actions and/or future Actions could have a material adverse effect on our business, results of operations and financial condition.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actively involved in a variety of litigation and other legal matters and may be subject to additional legal, administrative, governmental and/or regulatory proceedings, inquiries and investigations as well as actual or threatened litigation, claims and/or demands, which we refer to collectively as Actions. Refer to Note 15 </w:t>
      </w:r>
      <w:r>
        <w:rPr>
          <w:rFonts w:ascii="Times New Roman;sans-serif" w:hAnsi="Times New Roman;sans-serif"/>
          <w:b w:val="false"/>
          <w:i/>
          <w:color w:val="000000"/>
          <w:sz w:val="20"/>
        </w:rPr>
        <w:t xml:space="preserve">Legal Matters </w:t>
      </w:r>
      <w:r>
        <w:rPr>
          <w:rFonts w:ascii="Times New Roman;sans-serif" w:hAnsi="Times New Roman;sans-serif"/>
          <w:b w:val="false"/>
          <w:color w:val="000000"/>
          <w:sz w:val="20"/>
        </w:rPr>
        <w:t xml:space="preserve">in the Notes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Financial Statements under Item 8 of this Annual Report on Form 10-K for additional information regarding material ongoing 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general, and securities and class action litigation and regulatory investigations in particular, can be expensive and disruptive. We cannot predict the outcome of any particular Action, or whether ongoing Actions will be resolved favorably or ultimately result in charges or material damages, fines or other penalties. Our insurance will not cover all claims that may be asserted against us, and we are unable to predict how long the Actions to which we are currently subject will continue. An unfavorable outcome of any Action may have a material adverse impact on our business, results of operations and financial condition, and regardless of the outcome, Actions can have an adverse impact on the Company because of defense and/or settlement costs, diversion of management resources, reputational risks and other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may be subject to governmental export controls and economic sanctions regulations that could impair our ability to compete in international markets due to licensing requirements and could subject us to liability if we are not in compliance with applicable laws.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or for certain end uses.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and the need to determine the appropriate export classifications of our products,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on February 24, 2022, the United States, U.K., and E.U. have imposed sanctions on Russia in response to its invasion of Ukraine. Many of these sanctions are targeted at Russian banks and Russian sovereign debt. The range of sanctions includes prohibitions on dealings in the debt or equity of certain Russian companies, as well as blocking sanctions imposed on many Russian individuals and entities. On April 6, 2022, the United States issued Executive Order 14071, prohibiting new investment in Russia by a U.S. person. These measures and any future sanctions imposed by the United States or other countries may impact our ability to deal with certain persons or in certain jurisdictions.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severely impact our ability to access U.S. capital markets and conduct our business, and could result in some investors deciding, or being required, to divest their interest, or not to invest, in us.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Industry-specific regulation is evolving and unfavorable industry-specific laws, regulations, or interpretive positions could harm our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industry-specific laws, regulations or interpretive positions may also apply directly to us as a service provider. Any failure or perceived failure by us to comply with such requirements could have a material adverse impact on our business and results of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become subject to additional regulatory and compliance burdens as we expand our product offerings into new conversational businesses that subject us to additional regulations, laws and new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Future regulation of the internet or mobile devices may result in decreased demand for our services and increased costs of doing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which could reduce demand for our services. Laws or regulations that affect the use of the internet or mobile devices, including but not limited to laws affecting net neutrality, could also decrease demand for our services and increase our costs.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growth and development of the market for online services may prompt calls for more stringent consumer protection laws or laws that will inhibit the use of internet-based or mobile-based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or their interpretation or application, may increase our costs of doing business, decrease the expansion of the internet or smartphone usage and, in turn, unfavorably affect demand for our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Climate change and environmental and other sustainability regulations or requirements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Climate change has the potential to negatively affect our business and results of operations, cash flows and prospects. The adverse physical impacts of climate change include increased frequency and severity of natural disasters and extreme weather events such as hurricanes, tornados, wildfires (exacerbated by drought), flooding, and extreme heat, which could pose physical risks to the facilities of our global data providers and other suppliers. Such risks include losses incurred as a result of physical damage to facilities, and business interruption caused by such natural disasters and extreme weather events. These risks could disrupt our operations and our supply chain, which may result in increased costs. In addition, our server infrastructure consumes significant energy resources, including those generated by the burning of fossil fuels. In response to concerns about global climate change, governments may adopt new regulations affecting the use of fossil fuels or requiring the use of alternative fuel sources, resulting in increased costs for the energy usage of our global data centers.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investors and other stakeholders may require us to take steps to demonstrate that we are taking ecologically responsible measures in operating our business and in sourcing services in our supply chain, including our global data center providers. The costs and any expenses we may incur to make our network more energy-efficient and comply with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environmental and other sustainability regulations could negatively impact our operating results. Failure to comply with applicable environmental or other sustainability laws and regulations or other requirements imposed on us could result in material fines and penalties, litigation, regulatory investigation and/or governmental orders requiring us to change our data practices, which could damage our reputation and harm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Intellectual Property</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products and services may infringe upon intellectual property rights of third parties and any infringement could require us to incur substantial costs and may distract our management.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had patent and other infringement lawsuits filed against us claiming that certain of our products and services infringe third party intellectual property rights, and we are subject to the future risk of additional third-party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 Additionally, over the last year, there have been multiple class action lawsuits filed against large language model developers in the Northern District of California, the Southern District of New York, and the Middle District of Tennessee concerning alleged copyright and other intellectual property violations with respect to the information used to train AI models. The outcomes of these litigations may impair our ability to provide our AI technologies.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business and prospects would suffer if we are unable to protect and enforce our intellectual property rights.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U.S. and in certain locations outside the U.S.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The duration of property rights in trademarks, service marks and trade names in the U.S., whether registered or not, is predicated on our continued use. </w: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any issued patent or patents issued in the future may not be broad enough to protect our intellectual property rights;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any issued patent or any patents issued in the future could be successfully challenged by one or more third parties, which could result in our loss of the right to prevent others from exploiting the inventions claimed in the patents;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current and future competitors may independently develop similar technologies, duplicate our services or design around any patents we may have;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to the extent that the invention described in any U.S. patent was made public prior to the filing of the patent application, we may not be able to obtain patent protection in certain countries. We also rely upon copyright, trade secret, trademark and other common law in the U.S.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Issues in the use of AI in our product offerings may result in reputational harm, regulatory compliance issues or liability.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and expect to continue to build, AI into many of our product offerings and we expect this element of our business to grow. We envision a future in which AI operating in our devices, applications and the cloud helps our customers be more productive in their business activities and interactions with consumers. As with many disruptive innovations, AI presents risks and challenges that could affect its adoption, and therefore our business. AI algorithms and models may be flawed. Datasets may be insufficient or contain biased information. Content generated by AI systems may be offensive, illegal, or harmful. Inappropriate or controversial data practices by us or others could impair the acceptance of AI solutions. These deficiencies could undermine the decisions, predictions, or analysis AI applications produce. As a result of these and other challenges associated with innovative technologies, our use of AI systems could subject us to competitive harm, regulatory action, legal liability, including under proposed legislation regulating AI in jurisdictions such as the E.U., applications of existing data protection, privacy, intellectual property, and other laws, and brand or reputational harm. Social and ethical issues relating to new and evolving uses of AI that we may offer may result in reputational harm and liability and may cause us to incur additional research and development (“R&amp;D”) costs to resolve such issues. If we enable or offer AI solutions that have unintended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unintended usage, or are controversial because of their impact on human rights, privacy, employment, intellectual property, or other social issues, we may experience a material adverse effect on our business, results of operations and cash flows.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landscape regarding AI is evolving globally. Potential government regulation related to AI use and ethics may also increase the burden and cost of operations and R&amp;D efforts in this area, and the risk of regulatory compliance issues or other liabilities. Failure to properly remediate AI usage, legal or ethics issues may cause public confidence in AI to be undermined, which could slow adoption of AI in our offerings. The rapid evolution of AI will require the application of resources to develop, test and maintain our products and services to help ensure that AI is implemented ethically in order to minimize unintended, harmful impact. If we enable or offer AI solutions that are controversial because of their impact on human rights, privacy, employment, intellectual property, or other social issues, we may experience a material adverse effect on our business, results of operations and cash flows. </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We may be subject to legal liability and/or negative publicity for the services provided to consumers via our technology platforms.</w:t>
      </w:r>
      <w:r>
        <w:rPr>
          <w:color w:val="000000"/>
        </w:rPr>
        <w:t xml:space="preser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Claims could be made against online services companies under both U.S.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Millennium Copyright Act (“DMCA”) is intended, among other things, to reduce the liability of online service providers for transmitting or storing materials that infringe copyrights of others or referring, listing or linking to third party web properties that include materials that infringe copyrights of others. Additionally, Section 230 of the Communications Decency Act (“CDA”), is intended to provide statutory protections to online service providers who host or distribute third party content. A safe harbor for copyright infringement is also available under the DMCA to certain online service providers that provide specific services, if the providers take certain affirmative steps as set forth in the DMCA. There are various Congressional efforts to restrict the scope of the protections from liability for service providers in certain circumstances. Important questions regarding the safe harbor under the DMCA and the CDA have yet to be litigated, and there can be no assurance that we will meet the safe harbor requirements of the DMCA or of the CDA. If we are not covered by a safe harbor, for any reason, we could be exposed to claims, which could be costly and time-consuming to defend.</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our business, results of operations and financial condition. Any costs incurred as a result of this potential liability could harm our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negative publicity and user sentiment generated as a result of fraudulent or deceptive conduct by users of our technology platforms could damage our reputation, reduce our ability to attract new users or retain our current users, and diminish the value of our brand.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 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SaaS industry, and/or the application of existing laws and regulations to the internet, mobile devices, software sales or export and/or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cloud or SaaS industry, could create new legal or regulatory burdens on our business that could have a material adverse effect on our business, results of operations, and financial condition. Additionally, as we operate outside the U.S., the international regulatory environment relating to the internet, mobile devices, software sales or export, and/or the SaaS industry could have a material adverse effect on our business, results of operations, and financial condition.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International Operations and Tax Issues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results of operations may be adversely impacted due to our exposure to foreign currency exchange rate fluctuations.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currencies other than the U.S. dollar in Europe, Australia, Japan and Israel. As we continue to expand our international operations we become more exposed to the effects of fluctuations in currency exchange rates. Further, as geopolitical volatility around the world increases, there is increasing risk of the imposition of exchange or price controls, or other restrictions on the conversion of foreign currencies, which could have a material adverse effect on our business. As a result of the expanding size and scope of our international operations, our currency rate fluctuation risk associated with the exchange rate movement of the U.S. dollar has increased.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we conduct business in currencies other than the U.S. dollar but report our financial results in U.S. dollars, fluctuations in currency exchange rates could adversely affect our results of operations. For example, during the year ended December 31, 2023, we experienced a foreign currency exchange impact of approximately 1% percent, or approximately $0.3 million if held in constant currency, to our revenue. Fluctuations in the value of the U.S. dollar relative to other foreign currencies could materially affect our revenue, cost of revenue and operating expenses, and result in foreign currency transaction gains and losses. We may seek to enter into hedging transactions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To the extent the international component of our revenues grows, our results of operations will become more sensitive to foreign exchange rate fluctuations. </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We may be unsuccessful in expanding our operations internationally due to additional regulatory requirements, tax liabilities, currency exchange rate fluctuations, and other risks, which could adversely affect our results of operations.</w:t>
      </w:r>
      <w:r>
        <w:rPr>
          <w:color w:val="000000"/>
        </w:rPr>
        <w:t xml:space="preser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U.S., we have operations in Australia, Brazil, Bulgaria, Canada, Costa Rica, France, Germany, Israel, India, Italy, Japan, Mexico, the Netherlands, Singapore, Spain, and the U.K. We have also continued to invest in global messaging initiatives and in acquisitions. Our ability to continue to expand into international markets involves various risks, including the possibility that returns on such investments will not be achieved in the near future, or ever, and the difficulty of competing in markets with which we are unfamiliar.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operations may also fail due to other risks inherent in foreign operations, including: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varied, unfamiliar, unclear and changing legal and regulatory restrictions, including different legal and regulatory standards applicable to internet or mobile services, communications, privacy, data protection, and AI;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difficulties in staffing and managing foreign operations;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differing intellectual property laws that may not provide sufficient protection for our intellectual property;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adverse tax consequences or additional tax liabilities;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difficulty in addressing country-specific business requirements and regulations, for instance, data privacy laws;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fluctuations in currency exchange rates;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strains on financial and other systems to properly administer value-added tax (“VAT”) and other taxes;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different consumer preferences and requirements in specific international markets;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local instability and shifting political, economic, and military conditions including armed conflict and terrorist activity.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rely in part on third-party service providers with international operations. If the third party’s operations were disrupted or discontinued due to local instability or political, economic or military conditions or cyber-attacks, including in connection with the Russia-Ukraine war, then our ability to provide services to some of our current customers and the development of new products or enhancement of existing products could be delayed, and our results of operations could be adversely affected.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any future international expansion plans will require management attention and resources and may be unsuccessful. We may find it impossible or prohibitively expensive to continue expanding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operations may expose us to greater than anticipated income, non-income, and transactional tax liabilities, which could harm our financial condition and results of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heightened scrutiny by fiscal authorities in many jurisdictions on the potential taxation of e-commerce businesses. The Organization for Economic Co-operation and Development (“OECD”) has issued guidelines, referred to as the Base Erosion and Profit Shifting project,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among the key members, particularly the United States, with the latest OECD proposal. The United States has expressed that it would generally support a solution along the lines proposed by the OECD only if the solution was in the form of a “safe-harbor” rather than a mandatory requirement. A failure to reach full consensus on an executable plan within the tight time 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that would affect the taxation of certain e-commerce businesses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and/or other transaction taxes could have an adverse impact on our financial condition in the future.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 increasing number of states have considered or adopted laws that attempt to impose tax collection obligations on out-of-state companies. In June 2018, the Supreme Court of the United States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This decision may significantly increase the effort, resources and costs associated with the sales tax collection and compliance burden. Since the decision, a number of states have enacted sales tax enabling legislation which has had the effect of significantly expanding the liability of e-commerce companies to register, collect and remit state sales taxes from customers.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use our net operating losses to offset future taxable income may be subject to certain limitations.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net operating loss carryforwards (“NOLs”) of approximately $583.1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The use of NOLs from acquired businesses may also be limited under Section 382. Federal NOLs generated in taxable years ending on or before December 31, 2017, are eligible to be carried forward for up to 20 tax years (and carried back up to two tax years) following their incurrence. Federal NOLs generated in taxable years ending after December 31, 2017, are eligible to be carried forward indefinitely, but generally may only offset up to 80% of federal taxable income earned in a taxable year. As of December 31, 2023, approximately $70.2 million of our approximately $583.1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 As a result of a change in the treatment of R&amp;D expenses during the period ending December 31, 2022, the Company is required to capitalize and amortize amounts previously deducted currently. This is resulting in U.S. taxable income that is allowing the Company to utilize its pre-2018 NOLs. The capitalized R&amp;D costs will give rise to future deductions that could result in new NOLs being generated, which NOLs would be eligible to be carried forward indefinitely but would only be able to offset up to 80% of federal taxable income earned in a taxable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entered into a Tax Benefits Preservation Plan (the “Tax Benefits Preservation Plan”), which is designed to reduce the risk of substantial impairment to our NOLs that could result from an “ownership change” within the meaning of Section 382 of the Code. See “Tax Benefits Preservation Plan” in Note 21 –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212529"/>
          <w:sz w:val="20"/>
        </w:rPr>
        <w:t>in the Notes to the Consolidated Financial Statements under Item 8 of this Annual Report on Form 10-K for additional information</w:t>
      </w:r>
      <w:r>
        <w:rPr>
          <w:rFonts w:ascii="Times New Roman;sans-serif" w:hAnsi="Times New Roman;sans-serif"/>
          <w:b w:val="false"/>
          <w:color w:val="000000"/>
          <w:sz w:val="20"/>
        </w:rPr>
        <w:t>. Although the Tax Benefits Preservation Plan is intended to reduce the risk of an “ownership change” within the meaning of Section 382 of the Code, the Company cannot provide any assurance that the Company will not experience such an ownership change or that the Company will otherwise be able to utilize, in full or in part, the Company’s NOLs. Additionally, the Tax Benefits Preservation Plan could deter or prevent a third party from acquiring us even when the acquisition may be favorable to you, make the Company’s common stock less attractive to large institutional holders or otherwise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Political, economic, and military conditions in Israel could negatively impact our Israeli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product development staff, help desk and online sales support operations are located in Israel. As of December 31, 2023, we had 93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Hezbollah and other armed groups, including the ongoing Israel-Hamas war. Furthermore, Iran has threatened to attack Israel and may be developing nuclear weapons.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State of Israel and Israeli companies have been subject to economic boycotts. Several countries and international organizations still restrict business with the State of Israel and with Israeli companies or support and advocate for the implementation of such boycotts. These restrictive laws and policies may have an adverse impact on our results of operations, financial condition or the expansion of our business. A campaign of boycotts, divestment, and sanctions has been undertaken against Israel, which could also adversely affect our business. We are in compliance with applicable anti-boycott rules and regulations administered by the U.S. Departments of Commerce and the Treasury. Actual or perceived political instability in Israel or any negative changes in the political environment, may individually or in the aggregate adversely affect the Israeli economy and, in turn, our business, financial condition and results of operations.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shifting economic and political conditions in the U.S. and in other countries may result in changes in how the U.S. and other countries conduct business and other relations with Israel, which may have an adverse impact on our Israeli operations and a material adverse impact on our business.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Continued hostilities and both current and any future armed conflict, terrorist activity or political instability in the region could adversely affect our operations in Israel and adversely affect the market price of our securities. In addition, escalation of tensions or violence might require more widespread military reserve service by some of our Israeli employees and could result in a significant downturn in the economic or financial condition of Israel, either of which could have a material adverse effect on our operations in Israel and our business.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Outstanding Convertible Notes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Servicing our debt may require a significant amount of cash, and we may not have sufficient cash flow from our business to pay our indebtedness.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In December 2020, we issued $517.5 million in aggregate principal amount of 0% Convertible Senior Notes due 2026 (the “2026 Notes”) in a private placement. The 2026 Notes do not bear any regular interest payments. The 2026 Notes will need to be refinanced on or prior to their December 2026 maturity.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Our ability to make scheduled payments of the principal of, to pay interest on or to refinance our 2026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may not have the ability to raise the funds necessary to settle conversions of our outstanding convertible debt securities in cash or to repurchase them upon a fundamental change, and any future debt may contain limitations on our ability to pay cash upon conversion or repurchase of our outstanding convertible debt securities.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Holders of the 2026 Notes have the right to require us to repurchase all or a portion of their 2026 Notes upon the occurrence of a fundamental change before the maturity date at a fundamental change repurchase price equal to 100% of the principal amount of the 2026 Notes to be repurchased, plus accrued and unpaid interest, if any. In addition, upon conversion of the 2026 Notes, unless we elect to deliver solely shares of our common stock to settle such conversion (other than paying cash in lieu of delivering any fractional share), we are required to make cash payments in respect of the 2026 Notes being converted. However, we may not have enough available cash or be able to obtain financing at the time we are required to make repurchases of the 2026 Notes surrendered therefor or pay cash with respect to the 2026 Notes being converted. In addition, our ability to repurchase the 2026 Notes or to pay cash upon conversions of the 2026 Notes may be limited by law, regulatory authority, or any agreements governing our future indebtedness. Our failure to repurchase the 2026 Notes at a time when the repurchase is required by the indenture or to pay any cash upon conversions of the 2026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grace periods, we may not have sufficient funds to repay the indebtedness and repurchase the 2026 Notes or to pay cash upon conversions of the 2026 Notes.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Provisions in the indentures for our outstanding convertible debt securities may deter or prevent a business combination that may be favorable to you.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prior to the maturity date of the 2026 Notes, the holders of the 2026 Notes will have the right, at their option, to require us to repurchase all or a portion of their 2026 Notes. In addition, if a make-whole fundamental change occurs prior the maturity date of the 2026 Notes, we will in some cases be required to increase the conversion rate for a holder that elects to convert its 2026 Notes in connection with such make-whole fundamental change. Furthermore, the indentures for the 2026 Notes prohibit us from engaging in certain mergers or acquisitions unless, among other things, the surviving entity assumes our obligations under the 2026 Notes. These and other provisions in the indentures governing the 2026 Notes could deter or prevent a third party from acquiring us even when the acquisition may be favorable to you.</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 conditional conversion feature of our outstanding convertible debt securities, if triggered, may adversely affect our financial condition and operating results.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the event the conditional conversion feature of the 2026 Notes is triggered, holders of the 2026 Notes will</w:t>
      </w:r>
      <w:r>
        <w:rPr>
          <w:color w:val="212529"/>
        </w:rPr>
        <w:t xml:space="preserve"> </w:t>
      </w:r>
      <w:r>
        <w:rPr>
          <w:rFonts w:ascii="Times New Roman;sans-serif" w:hAnsi="Times New Roman;sans-serif"/>
          <w:b w:val="false"/>
          <w:color w:val="212529"/>
          <w:sz w:val="20"/>
        </w:rPr>
        <w:t>be entitled to convert their 2026 Notes at any time during specified periods at their option. If one or more holders elect to convert their 2026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the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 accounting method for convertible debt securities that may be settled in cash, such as our outstanding convertible debt securities, could have a material effect on our reported financial results.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w:t>
      </w:r>
      <w:r>
        <w:rPr>
          <w:color w:val="212529"/>
        </w:rPr>
        <w:t xml:space="preserve"> </w:t>
      </w:r>
      <w:r>
        <w:rPr>
          <w:rFonts w:ascii="Times New Roman;sans-serif" w:hAnsi="Times New Roman;sans-serif"/>
          <w:b w:val="false"/>
          <w:color w:val="212529"/>
          <w:sz w:val="20"/>
        </w:rPr>
        <w:t xml:space="preserve">the Financial Accounting Standards Board (“FASB”) Accounting Standards Codification (“ASC”) 470-20, </w:t>
      </w:r>
      <w:r>
        <w:rPr>
          <w:rFonts w:ascii="Times New Roman;sans-serif" w:hAnsi="Times New Roman;sans-serif"/>
          <w:b w:val="false"/>
          <w:i/>
          <w:color w:val="212529"/>
          <w:sz w:val="20"/>
        </w:rPr>
        <w:t>Debt with Conversion and Other Options</w:t>
      </w:r>
      <w:r>
        <w:rPr>
          <w:rFonts w:ascii="Times New Roman;sans-serif" w:hAnsi="Times New Roman;sans-serif"/>
          <w:b w:val="false"/>
          <w:color w:val="212529"/>
          <w:sz w:val="20"/>
        </w:rPr>
        <w:t xml:space="preserve">, an entity was required to separately account for the liability and equity components of the convertible debt instruments (such as the 2026 Notes) that may be settled entirely or partially in cash upon conversion in a manner that reflects the issuer’s economic interest cost. The effect of ASC 470-20 on the accounting for the 2026 Notes and the Company’s 0.75% Convertible Senior Notes due 2024 which were outstanding during the period presented (the “2024 Notes” and together with the 2026 Notes “the Notes”) was that the equity component, net of issuance costs, was required to be included in the additional paid-in capital section of stockholders’ equity on our consolidated balance sheets at the issuance date and the value of the equity component was treated as original issue discount for purposes of accounting for the liability component of the Notes.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12529"/>
          <w:sz w:val="20"/>
        </w:rPr>
        <w:t>In August 2020, the FASB issued ASU 2020-06, ASC Subtopic 470-20 “Debt - Debt with Conversion and Other Options” and ASC Subtopic 815-40 “Hedging - Contracts in Entity’s Own Equity” that changed the accounting for the convertible debt instruments described above. Under the new standard, an entity may no longer separately account for the liability and equity components of convertible debt instruments. Additionally, the treasury stock method for calculating earnings per share will no longer be allowed for convertible debt instruments the principal amount of which may be settled using shares. Rather, the “if-converted” method may be required. Application of the “if converted” method may reduce our reported diluted earnings per share. We adopted this standard on January 1, 2022, using the modified retrospective standard. As a result, the 2024 Notes and 2026 Notes are accounted for as a single liability and we use the “if-converted” method of calculating diluted earnings per share. See Note 8 –</w:t>
      </w:r>
      <w:r>
        <w:rPr>
          <w:color w:val="212529"/>
        </w:rPr>
        <w:t xml:space="preserve"> </w:t>
      </w:r>
      <w:r>
        <w:rPr>
          <w:rFonts w:ascii="Times New Roman;sans-serif" w:hAnsi="Times New Roman;sans-serif"/>
          <w:b w:val="false"/>
          <w:i/>
          <w:color w:val="212529"/>
          <w:sz w:val="20"/>
        </w:rPr>
        <w:t>Convertible Senior Notes, Net of Current Portion and Capped Call Transactions</w:t>
      </w:r>
      <w:r>
        <w:rPr>
          <w:color w:val="212529"/>
        </w:rPr>
        <w:t xml:space="preserve"> </w:t>
      </w:r>
      <w:r>
        <w:rPr>
          <w:rFonts w:ascii="Times New Roman;sans-serif" w:hAnsi="Times New Roman;sans-serif"/>
          <w:b w:val="false"/>
          <w:color w:val="212529"/>
          <w:sz w:val="20"/>
        </w:rPr>
        <w:t xml:space="preserve">and Note 1 – </w:t>
      </w:r>
      <w:r>
        <w:rPr>
          <w:rFonts w:ascii="Times New Roman;sans-serif" w:hAnsi="Times New Roman;sans-serif"/>
          <w:b w:val="false"/>
          <w:i/>
          <w:color w:val="212529"/>
          <w:sz w:val="20"/>
        </w:rPr>
        <w:t>Description of Business and Summary of Significant Accounting Policies</w:t>
      </w:r>
      <w:r>
        <w:rPr>
          <w:color w:val="212529"/>
        </w:rPr>
        <w:t xml:space="preserve"> </w:t>
      </w:r>
      <w:r>
        <w:rPr>
          <w:rFonts w:ascii="Times New Roman;sans-serif" w:hAnsi="Times New Roman;sans-serif"/>
          <w:b w:val="false"/>
          <w:color w:val="212529"/>
          <w:sz w:val="20"/>
        </w:rPr>
        <w:t>in the Notes to the Consolidated Financial Statements under Item 8 of this Annual Report on Form 10-K for additional information. We cannot be sure whether other changes may be made to the accounting standards related to the 2024 Notes and 2026 Notes, or otherwise, that could have an adverse impact on our financial statements.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 capped call transactions may affect the value of our outstanding convertible debt securities and our common stock.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connection with the transaction in which we issued the 2026 Notes, we entered into capped call transactions with certain option counterparties. The capped call transactions are expected generally to reduce the potential dilution to our common stock upon any conversion of the 2026 Notes and/or offset any cash payments we are required to make in excess of the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amount of the converted 2026 Notes, as the case may be, upon any conversion of the 2026 Notes, with such reduction and/or offset subject to a cap.</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The option counterparties or their respective affiliates are expected to modify their hedge positions by entering into or unwinding various derivatives with respect to our common stock and/or purchasing or selling our common stock, the 2026 Notes or other of our securities or instruments (if any), in secondary market transactions prior to the maturity of the 2026 Notes (and are likely to do so during any observation period related to a conversion of the 2026 Notes or following any earlier conversion or any repurchase of the 2026 Notes by us on any fundamental change repurchase date or otherwise). This activity could also cause or avoid an increase or a decrease in the market price of our common stock or the 2026 Notes, which could affect a holder’s ability to convert the 2026 Notes and, to the extent the activity occurs during any observation period related to a conversion of the 2026 Notes, it could affect the amount and value of the consideration that a holder will receive upon conversion of such 2026 Notes.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The potential effect, if any, of these transactions and activities on the market price of our common stock or the 2026 Notes will depend in part on market conditions and cannot be ascertained at this time. Any of these activities could adversely affect the value of our common stock and the value of the 2026 Notes (and as a result, the amount and value of the consideration that a holder would receive upon the conversion of any 2026 Notes) and, under certain circumstances, a holder’s ability to convert his or her 2026 Notes.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We do not make any representation or prediction as to the direction or magnitude of any potential effect that the transactions described above may have on the price of our common stock or the 2026 Notes. In addition, we do not make any representation that the option counterparties or their respective affiliates will engage in these transactions or that these transactions, once commenced, will not be discontinued without notice.</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Common Stock</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stock price has been, and may continue to be, highly volatile, which could reduce the value of your investment and subject us to litigation.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quarterly variations in our operating results or those of our competitors;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earnings announcements that are not in line with analyst expectations;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changes in recommendations or financial estimates by securities analysts;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announcements or rumors about mergers or strategic acquisitions by us or by our competitors;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announcements about customer additions and cancellations or failure to complete significant sales;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changes in market valuations of companies that investors believe are comparable to us;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additions or departures of key personnel;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consequences of unexpected geopolitical events, natural disasters, acts of war or climate change;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pandemics, epidemics or similar widespread public health concerns;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general economic, political and market conditions, such as recessions, political unrest or terrorist attacks, or in the specific locations where we operate, such as the United States, Israel and the U.K.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extreme price and volume fluctuations in the stock markets generally, and in the markets for technology companies in particular, could cause the market price for our common stock to decline. As a result of such volatility in the market price of our common stock, we have been the subject of securities class action litigation and may in the future be the target of similar litigation, which could result in substantial costs and distract management’s attention and resources. </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Our common stock is traded on more than one market and this may result in price variations</w:t>
      </w:r>
      <w:r>
        <w:rPr>
          <w:rFonts w:ascii="Times New Roman;sans-serif" w:hAnsi="Times New Roman;sans-serif"/>
          <w:b/>
          <w:i/>
          <w:color w:val="000000"/>
          <w:sz w:val="20"/>
        </w:rPr>
        <w:t xml:space="preserv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6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currently traded on the Nasdaq and the TASE. Trading in our common stock on these markets takes place in different currencies (U.S. dollars on the Nasdaq and New Israeli Shekels (“NIS”)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Future sales of substantial amounts of our common stock may negatively affect our stock price.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stockholders sell substantial amounts of our common stock, including shares issuable upon the exercise of outstanding options and warrants, or upon the conversion of the 2026 Notes,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Provisions in our charter documents and Delaware law could discourage, delay, or prevent a takeover that stockholders may consider favorable.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board of directors is divided into three classes, with each class serving three-year staggered terms, which prevents stockholders from electing an entirely new board of directors at any annual meeting;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Vacancies on our board of directors may only be filled by a vote of a majority of directors then in office, even if less than a quorum;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amended and restated certificate of incorporation prohibits cumulative voting in the election of directors or any other matters. This limits the ability of minority stockholders to elect director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stockholders may only act at a duly called annual or special meeting and may not act by written consent;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Stockholders must provide advance notice to nominate individuals for election to our board of directors or to propose other matters that can be acted upon at a stockholders’ meeting;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require supermajority voting by stockholders to amend certain provisions in our amended and restated certificate of incorporation and to amend our amended and restated bylaws;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amended and restated bylaws expressly authorize a supermajority of the board of directors to amend our amended and restated bylaws.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 </w:t>
      </w:r>
    </w:p>
    <w:p>
      <w:pPr>
        <w:pStyle w:val="TextBody"/>
        <w:bidi w:val="0"/>
        <w:spacing w:before="0" w:after="0"/>
        <w:ind w:left="0" w:right="0" w:firstLine="4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1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and maintains a cybersecurity program governed by an information security team responsible for managing and directing strategy, policy, standards, architecture, controls, and processes. The cybersecurity program is underpinned by a cybersecurity risk management framework designed to identify and prioritize cybersecurity risks to the Company and is overseen by our Board of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both"/>
        <w:rPr/>
      </w:pPr>
      <w:bookmarkStart w:id="0" w:name="i8f17bae6631a419d9103412df63fe9d6_159328"/>
      <w:bookmarkEnd w:id="0"/>
      <w:r>
        <w:rPr>
          <w:rFonts w:ascii="Times New Roman;sans-serif" w:hAnsi="Times New Roman;sans-serif"/>
          <w:b w:val="false"/>
          <w:i/>
          <w:color w:val="000000"/>
          <w:sz w:val="20"/>
        </w:rPr>
        <w:t>Risk management and strategy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program is designed to protect our information systems from cyber threats and to ensure the confidentiality, integrity and availability of systems and information used, owned or managed by the Company related to our employees, our customers and their users. This involves an ongoing effort to protect against, detect and respond to cybersecurity threats and vulnerabilities. LivePerson maintains a security risk management program that is tasked with determining the cybersecurity threats that pose the greatest risk to the Company. This program is managed by the Security Risk Committee, chaired by the Chief Security Officer (“CSO”), as well as representative members from security, operations, and internal audit leadership. The committee meets at least twice annually. A resultant risk assessment produced by the committee is leveraged to inform senior leadership and our Board of Directors on top areas of risk, as well as to shape the security and technology team’s roadmap.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includes a number of components, such as: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regular cybersecurity risk assessments, audits, and penetration tests;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policies generally aligned with industry standards such as Information Security Standard (“ISO”) / International Electrotechnical Commission –27001 and the PCI Data Security Standard;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measures to block and prevent certain malicious activity, such as endpoint detection and response controls;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measures to block and prevent certain network attacks, such as firewalls and Distributed Denial of Service mitigation tools;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measures to secure remote access, such as virtual private networks and multi-factor authentication;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cybersecurity training programs for employees, contractors and agents, including regular phishing simulations;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vulnerability disclosure program to compensate researchers for responsible disclosure of vulnerabilities in our platform;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maintenance of a Security Incident Response Plan with periodic tabletop testing;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third-party risk management processes designed to manage risks associated with vendors and suppliers.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goal of the Company’s information security program is to manage risks in a prioritized fashion; however, control gaps and/or their related control effectiveness, resource constraints, and execution failure can pose cybersecurity risk to the Company. In the event of a cyber incident, the Company has a process in place whereby the information security team will alert the appropriate levels of management, as well as the legal and finance departments so that the materiality of any such event can be determined.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actively engages with key vendors and industry participants, and monitors and analyzes intelligence and law enforcement community security publications as part of its continuing efforts to obtain current threat intelligence, collaborate on security enhancements, and evaluate and improve the effectiveness of its cybersecurity processes. The Company also regularly engages with external parties to perform:</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periodic cybersecurity assessments, such as maturity assessments against the National Institute of Standards and Technology Cybersecurity Framework;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managed detection and response for certain public cloud environments;</w:t>
      </w:r>
    </w:p>
    <w:p>
      <w:pPr>
        <w:pStyle w:val="TextBody"/>
        <w:bidi w:val="0"/>
        <w:spacing w:lineRule="auto" w:line="268" w:before="0" w:after="60"/>
        <w:ind w:left="0" w:right="0" w:hanging="360"/>
        <w:jc w:val="both"/>
        <w:rPr/>
      </w:pPr>
      <w:r>
        <w:rPr>
          <w:color w:val="000000"/>
        </w:rPr>
        <w:t>•</w:t>
      </w:r>
      <w:r>
        <w:rPr>
          <w:rFonts w:ascii="Times New Roman;sans-serif" w:hAnsi="Times New Roman;sans-serif"/>
          <w:b w:val="false"/>
          <w:color w:val="000000"/>
          <w:sz w:val="20"/>
        </w:rPr>
        <w:t>penetration testing;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continuous proactive threat hunting;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cyber threat intelligence services including dark web monitoring;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audits against industry standards including Systems and Organization Controls 2 (“SOC 2”), ISO 27001, PCI, and the HITRUST CST.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the ordinary course of our business, our third-party service providers (“TPSPs”) collect, process and store certain information and other data related to us or our customers and their users. We assess the cybersecurity practices of our TPSPs through a variety of measures, including a due diligence process designed to assess and manage the potential risks of such TPSPs to the Company. This process involves evaluation of security questionnaires, review of available SOC 2 reports, and performance of interviews prior to onboarding TPSPs over certain risk thresholds, with annual re-reviews for our highest risk tier TPSPs.</w:t>
      </w:r>
      <w:r>
        <w:rPr>
          <w:color w:val="000000"/>
        </w:rPr>
        <w:t xml:space="preserve"> </w:t>
      </w:r>
      <w:r>
        <w:rPr>
          <w:rFonts w:ascii="Times New Roman;sans-serif" w:hAnsi="Times New Roman;sans-serif"/>
          <w:b w:val="false"/>
          <w:color w:val="000000"/>
          <w:sz w:val="20"/>
        </w:rPr>
        <w:t xml:space="preserve">Despite these measures, we are reliant on the security practices of our TPSPs, which may be outside of our direct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experience cyber-attacks of varying degrees on a regular basis in the ordinary course of our business. As of the date of this report and for the time period of January 1, 2023, through December 31, 2023, the Company is not aware of any risks from cybersecurity threats that have materially affected or are reasonably likely to materially affect the Company, including its business strategy, results of operations, or financial condition. However, there can be no assurance that we will not be materially affected by such risks in the future. For information on the cybersecurity threats and risks we face and the potential impacts on the business related thereto, see Item 1A. </w:t>
      </w:r>
      <w:r>
        <w:rPr>
          <w:rFonts w:ascii="Times New Roman;sans-serif" w:hAnsi="Times New Roman;sans-serif"/>
          <w:b w:val="false"/>
          <w:i/>
          <w:color w:val="000000"/>
          <w:sz w:val="20"/>
        </w:rPr>
        <w:t>Risk Factors – Risks Related to Security Vulnerabilities and Service Reliability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security team is led by our CSO. Mr. Friedman has held the position of CSO at organizations across multiple industries, including financial services, for over 13 years and holds industry security certifications including Certified Information Systems Security Professional (“CISSP”), Certified Information Systems Auditor (“CISA”), Certified Information Security Manager, and Certified in Risk and Information Systems Control. Many members of the information security team also hold CISSP, CISA and other security related certifications. The information security team is made aware of security risks and incidents through a number of channels:</w:t>
      </w:r>
    </w:p>
    <w:p>
      <w:pPr>
        <w:pStyle w:val="TextBody"/>
        <w:bidi w:val="0"/>
        <w:spacing w:before="0" w:after="0"/>
        <w:ind w:left="0" w:right="0" w:firstLine="72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performance of risk assessments on at least an annual basis by the Security Risk Committee;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providing SOC capabilities for the detection and response of cyber incidents;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serving as the point of contact for reporting actual or suspected cyber incidents;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managing compliance and certification for in-scope security related compliance frameworks and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managing internal and external penetration tests, vulnerability scans, and the Company’s vulnerability disclosure program;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monitoring of cyber threat intelligence and</w:t>
      </w:r>
      <w:r>
        <w:rPr>
          <w:color w:val="0094FF"/>
        </w:rPr>
        <w:t xml:space="preserve"> </w:t>
      </w:r>
      <w:r>
        <w:rPr>
          <w:rFonts w:ascii="Times New Roman;sans-serif" w:hAnsi="Times New Roman;sans-serif"/>
          <w:b w:val="false"/>
          <w:color w:val="000000"/>
          <w:sz w:val="20"/>
        </w:rPr>
        <w:t xml:space="preserve">evaluation and analysis of the potential impact of “zero day” vulnerabilities.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takes an active role in overseeing the management of cybersecurity risks to the Company. The information security team provides periodic reports to the Cybersecurity and Technology Committee of the Board, as well as to the full Board, the Company’s Chief Executive Officer and other members of senior management, as appropriate. These reports include updates on the Company’s cyber risks and threats, the status of projects to strengthen its information security systems, assessments of the cybersecurity program and the emerging threat landscape. The cybersecurity program is periodically evaluated by internal and external experts with the results of those reviews reported to senior management and the Board of Directors.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LivePerson’s corporate headquarters are located in New York City, NY and we maintain a globally distributed, remote workforce. The Company primarily operates under an “employee-centric” workforce model, leveraging its expertise in AI and asynchronous communication to support operations, culture and productivity in this new environment. Under this model, the Company occupies certain leased space to provide its employees with the option of working in an office space environment.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have data centers in the United States, Europe, and Australia pursuant to various lease agreements. We believe that our current facilities properties are in good condition and provide adequate capacity to meet our current needs. If required, we believe that we will be able to obtain suitable additional space on commercially reasonable terms. </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material set forth in Note 15 </w:t>
      </w:r>
      <w:r>
        <w:rPr>
          <w:color w:val="000000"/>
        </w:rPr>
        <w:t xml:space="preserve">– </w:t>
      </w:r>
      <w:r>
        <w:rPr>
          <w:rFonts w:ascii="Times New Roman;sans-serif" w:hAnsi="Times New Roman;sans-serif"/>
          <w:b w:val="false"/>
          <w:i/>
          <w:color w:val="000000"/>
          <w:sz w:val="20"/>
          <w:shd w:fill="FFFFFF" w:val="clear"/>
        </w:rPr>
        <w:t>Legal Matters</w:t>
      </w:r>
      <w:r>
        <w:rPr>
          <w:color w:val="000000"/>
          <w:shd w:fill="FFFFFF" w:val="clear"/>
        </w:rPr>
        <w:t xml:space="preserve"> </w:t>
      </w:r>
      <w:r>
        <w:rPr>
          <w:rFonts w:ascii="Times New Roman;sans-serif" w:hAnsi="Times New Roman;sans-serif"/>
          <w:b w:val="false"/>
          <w:color w:val="000000"/>
          <w:sz w:val="20"/>
          <w:shd w:fill="FFFFFF" w:val="clear"/>
        </w:rPr>
        <w:t>in the Notes to the Consolidated Financial Statements under Item 8 of this Annual Report on Form 10-K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Price Range of Common Stock. </w:t>
      </w:r>
      <w:r>
        <w:rPr>
          <w:rFonts w:ascii="Times New Roman;sans-serif" w:hAnsi="Times New Roman;sans-serif"/>
          <w:b w:val="false"/>
          <w:color w:val="000000"/>
          <w:sz w:val="20"/>
        </w:rPr>
        <w:t>The principal United States market on which our common stock is traded is the Nasdaq under the symbol “LPSN”. Our shares of common stock are also traded on the TASE under the symbol “LPSN TA”.</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Holders. </w:t>
      </w:r>
      <w:r>
        <w:rPr>
          <w:rFonts w:ascii="Times New Roman;sans-serif" w:hAnsi="Times New Roman;sans-serif"/>
          <w:b w:val="false"/>
          <w:color w:val="000000"/>
          <w:sz w:val="20"/>
        </w:rPr>
        <w:t>As of February 23, 2024, there were approximately 232 holders of record of our common stock.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Dividends. </w:t>
      </w:r>
      <w:r>
        <w:rPr>
          <w:rFonts w:ascii="Times New Roman;sans-serif" w:hAnsi="Times New Roman;sans-serif"/>
          <w:b w:val="false"/>
          <w:color w:val="000000"/>
          <w:sz w:val="20"/>
        </w:rPr>
        <w:t>We have not declared or paid any cash dividends on our capital stock since our inception. We intend to retain earnings, if any, to finance the operation and expansion of our business and do not anticipate paying any cash dividends in the foreseeable future.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Issuer Purchases of Equity Securities. </w:t>
      </w:r>
      <w:r>
        <w:rPr>
          <w:rFonts w:ascii="Times New Roman;sans-serif" w:hAnsi="Times New Roman;sans-serif"/>
          <w:b w:val="false"/>
          <w:color w:val="000000"/>
          <w:sz w:val="20"/>
        </w:rPr>
        <w:t>There were no repurchases of the Company’s equity securities during the three months ended December 31,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Stock Performance Graph. </w:t>
      </w:r>
      <w:r>
        <w:rPr>
          <w:rFonts w:ascii="Times New Roman;sans-serif" w:hAnsi="Times New Roman;sans-serif"/>
          <w:b w:val="false"/>
          <w:color w:val="000000"/>
          <w:sz w:val="20"/>
        </w:rPr>
        <w:t>The graph depicted below compares the annual percentage changes in LivePerson’s cumulative total stockholder return with the cumulative total return of the Standard &amp; Poor’s SmallCap 600 Index and the Standard &amp; Poor’s Information Technology Index.</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drawing>
          <wp:inline distT="0" distB="0" distL="0" distR="0">
            <wp:extent cx="5029200" cy="379095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5029200" cy="3790950"/>
                    </a:xfrm>
                    <a:prstGeom prst="rect">
                      <a:avLst/>
                    </a:prstGeom>
                  </pic:spPr>
                </pic:pic>
              </a:graphicData>
            </a:graphic>
          </wp:inline>
        </w:drawing>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center"/>
        <w:rPr/>
      </w:pPr>
      <w:r>
        <w:rPr/>
      </w:r>
    </w:p>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graph covers the period from December 31, 2018 to December 31, 2023.</w:t>
      </w:r>
    </w:p>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graph assumes that $100 was invested at the market close on December 31, 2018 in LivePerson’s Common Stock, in the Standard &amp; Poor’s SmallCap 600 Index and in the Standard &amp; Poor’s Information Technology Index, and that all dividends were reinvested. No cash dividends have been declared on LivePerson’s Common Stock.</w:t>
      </w:r>
    </w:p>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(3)Stockholder returns over the indicated period should not be considered indicative of future stockholder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6. [Reserved]</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0"/>
        <w:jc w:val="both"/>
        <w:rPr>
          <w:color w:val="FF0000"/>
          <w:shd w:fill="FFFFFF" w:val="clear"/>
        </w:rPr>
      </w:pPr>
      <w:r>
        <w:rPr>
          <w:color w:val="FF0000"/>
          <w:shd w:fill="FFFFFF" w:val="clear"/>
        </w:rPr>
        <w:t>    </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ans-serif" w:hAnsi="Times New Roman;sans-serif"/>
          <w:b/>
          <w:color w:val="000000"/>
          <w:sz w:val="20"/>
        </w:rPr>
        <w:t>Key Metrics</w:t>
      </w:r>
      <w:r>
        <w:rPr>
          <w:color w:val="3051F2"/>
        </w:rPr>
        <w:t xml:space="preserve">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Average Annual Revenue Per Enterprise and Mid-market Customer (“ARPC”) and revenue retention are currently the key performance metrics our management uses to assess the health and trajectory of the Company. These metrics should be viewed independently of revenue, deferred revenue and remaining performance obligations. ARPC increased to approximately $610,000 in 2023, as compared to approximately $545,000 in 2022. </w:t>
      </w:r>
      <w:r>
        <w:rPr>
          <w:rFonts w:ascii="Times New Roman;sans-serif" w:hAnsi="Times New Roman;sans-serif"/>
          <w:b w:val="false"/>
          <w:color w:val="000000"/>
          <w:sz w:val="20"/>
          <w:shd w:fill="FFFFFF" w:val="clear"/>
        </w:rPr>
        <w:t xml:space="preserve">Revenue retention for our enterprise and mid-market customers on the Conversational Cloud, which represents </w:t>
      </w:r>
      <w:r>
        <w:rPr>
          <w:rFonts w:ascii="Times New Roman;sans-serif" w:hAnsi="Times New Roman;sans-serif"/>
          <w:b w:val="false"/>
          <w:color w:val="000000"/>
          <w:sz w:val="20"/>
        </w:rPr>
        <w:t xml:space="preserve">the trailing-twelve-month change in total revenue from existing customers after upsells, downsells and attrition, </w:t>
      </w:r>
      <w:r>
        <w:rPr>
          <w:rFonts w:ascii="Times New Roman;sans-serif" w:hAnsi="Times New Roman;sans-serif"/>
          <w:b w:val="false"/>
          <w:color w:val="000000"/>
          <w:sz w:val="20"/>
          <w:shd w:fill="FFFFFF" w:val="clear"/>
        </w:rPr>
        <w:t>was approximately 95%, below our target range of</w:t>
      </w:r>
      <w:r>
        <w:rPr>
          <w:color w:val="000000"/>
        </w:rPr>
        <w:t xml:space="preserve"> </w:t>
      </w:r>
      <w:r>
        <w:rPr>
          <w:rFonts w:ascii="Times New Roman;sans-serif" w:hAnsi="Times New Roman;sans-serif"/>
          <w:b w:val="false"/>
          <w:color w:val="000000"/>
          <w:sz w:val="20"/>
        </w:rPr>
        <w:t>105% to 115% in 2023, as compared to 2022, where our revenue retention rate for enterprise and mid-market customers on Conversational Cloud was within the target range.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believe that the assumptions and estimates associated with revenue recognition and valuation of goodwill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our significant accounting policies, see Note 1 – </w:t>
      </w:r>
      <w:r>
        <w:rPr>
          <w:rFonts w:ascii="Times New Roman;sans-serif" w:hAnsi="Times New Roman;sans-serif"/>
          <w:b w:val="false"/>
          <w:i/>
          <w:color w:val="000000"/>
          <w:sz w:val="20"/>
        </w:rPr>
        <w:t>Description of Business and Summary of Significant Accounting Policies</w:t>
      </w:r>
      <w:r>
        <w:rPr>
          <w:color w:val="000000"/>
        </w:rPr>
        <w:t xml:space="preserve"> </w:t>
      </w:r>
      <w:r>
        <w:rPr>
          <w:rFonts w:ascii="Times New Roman;sans-serif" w:hAnsi="Times New Roman;sans-serif"/>
          <w:b w:val="false"/>
          <w:color w:val="000000"/>
          <w:sz w:val="20"/>
        </w:rPr>
        <w:t>in the Notes to the Consolidated Financial Statements under Item 8 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majority of our revenue is generated from hosted service revenues, which is inclusive of our platform pricing model. Revenues are recognized when control of these services is transferred to our customers, in an amount that reflects the consideration we expect to be entitled to in exchange for those services.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is reported at the amount that reflects the ultimate consideration we expect to receive in exchange for such services. The Company’s professional services revenue consists of fees that provide customers with product support and updates during the term of the arrangement, which is typically one year or longer in length, billed monthly, quarterly or annually in advance. Revenue is generally recognized ratably over the contract term. The Company’s professional services revenue also includes custom support services, which differ from the Company’s standard product support. These custom support revenues are recognized as the services are performed.</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Goodwill represents the excess of the aggregate purchase price over the fair value of net identifiable assets acquired in a business combination. We evaluate goodwill for impairment on an annual basis in the third quarter, and more frequently whenever events or substantive changes in circumstances indicate that it is more likely than not that the carrying value of a reporting unit exceeds its fair value in accordance with ASC 820, “Fair Value Measurement.” In performing the goodwill impairment test, we first assess qualitative factors to determine the existence of impairment. If the qualitative factors indicate that the carrying value of a reporting unit more likely than not exceeds its fair value, we proceed to a quantitative test to measure the existence and amount, if any, of goodwill impairment. We may also choose to bypass the qualitative assessment and proceed directly to the quantitative test. In performing the quantitative test, impairment loss is recorded to the extent that the carrying value of the reporting unit exceeds its assessed fair value. We determine the fair value using the income and market approaches. </w:t>
      </w:r>
      <w:r>
        <w:rPr>
          <w:rFonts w:ascii="Times New Roman;sans-serif" w:hAnsi="Times New Roman;sans-serif"/>
          <w:b w:val="false"/>
          <w:color w:val="000000"/>
          <w:sz w:val="20"/>
          <w:shd w:fill="FFFFFF" w:val="clear"/>
        </w:rPr>
        <w:t xml:space="preserve">During the fourth quarter of 2023, the Company voluntarily changed its annual goodwill testing date from September 30 to October 1. The Company believes this change of method of applying the accounting principle is preferable, as it more closely aligns the annual impairment testing date with the most current information from the budgeting and strategic planning process and provides management with sufficient time to complete its annual assessment. This change will be applied prospectively, as retrospective application would be impracticable.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impairment test completed as of September 30, 2023 using the quantitative “Step 1” assessment, we determined the fair value of our reporting units, using both an income approach and a market approach. The income approach uses a discounted cash flow model that reflects our assumptions regarding revenue growth rates, operating margins, risk-adjusted discount rate, terminal period growth rate, economic and market trends and other expectations about the anticipated operating results of the reporting units. Under the market approach, we estimate the fair value based on market multiples of revenues derived from comparable publicly traded companies with operating characteristics similar to the reporting units.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2023 annual goodwill impairment test, the Company recorded a non-cash impairment charge of $11.9 million in our consolidated statements of operations, representing a portion of goodwill related to the WildHealth reporting unit. This conclusion was primarily based upon slower growth in existing revenue streams and strategic decisions to reduce or eliminate investment in new and existing revenue streams previously planned for expansion. Our latest available financial forecasts at the time of the annual goodwill impairment test reflected lower cash flows than previously projected related to the WildHealth reporting unit. There were no impairments of our Business reporting unit, as the fair value of this reporting unit substantially exceeded its carrying value.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See Note 1 – </w:t>
      </w:r>
      <w:r>
        <w:rPr>
          <w:rFonts w:ascii="Times New Roman;sans-serif" w:hAnsi="Times New Roman;sans-serif"/>
          <w:b w:val="false"/>
          <w:i/>
          <w:color w:val="000000"/>
          <w:sz w:val="20"/>
        </w:rPr>
        <w:t>Description of Business and Summary of Significant Accounting Policies</w:t>
      </w:r>
      <w:r>
        <w:rPr>
          <w:color w:val="000000"/>
        </w:rPr>
        <w:t xml:space="preserve"> </w:t>
      </w:r>
      <w:r>
        <w:rPr>
          <w:rFonts w:ascii="Times New Roman;sans-serif" w:hAnsi="Times New Roman;sans-serif"/>
          <w:b w:val="false"/>
          <w:color w:val="000000"/>
          <w:sz w:val="20"/>
        </w:rPr>
        <w:t>in the Notes to the Consolidated Financial Statements under Item 8 of this Annual Report on Form 10-K for additional information about recent accounting guidance not yet adopted and recently adopted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enable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one consumer.</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years presented and as a percentage of our revenues for those periods. The period-to-period comparison of financial results is not necessarily indicative of future results.</w:t>
      </w:r>
    </w:p>
    <w:tbl>
      <w:tblPr>
        <w:tblW w:w="9087" w:type="dxa"/>
        <w:jc w:val="center"/>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20"/>
        <w:gridCol w:w="220"/>
        <w:gridCol w:w="551"/>
        <w:gridCol w:w="109"/>
        <w:gridCol w:w="109"/>
        <w:gridCol w:w="109"/>
        <w:gridCol w:w="211"/>
        <w:gridCol w:w="826"/>
        <w:gridCol w:w="109"/>
        <w:gridCol w:w="109"/>
        <w:gridCol w:w="109"/>
        <w:gridCol w:w="109"/>
        <w:gridCol w:w="211"/>
        <w:gridCol w:w="826"/>
        <w:gridCol w:w="10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22% to $402.0 million for the year ended December 31, 2023, from $514.8 million for the year ended December 31, 2022. This decrease in revenue is driven primarily by decreases in hosted services of approximately $79.5 million and Professional Services of approximately $33.3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Included in hosted services is a decrease in revenue that is variable based on interactions and usage of approximately $40.8 million </w:t>
      </w:r>
      <w:r>
        <w:rPr>
          <w:rFonts w:ascii="Times New Roman;sans-serif" w:hAnsi="Times New Roman;sans-serif"/>
          <w:b w:val="false"/>
          <w:color w:val="000000"/>
          <w:sz w:val="20"/>
          <w:shd w:fill="FFFFFF" w:val="clear"/>
        </w:rPr>
        <w:t xml:space="preserve">for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Further,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Hosted services for Consumer included $7.1 million, $37.1 million, and $37.7 million for the years ended December 31, 2023, 2022, and 2021, respectively, relating to Kasamba. The decrease in Professional Services revenue is driven by the build out of the </w:t>
      </w:r>
      <w:r>
        <w:rPr>
          <w:rFonts w:ascii="Times New Roman;sans-serif" w:hAnsi="Times New Roman;sans-serif"/>
          <w:b w:val="false"/>
          <w:color w:val="000000"/>
          <w:sz w:val="20"/>
          <w:shd w:fill="FFFFFF" w:val="clear"/>
        </w:rPr>
        <w:t>Claire Holdings, Inc. (“Claire”) joint venture</w:t>
      </w:r>
      <w:r>
        <w:rPr>
          <w:color w:val="000000"/>
        </w:rPr>
        <w:t xml:space="preserve"> </w:t>
      </w:r>
      <w:r>
        <w:rPr>
          <w:rFonts w:ascii="Times New Roman;sans-serif" w:hAnsi="Times New Roman;sans-serif"/>
          <w:b w:val="false"/>
          <w:color w:val="000000"/>
          <w:sz w:val="20"/>
        </w:rPr>
        <w:t xml:space="preserve">platform, which resulted in a decrease of approximately $34.9 million </w:t>
      </w:r>
      <w:r>
        <w:rPr>
          <w:rFonts w:ascii="Times New Roman;sans-serif" w:hAnsi="Times New Roman;sans-serif"/>
          <w:b w:val="false"/>
          <w:color w:val="000000"/>
          <w:sz w:val="20"/>
          <w:shd w:fill="FFFFFF" w:val="clear"/>
        </w:rPr>
        <w:t xml:space="preserve">for the year ended </w:t>
      </w:r>
      <w:r>
        <w:rPr>
          <w:rFonts w:ascii="Times New Roman;sans-serif" w:hAnsi="Times New Roman;sans-serif"/>
          <w:b w:val="false"/>
          <w:color w:val="000000"/>
          <w:sz w:val="20"/>
        </w:rPr>
        <w:t xml:space="preserve">December 31, 2023. Refer to Note 19 - </w:t>
      </w:r>
      <w:r>
        <w:rPr>
          <w:rFonts w:ascii="Times New Roman;sans-serif" w:hAnsi="Times New Roman;sans-serif"/>
          <w:b w:val="false"/>
          <w:i/>
          <w:color w:val="000000"/>
          <w:sz w:val="20"/>
        </w:rPr>
        <w:t>Related Parties</w:t>
      </w:r>
      <w:r>
        <w:rPr>
          <w:rFonts w:ascii="Times New Roman;sans-serif" w:hAnsi="Times New Roman;sans-serif"/>
          <w:b w:val="false"/>
          <w:color w:val="000000"/>
          <w:sz w:val="20"/>
        </w:rPr>
        <w:t>, for additional information about the commercial agreement arrangement.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ARPC for our enterprise and mid-market customers was approximately $610,000 for the trailing twelve months ended December 31, 2023, as compared to $545,000 for the trailing twelve months ended December 31, 2022. Revenue retention for our enterprise and mid-market customers on the Conversational Cloud was below our target range of 105% to 115% for 2023, but was within this range for 2022.</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10% to $514.8 million for the year ended December 31, 2022, from $469.6 million for the year ended December 31, 2021. This increase in Business revenue is driven primarily by increases in hosted services of approximately $10.5 million and an increase in Professional Services of approximately $34.6 million. The increase in professional services is primarily driven by increased revenue related to the Claire joint venture platform. The increase in hosted services is primarily related to the acquisitions of e-bot7 GmbH (“e-bot7”), Callinize, Inc. (dba Tenfold) (“Tenfold”) and VoiceBase, Inc. (“VoiceBase”), partially offset by a decrease in revenue that is variable based on interactions and usage of approximately $21.7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headwinds in our expansion and retention efforts that have slowed our ability to attract new customers to our product, and we have experienced cancellations and downsell. Further, we have observed customers tending to cancel on shorter notice than previously. We are also actively marketing a sale of WildHealth, which contributed $3.4 million of revenue during the fourth quarter, inclusive of approximately $2.0 million received through delayed Medicare reimbursement. While we are observing a positive operational impact from recent changes to our go-to-market motion, considering the length of our sales and renewal cycles, there can be no assurance that we will be able to fully mitigate or reverse these unfavorable trends, and it would take time for these operational changes to translate into significant improvements to key financial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91"/>
        <w:gridCol w:w="358"/>
        <w:gridCol w:w="360"/>
        <w:gridCol w:w="211"/>
        <w:gridCol w:w="826"/>
        <w:gridCol w:w="271"/>
        <w:gridCol w:w="109"/>
        <w:gridCol w:w="109"/>
        <w:gridCol w:w="109"/>
        <w:gridCol w:w="211"/>
        <w:gridCol w:w="826"/>
        <w:gridCol w:w="271"/>
        <w:gridCol w:w="109"/>
        <w:gridCol w:w="109"/>
        <w:gridCol w:w="109"/>
        <w:gridCol w:w="220"/>
        <w:gridCol w:w="220"/>
        <w:gridCol w:w="551"/>
        <w:gridCol w:w="109"/>
        <w:gridCol w:w="109"/>
        <w:gridCol w:w="109"/>
        <w:gridCol w:w="211"/>
        <w:gridCol w:w="826"/>
        <w:gridCol w:w="271"/>
        <w:gridCol w:w="109"/>
        <w:gridCol w:w="109"/>
        <w:gridCol w:w="109"/>
        <w:gridCol w:w="211"/>
        <w:gridCol w:w="826"/>
        <w:gridCol w:w="271"/>
        <w:gridCol w:w="109"/>
        <w:gridCol w:w="109"/>
        <w:gridCol w:w="109"/>
        <w:gridCol w:w="211"/>
        <w:gridCol w:w="211"/>
        <w:gridCol w:w="616"/>
      </w:tblGrid>
      <w:tr>
        <w:trPr/>
        <w:tc>
          <w:tcPr>
            <w:tcW w:w="5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Cost of revenue decreased by 23% to $142.8 million for the year ended December 31, 2023, from $184.7 million for the year ended December 31, 2022</w:t>
      </w:r>
      <w:r>
        <w:rPr>
          <w:rFonts w:ascii="Times New Roman;sans-serif" w:hAnsi="Times New Roman;sans-serif"/>
          <w:b w:val="false"/>
          <w:color w:val="3051F2"/>
          <w:sz w:val="20"/>
        </w:rPr>
        <w:t xml:space="preserve">. </w:t>
      </w:r>
      <w:r>
        <w:rPr>
          <w:rFonts w:ascii="Times New Roman;sans-serif" w:hAnsi="Times New Roman;sans-serif"/>
          <w:b w:val="false"/>
          <w:color w:val="000000"/>
          <w:sz w:val="20"/>
        </w:rPr>
        <w:t xml:space="preserve">This decrease in expense is primarily attributable to a decrease in outsourced labor and related costs of approximately $30.2 million, a decrease in salary and related employee </w:t>
      </w:r>
      <w:r>
        <w:rPr>
          <w:rFonts w:ascii="Times New Roman;sans-serif" w:hAnsi="Times New Roman;sans-serif"/>
          <w:b w:val="false"/>
          <w:color w:val="000000"/>
          <w:sz w:val="20"/>
          <w:shd w:fill="FFFFFF" w:val="clear"/>
        </w:rPr>
        <w:t xml:space="preserve">expenses of approximately </w:t>
      </w:r>
      <w:r>
        <w:rPr>
          <w:rFonts w:ascii="Times New Roman;sans-serif" w:hAnsi="Times New Roman;sans-serif"/>
          <w:b w:val="false"/>
          <w:color w:val="000000"/>
          <w:sz w:val="20"/>
        </w:rPr>
        <w:t>$17.5 million due to att</w:t>
      </w:r>
      <w:r>
        <w:rPr>
          <w:rFonts w:ascii="Times New Roman;sans-serif" w:hAnsi="Times New Roman;sans-serif"/>
          <w:b w:val="false"/>
          <w:color w:val="000000"/>
          <w:sz w:val="20"/>
          <w:shd w:fill="FFFFFF" w:val="clear"/>
        </w:rPr>
        <w:t>rition from prior year and a decrease in compensation expense due to the settlement of earn-outs related to prior acquisitions of approximately $5.4 million, partially offset by an increase in software, hosting and other expenses of approximately $11.2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increased by 18% to $184.7 million for the year ended December 31, 2022, from $156.9 million for the year ended December 31, 2021. This increase in expense is primarily attributable to an increase in salary and related employee expenses of approximately $10.9 million, an increase in contingent compensation of approximately $3.3 million in conjunction with acquisitions, an increase in amortization expense of approximately $11.2 million primarily driven by the acquisitions of e-bot7, Tenfold and VoiceBase, and an increase in business services and outsourced subcontracted labor of approximately $3.2 million. The increases were partially offset by a decrease in software expense of approximately $0.3 million and a decrease of $0.4 million related to other expenses.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compensation and related expenses for sales and marketing personnel, as well as advertising, marketing events, public relations, trade show exhibit expenses and allocated occupancy costs and related overhead. </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37"/>
        <w:gridCol w:w="436"/>
        <w:gridCol w:w="439"/>
        <w:gridCol w:w="211"/>
        <w:gridCol w:w="826"/>
        <w:gridCol w:w="271"/>
        <w:gridCol w:w="109"/>
        <w:gridCol w:w="109"/>
        <w:gridCol w:w="109"/>
        <w:gridCol w:w="211"/>
        <w:gridCol w:w="826"/>
        <w:gridCol w:w="271"/>
        <w:gridCol w:w="109"/>
        <w:gridCol w:w="109"/>
        <w:gridCol w:w="109"/>
        <w:gridCol w:w="210"/>
        <w:gridCol w:w="210"/>
        <w:gridCol w:w="517"/>
        <w:gridCol w:w="109"/>
        <w:gridCol w:w="109"/>
        <w:gridCol w:w="109"/>
        <w:gridCol w:w="211"/>
        <w:gridCol w:w="826"/>
        <w:gridCol w:w="271"/>
        <w:gridCol w:w="109"/>
        <w:gridCol w:w="109"/>
        <w:gridCol w:w="109"/>
        <w:gridCol w:w="211"/>
        <w:gridCol w:w="826"/>
        <w:gridCol w:w="271"/>
        <w:gridCol w:w="109"/>
        <w:gridCol w:w="109"/>
        <w:gridCol w:w="109"/>
        <w:gridCol w:w="204"/>
        <w:gridCol w:w="204"/>
        <w:gridCol w:w="581"/>
      </w:tblGrid>
      <w:tr>
        <w:trPr/>
        <w:tc>
          <w:tcPr>
            <w:tcW w:w="53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Sales and marketing expenses decreased by 41% to $125.7 million for the year ended December 31, 2023, from $214.0 million for the year ended December 31, 2022.</w:t>
      </w:r>
      <w:r>
        <w:rPr>
          <w:color w:val="3051F2"/>
        </w:rPr>
        <w:t xml:space="preserve"> </w:t>
      </w:r>
      <w:r>
        <w:rPr>
          <w:rFonts w:ascii="Times New Roman;sans-serif" w:hAnsi="Times New Roman;sans-serif"/>
          <w:b w:val="false"/>
          <w:color w:val="000000"/>
          <w:sz w:val="20"/>
        </w:rPr>
        <w:t xml:space="preserve">This decrease was primarily attributable to a decrease in salary and employee-related expenses of approximately $40.8 million due to attrition from the prior year, a decrease in marketing expenses of approximately $35.1 million, a decrease in outsourced labor of approximately $4.9 million, </w:t>
      </w:r>
      <w:r>
        <w:rPr>
          <w:rFonts w:ascii="Times New Roman;sans-serif" w:hAnsi="Times New Roman;sans-serif"/>
          <w:b w:val="false"/>
          <w:color w:val="000000"/>
          <w:sz w:val="20"/>
          <w:shd w:fill="FFFFFF" w:val="clear"/>
        </w:rPr>
        <w:t>and a decrease in compensation expense due to the</w:t>
      </w:r>
      <w:r>
        <w:rPr>
          <w:color w:val="000000"/>
        </w:rPr>
        <w:t xml:space="preserve"> </w:t>
      </w:r>
      <w:r>
        <w:rPr>
          <w:rFonts w:ascii="Times New Roman;sans-serif" w:hAnsi="Times New Roman;sans-serif"/>
          <w:b w:val="false"/>
          <w:color w:val="000000"/>
          <w:sz w:val="20"/>
        </w:rPr>
        <w:t>settlement of earn-outs related to prior acquisitions of approximately $2.4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29% to $214.0 million for the year ended December 31, 2022, from $165.4 million for the year ended December 31, 2021. This is primarily related to an increase in salary and employee-related expenses of approximately $38.1 million, an increase in marketing events, advertising, and public relations of approximately $4.1 million an increase in contingent compensation of approximately $1.8 million in conjunction with acquisitions, an increase of restructuring costs of approximately $1.6 million and an increase in software expense of approximately $1.5 million,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remaining net increase related to several other sales and marketing business expenses. These increases were partially offset by a decrease in outsourcing subcontracted labor of approximately $0.4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General and Administrative</w:t>
      </w:r>
      <w:r>
        <w:rPr>
          <w:color w:val="000000"/>
        </w:rPr>
        <w:t>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of compensation and related expenses for executive, accounting, legal, human resources and administrative personnel, professional fees and other general corporate expenses.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87"/>
        <w:gridCol w:w="516"/>
        <w:gridCol w:w="517"/>
        <w:gridCol w:w="211"/>
        <w:gridCol w:w="721"/>
        <w:gridCol w:w="271"/>
        <w:gridCol w:w="109"/>
        <w:gridCol w:w="109"/>
        <w:gridCol w:w="109"/>
        <w:gridCol w:w="211"/>
        <w:gridCol w:w="826"/>
        <w:gridCol w:w="271"/>
        <w:gridCol w:w="109"/>
        <w:gridCol w:w="109"/>
        <w:gridCol w:w="109"/>
        <w:gridCol w:w="210"/>
        <w:gridCol w:w="210"/>
        <w:gridCol w:w="517"/>
        <w:gridCol w:w="109"/>
        <w:gridCol w:w="109"/>
        <w:gridCol w:w="109"/>
        <w:gridCol w:w="211"/>
        <w:gridCol w:w="826"/>
        <w:gridCol w:w="271"/>
        <w:gridCol w:w="109"/>
        <w:gridCol w:w="109"/>
        <w:gridCol w:w="109"/>
        <w:gridCol w:w="211"/>
        <w:gridCol w:w="721"/>
        <w:gridCol w:w="271"/>
        <w:gridCol w:w="109"/>
        <w:gridCol w:w="109"/>
        <w:gridCol w:w="109"/>
        <w:gridCol w:w="205"/>
        <w:gridCol w:w="205"/>
        <w:gridCol w:w="58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General and administrative expenses decreased by 24% to $91.6 million for the year ended December 31, 2023, from $120.6 million for the year ended December 31, 2022.</w:t>
      </w:r>
      <w:r>
        <w:rPr>
          <w:color w:val="0E32E1"/>
        </w:rPr>
        <w:t xml:space="preserve"> </w:t>
      </w:r>
      <w:r>
        <w:rPr>
          <w:rFonts w:ascii="Times New Roman;sans-serif" w:hAnsi="Times New Roman;sans-serif"/>
          <w:b w:val="false"/>
          <w:color w:val="000000"/>
          <w:sz w:val="20"/>
        </w:rPr>
        <w:t>This is primarily related to a decrease of $44.6 million in stock-based compensation expense, primarily due to the settlement of earn-outs in 2023</w:t>
      </w:r>
      <w:r>
        <w:rPr>
          <w:rFonts w:ascii="Times New Roman;sans-serif" w:hAnsi="Times New Roman;sans-serif"/>
          <w:b w:val="false"/>
          <w:color w:val="000000"/>
          <w:sz w:val="20"/>
          <w:shd w:fill="FFFFFF" w:val="clear"/>
        </w:rPr>
        <w:t>. A</w:t>
      </w:r>
      <w:r>
        <w:rPr>
          <w:rFonts w:ascii="Times New Roman;sans-serif" w:hAnsi="Times New Roman;sans-serif"/>
          <w:b w:val="false"/>
          <w:color w:val="000000"/>
          <w:sz w:val="20"/>
        </w:rPr>
        <w:t>dditionally, there was a decrease in business services and outsourced labor of approximately $5.2 million, a decrease in salary and related employee expenses of approximately $4.2 million and a decrease in facilities expenses of approximately $1.5 million, partially offset by an increase in other expenses of approximately $26.3 million due to leadership transition costs and increased legal fees recognized in the year ended December 31, 2023.</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57% to $120.6 million for the year ended December 31, 2022, from $76.8 million for the year ended December 31, 2021. This is primarily related to an increase in contingent compensation of approximately $30.5 million in conjunction with acquisitions, an increase in salary and employee-related expenses of approximately $3.2 million, an increase in restructuring and other one-time expenses of $6.1 million, an increase in outsourcing subcontracted labor of approximately $3.3 million and net $0.8 million increase of several other general and administrative expenses.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expenses consist of compensation and related expenses for product development personnel as well as allocated occupancy costs and related overhead and outsourced labor and expenses for testing new versions of our software. </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14"/>
        <w:gridCol w:w="450"/>
        <w:gridCol w:w="453"/>
        <w:gridCol w:w="211"/>
        <w:gridCol w:w="826"/>
        <w:gridCol w:w="271"/>
        <w:gridCol w:w="109"/>
        <w:gridCol w:w="109"/>
        <w:gridCol w:w="109"/>
        <w:gridCol w:w="211"/>
        <w:gridCol w:w="826"/>
        <w:gridCol w:w="271"/>
        <w:gridCol w:w="109"/>
        <w:gridCol w:w="109"/>
        <w:gridCol w:w="109"/>
        <w:gridCol w:w="209"/>
        <w:gridCol w:w="209"/>
        <w:gridCol w:w="517"/>
        <w:gridCol w:w="109"/>
        <w:gridCol w:w="109"/>
        <w:gridCol w:w="109"/>
        <w:gridCol w:w="211"/>
        <w:gridCol w:w="826"/>
        <w:gridCol w:w="271"/>
        <w:gridCol w:w="109"/>
        <w:gridCol w:w="109"/>
        <w:gridCol w:w="109"/>
        <w:gridCol w:w="211"/>
        <w:gridCol w:w="826"/>
        <w:gridCol w:w="271"/>
        <w:gridCol w:w="109"/>
        <w:gridCol w:w="109"/>
        <w:gridCol w:w="109"/>
        <w:gridCol w:w="202"/>
        <w:gridCol w:w="202"/>
        <w:gridCol w:w="582"/>
      </w:tblGrid>
      <w:tr>
        <w:trPr/>
        <w:tc>
          <w:tcPr>
            <w:tcW w:w="51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Product development costs decreased by 36% to $124.8 million for the year ended December 31, 2023, from $193.7 million for the year ended December 31, 2022.</w:t>
      </w:r>
      <w:r>
        <w:rPr>
          <w:color w:val="0E32E1"/>
        </w:rPr>
        <w:t xml:space="preserve"> </w:t>
      </w:r>
      <w:r>
        <w:rPr>
          <w:rFonts w:ascii="Times New Roman;sans-serif" w:hAnsi="Times New Roman;sans-serif"/>
          <w:b w:val="false"/>
          <w:color w:val="000000"/>
          <w:sz w:val="20"/>
          <w:shd w:fill="FFFFFF" w:val="clear"/>
        </w:rPr>
        <w:t xml:space="preserve">This decrease is primarily related to a decrease in salary and employee-related expenses of approximately </w:t>
      </w:r>
      <w:r>
        <w:rPr>
          <w:rFonts w:ascii="Times New Roman;sans-serif" w:hAnsi="Times New Roman;sans-serif"/>
          <w:b w:val="false"/>
          <w:color w:val="000000"/>
          <w:sz w:val="20"/>
        </w:rPr>
        <w:t>$43.3 million</w:t>
      </w:r>
      <w:r>
        <w:rPr>
          <w:rFonts w:ascii="Times New Roman;sans-serif" w:hAnsi="Times New Roman;sans-serif"/>
          <w:b w:val="false"/>
          <w:color w:val="000000"/>
          <w:sz w:val="20"/>
          <w:shd w:fill="FFFFFF" w:val="clear"/>
        </w:rPr>
        <w:t xml:space="preserve">, a decrease in compensation expense due to the settlement of earn-outs related to prior acquisitions of approximately </w:t>
      </w:r>
      <w:r>
        <w:rPr>
          <w:rFonts w:ascii="Times New Roman;sans-serif" w:hAnsi="Times New Roman;sans-serif"/>
          <w:b w:val="false"/>
          <w:color w:val="000000"/>
          <w:sz w:val="20"/>
        </w:rPr>
        <w:t>$20.1 million</w:t>
      </w:r>
      <w:r>
        <w:rPr>
          <w:rFonts w:ascii="Times New Roman;sans-serif" w:hAnsi="Times New Roman;sans-serif"/>
          <w:b w:val="false"/>
          <w:color w:val="000000"/>
          <w:sz w:val="20"/>
          <w:shd w:fill="FFFFFF" w:val="clear"/>
        </w:rPr>
        <w:t xml:space="preserve">, and a decrease in business services and </w:t>
      </w:r>
      <w:r>
        <w:rPr>
          <w:rFonts w:ascii="Times New Roman;sans-serif" w:hAnsi="Times New Roman;sans-serif"/>
          <w:b w:val="false"/>
          <w:color w:val="000000"/>
          <w:sz w:val="20"/>
        </w:rPr>
        <w:t>outsourced labor</w:t>
      </w:r>
      <w:r>
        <w:rPr>
          <w:color w:val="000000"/>
          <w:shd w:fill="FFFFFF" w:val="clear"/>
        </w:rPr>
        <w:t xml:space="preserve"> </w:t>
      </w:r>
      <w:r>
        <w:rPr>
          <w:rFonts w:ascii="Times New Roman;sans-serif" w:hAnsi="Times New Roman;sans-serif"/>
          <w:b w:val="false"/>
          <w:color w:val="000000"/>
          <w:sz w:val="20"/>
          <w:shd w:fill="FFFFFF" w:val="clear"/>
        </w:rPr>
        <w:t>of approximately $6.2 million, partially offset by depreciation expenses of approximately $2.3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costs increased by 22% to $193.7 million for the year ended December 31, 2022, from $158.4 million for the year ended December 31, 2021. This is primarily related to an increase in contingent compensation of approximately $13.7 million in conjunction with acquisitions, an increase in salaries and employee-related expenses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$5.4 million, an increase in business services and outsourcing subcontracted labor of approximately $5.4 million, an increase in backup server facilities of approximately $5.9 million related to costs supporting our backup servers and an increase in depreciation expense of approximately $5.0 million.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continued to make investments in public cloud migration, and in enhancing and expanding new features of the Conversational Cloud, including Voice. During the years ended December 31, 2023, 2022, and 2021, $19.4 million, $39.2 million, and $36.1 million was capitalized, respectively.</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Restructuring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costs consist of reprioritizing and reallocating resources to focus on areas believed to show high growth potential.</w:t>
      </w:r>
    </w:p>
    <w:p>
      <w:pPr>
        <w:pStyle w:val="TextBody"/>
        <w:bidi w:val="0"/>
        <w:spacing w:before="0" w:after="0"/>
        <w:ind w:left="0" w:right="0" w:firstLine="720"/>
        <w:jc w:val="both"/>
        <w:rPr/>
      </w:pPr>
      <w:r>
        <w:rPr/>
      </w:r>
    </w:p>
    <w:tbl>
      <w:tblPr>
        <w:tblW w:w="9693" w:type="dxa"/>
        <w:jc w:val="left"/>
        <w:tblInd w:w="0" w:type="dxa"/>
        <w:tblLayout w:type="fixed"/>
        <w:tblCellMar>
          <w:top w:w="28" w:type="dxa"/>
          <w:left w:w="28" w:type="dxa"/>
          <w:bottom w:w="28" w:type="dxa"/>
          <w:right w:w="28" w:type="dxa"/>
        </w:tblCellMar>
      </w:tblPr>
      <w:tblGrid>
        <w:gridCol w:w="842"/>
        <w:gridCol w:w="740"/>
        <w:gridCol w:w="742"/>
        <w:gridCol w:w="211"/>
        <w:gridCol w:w="721"/>
        <w:gridCol w:w="271"/>
        <w:gridCol w:w="109"/>
        <w:gridCol w:w="109"/>
        <w:gridCol w:w="109"/>
        <w:gridCol w:w="211"/>
        <w:gridCol w:w="193"/>
        <w:gridCol w:w="483"/>
        <w:gridCol w:w="109"/>
        <w:gridCol w:w="109"/>
        <w:gridCol w:w="109"/>
        <w:gridCol w:w="207"/>
        <w:gridCol w:w="207"/>
        <w:gridCol w:w="517"/>
        <w:gridCol w:w="109"/>
        <w:gridCol w:w="109"/>
        <w:gridCol w:w="109"/>
        <w:gridCol w:w="211"/>
        <w:gridCol w:w="193"/>
        <w:gridCol w:w="483"/>
        <w:gridCol w:w="109"/>
        <w:gridCol w:w="109"/>
        <w:gridCol w:w="109"/>
        <w:gridCol w:w="211"/>
        <w:gridCol w:w="163"/>
        <w:gridCol w:w="408"/>
        <w:gridCol w:w="109"/>
        <w:gridCol w:w="109"/>
        <w:gridCol w:w="109"/>
        <w:gridCol w:w="233"/>
        <w:gridCol w:w="233"/>
        <w:gridCol w:w="578"/>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Restructuring costs increased by 14% to $22.7 million for the year ended December 31, 2023, from $20.0 million for the year ended December 31, 2022. This increase is attributable to IT infrastructure contract termination costs of approximately $5.7 million, partially offset by lower costs related to the restructuring initiative, which commenced during the second quarter of 2022, primarily consisting of severance and other associated costs related to the reduction in our workforce. In 2023, due to the changing technology landscape related to the evolution of LLMs, we were able to identify opportunities for significant cost savings because the latest generation of LLMs is able to build a bot in minutes, enabling reduction of headcount previously devoted to bot-building. Additionally, we have moved to a product-led growth structure where we flattened the organization to align to more efficient sales and service support ratios. Refer to Note 14 –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for additional information about the restructuring initiative.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costs increased by 488% to $20.0 million for the year ended December 31, 2022, from $3.4 million for the year ended December 31, 2021. This increase is attributable primarily as a result of an increase in restructuring costs related to severance and other compensation costs. During the second quarter of 2022, we began a restructuring initiative to realign our cost structure to better reflect significant product and business model innovation and changes over the past year due to acquisitions and factors outside our control. As part of the restructuring initiative, we reoriented our global product and engineering organization for greater efficiency and focus, and reallocated some spending to increase our investment in customer success and go-to-market initiatives.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Amortization of Purchased Intangibles</w:t>
      </w:r>
      <w:r>
        <w:rPr>
          <w:color w:val="000000"/>
        </w:rPr>
        <w: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8"/>
        <w:gridCol w:w="876"/>
        <w:gridCol w:w="881"/>
        <w:gridCol w:w="211"/>
        <w:gridCol w:w="616"/>
        <w:gridCol w:w="271"/>
        <w:gridCol w:w="109"/>
        <w:gridCol w:w="109"/>
        <w:gridCol w:w="109"/>
        <w:gridCol w:w="211"/>
        <w:gridCol w:w="616"/>
        <w:gridCol w:w="109"/>
        <w:gridCol w:w="109"/>
        <w:gridCol w:w="109"/>
        <w:gridCol w:w="109"/>
        <w:gridCol w:w="310"/>
        <w:gridCol w:w="310"/>
        <w:gridCol w:w="311"/>
        <w:gridCol w:w="109"/>
        <w:gridCol w:w="109"/>
        <w:gridCol w:w="109"/>
        <w:gridCol w:w="211"/>
        <w:gridCol w:w="616"/>
        <w:gridCol w:w="109"/>
        <w:gridCol w:w="109"/>
        <w:gridCol w:w="109"/>
        <w:gridCol w:w="109"/>
        <w:gridCol w:w="211"/>
        <w:gridCol w:w="616"/>
        <w:gridCol w:w="109"/>
        <w:gridCol w:w="109"/>
        <w:gridCol w:w="109"/>
        <w:gridCol w:w="109"/>
        <w:gridCol w:w="285"/>
        <w:gridCol w:w="285"/>
        <w:gridCol w:w="408"/>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purchased intangibles decreased by 5% to $3.5 million for the year ended December 31, 2023, from $3.7 million for the year ended December 31, 2022. The year-over-year variance is primarily attributable to the impairment of WildHealth developed technology in the year ended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purchased intangibles increased by 80% to $3.7 million for the year ended December 31, 2022 from $2.0 million for the year ended December 31, 2021. The year-over-year variance is primarily attributable to amortization of patents and customer relationships as well as the intangible assets acquired in the three acquisitions that occurred in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tbl>
      <w:tblPr>
        <w:tblW w:w="9056" w:type="dxa"/>
        <w:jc w:val="left"/>
        <w:tblInd w:w="0" w:type="dxa"/>
        <w:tblLayout w:type="fixed"/>
        <w:tblCellMar>
          <w:top w:w="28" w:type="dxa"/>
          <w:left w:w="28" w:type="dxa"/>
          <w:bottom w:w="28" w:type="dxa"/>
          <w:right w:w="28" w:type="dxa"/>
        </w:tblCellMar>
      </w:tblPr>
      <w:tblGrid>
        <w:gridCol w:w="843"/>
        <w:gridCol w:w="739"/>
        <w:gridCol w:w="743"/>
        <w:gridCol w:w="212"/>
        <w:gridCol w:w="193"/>
        <w:gridCol w:w="483"/>
        <w:gridCol w:w="109"/>
        <w:gridCol w:w="109"/>
        <w:gridCol w:w="109"/>
        <w:gridCol w:w="212"/>
        <w:gridCol w:w="408"/>
        <w:gridCol w:w="109"/>
        <w:gridCol w:w="109"/>
        <w:gridCol w:w="109"/>
        <w:gridCol w:w="109"/>
        <w:gridCol w:w="330"/>
        <w:gridCol w:w="330"/>
        <w:gridCol w:w="331"/>
        <w:gridCol w:w="109"/>
        <w:gridCol w:w="109"/>
        <w:gridCol w:w="109"/>
        <w:gridCol w:w="211"/>
        <w:gridCol w:w="406"/>
        <w:gridCol w:w="109"/>
        <w:gridCol w:w="109"/>
        <w:gridCol w:w="109"/>
        <w:gridCol w:w="109"/>
        <w:gridCol w:w="211"/>
        <w:gridCol w:w="406"/>
        <w:gridCol w:w="109"/>
        <w:gridCol w:w="109"/>
        <w:gridCol w:w="109"/>
        <w:gridCol w:w="109"/>
        <w:gridCol w:w="303"/>
        <w:gridCol w:w="303"/>
        <w:gridCol w:w="430"/>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impairment was approximately $11.9 million for the year ended December 31, 2023. This non-cash charge was a result of our September 30, 2023 annual goodwill impairment test and was attributable to the WildHealth reporting unit. There were no impairment charges for the years ended December 31, 2022 and 2021.</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Intangibles and Other Assets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4"/>
        <w:gridCol w:w="1038"/>
        <w:gridCol w:w="1044"/>
        <w:gridCol w:w="211"/>
        <w:gridCol w:w="616"/>
        <w:gridCol w:w="271"/>
        <w:gridCol w:w="109"/>
        <w:gridCol w:w="109"/>
        <w:gridCol w:w="109"/>
        <w:gridCol w:w="211"/>
        <w:gridCol w:w="406"/>
        <w:gridCol w:w="109"/>
        <w:gridCol w:w="109"/>
        <w:gridCol w:w="109"/>
        <w:gridCol w:w="109"/>
        <w:gridCol w:w="330"/>
        <w:gridCol w:w="330"/>
        <w:gridCol w:w="331"/>
        <w:gridCol w:w="109"/>
        <w:gridCol w:w="109"/>
        <w:gridCol w:w="109"/>
        <w:gridCol w:w="211"/>
        <w:gridCol w:w="406"/>
        <w:gridCol w:w="109"/>
        <w:gridCol w:w="109"/>
        <w:gridCol w:w="109"/>
        <w:gridCol w:w="109"/>
        <w:gridCol w:w="211"/>
        <w:gridCol w:w="406"/>
        <w:gridCol w:w="109"/>
        <w:gridCol w:w="109"/>
        <w:gridCol w:w="109"/>
        <w:gridCol w:w="109"/>
        <w:gridCol w:w="303"/>
        <w:gridCol w:w="303"/>
        <w:gridCol w:w="431"/>
      </w:tblGrid>
      <w:tr>
        <w:trPr/>
        <w:tc>
          <w:tcPr>
            <w:tcW w:w="11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 was approximately $8.0 million for the year ended December 31, 2023. During the fourth quarter of fiscal year 2023, the Company recognized an impairment charge of $5.0 million related to fixed assets associated with internal-use software development projects that were discontinued and determined to have no future economic benefit. The Company further recognized an immaterial non-cash impairment charge of $3.0 million related to intangible assets – developed technology associated with WildHealth, as a result of the Company’s annual impairment test of its intangible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impairment charges for the years ended December 31, 2022 and 2021.</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Other Income (Expense),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primarily of fair value adjustments for earn-outs, foreign currency gains and losses and income (loss) from our equity method investment. Interest income includes interest income from cash deposits, amortization of debt discount, amortization of issuance costs, and interest expense from our convertible senior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70"/>
        <w:gridCol w:w="765"/>
        <w:gridCol w:w="768"/>
        <w:gridCol w:w="211"/>
        <w:gridCol w:w="721"/>
        <w:gridCol w:w="109"/>
        <w:gridCol w:w="109"/>
        <w:gridCol w:w="109"/>
        <w:gridCol w:w="109"/>
        <w:gridCol w:w="211"/>
        <w:gridCol w:w="677"/>
        <w:gridCol w:w="109"/>
        <w:gridCol w:w="109"/>
        <w:gridCol w:w="109"/>
        <w:gridCol w:w="109"/>
        <w:gridCol w:w="330"/>
        <w:gridCol w:w="330"/>
        <w:gridCol w:w="331"/>
        <w:gridCol w:w="109"/>
        <w:gridCol w:w="109"/>
        <w:gridCol w:w="109"/>
        <w:gridCol w:w="211"/>
        <w:gridCol w:w="677"/>
        <w:gridCol w:w="109"/>
        <w:gridCol w:w="109"/>
        <w:gridCol w:w="109"/>
        <w:gridCol w:w="109"/>
        <w:gridCol w:w="211"/>
        <w:gridCol w:w="782"/>
        <w:gridCol w:w="109"/>
        <w:gridCol w:w="109"/>
        <w:gridCol w:w="109"/>
        <w:gridCol w:w="109"/>
        <w:gridCol w:w="303"/>
        <w:gridCol w:w="303"/>
        <w:gridCol w:w="433"/>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 Ended December 31,</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bl>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increased to income of $15.1 million for the year ended December 31, 2023 from an expense of $2.1 million for the year ended December 31, 2022. The increase is primarily due to a gain of $10.0 million related to a legal settlement, a gain of $7.2 million resulting from the repurchase of 2024 Notes, a $4.6 million change in fair value of earn-out as a result of settlements, related to prior acquisitions, and reduced losses recognized related to the Company’s equity method investment compared to the year ended December 31, 2022. The remaining amount of total other income (expense), net fluctuation is attributable to currency rate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decreased by $32.0 million to an expense of $2.1 million for the year ended December 31, 2022, from an expense of $34.1 million for the year ended December 31, 2021. This decrease was primarily attributable to a decrease in interest expense due to the adoption of ASU 2020-06 and the elimination of the debt discount that was previously being amortized to interest expense over the contractual term of 2024 Notes and the 2026 Notes, a gain related to the fair value adjustment for earn-outs recorded during the third quarter of 2022, partially offset by the loss in equity earnings related to the launch of Claire, a joint venture, during the year ended December 31, 2022.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(Benefit From) Income Taxes</w:t>
      </w:r>
      <w:r>
        <w:rPr>
          <w:color w:val="000000"/>
        </w:rPr>
        <w: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4"/>
        <w:gridCol w:w="910"/>
        <w:gridCol w:w="913"/>
        <w:gridCol w:w="211"/>
        <w:gridCol w:w="616"/>
        <w:gridCol w:w="109"/>
        <w:gridCol w:w="109"/>
        <w:gridCol w:w="109"/>
        <w:gridCol w:w="109"/>
        <w:gridCol w:w="211"/>
        <w:gridCol w:w="616"/>
        <w:gridCol w:w="109"/>
        <w:gridCol w:w="109"/>
        <w:gridCol w:w="109"/>
        <w:gridCol w:w="109"/>
        <w:gridCol w:w="310"/>
        <w:gridCol w:w="310"/>
        <w:gridCol w:w="311"/>
        <w:gridCol w:w="109"/>
        <w:gridCol w:w="109"/>
        <w:gridCol w:w="109"/>
        <w:gridCol w:w="211"/>
        <w:gridCol w:w="616"/>
        <w:gridCol w:w="109"/>
        <w:gridCol w:w="109"/>
        <w:gridCol w:w="109"/>
        <w:gridCol w:w="109"/>
        <w:gridCol w:w="211"/>
        <w:gridCol w:w="677"/>
        <w:gridCol w:w="109"/>
        <w:gridCol w:w="109"/>
        <w:gridCol w:w="109"/>
        <w:gridCol w:w="109"/>
        <w:gridCol w:w="285"/>
        <w:gridCol w:w="285"/>
        <w:gridCol w:w="407"/>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a provision for income taxes of $4.2 million for the year ended December 31, 2023 and a provision for income taxes of $1.7 million for the year ended December 31, 2022. Our consolidated effective tax rate was impacted by the statutory income tax rates applicable to each of the jurisdictions in which we operate, valuation allowance recorded against losses generated in the U.S. and Germany and changes to unrecognized tax benefits in Israel. The overall tax provision recorded represents tax on non-U.S. earnings in the various jurisdictions in which we operate, a tax charge of $0.8 million for valuation allowance on certain LivePerson, Inc. net operating losses in connection with the sale of the Kasamba business and additional accruals related to unrecognized tax benefits. The increase in tax expense is primarily due to a change in the amount of valuation allowance recognized related to acquisition and sale activity of the company year over year. The total tax expense associated with non-U.S. jurisdictions is relatively consistent between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prior periods, we had a tax provision for income taxes of $1.7 million for the year ended December 31, 2022 and a tax benefit for income taxes of $2.4 million for the year ended December 31, 2021. Our consolidated effective tax rate was impacted by the statutory income tax rates applicable to each of the jurisdictions in which we operate, movement of valuation allowance recorded against deferred tax activities of the U.S. and Germany and changes to unrecognized benefits in Israel. During 2022, we recorded a benefit of $1.6 million for a release of valuation allowance on certain LivePerson, Inc. net operating losses in connection with the acquisition of WildHealth. The increase in tax expense is primarily due to a change in the amount of valuation allowance recognized related to acquisitions. The total tax expense associated with non-U.S. jurisdictions is relatively consistent between periods.</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120"/>
        <w:jc w:val="center"/>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Company’s cash flows for the years ended December 31, 2022, 2021, and 2020:</w:t>
      </w:r>
    </w:p>
    <w:tbl>
      <w:tblPr>
        <w:tblW w:w="8154" w:type="dxa"/>
        <w:jc w:val="center"/>
        <w:tblInd w:w="0" w:type="dxa"/>
        <w:tblLayout w:type="fixed"/>
        <w:tblCellMar>
          <w:top w:w="28" w:type="dxa"/>
          <w:left w:w="28" w:type="dxa"/>
          <w:bottom w:w="28" w:type="dxa"/>
          <w:right w:w="28" w:type="dxa"/>
        </w:tblCellMar>
      </w:tblPr>
      <w:tblGrid>
        <w:gridCol w:w="1525"/>
        <w:gridCol w:w="1342"/>
        <w:gridCol w:w="1347"/>
        <w:gridCol w:w="211"/>
        <w:gridCol w:w="796"/>
        <w:gridCol w:w="109"/>
        <w:gridCol w:w="109"/>
        <w:gridCol w:w="109"/>
        <w:gridCol w:w="109"/>
        <w:gridCol w:w="211"/>
        <w:gridCol w:w="796"/>
        <w:gridCol w:w="109"/>
        <w:gridCol w:w="109"/>
        <w:gridCol w:w="109"/>
        <w:gridCol w:w="109"/>
        <w:gridCol w:w="229"/>
        <w:gridCol w:w="67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As of December 31, 2023, we had approximately $212.9 million in cash, cash equivalents, and restricted cash, a decrease of approximately $179.3 million from December 31, 2022. The decrease is primarily attributable to payment of approximately $149.7 million in cash for the repurchase of approximately $157.5 million in aggregate principal amount of the 2024 Notes, coupled with the payment of bonuses in cash and various other uses of cash for operating purposes. The decrease was partially offset by </w:t>
      </w:r>
      <w:r>
        <w:rPr>
          <w:rFonts w:ascii="Times New Roman;sans-serif" w:hAnsi="Times New Roman;sans-serif"/>
          <w:b w:val="false"/>
          <w:color w:val="000000"/>
          <w:sz w:val="20"/>
          <w:shd w:fill="FFFFFF" w:val="clear"/>
        </w:rPr>
        <w:t>$13.8 million</w:t>
      </w:r>
      <w:r>
        <w:rPr>
          <w:color w:val="000000"/>
        </w:rPr>
        <w:t xml:space="preserve"> </w:t>
      </w:r>
      <w:r>
        <w:rPr>
          <w:rFonts w:ascii="Times New Roman;sans-serif" w:hAnsi="Times New Roman;sans-serif"/>
          <w:b w:val="false"/>
          <w:color w:val="000000"/>
          <w:sz w:val="20"/>
        </w:rPr>
        <w:t>in cash proceeds from the divestiture of Kasamba.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$19.8 million in the year ended December 31, 2023. Our net loss was $100.4 million, which includes the effect of non-cash expenses related to depreciation of $32.6 million, amortization of purchased intangibles and finance leases of $22.2 million, amortization of debt issuance costs of $4.0 million, allowance for credit losses of $3.3 million, a goodwill impairment of $11.9 million, intangible and other assets impairment of $8.0 million related to our WildHealth reporting unit and internal-use software development costs, a $4.6 million change in fair value of contingent consideration and stock-based compensation of $11.9 million, partially offset by a gain on divestiture of $17.6 million and a gain on repurchase of convertible notes of $7.2 million. Net cash used in operating activities was further driven by a decrease in accounts payable of $13.6 million, a decrease in deferred revenue of $3.2 million, a decrease in other liabilities of $7.8 million, a decrease in accounts receivable of $1.5 million, an increase in accrued expenses and other current liabilities of $24.3 million, an increase in prepaid expenses and other current assets of $3.4 million, and an increase in contract acquisition costs of $5.0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$62.1 million in the year ended December 31, 2022. Our net loss was $225.7 million for the year ended December 31, 2022, which includes the effect of non-cash expenses related to stock-based compensation expense, change in fair value of contingent consideration, depreciation, amortization of purchased intangibles, finance leases, convertible debt issuance costs, gain on settlement of leases, allowance for credit losses, increases in accounts receivable, prepaid expenses and other current assets, accrued expenses and other current liabilities, contract acquisition costs, other assets, and decreases in deferred revenue and operating lease liabilities.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used in investing activities was $18.8 million in the year ended December 31, 2023 which was primarily driven by purchases of fixed assets and capitalization of internally developed software, partially offset by the </w:t>
      </w:r>
      <w:r>
        <w:rPr>
          <w:rFonts w:ascii="Times New Roman;sans-serif" w:hAnsi="Times New Roman;sans-serif"/>
          <w:b w:val="false"/>
          <w:color w:val="000000"/>
          <w:sz w:val="20"/>
          <w:shd w:fill="FFFFFF" w:val="clear"/>
        </w:rPr>
        <w:t>proceeds from the sale of Kasamba.</w:t>
      </w:r>
      <w:r>
        <w:rPr>
          <w:color w:val="000000"/>
        </w:rPr>
        <w:t xml:space="preserve"> </w:t>
      </w:r>
      <w:r>
        <w:rPr>
          <w:rFonts w:ascii="Times New Roman;sans-serif" w:hAnsi="Times New Roman;sans-serif"/>
          <w:b w:val="false"/>
          <w:color w:val="000000"/>
          <w:sz w:val="20"/>
        </w:rPr>
        <w:t xml:space="preserve">Net cash used in investing activities was $56.9 million in the year ended December 31, 2022 which was driven primarily by purchases of property and equipment, including capitalized software, payments for the WildHealth acquisition, net of cash acquired and cash infusion into the Claire joint venture.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used in financing activities was $151.1 million in the year ended December 31, 2023 </w:t>
      </w:r>
      <w:r>
        <w:rPr>
          <w:rFonts w:ascii="Times New Roman;sans-serif" w:hAnsi="Times New Roman;sans-serif"/>
          <w:b w:val="false"/>
          <w:color w:val="000000"/>
          <w:sz w:val="20"/>
          <w:shd w:fill="FFFFFF" w:val="clear"/>
        </w:rPr>
        <w:t>which was primarily driven by the repurchase of our 2024 Notes.</w:t>
      </w:r>
      <w:r>
        <w:rPr>
          <w:color w:val="000000"/>
        </w:rPr>
        <w:t xml:space="preserve"> </w:t>
      </w:r>
      <w:r>
        <w:rPr>
          <w:rFonts w:ascii="Times New Roman;sans-serif" w:hAnsi="Times New Roman;sans-serif"/>
          <w:b w:val="false"/>
          <w:color w:val="000000"/>
          <w:sz w:val="20"/>
        </w:rPr>
        <w:t>Net cash provided by financing activities was $1.6 million in the year ended December 31, 2022 driven primarily by proceeds from issuance of common stock in connection with the exercise of stock options by employees, partially offset by principal payments for financing leases and the repurchase of common stock.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expenses to develop our technology and services, to hire employees in our customer service and sales and marketing departments, and for the amortization of purchased intangible assets, as well as acquisition costs and non-cash compensation costs. Historically, we have incurred net losses and negative cash flows for various quarterly and annual periods since our inception, including during numerous quarters and annual periods in the past several years. As of December 31, 2023, we had an accumulated deficit of approximately $857.0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Further, we plan to refinance the 2026 Notes on or prior to their maturity, and we are currently reviewing our capital structure with a goal of refinancing the 2026 Notes. We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from time to time, subject to board authorization and any applicable restrictions under contracts to which it may be or become a party, depending upon market conditions and the Company’s financing needs, use available funds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engage in off-balance sheet financing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 in 2023 were approximately $28.7 million, primarily related to software capitalization and to the continued investment in our co-location facilities. We anticipate that our current cash and cash equivalents and cash from operations will be sufficient to fund our capital expenditures for at least the next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agreements whereby certain of our officers and our directors are indemnified for certain events or occurrences.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2023.</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purchase obligations consist of agreements to purchase goods and services entered into in the ordinary course of business. As of December 31, 2023, the value of our non-cancellable unconditional purchase obligations was approximately </w:t>
      </w:r>
      <w:r>
        <w:rPr>
          <w:rFonts w:ascii="Times New Roman;sans-serif" w:hAnsi="Times New Roman;sans-serif"/>
          <w:b w:val="false"/>
          <w:color w:val="000000"/>
          <w:sz w:val="20"/>
          <w:shd w:fill="FFFFFF" w:val="clear"/>
        </w:rPr>
        <w:t>$36.0 million</w:t>
      </w:r>
      <w:r>
        <w:rPr>
          <w:rFonts w:ascii="Times New Roman;sans-serif" w:hAnsi="Times New Roman;sans-serif"/>
          <w:b w:val="false"/>
          <w:color w:val="000000"/>
          <w:sz w:val="20"/>
        </w:rPr>
        <w:t xml:space="preserve">, primarily relating to contracts with vendors in connection with IT infrastructure and cloud computing-related services. See Note 12 –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 the Notes to the Consolidated Financial Statements under Item 8 of this Annual Report on Form 10-K for additional information regarding our purchase obligations.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also lease certain facilities and data centers under non-cancellable operating lease arrangements that expire at various dates through 2028. See Note 10 –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in the Notes to the Consolidated Financial Statements under Item 8 of this Annual Report on Form 10-K for additional information regarding our lease obligations.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Israeli operations have currency rate fluctuation risk associated with the exchange rate movement of the U.S. dollar against the NIS. For the year ended December 31, 2023, the U.S. dollar appreciated on average by approximately 9.8% against the NIS as compared to December 31, 2022. For the year ended December 31, 2023, expenses generated by our Israeli operations totaled approximately </w:t>
      </w:r>
      <w:r>
        <w:rPr>
          <w:rFonts w:ascii="Times New Roman;sans-serif" w:hAnsi="Times New Roman;sans-serif"/>
          <w:b w:val="false"/>
          <w:color w:val="000000"/>
          <w:sz w:val="20"/>
          <w:shd w:fill="FFFFFF" w:val="clear"/>
        </w:rPr>
        <w:t>$33.4 million</w:t>
      </w:r>
      <w:r>
        <w:rPr>
          <w:rFonts w:ascii="Times New Roman;sans-serif" w:hAnsi="Times New Roman;sans-serif"/>
          <w:b w:val="false"/>
          <w:color w:val="000000"/>
          <w:sz w:val="20"/>
        </w:rPr>
        <w:t>. Based on our exposure to NIS exchange rate fluctuation against a dollar as of December 31, 2023, a 1% increase or decrease in the value of the NIS would increase or decrease our income before income taxes by approximately $0.3 million.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Collection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accounts receivable are subject, in the normal course of business, to collection risks. We regularly assess these risks and have established policies and business practices to protect against the adverse effects of collection risks. During 2023,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increased our allowance for credit losses from approximately $9.2 million to approximately $9.3 million. During 2022, we increased our allowance for credit losses from approximately $6.3 million to approximately $9.2 million. A large proportion of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credit losses when accounts previously reserved have been collected.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investments consist of cash and cash equivalents. Therefore, changes in market interest rates do not affect in any material respect the value of the investments as recorded by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Inflation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705" w:type="dxa"/>
        <w:jc w:val="left"/>
        <w:tblInd w:w="0" w:type="dxa"/>
        <w:tblLayout w:type="fixed"/>
        <w:tblCellMar>
          <w:top w:w="28" w:type="dxa"/>
          <w:left w:w="28" w:type="dxa"/>
          <w:bottom w:w="28" w:type="dxa"/>
          <w:right w:w="28" w:type="dxa"/>
        </w:tblCellMar>
      </w:tblPr>
      <w:tblGrid>
        <w:gridCol w:w="3306"/>
        <w:gridCol w:w="2906"/>
        <w:gridCol w:w="2922"/>
        <w:gridCol w:w="167"/>
        <w:gridCol w:w="167"/>
        <w:gridCol w:w="237"/>
      </w:tblGrid>
      <w:tr>
        <w:trPr/>
        <w:tc>
          <w:tcPr>
            <w:tcW w:w="3306"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82">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00000"/>
                <w:sz w:val="20"/>
              </w:rPr>
              <w:t>243</w:t>
            </w:r>
            <w:hyperlink w:anchor="i3688ef64ef974242869517aee433ffdd_82">
              <w:r>
                <w:rPr>
                  <w:rStyle w:val="InternetLink"/>
                  <w:rFonts w:ascii="Times New Roman;sans-serif" w:hAnsi="Times New Roman;sans-serif"/>
                  <w:b w:val="false"/>
                  <w:color w:val="0000FF"/>
                  <w:sz w:val="20"/>
                  <w:u w:val="single"/>
                </w:rPr>
                <w:t>)</w:t>
              </w:r>
            </w:hyperlink>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688ef64ef974242869517aee433ffdd_82">
              <w:r>
                <w:rPr>
                  <w:rStyle w:val="InternetLink"/>
                  <w:rFonts w:ascii="Times New Roman;sans-serif" w:hAnsi="Times New Roman;sans-serif"/>
                  <w:b w:val="false"/>
                  <w:color w:val="0000FF"/>
                  <w:sz w:val="20"/>
                  <w:u w:val="single"/>
                </w:rPr>
                <w:t>55</w:t>
              </w:r>
            </w:hyperlink>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85">
              <w:r>
                <w:rPr>
                  <w:rStyle w:val="InternetLink"/>
                  <w:rFonts w:ascii="Times New Roman;sans-serif" w:hAnsi="Times New Roman;sans-serif"/>
                  <w:b w:val="false"/>
                  <w:color w:val="0000FF"/>
                  <w:sz w:val="20"/>
                  <w:u w:val="single"/>
                </w:rPr>
                <w:t>Consolidated Balance Sheets as of December 31, 2023 and 2022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85">
              <w:r>
                <w:rPr>
                  <w:rStyle w:val="InternetLink"/>
                  <w:rFonts w:ascii="Times New Roman;sans-serif" w:hAnsi="Times New Roman;sans-serif"/>
                  <w:b w:val="false"/>
                  <w:color w:val="0000FF"/>
                  <w:sz w:val="20"/>
                  <w:u w:val="single"/>
                </w:rPr>
                <w:t>57</w:t>
              </w:r>
            </w:hyperlink>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88">
              <w:r>
                <w:rPr>
                  <w:rStyle w:val="InternetLink"/>
                  <w:rFonts w:ascii="Times New Roman;sans-serif" w:hAnsi="Times New Roman;sans-serif"/>
                  <w:b w:val="false"/>
                  <w:color w:val="0000FF"/>
                  <w:sz w:val="20"/>
                  <w:u w:val="single"/>
                </w:rPr>
                <w:t>Consolidated Statements of Operations for the three years ended December 31, 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88">
              <w:r>
                <w:rPr>
                  <w:rStyle w:val="InternetLink"/>
                  <w:rFonts w:ascii="Times New Roman;sans-serif" w:hAnsi="Times New Roman;sans-serif"/>
                  <w:b w:val="false"/>
                  <w:color w:val="0000FF"/>
                  <w:sz w:val="20"/>
                  <w:u w:val="single"/>
                </w:rPr>
                <w:t>58</w:t>
              </w:r>
            </w:hyperlink>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91">
              <w:r>
                <w:rPr>
                  <w:rStyle w:val="InternetLink"/>
                  <w:rFonts w:ascii="Times New Roman;sans-serif" w:hAnsi="Times New Roman;sans-serif"/>
                  <w:b w:val="false"/>
                  <w:color w:val="0000FF"/>
                  <w:sz w:val="20"/>
                  <w:u w:val="single"/>
                </w:rPr>
                <w:t>Consolidated Statements of Comprehensive Loss for the three years ended December 31, 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91">
              <w:r>
                <w:rPr>
                  <w:rStyle w:val="InternetLink"/>
                  <w:rFonts w:ascii="Times New Roman;sans-serif" w:hAnsi="Times New Roman;sans-serif"/>
                  <w:b w:val="false"/>
                  <w:color w:val="0000FF"/>
                  <w:sz w:val="20"/>
                  <w:u w:val="single"/>
                </w:rPr>
                <w:t>59</w:t>
              </w:r>
            </w:hyperlink>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94">
              <w:r>
                <w:rPr>
                  <w:rStyle w:val="InternetLink"/>
                  <w:rFonts w:ascii="Times New Roman;sans-serif" w:hAnsi="Times New Roman;sans-serif"/>
                  <w:b w:val="false"/>
                  <w:color w:val="0000FF"/>
                  <w:sz w:val="20"/>
                  <w:u w:val="single"/>
                </w:rPr>
                <w:t>Consolidated Statements of Stockholders’ Equity for the three years ended December 31, 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94">
              <w:r>
                <w:rPr>
                  <w:rStyle w:val="InternetLink"/>
                  <w:rFonts w:ascii="Times New Roman;sans-serif" w:hAnsi="Times New Roman;sans-serif"/>
                  <w:b w:val="false"/>
                  <w:color w:val="0000FF"/>
                  <w:sz w:val="20"/>
                  <w:u w:val="single"/>
                </w:rPr>
                <w:t>60</w:t>
              </w:r>
            </w:hyperlink>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97">
              <w:r>
                <w:rPr>
                  <w:rStyle w:val="InternetLink"/>
                  <w:rFonts w:ascii="Times New Roman;sans-serif" w:hAnsi="Times New Roman;sans-serif"/>
                  <w:b w:val="false"/>
                  <w:color w:val="0000FF"/>
                  <w:sz w:val="20"/>
                  <w:u w:val="single"/>
                </w:rPr>
                <w:t>Consolidated Statements of Cash Flows for the three years ended December 31, 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97">
              <w:r>
                <w:rPr>
                  <w:rStyle w:val="InternetLink"/>
                  <w:rFonts w:ascii="Times New Roman;sans-serif" w:hAnsi="Times New Roman;sans-serif"/>
                  <w:b w:val="false"/>
                  <w:color w:val="0000FF"/>
                  <w:sz w:val="20"/>
                  <w:u w:val="single"/>
                </w:rPr>
                <w:t>61</w:t>
              </w:r>
            </w:hyperlink>
          </w:p>
        </w:tc>
      </w:tr>
      <w:tr>
        <w:trPr/>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103">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8ef64ef974242869517aee433ffdd_103">
              <w:r>
                <w:rPr>
                  <w:rStyle w:val="InternetLink"/>
                  <w:rFonts w:ascii="Times New Roman;sans-serif" w:hAnsi="Times New Roman;sans-serif"/>
                  <w:b w:val="false"/>
                  <w:color w:val="0000FF"/>
                  <w:sz w:val="20"/>
                  <w:u w:val="single"/>
                </w:rPr>
                <w:t>63</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have audited the accompanying consolidated balance sheets of LivePerson, Inc.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March 4, 2024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of Goodwill – Business reporting unit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1 and 5 to the consolidated financial statements, the Company’s consolidated goodwill balance was $285.6 million as of December 31, 2023. Goodwill is tested for impairment at the reporting unit level on an annual basis, or whenever events or changes in circumstances indicate that the carrying value may not be recoverable. In the valuation of goodwill, management must make assumptions regarding estimated future cash flows to be derived from the Company’s business. If these estimates or their related assumptions change in the future, the Company may be required to record impairment. In connection with the annual impairment test completed as of September 30, 2023 using the quantitative “Step 1” assessment, the Company determined the fair value of its reporting units, using both an income approach and a market approach. The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approach uses a discounted cash flow model that reflects management assumptions that mainly relate to revenue growth rates and operating margins. There were no impairments in the Company’s Business reporting unit, as the fair value of this reporting unit exceeded its carrying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valuation of goodwill for the Business reporting unit as a critical audit matter. Management’s determination of the fair value of the Business reporting unit required the use of significant judgment due to the subjectivity and uncertainty of the revenue growth rates and operating margins assumptions used in the income approach. Auditing these elements involved especially challenging and subjective auditor judgment due to the nature and extent of audit effort required to address these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Evaluating the reasonableness of the assumptions regarding revenue growth rates and operating margins by: i) evaluating the consistency of the revenue growth rates and operating margins with historical results, and ii) evaluating the consistency of the revenue growth rates and operating margins with the Company’s objectives and strategies.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Testing the accuracy and completeness of information used by management to determine revenue growth rates.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2005.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4,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025"/>
        <w:gridCol w:w="2197"/>
        <w:gridCol w:w="2167"/>
        <w:gridCol w:w="211"/>
        <w:gridCol w:w="826"/>
        <w:gridCol w:w="109"/>
        <w:gridCol w:w="109"/>
        <w:gridCol w:w="109"/>
        <w:gridCol w:w="109"/>
        <w:gridCol w:w="211"/>
        <w:gridCol w:w="976"/>
        <w:gridCol w:w="156"/>
      </w:tblGrid>
      <w:tr>
        <w:trPr/>
        <w:tc>
          <w:tcPr>
            <w:tcW w:w="3025"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$9,290 and $9,239 as of December 31, 2023 and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held for sale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 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(Note 16)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joint venture (Note 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1,088,940 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(Note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associated with assets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of current portion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 (Note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(Note 16)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- 5,000,000 shares authorized; none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- 200,000,000 shares authorized; 90,603,519 and 78,350,984 shares issued, and 87,837,446 and 75,584,911 shares outstanding as of December 31, 2023 and 2022,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Treasury stock, at cost; 2,766,073 shares as of December 31, 2023 and 2022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1,088,940 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6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64"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bl>
      <w:tblPr>
        <w:tblW w:w="10205" w:type="dxa"/>
        <w:jc w:val="center"/>
        <w:tblInd w:w="0" w:type="dxa"/>
        <w:tblLayout w:type="fixed"/>
        <w:tblCellMar>
          <w:top w:w="28" w:type="dxa"/>
          <w:left w:w="28" w:type="dxa"/>
          <w:bottom w:w="28" w:type="dxa"/>
          <w:right w:w="28" w:type="dxa"/>
        </w:tblCellMar>
      </w:tblPr>
      <w:tblGrid>
        <w:gridCol w:w="2247"/>
        <w:gridCol w:w="1816"/>
        <w:gridCol w:w="1822"/>
        <w:gridCol w:w="211"/>
        <w:gridCol w:w="886"/>
        <w:gridCol w:w="109"/>
        <w:gridCol w:w="109"/>
        <w:gridCol w:w="109"/>
        <w:gridCol w:w="109"/>
        <w:gridCol w:w="211"/>
        <w:gridCol w:w="886"/>
        <w:gridCol w:w="109"/>
        <w:gridCol w:w="109"/>
        <w:gridCol w:w="109"/>
        <w:gridCol w:w="109"/>
        <w:gridCol w:w="211"/>
        <w:gridCol w:w="886"/>
        <w:gridCol w:w="157"/>
      </w:tblGrid>
      <w:tr>
        <w:trPr/>
        <w:tc>
          <w:tcPr>
            <w:tcW w:w="224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Costs, expenses and other: </w:t>
            </w:r>
            <w:r>
              <w:rPr>
                <w:rFonts w:ascii="Times New Roman;sans-serif" w:hAnsi="Times New Roman;sans-serif"/>
                <w:b w:val="false"/>
                <w:color w:val="000000"/>
                <w:sz w:val="14"/>
              </w:rPr>
              <w:t>(1) (2)</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color w:val="000000"/>
              </w:rPr>
              <w:t xml:space="preserve"> </w:t>
            </w:r>
            <w:r>
              <w:rPr>
                <w:rFonts w:ascii="Times New Roman;sans-serif" w:hAnsi="Times New Roman;sans-serif"/>
                <w:b w:val="false"/>
                <w:color w:val="000000"/>
                <w:sz w:val="14"/>
              </w:rPr>
              <w:t>(3)</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expenses and other</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(benefit from) income taxes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78,593,274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74,509,404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69,606,105</w:t>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78,593,274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74,509,404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69,606,105</w:t>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9"/>
              </w:rPr>
              <w:t>Amounts include stock-based compensation expense, as follows: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Cost of revenue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Sales and marketing </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General and administrative </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 development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9"/>
              </w:rPr>
              <w:t>Amounts include depreciation expense, as follows: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Cost of revenue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Sales and marketing </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General and administrative </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 development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9"/>
              </w:rPr>
              <w:t>Amounts include amortization of purchased intangibles and finance leases, as follows: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Cost of revenue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before="0" w:after="0"/>
        <w:jc w:val="center"/>
        <w:rPr/>
      </w:pPr>
      <w:r>
        <w:rPr/>
      </w:r>
    </w:p>
    <w:tbl>
      <w:tblPr>
        <w:tblW w:w="7721" w:type="dxa"/>
        <w:jc w:val="left"/>
        <w:tblInd w:w="0" w:type="dxa"/>
        <w:tblLayout w:type="fixed"/>
        <w:tblCellMar>
          <w:top w:w="28" w:type="dxa"/>
          <w:left w:w="28" w:type="dxa"/>
          <w:bottom w:w="28" w:type="dxa"/>
          <w:right w:w="28" w:type="dxa"/>
        </w:tblCellMar>
      </w:tblPr>
      <w:tblGrid>
        <w:gridCol w:w="1217"/>
        <w:gridCol w:w="1061"/>
        <w:gridCol w:w="1081"/>
        <w:gridCol w:w="211"/>
        <w:gridCol w:w="901"/>
        <w:gridCol w:w="109"/>
        <w:gridCol w:w="109"/>
        <w:gridCol w:w="109"/>
        <w:gridCol w:w="109"/>
        <w:gridCol w:w="211"/>
        <w:gridCol w:w="901"/>
        <w:gridCol w:w="109"/>
        <w:gridCol w:w="109"/>
        <w:gridCol w:w="109"/>
        <w:gridCol w:w="109"/>
        <w:gridCol w:w="211"/>
        <w:gridCol w:w="90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1495" w:type="dxa"/>
        <w:jc w:val="left"/>
        <w:tblInd w:w="0" w:type="dxa"/>
        <w:tblLayout w:type="fixed"/>
        <w:tblCellMar>
          <w:top w:w="28" w:type="dxa"/>
          <w:left w:w="28" w:type="dxa"/>
          <w:bottom w:w="28" w:type="dxa"/>
          <w:right w:w="28" w:type="dxa"/>
        </w:tblCellMar>
      </w:tblPr>
      <w:tblGrid>
        <w:gridCol w:w="649"/>
        <w:gridCol w:w="268"/>
        <w:gridCol w:w="269"/>
        <w:gridCol w:w="480"/>
        <w:gridCol w:w="481"/>
        <w:gridCol w:w="196"/>
        <w:gridCol w:w="109"/>
        <w:gridCol w:w="109"/>
        <w:gridCol w:w="109"/>
        <w:gridCol w:w="212"/>
        <w:gridCol w:w="359"/>
        <w:gridCol w:w="120"/>
        <w:gridCol w:w="109"/>
        <w:gridCol w:w="109"/>
        <w:gridCol w:w="109"/>
        <w:gridCol w:w="443"/>
        <w:gridCol w:w="443"/>
        <w:gridCol w:w="196"/>
        <w:gridCol w:w="109"/>
        <w:gridCol w:w="109"/>
        <w:gridCol w:w="109"/>
        <w:gridCol w:w="241"/>
        <w:gridCol w:w="315"/>
        <w:gridCol w:w="13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70,264,265 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(2,709,830)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Bonus cash payment settled in shares of the Company’s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acquisitions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the Company’s employee stock purchase plan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74,980,546 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(2,746,243)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adjustment due to adoption of ASU 2020-06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Bonus cash payment settled in shares of the Company’s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acquisitions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78,350,984 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(2,766,073)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1,533,226 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in connection with acquisitions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10,297,374 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Activity related to divestiture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90,603,519 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(2,766,073)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37"/>
        <w:gridCol w:w="1965"/>
        <w:gridCol w:w="1975"/>
        <w:gridCol w:w="196"/>
        <w:gridCol w:w="804"/>
        <w:gridCol w:w="109"/>
        <w:gridCol w:w="109"/>
        <w:gridCol w:w="109"/>
        <w:gridCol w:w="109"/>
        <w:gridCol w:w="196"/>
        <w:gridCol w:w="804"/>
        <w:gridCol w:w="109"/>
        <w:gridCol w:w="109"/>
        <w:gridCol w:w="109"/>
        <w:gridCol w:w="109"/>
        <w:gridCol w:w="196"/>
        <w:gridCol w:w="804"/>
        <w:gridCol w:w="156"/>
      </w:tblGrid>
      <w:tr>
        <w:trPr/>
        <w:tc>
          <w:tcPr>
            <w:tcW w:w="223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provided by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 assets and finance leases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debt discount on convertible senior notes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intangible and other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repurchase of convertible notes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divestiture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settlement of leases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loss in joint venture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acquisition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including capitalized software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divestiture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acquisitions, net of cash acquired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 acquired in acquisition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joint venture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for financing leases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connection with the exercise of options and ESPP</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repurchase of convertible senior notes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classified within current assets held for sale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year</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287"/>
        <w:gridCol w:w="2008"/>
        <w:gridCol w:w="2019"/>
        <w:gridCol w:w="196"/>
        <w:gridCol w:w="736"/>
        <w:gridCol w:w="109"/>
        <w:gridCol w:w="109"/>
        <w:gridCol w:w="109"/>
        <w:gridCol w:w="109"/>
        <w:gridCol w:w="196"/>
        <w:gridCol w:w="803"/>
        <w:gridCol w:w="109"/>
        <w:gridCol w:w="109"/>
        <w:gridCol w:w="109"/>
        <w:gridCol w:w="109"/>
        <w:gridCol w:w="196"/>
        <w:gridCol w:w="736"/>
        <w:gridCol w:w="156"/>
      </w:tblGrid>
      <w:tr>
        <w:trPr/>
        <w:tc>
          <w:tcPr>
            <w:tcW w:w="2287"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consolidated balance sheets:</w:t>
            </w:r>
          </w:p>
        </w:tc>
        <w:tc>
          <w:tcPr>
            <w:tcW w:w="3891"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other cash flow information: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convertible senior notes, net upon adoption of ASU 2020-06 (Note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and intangible assets in 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finance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shares of common stock to settle cash awards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financing activities related to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of common stock in connection with e-bot7 transaction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in connection with e-bot7 transaction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of common stock in connection with Tenfold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in connection with Tenfold transaction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of common stock in connection with VoiceBase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in connection with VoiceBase transaction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of common stock in connection with WildHealth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in connection with WildHealth transaction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Summary of Significant Accounting Policies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 is the enterprise leader in digital customer conversation. Over the past decades, consumers have made digital conversations a primary way to communicate with others. Since 1998, we have enabled meaningful connections between consumers and our customers through our platform and currently power more than one billion connections and conversations each month. These digital and artificial intelligence (“AI”)-powered conversations decrease costs and increase revenue for our brands, resulting in more convenient, personalized and content-rich journeys across the entire consumer lifecycle, and across consumer channels. AI has accelerated our capability to leverage prior conversations and our customers’ existing investments in Generative AI and Large Language Models (“LLMs”) to enhance the consumer experience and to improve results for our customers by empowering them to leverage the latest developments in AI and LLMs, in a safe and secure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Conversational Cloud, the Company’s enterprise-class digital customer conversation platform, is trusted by the world’s top brands to accelerate their contact center transformation, orchestrate conversations across all channels, departments and systems, increase agent productivity, and deliver more personalized, AI-empowered customer experiences. The Conversational Cloud powers conversations across each of a brand’s primary digital channels, including mobile apps, mobile and desktop web browsers, short messaging service (“SMS”), social media and third-party consumer messaging platforms. Brands can also use the Conversational Cloud to message consumers when they dial a 1-800 number instead of forcing them to navigate interactive voice response systems and wait on hold. Most recently, the Conversational Cloud has been enhanced to provide a secure platform with appropriate guardrails to deploy Generative AI and LLMs in ways that help consumers and drive results for brands without sacrificing trust.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digital customer conversation platform enables what the Company calls “the tango” of humans, LivePerson bots, third-party bots and LLMs, whereby humans act as bot managers, overseeing AI-powered conversations and seamlessly stepping into the flow when a personal touch is needed. Agents become highly efficient, leveraging the AI engine (including generative AI capabilities) to surface relevant content, define next-best actions and take over repetitive transactional work so that the agent can focus on relationship building. By seamlessly integrating messaging with the Company’s proprietary Conversational AI, as well as bots, the Conversational Cloud offers brands a comprehensive approach to scaling automations across their millions of customer conversations.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reflect the operations of LivePerson and its wholly-owned subsidiaries. All intercompany balances and transactions have been eliminated in consolidation.</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 Method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20% or more of the voting interests of the investee, and conversely, the ability to exercise significant influence is presumed not to exist when an investor possesses less than 20%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financial statements of LivePerson, its wholly-owned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Under the provisions of </w:t>
      </w:r>
      <w:r>
        <w:rPr>
          <w:rFonts w:ascii="Times New Roman;sans-serif" w:hAnsi="Times New Roman;sans-serif"/>
          <w:b w:val="false"/>
          <w:color w:val="212529"/>
          <w:sz w:val="20"/>
        </w:rPr>
        <w:t>Financial Accounting Standards Board (“FASB”) Accounting Standards Codification</w:t>
      </w:r>
      <w:r>
        <w:rPr>
          <w:color w:val="000000"/>
        </w:rPr>
        <w:t xml:space="preserve"> </w:t>
      </w:r>
      <w:r>
        <w:rPr>
          <w:rFonts w:ascii="Times New Roman;sans-serif" w:hAnsi="Times New Roman;sans-serif"/>
          <w:b w:val="false"/>
          <w:color w:val="000000"/>
          <w:sz w:val="20"/>
        </w:rPr>
        <w:t xml:space="preserve">(“ASC”)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 See Note 18 – </w:t>
      </w:r>
      <w:r>
        <w:rPr>
          <w:rFonts w:ascii="Times New Roman;sans-serif" w:hAnsi="Times New Roman;sans-serif"/>
          <w:b w:val="false"/>
          <w:i/>
          <w:color w:val="000000"/>
          <w:sz w:val="20"/>
        </w:rPr>
        <w:t>Variable Interest Entities</w:t>
      </w:r>
      <w:r>
        <w:rPr>
          <w:color w:val="000000"/>
        </w:rPr>
        <w:t xml:space="preserve"> </w:t>
      </w:r>
      <w:r>
        <w:rPr>
          <w:rFonts w:ascii="Times New Roman;sans-serif" w:hAnsi="Times New Roman;sans-serif"/>
          <w:b w:val="false"/>
          <w:color w:val="000000"/>
          <w:sz w:val="20"/>
        </w:rPr>
        <w:t xml:space="preserve">for the Company’s assessment of VIEs.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preparation of consolidated financial statements in conformity with accounting principles generally accepted in the United States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Items subject to such estimates and assumptions include: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stock-based compensation expense;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allowance for credit losses;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period of benefit for deferred contract acquisition costs;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of goodwill;</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and useful lives of other long-lived assets;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fair value of assets acquired and liabilities assumed in business combinations;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income taxes; and</w:t>
      </w:r>
    </w:p>
    <w:p>
      <w:pPr>
        <w:pStyle w:val="TextBody"/>
        <w:bidi w:val="0"/>
        <w:spacing w:lineRule="auto" w:line="288" w:before="0" w:after="160"/>
        <w:ind w:left="0" w:right="0" w:hanging="360"/>
        <w:jc w:val="both"/>
        <w:rPr/>
      </w:pPr>
      <w:r>
        <w:rPr>
          <w:color w:val="000000"/>
          <w:shd w:fill="FFFFFF" w:val="clear"/>
        </w:rPr>
        <w:t>•</w:t>
      </w:r>
      <w:r>
        <w:rPr>
          <w:rFonts w:ascii="Times New Roman;sans-serif" w:hAnsi="Times New Roman;sans-serif"/>
          <w:b w:val="false"/>
          <w:color w:val="000000"/>
          <w:sz w:val="20"/>
          <w:shd w:fill="FFFFFF" w:val="clear"/>
        </w:rPr>
        <w:t>recognition, measurement, and disclosure of contingent liabilities.</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United States of America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gains or losses are included in other income (expense), net in the accompanying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Cash, Cash Equivalents and Restricted Cash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considers all highly liquid securities with original maturities of three months or less when acquired to be cash equivalents. Cash equivalents, which primarily consist of money market funds, are recorded at cost, which approximates fair value. Restricted cash primarily relates to funds held in connection with the divestiture of Kasamba. See Note 20 – </w:t>
      </w:r>
      <w:r>
        <w:rPr>
          <w:rFonts w:ascii="Times New Roman;sans-serif" w:hAnsi="Times New Roman;sans-serif"/>
          <w:b w:val="false"/>
          <w:i/>
          <w:color w:val="000000"/>
          <w:sz w:val="20"/>
        </w:rPr>
        <w:t xml:space="preserve">Divestiture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prepaid expenses and other current assets as of the dates presented:</w:t>
      </w:r>
    </w:p>
    <w:p>
      <w:pPr>
        <w:pStyle w:val="TextBody"/>
        <w:bidi w:val="0"/>
        <w:spacing w:before="0" w:after="0"/>
        <w:jc w:val="both"/>
        <w:rPr/>
      </w:pPr>
      <w:r>
        <w:rPr/>
      </w:r>
    </w:p>
    <w:tbl>
      <w:tblPr>
        <w:tblW w:w="6383" w:type="dxa"/>
        <w:jc w:val="left"/>
        <w:tblInd w:w="0" w:type="dxa"/>
        <w:tblLayout w:type="fixed"/>
        <w:tblCellMar>
          <w:top w:w="28" w:type="dxa"/>
          <w:left w:w="28" w:type="dxa"/>
          <w:bottom w:w="28" w:type="dxa"/>
          <w:right w:w="28" w:type="dxa"/>
        </w:tblCellMar>
      </w:tblPr>
      <w:tblGrid>
        <w:gridCol w:w="1422"/>
        <w:gridCol w:w="1246"/>
        <w:gridCol w:w="1261"/>
        <w:gridCol w:w="211"/>
        <w:gridCol w:w="721"/>
        <w:gridCol w:w="109"/>
        <w:gridCol w:w="109"/>
        <w:gridCol w:w="109"/>
        <w:gridCol w:w="109"/>
        <w:gridCol w:w="211"/>
        <w:gridCol w:w="72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Server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Intangibles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 and Intangible Assets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Goodwill represents the excess of the aggregate purchase price over the fair value of net identifiable assets acquired in a business combination. Goodwill is not amortized, but is tested for impairment at the reporting unit level using either a qualitative or quantitative assessment on an annual basis, or whenever events or changes in circumstances indicate that the carrying value may not be recoverable. In the valuation of goodwill, management must make assumptions regarding estimated future cash flows to be derived from the Company’s business. If these estimates or their related assumptions change in the future, the Company may be required to record impairment for these assets. As of December 31, 2023, our reporting units included </w:t>
      </w:r>
      <w:r>
        <w:rPr>
          <w:rFonts w:ascii="Times New Roman;sans-serif" w:hAnsi="Times New Roman;sans-serif"/>
          <w:b w:val="false"/>
          <w:color w:val="000000"/>
          <w:sz w:val="20"/>
          <w:shd w:fill="FFFFFF" w:val="clear"/>
        </w:rPr>
        <w:t>Business and WildHealth. During the fourth quarter of 2023, the Company voluntarily changed its annual goodwill testing date from September 30 to October 1. The Company believes this change of method of applying the accounting principle is preferable, as it more closely aligns the annual impairment testing date with the most current information from the budgeting and strategic planning process and provides management with sufficient time to complete its annual assessment. This change will be applied prospectively, as retrospective application would be impracticable. The Company completed its most recent annual evaluation of impairment as of September 30, 2023 using a quantitative assessment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 </w:t>
      </w:r>
      <w:r>
        <w:rPr>
          <w:rFonts w:ascii="Times New Roman;sans-serif" w:hAnsi="Times New Roman;sans-serif"/>
          <w:b w:val="false"/>
          <w:color w:val="000000"/>
          <w:sz w:val="20"/>
        </w:rPr>
        <w:t xml:space="preserve">The Company’s assessment of goodwill impairment as of September 30, 2023, resulted in a noncash impairment of $11.9 million of goodwill for its WildHealth reporting unit. See </w:t>
      </w:r>
      <w:r>
        <w:rPr>
          <w:rFonts w:ascii="Times New Roman;sans-serif" w:hAnsi="Times New Roman;sans-serif"/>
          <w:b w:val="false"/>
          <w:i/>
          <w:color w:val="000000"/>
          <w:sz w:val="20"/>
        </w:rPr>
        <w:t>Note 5 – Goodwill and Other Intangible Assets, Net</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Intangible assets with estima</w:t>
      </w:r>
      <w:r>
        <w:rPr>
          <w:rFonts w:ascii="Times New Roman;sans-serif" w:hAnsi="Times New Roman;sans-serif"/>
          <w:b w:val="false"/>
          <w:color w:val="000000"/>
          <w:sz w:val="20"/>
        </w:rPr>
        <w:t xml:space="preserve">ble useful lives are amortized over their respective estimated useful lives to their estimated residual values, and reviewed for impairment in accordance with ASC 360-10-35, “Accounting for Impairment or Disposal of Long-Lived Assets”. Acquired intangible assets consist of identifiable intangible assets, primarily developed technology and customer relationships, resulting from our acquisitions. Intangible assets are recorded at fair value on the date of acquisition. During the year ended December 31, 2023, the Company recognized an immaterial non-cash impairment charge of $3.0 million associated with WildHealth developed technology. See </w:t>
      </w:r>
      <w:r>
        <w:rPr>
          <w:rFonts w:ascii="Times New Roman;sans-serif" w:hAnsi="Times New Roman;sans-serif"/>
          <w:b w:val="false"/>
          <w:i/>
          <w:color w:val="000000"/>
          <w:sz w:val="20"/>
        </w:rPr>
        <w:t>Note 5 – Goodwill and Other Intangible Assets, Net</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Property and Equipment,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fixed assets on an ongoing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Internal-Use Software Development Costs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five years. Management evaluates the useful lives of these assets on an annual basis. Costs incurred prior to meeting these criteria, together with costs incurred for training and maintenance, are expensed as incurred.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discounted future cash flows expected to result from the use of the asset (or asset group) and its eventual disposition are less than its carrying amount.</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 During the measurement period, which is no later than one year from the acquisition date, the Company may record adjustments to the assets acquired and liabilities assumed, with a corresponding offset to goodwill. Upon the conclusion of the measurement period, any subsequent adjustments are recorded in the consolidated statements of operations. See Note 9 – </w:t>
      </w: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Advertising</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the cost of advertising and promoting its services as incurred in the sales and marketing expense on the consolidated statement of operations. Such costs totaled approximately $10.9 million, $45.5 million, and $41.2 million for the years ended December 31, 2023, 2022, and 2021,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costs are expensed when incurred, except for certain internal-use software development costs, which may be capitalized as noted above. R&amp;D expenses consist primarily of personnel and related headcount costs, costs of professional services associated with the ongoing development of the Company’s technology, and allocated overhead.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related to stock-based awards to employees and directors is measured and recognized in the Company’s consolidated statements of operations based on the fair value of the awards granted. The Company estimates the fair value of its stock options using the Black Scholes option pricing model. The stock-based compensation expense relating to stock options is recognized on a straight-line basis over the period during which the employee or director is required to provide service in exchange for the award, usually the vesting period, which is generally three to four years.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are generally subject to a service-based vesting condition over three to four years. The valuation of these RSUs is based solely on the Company’s stock price on the date of grant, and the corresponding compensation expense is amortized on a straight-line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Performance-Vesting Restricted Stock Units (“PRSUs”)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accordance with ASC 718-10, “Stock Compensation”, the Company measures stock-based awards at fair value and recognizes compensation expense for all stock-based payment awards made to its employees and directors, including employee stock options. See Note 13</w:t>
      </w:r>
      <w:r>
        <w:rPr>
          <w:color w:val="000000"/>
        </w:rPr>
        <w:t xml:space="preserve"> –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or contains a lease at contract inception. In certain of our lease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 Operating leases are recorded in our consolidated balance sheets. Right-of-use (“ROU”) assets and lease liabilities are measured at the lease commencement date based on the present value of the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Optional periods to extend the lease, including by not exercising a termination option, are included in the lease term when it is reasonably certain that the option will be exercised. We account for lease and non-lease components, principally common area maintenance for our facilities leases, as a single lease component. Variable costs, such as maintenance and utilities based on actual usage, are not included in the measurement of ROU assets and lease liabilities but are expensed when the event determining the amount of variable consideration to be paid occurs. The lease expense is recognized on a straight-line basis over the lease term. Our real estate leases asset class with an initial expected term of 12 months or less (short-term) is not accounted for on our consolidated balance sheets. Our finance leases are recorded in property and equipment, net in our consolidated balance sheets. For finance leases, interest expense on the lease liability is recognized based on the incremental borrowing rate and the ROU assets are amortized on a straight-line basis over the shorter of the lease term or the useful life of the ROU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our ability to recover our deferred tax assets in the jurisdiction from which they arise, we consider all available positive and negative evidence, including scheduled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reversals of deferred tax liabilities, projected future taxable income, tax-planning strategies, and results of recent operations. We include interest accrued on the underpayment of income taxes and certain interest expense and penalties, if any, related to unrecognized tax benefits as a component of the income tax provision. Valuation allowances are established, when necessary, to reduce deferred tax assets to the amount expected to be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Comprehensive Loss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220, “Comprehensive Income”, the Company reports by major components and as a single total, the change in its net assets during the period from non-owner sources. Comprehensive loss consists of net loss and accumulated other comprehensive loss, which includes certain changes in equity that are excluded from net loss. The Company’s comprehensive loss for all periods presented is related to the effect of foreign currency translation.</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December 2023, FASB issued Accounting Standards Update (“ASU”) 2023-09,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(Topic 280):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which expands annual and interim disclosure requirements for reportable segments, primarily through enhanced disclosures about significant segment expenses. The updated standard is effective for annual periods beginning in fiscal 2025 and interim periods beginning in the first quarter of fiscal 2026. Early adoption is permitted. We are currently evaluating the impact that the updated standard will have on our financial statement disclosures.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w:t>
      </w:r>
      <w:r>
        <w:rPr>
          <w:color w:val="000000"/>
        </w:rPr>
        <w:t xml:space="preserve"> </w:t>
      </w:r>
      <w:r>
        <w:rPr>
          <w:rFonts w:ascii="Times New Roman;sans-serif" w:hAnsi="Times New Roman;sans-serif"/>
          <w:b w:val="false"/>
          <w:color w:val="000000"/>
          <w:sz w:val="20"/>
        </w:rPr>
        <w:t xml:space="preserve">(Subtopic 805-60): </w:t>
      </w:r>
      <w:r>
        <w:rPr>
          <w:rFonts w:ascii="Times New Roman;sans-serif" w:hAnsi="Times New Roman;sans-serif"/>
          <w:b w:val="false"/>
          <w:i/>
          <w:color w:val="000000"/>
          <w:sz w:val="20"/>
        </w:rPr>
        <w:t>Recognition and Initial Measurement</w:t>
      </w:r>
      <w:r>
        <w:rPr>
          <w:rFonts w:ascii="Times New Roman;sans-serif" w:hAnsi="Times New Roman;sans-serif"/>
          <w:b w:val="false"/>
          <w:color w:val="000000"/>
          <w:sz w:val="20"/>
        </w:rPr>
        <w:t>, which addresses the accounting for contributions made to a joint venture, upon formation, in a joint venture’s separate financial statements. The amendments require certain joint ventures to apply a new basis of accounting upon formation by recognizing and initially measuring most of their assets and liabilities at fair value. The objectives of the amendments are to provide decision-useful information to investors and other allocators of capital in a joint venture’s financial statements and also to reduce diversity in practice. ASU 2023-05 is effective for both public and private joint venture entities with a formation date on or after January 1, 2025.</w:t>
      </w:r>
      <w:r>
        <w:rPr>
          <w:color w:val="000000"/>
          <w:shd w:fill="FFFFFF" w:val="clear"/>
        </w:rPr>
        <w:t xml:space="preserve"> </w:t>
      </w:r>
      <w:r>
        <w:rPr>
          <w:rFonts w:ascii="Times New Roman;sans-serif" w:hAnsi="Times New Roman;sans-serif"/>
          <w:b w:val="false"/>
          <w:color w:val="000000"/>
          <w:sz w:val="20"/>
          <w:shd w:fill="FFFFFF" w:val="clear"/>
        </w:rPr>
        <w:t>Early adoption is permitted. Entities may elect to apply the guidance retrospectively to joint ventures with a formation date prior to</w:t>
      </w:r>
      <w:r>
        <w:rPr>
          <w:color w:val="000000"/>
        </w:rPr>
        <w:t xml:space="preserve"> </w:t>
      </w:r>
      <w:r>
        <w:rPr>
          <w:rFonts w:ascii="Times New Roman;sans-serif" w:hAnsi="Times New Roman;sans-serif"/>
          <w:b w:val="false"/>
          <w:color w:val="000000"/>
          <w:sz w:val="20"/>
        </w:rPr>
        <w:t xml:space="preserve">January 1, 2025. The Company does not expect the adoption of this standard to have a material impact on its consolidated financial statements and related disclosures.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March 2023, the FASB issued ASU 2023-01,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(Topic 842): Common Control Arrangements, which amends certain provisions of ASC 842 that apply to arrangements between related parties under common control. Specifically, the ASU: 1) Offers private companies, as well as not-for-profit entities that are not conduit bond obligors, a practical expedient that gives them the option of using the written terms and conditions of a common-control arrangement when determining whether a lease exists and the subsequent accounting for the lease, including the lease’s classification and 2) Amends the accounting for leasehold improvements in common-control arrangements for all entities. ASU 2023-01 is effective for fiscal years beginning after December 15, 2023, including interim periods within those fiscal years. Early adoption is permitted in any annual or interim period as of the beginning of the related fiscal year. The Company does not expect the adoption of this standard to have a material impact on its consolidated financial statements and related disclosures.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 xml:space="preserve">Fair Value Measurement </w:t>
      </w:r>
      <w:r>
        <w:rPr>
          <w:rFonts w:ascii="Times New Roman;sans-serif" w:hAnsi="Times New Roman;sans-serif"/>
          <w:b w:val="false"/>
          <w:color w:val="000000"/>
          <w:sz w:val="20"/>
        </w:rPr>
        <w:t xml:space="preserve">(Topic 820), Fair Value Measurement of Equity Securities Subject to Contractual Sale Restrictions to clarify that a contractual restriction on the sale of an equity security is not considered part of a unit of account of the equity security, and, therefore, is not considered in measuring fair value.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amendments also clarify that an entity cannot, as a separate unit of account, recognize and measure a contractual sale restriction. The amendments also require the following disclosures for equity securities subject to the contractual sale restrictions. </w:t>
      </w:r>
    </w:p>
    <w:p>
      <w:pPr>
        <w:pStyle w:val="TextBody"/>
        <w:bidi w:val="0"/>
        <w:spacing w:before="0" w:after="0"/>
        <w:jc w:val="both"/>
        <w:rPr/>
      </w:pPr>
      <w:r>
        <w:rPr/>
      </w:r>
    </w:p>
    <w:p>
      <w:pPr>
        <w:pStyle w:val="TextBody"/>
        <w:bidi w:val="0"/>
        <w:spacing w:lineRule="auto" w:line="288" w:before="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fair value of equity securities subject to the contractual sale restrictions reflected on the balance sheet. </w:t>
      </w:r>
    </w:p>
    <w:p>
      <w:pPr>
        <w:pStyle w:val="TextBody"/>
        <w:bidi w:val="0"/>
        <w:spacing w:lineRule="auto" w:line="288" w:before="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nature and remaining duration of the restriction(s). </w:t>
      </w:r>
    </w:p>
    <w:p>
      <w:pPr>
        <w:pStyle w:val="TextBody"/>
        <w:bidi w:val="0"/>
        <w:spacing w:lineRule="auto" w:line="288" w:before="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3.The circumstances that could cause a lapse in the restriction(s).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guidance is effective for fiscal years beginning after December 15, 2023, and interim periods within those financial years. The Company does not expect the adoption of this standard to have a material impact on the Company’s consolidated financial statements and related disclosures.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generated from hosted service revenues, which is inclusive of its platform pricing model. Revenues are recognized when control of these services is transferred to the Company’s customers, in an amount that reflects the consideration the Company expects to be entitled to in exchange for those services.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of $402.0 million, $514.8 million, and $469.6 million was recognized during the years ended December 31, 2023, 2022, and 2021, respectively.</w:t>
      </w:r>
    </w:p>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defers all incremental commission costs to obtain the contract. These contract acquisition costs, which are comprised of prepaid sales commissions, have balances at December 31, 2023 and 2022 of $37.4 million and $43.8 million, respectively. The Company amortizes these costs over the related period of benefit using the customer expected life that the Company determined to be four years, which is consistent with the transfer to the customer of the services to which the asset relates. The Company classifies contract acquisition costs as long-term.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None of the Company’s contracts contain a significant financing component. During the year ended December 31, 2023, we recognized approximately $8.9 million of revenue from performance obligations satisfied during the year ended December 31, 2022, in connection with delivery of products and services related to COVID-19 testing. Refer to Note 15 – </w:t>
      </w: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 xml:space="preserve">for additional details.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revenue is reported at the amount that reflects the ultimate consideration expected to be received and primarily consist of fees that provide customers access to the Conversational Cloud, the Company’s enterprise-class digital customer conversation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arrangements in accordance with ASC 606, “Principal Agent Considerations”, the Company acts as a principal in a transaction if it controls the specified goods or services before they are transferred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is reported at the amount that reflects the ultimate consideration the Company expects to receive in exchange for such services. Our professional services revenue consists of fees that provide customers with product support and updates during the term of the arrangement, which is typically one year or longer in length, billed; monthly, quarterly or annually in advance. Revenue is generally recognized ratably over the contract term. Our professional services revenue also includes custom support services, which differ from our standard product support. These professional services revenues are recognized as the services are performed.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before="0" w:after="0"/>
        <w:ind w:left="0" w:right="0" w:firstLine="48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revenue source:</w:t>
      </w:r>
    </w:p>
    <w:p>
      <w:pPr>
        <w:pStyle w:val="TextBody"/>
        <w:bidi w:val="0"/>
        <w:spacing w:before="0" w:after="0"/>
        <w:ind w:left="0" w:right="0" w:firstLine="720"/>
        <w:jc w:val="left"/>
        <w:rPr/>
      </w:pPr>
      <w:r>
        <w:rPr/>
      </w:r>
    </w:p>
    <w:tbl>
      <w:tblPr>
        <w:tblW w:w="5937" w:type="dxa"/>
        <w:jc w:val="center"/>
        <w:tblInd w:w="0" w:type="dxa"/>
        <w:tblLayout w:type="fixed"/>
        <w:tblCellMar>
          <w:top w:w="28" w:type="dxa"/>
          <w:left w:w="28" w:type="dxa"/>
          <w:bottom w:w="28" w:type="dxa"/>
          <w:right w:w="28" w:type="dxa"/>
        </w:tblCellMar>
      </w:tblPr>
      <w:tblGrid>
        <w:gridCol w:w="650"/>
        <w:gridCol w:w="574"/>
        <w:gridCol w:w="576"/>
        <w:gridCol w:w="211"/>
        <w:gridCol w:w="826"/>
        <w:gridCol w:w="109"/>
        <w:gridCol w:w="109"/>
        <w:gridCol w:w="109"/>
        <w:gridCol w:w="109"/>
        <w:gridCol w:w="211"/>
        <w:gridCol w:w="826"/>
        <w:gridCol w:w="109"/>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Hosted services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Hosted services included $7.1 million, $37.1 million, and $37.7 million for the years ended December 31, 2023, 2022, and 2021, respectively, relating to Kasamba.</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amount of the total transaction price allocated in contracts with original duration of one year or greater to the remaining performance obligations was $317.5 million. Approximately 92%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Judgment is required to determine the SSP for each distinct performance obligation. The Company determines the SSP based on its overall pricing objectives, taking into consideration market conditions and other factors, including the value of its contracts, product offerings and the cloud applications sold.</w:t>
      </w:r>
    </w:p>
    <w:p>
      <w:pPr>
        <w:pStyle w:val="TextBody"/>
        <w:bidi w:val="0"/>
        <w:spacing w:before="0" w:after="0"/>
        <w:ind w:left="0" w:right="0" w:firstLine="4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p>
      <w:pPr>
        <w:pStyle w:val="TextBody"/>
        <w:bidi w:val="0"/>
        <w:spacing w:before="0" w:after="0"/>
        <w:ind w:left="0" w:right="0" w:firstLine="48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revenues attributable to domestic and foreign operations for the periods presented:</w:t>
      </w:r>
    </w:p>
    <w:tbl>
      <w:tblPr>
        <w:tblW w:w="5727" w:type="dxa"/>
        <w:jc w:val="left"/>
        <w:tblInd w:w="0" w:type="dxa"/>
        <w:tblLayout w:type="fixed"/>
        <w:tblCellMar>
          <w:top w:w="28" w:type="dxa"/>
          <w:left w:w="28" w:type="dxa"/>
          <w:bottom w:w="28" w:type="dxa"/>
          <w:right w:w="28" w:type="dxa"/>
        </w:tblCellMar>
      </w:tblPr>
      <w:tblGrid>
        <w:gridCol w:w="576"/>
        <w:gridCol w:w="506"/>
        <w:gridCol w:w="508"/>
        <w:gridCol w:w="211"/>
        <w:gridCol w:w="826"/>
        <w:gridCol w:w="109"/>
        <w:gridCol w:w="109"/>
        <w:gridCol w:w="109"/>
        <w:gridCol w:w="109"/>
        <w:gridCol w:w="211"/>
        <w:gridCol w:w="826"/>
        <w:gridCol w:w="109"/>
        <w:gridCol w:w="109"/>
        <w:gridCol w:w="109"/>
        <w:gridCol w:w="109"/>
        <w:gridCol w:w="211"/>
        <w:gridCol w:w="82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Americas</w:t>
            </w:r>
            <w:r>
              <w:rPr>
                <w:color w:val="000000"/>
              </w:rPr>
              <w:t xml:space="preserve"> </w:t>
            </w:r>
            <w:r>
              <w:rPr>
                <w:rFonts w:ascii="Times New Roman;sans-serif" w:hAnsi="Times New Roman;sans-serif"/>
                <w:b w:val="false"/>
                <w:color w:val="000000"/>
                <w:sz w:val="14"/>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286,924 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324,828 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EMEA </w:t>
            </w:r>
            <w:r>
              <w:rPr>
                <w:rFonts w:ascii="Times New Roman;sans-serif" w:hAnsi="Times New Roman;sans-serif"/>
                <w:b w:val="false"/>
                <w:color w:val="000000"/>
                <w:sz w:val="14"/>
              </w:rPr>
              <w:t>(2)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APAC</w:t>
            </w:r>
            <w:r>
              <w:rPr>
                <w:color w:val="000000"/>
              </w:rPr>
              <w:t xml:space="preserve"> </w:t>
            </w:r>
            <w:r>
              <w:rPr>
                <w:rFonts w:ascii="Times New Roman;sans-serif" w:hAnsi="Times New Roman;sans-serif"/>
                <w:b w:val="false"/>
                <w:color w:val="000000"/>
                <w:sz w:val="14"/>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(1)Canada, Latin America, and South America.</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(2)Europe, the Middle East and Africa (“EMEA”).</w:t>
      </w:r>
    </w:p>
    <w:p>
      <w:pPr>
        <w:pStyle w:val="TextBody"/>
        <w:bidi w:val="0"/>
        <w:spacing w:lineRule="auto" w:line="288" w:before="0" w:after="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(3)Includes revenue from the United Kingdom (“U.K.”) of $44.8 million, $55.3 million, and $56.7 million for the years ended December 31, 2023, 2022, and 2021, respectively, and from the Netherlands of $0.8 million, $6.6 million, and $4.8 million for the years ended December 31, 2023, 2022, and 2021, respectively.</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(4)</w:t>
      </w:r>
      <w:r>
        <w:rPr>
          <w:color w:val="000000"/>
        </w:rPr>
        <w:t xml:space="preserve"> </w:t>
      </w:r>
      <w:r>
        <w:rPr>
          <w:rFonts w:ascii="Times New Roman;sans-serif" w:hAnsi="Times New Roman;sans-serif"/>
          <w:b w:val="false"/>
          <w:color w:val="000000"/>
          <w:sz w:val="16"/>
        </w:rPr>
        <w:t>Asia-Pacific (“APAC”).</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about Contract Balances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revenue balance consists of services, which have been invoiced upfront, and are recognized as revenue only when the revenue recognition criteria are met.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net of allowances on the consolidated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revenue of $86.8 million and $98.3 million for the fiscal years ended December 31, 2023 and 2022, respectively, which was included in the corresponding contract liability balance at the beginning of the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revenue balance consists of services, which have been invoiced upfront, and are recognized as revenue only when the revenue recognition criteria are met. Our long-term deferred revenues are included in Other liabilities on the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opening and closing balances of the Company’s accounts receivable, unbilled receivables, and deferred revenues are as follows:</w:t>
      </w:r>
    </w:p>
    <w:tbl>
      <w:tblPr>
        <w:tblW w:w="10205" w:type="dxa"/>
        <w:jc w:val="center"/>
        <w:tblInd w:w="0" w:type="dxa"/>
        <w:tblLayout w:type="fixed"/>
        <w:tblCellMar>
          <w:top w:w="28" w:type="dxa"/>
          <w:left w:w="28" w:type="dxa"/>
          <w:bottom w:w="28" w:type="dxa"/>
          <w:right w:w="28" w:type="dxa"/>
        </w:tblCellMar>
      </w:tblPr>
      <w:tblGrid>
        <w:gridCol w:w="583"/>
        <w:gridCol w:w="512"/>
        <w:gridCol w:w="515"/>
        <w:gridCol w:w="244"/>
        <w:gridCol w:w="836"/>
        <w:gridCol w:w="126"/>
        <w:gridCol w:w="109"/>
        <w:gridCol w:w="109"/>
        <w:gridCol w:w="109"/>
        <w:gridCol w:w="241"/>
        <w:gridCol w:w="825"/>
        <w:gridCol w:w="124"/>
        <w:gridCol w:w="109"/>
        <w:gridCol w:w="109"/>
        <w:gridCol w:w="109"/>
        <w:gridCol w:w="344"/>
        <w:gridCol w:w="1176"/>
        <w:gridCol w:w="179"/>
        <w:gridCol w:w="109"/>
        <w:gridCol w:w="109"/>
        <w:gridCol w:w="109"/>
        <w:gridCol w:w="276"/>
        <w:gridCol w:w="944"/>
        <w:gridCol w:w="142"/>
        <w:gridCol w:w="109"/>
        <w:gridCol w:w="109"/>
        <w:gridCol w:w="109"/>
        <w:gridCol w:w="330"/>
        <w:gridCol w:w="729"/>
        <w:gridCol w:w="171"/>
        <w:gridCol w:w="109"/>
        <w:gridCol w:w="109"/>
        <w:gridCol w:w="109"/>
        <w:gridCol w:w="109"/>
        <w:gridCol w:w="164"/>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Unbilled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Contract Acquisition Costs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Deferred Revenue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Deferred Revenue </w:t>
              <w:br/>
              <w:t>(Non-current)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 as of December 31, 2021</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net</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as of December 31, 2023</w:t>
            </w:r>
          </w:p>
        </w:tc>
        <w:tc>
          <w:tcPr>
            <w:tcW w:w="2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60,382 </w:t>
            </w:r>
          </w:p>
        </w:tc>
        <w:tc>
          <w:tcPr>
            <w:tcW w:w="1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21,420 </w:t>
            </w:r>
          </w:p>
        </w:tc>
        <w:tc>
          <w:tcPr>
            <w:tcW w:w="12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37,354 </w:t>
            </w:r>
          </w:p>
        </w:tc>
        <w:tc>
          <w:tcPr>
            <w:tcW w:w="17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81,858 </w:t>
            </w:r>
          </w:p>
        </w:tc>
        <w:tc>
          <w:tcPr>
            <w:tcW w:w="1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in connection with contract acquisition cost was approximately $27.6 million and $36.4 million for the years ended December 31, 2023 and 2022,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Accounts receivable are recorded at the invoiced amount and do not bear interest. The allowance for credit losses is the Company’s best estimat</w:t>
      </w:r>
      <w:r>
        <w:rPr>
          <w:rFonts w:ascii="Times New Roman;sans-serif" w:hAnsi="Times New Roman;sans-serif"/>
          <w:b w:val="false"/>
          <w:color w:val="000000"/>
          <w:sz w:val="20"/>
          <w:shd w:fill="FFFFFF" w:val="clear"/>
        </w:rPr>
        <w:t>e of the amount of probable credit losses in the Company’s existing accounts receivable, based on historical write-off experience. The Company reviews its allowance for credit losses monthly. Past due balances over 90 days and over a specified amount are reviewed individually for collectability. All other balances are reviewed on a pooled basis. We maintain general reserves on a collective basis by considering factors such as historical experience, creditworthiness, the age of the trade receivable balances, and current econom</w:t>
      </w:r>
      <w:r>
        <w:rPr>
          <w:rFonts w:ascii="Times New Roman;sans-serif" w:hAnsi="Times New Roman;sans-serif"/>
          <w:b w:val="false"/>
          <w:color w:val="000000"/>
          <w:sz w:val="20"/>
        </w:rPr>
        <w:t>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 is as follows:</w:t>
      </w:r>
    </w:p>
    <w:p>
      <w:pPr>
        <w:pStyle w:val="TextBody"/>
        <w:bidi w:val="0"/>
        <w:spacing w:before="0" w:after="0"/>
        <w:ind w:left="0" w:right="0" w:firstLine="720"/>
        <w:jc w:val="both"/>
        <w:rPr/>
      </w:pPr>
      <w:r>
        <w:rPr/>
      </w:r>
    </w:p>
    <w:tbl>
      <w:tblPr>
        <w:tblW w:w="7239" w:type="dxa"/>
        <w:jc w:val="left"/>
        <w:tblInd w:w="0" w:type="dxa"/>
        <w:tblLayout w:type="fixed"/>
        <w:tblCellMar>
          <w:top w:w="28" w:type="dxa"/>
          <w:left w:w="28" w:type="dxa"/>
          <w:bottom w:w="28" w:type="dxa"/>
          <w:right w:w="28" w:type="dxa"/>
        </w:tblCellMar>
      </w:tblPr>
      <w:tblGrid>
        <w:gridCol w:w="1233"/>
        <w:gridCol w:w="1084"/>
        <w:gridCol w:w="108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December 31, </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Net Loss Per Share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Basic earnings per share (“EPS”) excludes dilution for common stock equivalents and is computed by dividing net income or loss attributable to common stockholders by the weighted average number of shares of common stock outstanding for the period. Diluted EPS is calculated based on the weighted average number of shares of common stock plus the effect of dilutive potential common shares outstanding during the period. Potentially dilutive securities consist of common stock options, restricted stock units, contingently issuable shares and convertible securities. The dilutive effect of stock options, restricted stock units and contingently issuable shares is reflected in diluted EPS by application of the treasury stock method. The dilutive effect of convertible securities is reflected in the diluted EPS by application of the “if-converted” method. The “if-converted” method is only assumed in periods where such application would be dilutive. In applying the “if-converted” method for diluted EPS, the Company would assume conversion of the 0.750% Convertible Senior Notes due 2024 (“2024 Notes”) at a ratio of 25.9182 shares of its common stock per $1,000 principal amount of the 2024 Notes. The Company would assume conversion of the 2026 Notes at a ratio of 13.2933 shares of its common stock per $1,000 principal amount of the 2026 Notes. Assumed converted shares of the Company’s common stock are weighted for the period the Notes were outstanding. See Note 8 – </w:t>
      </w:r>
      <w:r>
        <w:rPr>
          <w:rFonts w:ascii="Times New Roman;sans-serif" w:hAnsi="Times New Roman;sans-serif"/>
          <w:b w:val="false"/>
          <w:i/>
          <w:color w:val="000000"/>
          <w:sz w:val="20"/>
        </w:rPr>
        <w:t>Convertible Senior Notes, Net of Current Portion and Capped Call Transactions</w:t>
      </w:r>
      <w:r>
        <w:rPr>
          <w:color w:val="000000"/>
        </w:rPr>
        <w:t xml:space="preserve"> </w:t>
      </w:r>
      <w:r>
        <w:rPr>
          <w:rFonts w:ascii="Times New Roman;sans-serif" w:hAnsi="Times New Roman;sans-serif"/>
          <w:b w:val="false"/>
          <w:color w:val="000000"/>
          <w:sz w:val="20"/>
        </w:rPr>
        <w:t xml:space="preserve">for additional information about the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Reconc</w:t>
      </w:r>
      <w:r>
        <w:rPr>
          <w:rFonts w:ascii="Times New Roman;sans-serif" w:hAnsi="Times New Roman;sans-serif"/>
          <w:b w:val="false"/>
          <w:color w:val="000000"/>
          <w:sz w:val="20"/>
          <w:shd w:fill="FFFFFF" w:val="clear"/>
        </w:rPr>
        <w:t>iliation of shares used in calculating basic and diluted EPS</w:t>
      </w:r>
      <w:r>
        <w:rPr>
          <w:color w:val="000000"/>
        </w:rPr>
        <w:t xml:space="preserve"> </w:t>
      </w:r>
      <w:r>
        <w:rPr>
          <w:rFonts w:ascii="Times New Roman;sans-serif" w:hAnsi="Times New Roman;sans-serif"/>
          <w:b w:val="false"/>
          <w:color w:val="000000"/>
          <w:sz w:val="20"/>
        </w:rPr>
        <w:t>for the years ended December 31, 2023, 2022, and 2021, were as follows:</w:t>
      </w:r>
    </w:p>
    <w:tbl>
      <w:tblPr>
        <w:tblW w:w="9867" w:type="dxa"/>
        <w:jc w:val="left"/>
        <w:tblInd w:w="0" w:type="dxa"/>
        <w:tblLayout w:type="fixed"/>
        <w:tblCellMar>
          <w:top w:w="28" w:type="dxa"/>
          <w:left w:w="28" w:type="dxa"/>
          <w:bottom w:w="28" w:type="dxa"/>
          <w:right w:w="28" w:type="dxa"/>
        </w:tblCellMar>
      </w:tblPr>
      <w:tblGrid>
        <w:gridCol w:w="1990"/>
        <w:gridCol w:w="1752"/>
        <w:gridCol w:w="1763"/>
        <w:gridCol w:w="211"/>
        <w:gridCol w:w="901"/>
        <w:gridCol w:w="109"/>
        <w:gridCol w:w="109"/>
        <w:gridCol w:w="109"/>
        <w:gridCol w:w="109"/>
        <w:gridCol w:w="211"/>
        <w:gridCol w:w="901"/>
        <w:gridCol w:w="109"/>
        <w:gridCol w:w="109"/>
        <w:gridCol w:w="109"/>
        <w:gridCol w:w="109"/>
        <w:gridCol w:w="211"/>
        <w:gridCol w:w="901"/>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 thousands)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(225,747)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(124,974)</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basic and diluted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69,606,105 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reached settlement agreements regarding the final portions of the VoiceBase and Tenfold earn-outs for approximately $15.0 million and $13.0 million, respectively. These settlements were paid in shares during the year ended December 31, 2023. Additionally, during the fourth quarter of 2023, the Company reached a settlement agreement regarding the eBot-7 earn-out for approximately $8.0 million, which was paid in shares during the year ended December 31, 2023. The assumed conversion of the earn-out settlements would have no impact on the basic and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val="false"/>
          <w:color w:val="000000"/>
          <w:sz w:val="20"/>
        </w:rPr>
        <w:t>EPS as presented in the table above.</w:t>
      </w:r>
      <w:r>
        <w:rPr>
          <w:color w:val="000000"/>
          <w:shd w:fill="FFFFFF" w:val="clear"/>
        </w:rPr>
        <w:t xml:space="preserve"> </w:t>
      </w:r>
      <w:r>
        <w:rPr>
          <w:rFonts w:ascii="Times New Roman;sans-serif" w:hAnsi="Times New Roman;sans-serif"/>
          <w:b w:val="false"/>
          <w:color w:val="000000"/>
          <w:sz w:val="20"/>
          <w:shd w:fill="FFFFFF" w:val="clear"/>
        </w:rPr>
        <w:t xml:space="preserve">Further, the following securities were excluded from the computation of diluted EPS for </w:t>
      </w:r>
      <w:r>
        <w:rPr>
          <w:rFonts w:ascii="Times New Roman;sans-serif" w:hAnsi="Times New Roman;sans-serif"/>
          <w:b w:val="false"/>
          <w:color w:val="000000"/>
          <w:sz w:val="20"/>
        </w:rPr>
        <w:t>the years ended December 31, 2023 and</w:t>
      </w:r>
      <w:r>
        <w:rPr>
          <w:color w:val="000000"/>
          <w:shd w:fill="FFFFFF" w:val="clear"/>
        </w:rPr>
        <w:t xml:space="preserve"> </w:t>
      </w:r>
      <w:r>
        <w:rPr>
          <w:rFonts w:ascii="Times New Roman;sans-serif" w:hAnsi="Times New Roman;sans-serif"/>
          <w:b w:val="false"/>
          <w:color w:val="000000"/>
          <w:sz w:val="20"/>
          <w:shd w:fill="FFFFFF" w:val="clear"/>
        </w:rPr>
        <w:t>2022, as their effect would have been anti-dilutive:</w:t>
      </w:r>
    </w:p>
    <w:tbl>
      <w:tblPr>
        <w:tblW w:w="9828" w:type="dxa"/>
        <w:jc w:val="left"/>
        <w:tblInd w:w="0" w:type="dxa"/>
        <w:tblLayout w:type="fixed"/>
        <w:tblCellMar>
          <w:top w:w="28" w:type="dxa"/>
          <w:left w:w="28" w:type="dxa"/>
          <w:bottom w:w="28" w:type="dxa"/>
          <w:right w:w="28" w:type="dxa"/>
        </w:tblCellMar>
      </w:tblPr>
      <w:tblGrid>
        <w:gridCol w:w="1891"/>
        <w:gridCol w:w="1662"/>
        <w:gridCol w:w="1667"/>
        <w:gridCol w:w="540"/>
        <w:gridCol w:w="541"/>
        <w:gridCol w:w="156"/>
        <w:gridCol w:w="140"/>
        <w:gridCol w:w="140"/>
        <w:gridCol w:w="140"/>
        <w:gridCol w:w="540"/>
        <w:gridCol w:w="541"/>
        <w:gridCol w:w="156"/>
        <w:gridCol w:w="140"/>
        <w:gridCol w:w="140"/>
        <w:gridCol w:w="140"/>
        <w:gridCol w:w="540"/>
        <w:gridCol w:w="541"/>
        <w:gridCol w:w="213"/>
      </w:tblGrid>
      <w:tr>
        <w:trPr/>
        <w:tc>
          <w:tcPr>
            <w:tcW w:w="189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 and ESPP</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3,186,322 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4,459,324 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4,782,487 </w:t>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3,732,013 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12,049,211 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1,150,504 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2024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5,961,186 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17,008,514 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34,583,737 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22,505,473 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Segment Information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was previously organized into two operating segments for purposes of making operating decisions and assessing performance. </w:t>
      </w:r>
      <w:r>
        <w:rPr>
          <w:rFonts w:ascii="Times New Roman;sans-serif" w:hAnsi="Times New Roman;sans-serif"/>
          <w:b w:val="false"/>
          <w:color w:val="000000"/>
          <w:sz w:val="20"/>
          <w:shd w:fill="FFFFFF" w:val="clear"/>
        </w:rPr>
        <w:t>The Business segment enables brands to leverage the Conversational Cloud’s sophisticated intelligence engine to connect with consumers through an integrated suite of mobile and online business messaging technologies. The Consumer segment facilitated online transactions between i</w:t>
      </w:r>
      <w:r>
        <w:rPr>
          <w:rFonts w:ascii="Times New Roman;sans-serif" w:hAnsi="Times New Roman;sans-serif"/>
          <w:b w:val="false"/>
          <w:color w:val="000000"/>
          <w:sz w:val="20"/>
        </w:rPr>
        <w:t>ndependent service providers (“</w:t>
      </w:r>
      <w:r>
        <w:rPr>
          <w:rFonts w:ascii="Times New Roman;sans-serif" w:hAnsi="Times New Roman;sans-serif"/>
          <w:b w:val="false"/>
          <w:color w:val="000000"/>
          <w:sz w:val="20"/>
          <w:shd w:fill="FFFFFF" w:val="clear"/>
        </w:rPr>
        <w:t xml:space="preserve">Experts”) and individual consumers (“Users”) seeking information and knowledge for a fee via mobile and online messaging. During the first quarter of 2023, the Consumer segment (consisting solely of the Kasamba business) was divested. </w:t>
      </w:r>
      <w:r>
        <w:rPr>
          <w:rFonts w:ascii="Times New Roman;sans-serif" w:hAnsi="Times New Roman;sans-serif"/>
          <w:b w:val="false"/>
          <w:color w:val="000000"/>
          <w:sz w:val="20"/>
        </w:rPr>
        <w:t xml:space="preserve">As a result, the divestiture of Kasamba eliminated the Company’s Consumer segment. See Note 20 – </w:t>
      </w:r>
      <w:r>
        <w:rPr>
          <w:rFonts w:ascii="Times New Roman;sans-serif" w:hAnsi="Times New Roman;sans-serif"/>
          <w:b w:val="false"/>
          <w:i/>
          <w:color w:val="000000"/>
          <w:sz w:val="20"/>
        </w:rPr>
        <w:t xml:space="preserve">Divestiture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Subsequent to the divestiture of Kasamba, the chief operating decision maker (“CODM”), who is the Company’s Chief Executive Officer, evaluates performance, makes operating decisions, and allocates resources based on the financial information presented on a consolidated basis. Accordingly, management has determined that the Company operates as one operating and reportable segment.</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Geographic Information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long-lived assets by geographic region as of the dates set forth below:</w:t>
      </w:r>
    </w:p>
    <w:tbl>
      <w:tblPr>
        <w:tblW w:w="4629"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11"/>
        <w:gridCol w:w="82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4"/>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(1)U.K., Japan, France, Italy, Spain, Canada, and Singapore.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Goodwill and Intangible Assets,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years ended December 31, 2023 and 2022 are as follows:</w:t>
      </w:r>
    </w:p>
    <w:p>
      <w:pPr>
        <w:pStyle w:val="TextBody"/>
        <w:bidi w:val="0"/>
        <w:spacing w:before="0" w:after="0"/>
        <w:ind w:left="0" w:right="0" w:firstLine="720"/>
        <w:jc w:val="both"/>
        <w:rPr/>
      </w:pPr>
      <w:r>
        <w:rPr/>
      </w:r>
    </w:p>
    <w:tbl>
      <w:tblPr>
        <w:tblW w:w="4904" w:type="dxa"/>
        <w:jc w:val="left"/>
        <w:tblInd w:w="0" w:type="dxa"/>
        <w:tblLayout w:type="fixed"/>
        <w:tblCellMar>
          <w:top w:w="28" w:type="dxa"/>
          <w:left w:w="28" w:type="dxa"/>
          <w:bottom w:w="28" w:type="dxa"/>
          <w:right w:w="28" w:type="dxa"/>
        </w:tblCellMar>
      </w:tblPr>
      <w:tblGrid>
        <w:gridCol w:w="1304"/>
        <w:gridCol w:w="1144"/>
        <w:gridCol w:w="1152"/>
        <w:gridCol w:w="230"/>
        <w:gridCol w:w="905"/>
        <w:gridCol w:w="169"/>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Consolidated</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reclassified to assets held for sale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296,214 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impairment</w:t>
            </w:r>
            <w:r>
              <w:rPr>
                <w:color w:val="000000"/>
              </w:rPr>
              <w:t xml:space="preserve"> </w:t>
            </w:r>
            <w:r>
              <w:rPr>
                <w:rFonts w:ascii="Times New Roman;sans-serif" w:hAnsi="Times New Roman;sans-serif"/>
                <w:b w:val="false"/>
                <w:color w:val="000000"/>
                <w:sz w:val="14"/>
              </w:rPr>
              <w:t>(1)</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285,631 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 represents the entire accumulated goodwill impairment balance as of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annual impairment test completed as of September 30, 2023 using the quantitative “Step 1” assessment, the Company determined the fair value of its reporting units, using both an income approach and a market approach. The income approach uses a discounted cash flow model that reflects management assumptions regarding revenue growth rates, operating margins, risk-adjusted discount rate, terminal period growth rate, economic and market trends and other expectations about the anticipated operating results of the reporting units. Under the market approach, the fair value is estimated based on market multiples of revenues derived from comparable publicly traded companies with operating characteristics similar to the reporting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As a result of the Company’s annual goodwill impairment test in the third quarter of 2023, the Company recorded a </w:t>
      </w:r>
      <w:r>
        <w:rPr>
          <w:rFonts w:ascii="Times New Roman;sans-serif" w:hAnsi="Times New Roman;sans-serif"/>
          <w:b w:val="false"/>
          <w:color w:val="000000"/>
          <w:sz w:val="20"/>
        </w:rPr>
        <w:t>no</w:t>
      </w:r>
      <w:r>
        <w:rPr>
          <w:rFonts w:ascii="Times New Roman;sans-serif" w:hAnsi="Times New Roman;sans-serif"/>
          <w:b w:val="false"/>
          <w:color w:val="000000"/>
          <w:sz w:val="20"/>
          <w:shd w:fill="FFFFFF" w:val="clear"/>
        </w:rPr>
        <w:t xml:space="preserve">n-cash impairment charge of </w:t>
      </w:r>
      <w:r>
        <w:rPr>
          <w:rFonts w:ascii="Times New Roman;sans-serif" w:hAnsi="Times New Roman;sans-serif"/>
          <w:b w:val="false"/>
          <w:color w:val="000000"/>
          <w:sz w:val="20"/>
        </w:rPr>
        <w:t xml:space="preserve">$11.9 million </w:t>
      </w:r>
      <w:r>
        <w:rPr>
          <w:rFonts w:ascii="Times New Roman;sans-serif" w:hAnsi="Times New Roman;sans-serif"/>
          <w:b w:val="false"/>
          <w:color w:val="000000"/>
          <w:sz w:val="20"/>
          <w:shd w:fill="FFFFFF" w:val="clear"/>
        </w:rPr>
        <w:t>in th</w:t>
      </w:r>
      <w:r>
        <w:rPr>
          <w:rFonts w:ascii="Times New Roman;sans-serif" w:hAnsi="Times New Roman;sans-serif"/>
          <w:b w:val="false"/>
          <w:color w:val="000000"/>
          <w:sz w:val="20"/>
        </w:rPr>
        <w:t>e consolidated statements of operations</w:t>
      </w:r>
      <w:r>
        <w:rPr>
          <w:color w:val="000000"/>
          <w:shd w:fill="FFFFFF" w:val="clear"/>
        </w:rPr>
        <w:t xml:space="preserve"> </w:t>
      </w: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to recognize the im</w:t>
      </w:r>
      <w:r>
        <w:rPr>
          <w:rFonts w:ascii="Times New Roman;sans-serif" w:hAnsi="Times New Roman;sans-serif"/>
          <w:b w:val="false"/>
          <w:color w:val="000000"/>
          <w:sz w:val="20"/>
        </w:rPr>
        <w:t>pairment of goodwill in the WildHealth reporting unit. This conclusion was primarily based upon slower growth in existing revenue streams and strategic decisions to reduce or eliminate investment in new and existing revenue streams previously planned for expansion. The Company’s latest available financial forecasts at the time of the annual goodwill impairment test reflected lower cash flows than previously projected related to the WildHealth reporting unit.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impairments in the Company’s Business reporting unit, as the fair value of this reporting unit substantially exceeded its carrying value.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connection with the divestiture of Kasamba under the Consumer segment, the Company recorded a reduction to its goodwill of $8.0 million during the year ended December 31, 2022. See Note 20 – </w:t>
      </w:r>
      <w:r>
        <w:rPr>
          <w:rFonts w:ascii="Times New Roman;sans-serif" w:hAnsi="Times New Roman;sans-serif"/>
          <w:b w:val="false"/>
          <w:i/>
          <w:color w:val="000000"/>
          <w:sz w:val="20"/>
        </w:rPr>
        <w:t>Divestiture</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 are summarized as follows:</w:t>
      </w:r>
    </w:p>
    <w:p>
      <w:pPr>
        <w:pStyle w:val="TextBody"/>
        <w:bidi w:val="0"/>
        <w:spacing w:before="0" w:after="0"/>
        <w:jc w:val="both"/>
        <w:rPr/>
      </w:pPr>
      <w:r>
        <w:rPr/>
      </w:r>
    </w:p>
    <w:tbl>
      <w:tblPr>
        <w:tblW w:w="8756"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24"/>
        <w:gridCol w:w="796"/>
        <w:gridCol w:w="118"/>
        <w:gridCol w:w="109"/>
        <w:gridCol w:w="109"/>
        <w:gridCol w:w="109"/>
        <w:gridCol w:w="368"/>
        <w:gridCol w:w="1257"/>
        <w:gridCol w:w="190"/>
        <w:gridCol w:w="109"/>
        <w:gridCol w:w="109"/>
        <w:gridCol w:w="109"/>
        <w:gridCol w:w="343"/>
        <w:gridCol w:w="343"/>
        <w:gridCol w:w="48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480"/>
        <w:jc w:val="both"/>
        <w:rPr/>
      </w:pPr>
      <w:r>
        <w:rPr/>
      </w:r>
    </w:p>
    <w:tbl>
      <w:tblPr>
        <w:tblW w:w="8756"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24"/>
        <w:gridCol w:w="796"/>
        <w:gridCol w:w="118"/>
        <w:gridCol w:w="109"/>
        <w:gridCol w:w="109"/>
        <w:gridCol w:w="109"/>
        <w:gridCol w:w="368"/>
        <w:gridCol w:w="1257"/>
        <w:gridCol w:w="190"/>
        <w:gridCol w:w="109"/>
        <w:gridCol w:w="109"/>
        <w:gridCol w:w="109"/>
        <w:gridCol w:w="343"/>
        <w:gridCol w:w="343"/>
        <w:gridCol w:w="48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is calculated over the estimated useful life of the asset. Aggregate amortization expense for intangible assets and finance leases, net was $22.2 million, $22.1 million, and $9.3 million for the years ended December 31, 2023, 2022, and 2021, respectively, and a portion of this amortization was included in cost of revenue in the consolidated statements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Intangible assets are tested for impairment whenever events or changes in circumstances indicate that the carrying amount of the asset or asset group may not be recoverable and the carrying amount of the asset exceeds the estimated expected undiscounted future cash flows that are expected to result from the use of the asset. As a result of our impairment test in the third quarter of 2023</w:t>
      </w:r>
      <w:r>
        <w:rPr>
          <w:rFonts w:ascii="Times New Roman;sans-serif" w:hAnsi="Times New Roman;sans-serif"/>
          <w:b w:val="false"/>
          <w:color w:val="000000"/>
          <w:sz w:val="20"/>
        </w:rPr>
        <w:t>, the Company recognized an immaterial non-cash impairment charge of $3.0 million included in the impairment of intangibles and other assets in the consolidated statements of operations, related to our intangible assets – developed technology associated with WildHealth, due to updated forecasts as discussed above. The fair value of these intangible assets as of September 30, 2023 was estimated using a relief from royalty method. A terminal multiple was applied on an assumed sale of the asset group subsequent to the life of the primary asset. There were no impairments of intangible assets during the year ended December 31,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estimated annual amortization expense for the next five years and thereafter is as follows:</w:t>
      </w:r>
    </w:p>
    <w:p>
      <w:pPr>
        <w:pStyle w:val="TextBody"/>
        <w:bidi w:val="0"/>
        <w:spacing w:before="0" w:after="0"/>
        <w:ind w:left="0" w:right="0" w:firstLine="720"/>
        <w:jc w:val="both"/>
        <w:rPr/>
      </w:pPr>
      <w:r>
        <w:rPr/>
      </w:r>
    </w:p>
    <w:tbl>
      <w:tblPr>
        <w:tblW w:w="3631" w:type="dxa"/>
        <w:jc w:val="center"/>
        <w:tblInd w:w="0" w:type="dxa"/>
        <w:tblLayout w:type="fixed"/>
        <w:tblCellMar>
          <w:top w:w="28" w:type="dxa"/>
          <w:left w:w="28" w:type="dxa"/>
          <w:bottom w:w="28" w:type="dxa"/>
          <w:right w:w="28" w:type="dxa"/>
        </w:tblCellMar>
      </w:tblPr>
      <w:tblGrid>
        <w:gridCol w:w="342"/>
        <w:gridCol w:w="300"/>
        <w:gridCol w:w="304"/>
        <w:gridCol w:w="520"/>
        <w:gridCol w:w="1782"/>
        <w:gridCol w:w="38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Amortization Expense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Property and Equipment,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fixed assets on an ongoing basis. The following table presents the detail of property and equipment as follows:</w:t>
      </w:r>
    </w:p>
    <w:tbl>
      <w:tblPr>
        <w:tblW w:w="10205" w:type="dxa"/>
        <w:jc w:val="left"/>
        <w:tblInd w:w="0" w:type="dxa"/>
        <w:tblLayout w:type="fixed"/>
        <w:tblCellMar>
          <w:top w:w="28" w:type="dxa"/>
          <w:left w:w="28" w:type="dxa"/>
          <w:bottom w:w="28" w:type="dxa"/>
          <w:right w:w="28" w:type="dxa"/>
        </w:tblCellMar>
      </w:tblPr>
      <w:tblGrid>
        <w:gridCol w:w="1474"/>
        <w:gridCol w:w="1287"/>
        <w:gridCol w:w="1296"/>
        <w:gridCol w:w="1054"/>
        <w:gridCol w:w="1047"/>
        <w:gridCol w:w="1053"/>
        <w:gridCol w:w="109"/>
        <w:gridCol w:w="109"/>
        <w:gridCol w:w="109"/>
        <w:gridCol w:w="211"/>
        <w:gridCol w:w="826"/>
        <w:gridCol w:w="109"/>
        <w:gridCol w:w="109"/>
        <w:gridCol w:w="109"/>
        <w:gridCol w:w="109"/>
        <w:gridCol w:w="211"/>
        <w:gridCol w:w="826"/>
        <w:gridCol w:w="157"/>
      </w:tblGrid>
      <w:tr>
        <w:trPr/>
        <w:tc>
          <w:tcPr>
            <w:tcW w:w="147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building improvements</w:t>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lesser of 5 or estimated useful life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3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tc>
        <w:tc>
          <w:tcPr>
            <w:tcW w:w="3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 net</w:t>
            </w:r>
            <w:r>
              <w:rPr>
                <w:color w:val="000000"/>
              </w:rPr>
              <w:t xml:space="preserve"> </w:t>
            </w:r>
          </w:p>
        </w:tc>
        <w:tc>
          <w:tcPr>
            <w:tcW w:w="3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assets held for sale (Note 20)</w:t>
            </w:r>
          </w:p>
        </w:tc>
        <w:tc>
          <w:tcPr>
            <w:tcW w:w="3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depreciation and amortization expense for property and equipment was $32.6 million, $32.3 million, and $27.4 million for the years ended December 31, 2023, 2022, and 2021,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Expenditures for routine maintenance and repairs are charged to operating expense as incurred. Major renewals and improvements are capitalized and depreciated over their estimated useful lives.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ended December 31, 2023, the Company recorded a noncash impairment charge of $5.0 million related to capitalized software development costs. The impairment charges were included in the consolidated statements of operations for the year ended December 31, 2023. These impairment charges pertained to internal projects that were discontinued and had no future economic benefit. There were no impairments of property and equipment during the year ended December 31, 2022.</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7. Accrued Expenses and Other Current Liabilities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accrued expenses and other current liabilities as of the dates presented:</w:t>
      </w:r>
    </w:p>
    <w:tbl>
      <w:tblPr>
        <w:tblW w:w="7404" w:type="dxa"/>
        <w:jc w:val="left"/>
        <w:tblInd w:w="0" w:type="dxa"/>
        <w:tblLayout w:type="fixed"/>
        <w:tblCellMar>
          <w:top w:w="28" w:type="dxa"/>
          <w:left w:w="28" w:type="dxa"/>
          <w:bottom w:w="28" w:type="dxa"/>
          <w:right w:w="28" w:type="dxa"/>
        </w:tblCellMar>
      </w:tblPr>
      <w:tblGrid>
        <w:gridCol w:w="1753"/>
        <w:gridCol w:w="1544"/>
        <w:gridCol w:w="1548"/>
        <w:gridCol w:w="211"/>
        <w:gridCol w:w="721"/>
        <w:gridCol w:w="109"/>
        <w:gridCol w:w="109"/>
        <w:gridCol w:w="109"/>
        <w:gridCol w:w="109"/>
        <w:gridCol w:w="211"/>
        <w:gridCol w:w="826"/>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consulting and other vendor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other employee-related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contingent earn-out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Convertible Senior Notes, Net of Current Portion and Capped Call Transactions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Convertible Senior Notes due 2024 and Capped Calls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2019, the Company issued $230.0 million aggregate principal amount of its 0.750% Convertible Senior Notes due 2024 in a private placement. Interest on the 2024 Notes is payable semi-annually in arrears on March 1 and September 1 of each year.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will mature on March 1, 2024, unless earlier repurchased or redeemed by the Company or converted pursuant to their terms. The total net proceeds from the offering of the 2024 Notes, after deducting debt issuance costs, was approximately $221.4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pPr>
      <w:r>
        <w:rPr>
          <w:rFonts w:ascii="Times New Roman;sans-serif" w:hAnsi="Times New Roman;sans-serif"/>
          <w:b w:val="false"/>
          <w:color w:val="000000"/>
          <w:sz w:val="20"/>
          <w:shd w:fill="FFFFFF" w:val="clear"/>
        </w:rPr>
        <w:t xml:space="preserve">Holders of the 2024 Notes may convert their 2024 Notes at their option at any time prior to the close of business on the business day immediately preceding November 1, 2023, in multiples of </w:t>
      </w:r>
      <w:r>
        <w:rPr>
          <w:rFonts w:ascii="Times New Roman;sans-serif" w:hAnsi="Times New Roman;sans-serif"/>
          <w:b w:val="false"/>
          <w:color w:val="000000"/>
          <w:sz w:val="20"/>
        </w:rPr>
        <w:t>$1,000</w:t>
      </w:r>
      <w:r>
        <w:rPr>
          <w:color w:val="000000"/>
          <w:shd w:fill="FFFFFF" w:val="clear"/>
        </w:rPr>
        <w:t xml:space="preserve"> </w:t>
      </w:r>
      <w:r>
        <w:rPr>
          <w:rFonts w:ascii="Times New Roman;sans-serif" w:hAnsi="Times New Roman;sans-serif"/>
          <w:b w:val="false"/>
          <w:color w:val="000000"/>
          <w:sz w:val="20"/>
          <w:shd w:fill="FFFFFF" w:val="clear"/>
        </w:rPr>
        <w:t xml:space="preserve">principal amount, only under the following circumstances: (1) during any calendar quarter commencing after the calendar quarter ending on June 30, 2019 (and only during such calendar quarter), if the last reported sale price of the Company’s common stock for at least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(whether or not consecutive) during a period of </w:t>
      </w:r>
      <w:r>
        <w:rPr>
          <w:rFonts w:ascii="Times New Roman;sans-serif" w:hAnsi="Times New Roman;sans-serif"/>
          <w:b w:val="false"/>
          <w:color w:val="000000"/>
          <w:sz w:val="20"/>
        </w:rPr>
        <w:t>30</w:t>
      </w:r>
      <w:r>
        <w:rPr>
          <w:color w:val="000000"/>
          <w:shd w:fill="FFFFFF" w:val="clear"/>
        </w:rPr>
        <w:t xml:space="preserve"> </w:t>
      </w:r>
      <w:r>
        <w:rPr>
          <w:rFonts w:ascii="Times New Roman;sans-serif" w:hAnsi="Times New Roman;sans-serif"/>
          <w:b w:val="false"/>
          <w:color w:val="000000"/>
          <w:sz w:val="20"/>
          <w:shd w:fill="FFFFFF" w:val="clear"/>
        </w:rPr>
        <w:t xml:space="preserve">consecutive trading days ending on, and including, the last trading day of the immediately preceding calendar quarter is greater than or equal to </w:t>
      </w:r>
      <w:r>
        <w:rPr>
          <w:rFonts w:ascii="Times New Roman;sans-serif" w:hAnsi="Times New Roman;sans-serif"/>
          <w:b w:val="false"/>
          <w:color w:val="000000"/>
          <w:sz w:val="20"/>
        </w:rPr>
        <w:t>130%</w:t>
      </w:r>
      <w:r>
        <w:rPr>
          <w:color w:val="000000"/>
          <w:shd w:fill="FFFFFF" w:val="clear"/>
        </w:rPr>
        <w:t xml:space="preserve"> </w:t>
      </w:r>
      <w:r>
        <w:rPr>
          <w:rFonts w:ascii="Times New Roman;sans-serif" w:hAnsi="Times New Roman;sans-serif"/>
          <w:b w:val="false"/>
          <w:color w:val="000000"/>
          <w:sz w:val="20"/>
          <w:shd w:fill="FFFFFF" w:val="clear"/>
        </w:rPr>
        <w:t xml:space="preserve">of the conversion price for the 2024 Notes on each applicable trading day as determined by the Company; (2) during the </w:t>
      </w:r>
      <w:r>
        <w:rPr>
          <w:rFonts w:ascii="Times New Roman;sans-serif" w:hAnsi="Times New Roman;sans-serif"/>
          <w:b w:val="false"/>
          <w:color w:val="000000"/>
          <w:sz w:val="20"/>
        </w:rPr>
        <w:t>five</w:t>
      </w:r>
      <w:r>
        <w:rPr>
          <w:color w:val="000000"/>
          <w:shd w:fill="FFFFFF" w:val="clear"/>
        </w:rPr>
        <w:t xml:space="preserve"> </w:t>
      </w:r>
      <w:r>
        <w:rPr>
          <w:rFonts w:ascii="Times New Roman;sans-serif" w:hAnsi="Times New Roman;sans-serif"/>
          <w:b w:val="false"/>
          <w:color w:val="000000"/>
          <w:sz w:val="20"/>
          <w:shd w:fill="FFFFFF" w:val="clear"/>
        </w:rPr>
        <w:t xml:space="preserve">business day period after any </w:t>
      </w:r>
      <w:r>
        <w:rPr>
          <w:rFonts w:ascii="Times New Roman;sans-serif" w:hAnsi="Times New Roman;sans-serif"/>
          <w:b w:val="false"/>
          <w:color w:val="000000"/>
          <w:sz w:val="20"/>
        </w:rPr>
        <w:t>five</w:t>
      </w:r>
      <w:r>
        <w:rPr>
          <w:color w:val="000000"/>
          <w:shd w:fill="FFFFFF" w:val="clear"/>
        </w:rPr>
        <w:t xml:space="preserve"> </w:t>
      </w:r>
      <w:r>
        <w:rPr>
          <w:rFonts w:ascii="Times New Roman;sans-serif" w:hAnsi="Times New Roman;sans-serif"/>
          <w:b w:val="false"/>
          <w:color w:val="000000"/>
          <w:sz w:val="20"/>
          <w:shd w:fill="FFFFFF" w:val="clear"/>
        </w:rPr>
        <w:t xml:space="preserve">consecutive trading day period (the “measurement period”) in which the “trading price” (as defined in the indenture governing the 2024 Notes) per </w:t>
      </w:r>
      <w:r>
        <w:rPr>
          <w:rFonts w:ascii="Times New Roman;sans-serif" w:hAnsi="Times New Roman;sans-serif"/>
          <w:b w:val="false"/>
          <w:color w:val="000000"/>
          <w:sz w:val="20"/>
        </w:rPr>
        <w:t>$1,000</w:t>
      </w:r>
      <w:r>
        <w:rPr>
          <w:color w:val="000000"/>
          <w:shd w:fill="FFFFFF" w:val="clear"/>
        </w:rPr>
        <w:t xml:space="preserve"> </w:t>
      </w:r>
      <w:r>
        <w:rPr>
          <w:rFonts w:ascii="Times New Roman;sans-serif" w:hAnsi="Times New Roman;sans-serif"/>
          <w:b w:val="false"/>
          <w:color w:val="000000"/>
          <w:sz w:val="20"/>
          <w:shd w:fill="FFFFFF" w:val="clear"/>
        </w:rPr>
        <w:t xml:space="preserve">principal amount of 2024 Notes for each trading day of the measurement period was less than </w:t>
      </w:r>
      <w:r>
        <w:rPr>
          <w:rFonts w:ascii="Times New Roman;sans-serif" w:hAnsi="Times New Roman;sans-serif"/>
          <w:b w:val="false"/>
          <w:color w:val="000000"/>
          <w:sz w:val="20"/>
        </w:rPr>
        <w:t>98%</w:t>
      </w:r>
      <w:r>
        <w:rPr>
          <w:color w:val="000000"/>
          <w:shd w:fill="FFFFFF" w:val="clear"/>
        </w:rPr>
        <w:t xml:space="preserve"> </w:t>
      </w:r>
      <w:r>
        <w:rPr>
          <w:rFonts w:ascii="Times New Roman;sans-serif" w:hAnsi="Times New Roman;sans-serif"/>
          <w:b w:val="false"/>
          <w:color w:val="000000"/>
          <w:sz w:val="20"/>
          <w:shd w:fill="FFFFFF" w:val="clear"/>
        </w:rPr>
        <w:t xml:space="preserve">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a portion of the year ended December 31, 2023, the conditions allowing holders of the 2024 Notes to convert were met.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are senior unsecured obligations of the Company.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allocated the total amount of issuance costs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a result of the adoption of ASU 2020-06, the 2024 Notes are accounted for as a single liability, and the carrying amount of the 2024 Notes, after giving effect to the March 2023 repurchases described below, is </w:t>
      </w:r>
      <w:r>
        <w:rPr>
          <w:rFonts w:ascii="Times New Roman;sans-serif" w:hAnsi="Times New Roman;sans-serif"/>
          <w:b w:val="false"/>
          <w:color w:val="000000"/>
          <w:sz w:val="20"/>
          <w:shd w:fill="FFFFFF" w:val="clear"/>
        </w:rPr>
        <w:t xml:space="preserve">$72.4 million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consisting of principal of $72.5 million, net of unamortized debt issuance costs of $0.1 million</w:t>
      </w:r>
      <w:r>
        <w:rPr>
          <w:rFonts w:ascii="Times New Roman;sans-serif" w:hAnsi="Times New Roman;sans-serif"/>
          <w:b w:val="false"/>
          <w:color w:val="000000"/>
          <w:sz w:val="20"/>
        </w:rPr>
        <w:t>. The 2024 Notes were classified as short-term liabilities in the accompanying consolidated balance sheet as of December 31, 2023. The remaining term ov</w:t>
      </w:r>
      <w:r>
        <w:rPr>
          <w:rFonts w:ascii="Times New Roman;sans-serif" w:hAnsi="Times New Roman;sans-serif"/>
          <w:b w:val="false"/>
          <w:color w:val="000000"/>
          <w:sz w:val="20"/>
          <w:shd w:fill="FFFFFF" w:val="clear"/>
        </w:rPr>
        <w:t xml:space="preserve">er which the 2024 Notes’ debt issuance costs will be amortized is 0.2 years at an effective interest rate of 1.57% </w:t>
      </w:r>
      <w:r>
        <w:rPr>
          <w:rFonts w:ascii="Times New Roman;sans-serif" w:hAnsi="Times New Roman;sans-serif"/>
          <w:b w:val="false"/>
          <w:color w:val="000000"/>
          <w:sz w:val="20"/>
        </w:rPr>
        <w:t xml:space="preserve">for the year ended December 31, 2023.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March 21, 2023, the Company entered into individual privately negotiated transactions (the “Note Repurchase Agreements”) with certain holders of its 2024 Notes, pursuant to which the Company agreed to pay an aggregate of approximately $149.7 million in cash for the repurchase of approximately </w:t>
      </w:r>
      <w:r>
        <w:rPr>
          <w:rFonts w:ascii="Times New Roman;sans-serif" w:hAnsi="Times New Roman;sans-serif"/>
          <w:b w:val="false"/>
          <w:color w:val="000000"/>
          <w:sz w:val="20"/>
        </w:rPr>
        <w:t>$157.5 million</w:t>
      </w:r>
      <w:r>
        <w:rPr>
          <w:color w:val="000000"/>
          <w:shd w:fill="FFFFFF" w:val="clear"/>
        </w:rPr>
        <w:t xml:space="preserve"> </w:t>
      </w:r>
      <w:r>
        <w:rPr>
          <w:rFonts w:ascii="Times New Roman;sans-serif" w:hAnsi="Times New Roman;sans-serif"/>
          <w:b w:val="false"/>
          <w:color w:val="000000"/>
          <w:sz w:val="20"/>
          <w:shd w:fill="FFFFFF" w:val="clear"/>
        </w:rPr>
        <w:t>in aggregate principal amount of the 2024 Notes (the “Note Repurchases”). A</w:t>
      </w:r>
      <w:r>
        <w:rPr>
          <w:rFonts w:ascii="Times New Roman;sans-serif" w:hAnsi="Times New Roman;sans-serif"/>
          <w:b w:val="false"/>
          <w:color w:val="000000"/>
          <w:sz w:val="20"/>
        </w:rPr>
        <w:t>s of December 31, 2023</w:t>
      </w:r>
      <w:r>
        <w:rPr>
          <w:rFonts w:ascii="Times New Roman;sans-serif" w:hAnsi="Times New Roman;sans-serif"/>
          <w:b w:val="false"/>
          <w:color w:val="000000"/>
          <w:sz w:val="20"/>
          <w:shd w:fill="FFFFFF" w:val="clear"/>
        </w:rPr>
        <w:t>, t</w:t>
      </w:r>
      <w:r>
        <w:rPr>
          <w:rFonts w:ascii="Times New Roman;sans-serif" w:hAnsi="Times New Roman;sans-serif"/>
          <w:b w:val="false"/>
          <w:color w:val="000000"/>
          <w:sz w:val="20"/>
        </w:rPr>
        <w:t xml:space="preserve">he Company recognized a </w:t>
      </w:r>
      <w:r>
        <w:rPr>
          <w:rFonts w:ascii="Times New Roman;sans-serif" w:hAnsi="Times New Roman;sans-serif"/>
          <w:b w:val="false"/>
          <w:color w:val="000000"/>
          <w:sz w:val="20"/>
          <w:shd w:fill="FFFFFF" w:val="clear"/>
        </w:rPr>
        <w:t>$7.2 million</w:t>
      </w:r>
      <w:r>
        <w:rPr>
          <w:color w:val="000000"/>
        </w:rPr>
        <w:t xml:space="preserve"> </w:t>
      </w:r>
      <w:r>
        <w:rPr>
          <w:rFonts w:ascii="Times New Roman;sans-serif" w:hAnsi="Times New Roman;sans-serif"/>
          <w:b w:val="false"/>
          <w:color w:val="000000"/>
          <w:sz w:val="20"/>
        </w:rPr>
        <w:t>gain, net of transaction costs of $0.5 million on debt extinguishment, which represented the difference between the carrying value and the fair value of the 2024 Notes just prior to Note Repurchases.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the Note Repurchases, the aggregate principal amount of the 2024 Notes was reduced by $157.5 million to $72.5 million and the carrying amount of the 2024 Notes reduced by $228.3 million to $72.0 million.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corresponding portion of the 2024 capped calls were terminated in connection following the Note Repurchases as required by their terms for minimal consideration.</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Convertible Senior Notes due 2026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issued $517.5 million aggregate principal amount of its 0% Convertible Senior Notes due 2026 (the “2026 Notes” and together with the 2024 Notes, the “Notes”) in a private placement.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w:t>
      </w:r>
      <w:r>
        <w:rPr>
          <w:color w:val="000000"/>
        </w:rPr>
        <w:t xml:space="preserve"> </w:t>
      </w:r>
      <w:r>
        <w:rPr>
          <w:rFonts w:ascii="Times New Roman;sans-serif" w:hAnsi="Times New Roman;sans-serif"/>
          <w:b w:val="false"/>
          <w:color w:val="000000"/>
          <w:sz w:val="20"/>
        </w:rPr>
        <w:t>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2023, the conditions allowing holders of the 2026 Notes to convert were not met.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are senior unsecured obligations of the Company.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adoption of ASU 2020-06 on January 1, 2022, the Company allocated the total amount of issuance costs incurred of approximately $12.2 million to the liability and equity components of the 2026 Notes based on the proportion of the proceeds allocated to the debt and equity components. Issuance costs attributable to the liability component were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a result of the adoption of ASU 2020-06, the 2026 Notes are accounted for as a single liability, and the carrying amount of the 2026 Notes is </w:t>
      </w:r>
      <w:r>
        <w:rPr>
          <w:rFonts w:ascii="Times New Roman;sans-serif" w:hAnsi="Times New Roman;sans-serif"/>
          <w:b w:val="false"/>
          <w:color w:val="000000"/>
          <w:sz w:val="20"/>
          <w:shd w:fill="FFFFFF" w:val="clear"/>
        </w:rPr>
        <w:t xml:space="preserve">$511.5 million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consisting of principal of $517.5 million, net of unamortized issuance costs of $6.0 million</w:t>
      </w:r>
      <w:r>
        <w:rPr>
          <w:rFonts w:ascii="Times New Roman;sans-serif" w:hAnsi="Times New Roman;sans-serif"/>
          <w:b w:val="false"/>
          <w:color w:val="000000"/>
          <w:sz w:val="20"/>
        </w:rPr>
        <w:t>. The 2026 Notes were classified as long-term liabilities in the accompanying consolidated balance sheets as of December 31, 2023. The remaining term over which the 2026 Notes’ debt issuance costs will be amortized is</w:t>
      </w:r>
      <w:r>
        <w:rPr>
          <w:color w:val="000000"/>
          <w:shd w:fill="FFFFFF" w:val="clear"/>
        </w:rPr>
        <w:t xml:space="preserve"> </w:t>
      </w:r>
      <w:r>
        <w:rPr>
          <w:rFonts w:ascii="Times New Roman;sans-serif" w:hAnsi="Times New Roman;sans-serif"/>
          <w:b w:val="false"/>
          <w:color w:val="000000"/>
          <w:sz w:val="20"/>
          <w:shd w:fill="FFFFFF" w:val="clear"/>
        </w:rPr>
        <w:t>2.9 years at an effective interest rate on the debt was 0.40%</w:t>
      </w:r>
      <w:r>
        <w:rPr>
          <w:color w:val="000000"/>
        </w:rPr>
        <w:t xml:space="preserve"> </w:t>
      </w:r>
      <w:r>
        <w:rPr>
          <w:rFonts w:ascii="Times New Roman;sans-serif" w:hAnsi="Times New Roman;sans-serif"/>
          <w:b w:val="false"/>
          <w:color w:val="000000"/>
          <w:sz w:val="20"/>
        </w:rPr>
        <w:t xml:space="preserve">for the year ended December 31, 2023.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the offering of the 2026 Notes, the Company entered into privately-negotiated capped call</w:t>
      </w:r>
      <w:r>
        <w:rPr>
          <w:color w:val="000000"/>
        </w:rPr>
        <w:t xml:space="preserve"> </w:t>
      </w:r>
      <w:r>
        <w:rPr>
          <w:rFonts w:ascii="Times New Roman;sans-serif" w:hAnsi="Times New Roman;sans-serif"/>
          <w:b w:val="false"/>
          <w:color w:val="000000"/>
          <w:sz w:val="20"/>
        </w:rPr>
        <w:t>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w:t>
      </w:r>
    </w:p>
    <w:p>
      <w:pPr>
        <w:pStyle w:val="TextBody"/>
        <w:bidi w:val="0"/>
        <w:spacing w:before="0" w:after="0"/>
        <w:ind w:left="0" w:right="0" w:firstLine="48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incurred in connection with securing the Company’s financing arrangements are presented in the consolidated balance sheets as a direct deduction from the carrying amount of the outstanding borrowings, consistent with debt discounts. All deferred financing costs are amortized to interest expense. The net carrying amount of the liability component of the Notes as of December 31, 2023 and 2022 was as follows:</w:t>
      </w:r>
    </w:p>
    <w:tbl>
      <w:tblPr>
        <w:tblW w:w="5019" w:type="dxa"/>
        <w:jc w:val="center"/>
        <w:tblInd w:w="0" w:type="dxa"/>
        <w:tblLayout w:type="fixed"/>
        <w:tblCellMar>
          <w:top w:w="28" w:type="dxa"/>
          <w:left w:w="28" w:type="dxa"/>
          <w:bottom w:w="28" w:type="dxa"/>
          <w:right w:w="28" w:type="dxa"/>
        </w:tblCellMar>
      </w:tblPr>
      <w:tblGrid>
        <w:gridCol w:w="853"/>
        <w:gridCol w:w="748"/>
        <w:gridCol w:w="754"/>
        <w:gridCol w:w="211"/>
        <w:gridCol w:w="826"/>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carrying value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left"/>
        <w:rPr/>
      </w:pPr>
      <w:r>
        <w:rPr/>
      </w:r>
    </w:p>
    <w:p>
      <w:pPr>
        <w:pStyle w:val="TextBody"/>
        <w:bidi w:val="0"/>
        <w:spacing w:before="0" w:after="60"/>
        <w:ind w:left="0" w:right="0" w:firstLine="720"/>
        <w:jc w:val="both"/>
        <w:rPr/>
      </w:pPr>
      <w:r>
        <w:rPr/>
      </w:r>
    </w:p>
    <w:p>
      <w:pPr>
        <w:pStyle w:val="TextBody"/>
        <w:bidi w:val="0"/>
        <w:spacing w:before="0" w:after="0"/>
        <w:ind w:left="0" w:right="0" w:firstLine="480"/>
        <w:jc w:val="left"/>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recognized related to the Notes:</w:t>
      </w:r>
    </w:p>
    <w:tbl>
      <w:tblPr>
        <w:tblW w:w="6611" w:type="dxa"/>
        <w:jc w:val="center"/>
        <w:tblInd w:w="0" w:type="dxa"/>
        <w:tblLayout w:type="fixed"/>
        <w:tblCellMar>
          <w:top w:w="28" w:type="dxa"/>
          <w:left w:w="28" w:type="dxa"/>
          <w:bottom w:w="28" w:type="dxa"/>
          <w:right w:w="28" w:type="dxa"/>
        </w:tblCellMar>
      </w:tblPr>
      <w:tblGrid>
        <w:gridCol w:w="1085"/>
        <w:gridCol w:w="954"/>
        <w:gridCol w:w="960"/>
        <w:gridCol w:w="211"/>
        <w:gridCol w:w="616"/>
        <w:gridCol w:w="109"/>
        <w:gridCol w:w="109"/>
        <w:gridCol w:w="109"/>
        <w:gridCol w:w="109"/>
        <w:gridCol w:w="211"/>
        <w:gridCol w:w="616"/>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of $4.9 million, $5.5 million, and $37.5 million is reflected as a component of interest expense, net in the accompanying consolidated statement of operations for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9. Acquisitions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WildHealth</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completed the acquisition of 100% of the equity of WildHealth, Inc. (“WildHealth”),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per share on the acquisition date of February 7, 2022. The transaction was accounted for as a business combination. In connection with the acquisition, the Company entered into stock forfeiture agreements with certain employees of WildHealth, under which a portion of the purchase price would be subject to vesting conditions based on continuing employment post acquisition. The Company allocated the purchase consideration subject to the stock forfeiture agreements between pre and post combination periods.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resulted in approximately $15.5 million of goodwill, $8.3 million of intangible assets and net liabilities assumed of $1.5 million. WildHealth is part of the Business segment and is a separate reporting unit. Goodwill is primarily attributed to synergies from future expected economic benefits, including enhanced revenue growth from expanded capabilities. The goodwill was not deductible for tax purposes. The intangible assets are being amortized over their expected period of benefit. A deferred tax liability for the identified intangibles has been recorded for $1.6 million and an indemnification asset of $1.2 million relating to a pre-acquisition liability assumed as of December 31,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fair value of the identifiable intangible assets acquired and their estimated useful lives as of the date of acquisition (dollars in thousands):</w:t>
      </w:r>
    </w:p>
    <w:p>
      <w:pPr>
        <w:pStyle w:val="TextBody"/>
        <w:bidi w:val="0"/>
        <w:spacing w:before="0" w:after="0"/>
        <w:jc w:val="both"/>
        <w:rPr/>
      </w:pPr>
      <w:r>
        <w:rPr/>
      </w:r>
    </w:p>
    <w:tbl>
      <w:tblPr>
        <w:tblW w:w="5366" w:type="dxa"/>
        <w:jc w:val="center"/>
        <w:tblInd w:w="0" w:type="dxa"/>
        <w:tblLayout w:type="fixed"/>
        <w:tblCellMar>
          <w:top w:w="28" w:type="dxa"/>
          <w:left w:w="28" w:type="dxa"/>
          <w:bottom w:w="28" w:type="dxa"/>
          <w:right w:w="28" w:type="dxa"/>
        </w:tblCellMar>
      </w:tblPr>
      <w:tblGrid>
        <w:gridCol w:w="1066"/>
        <w:gridCol w:w="934"/>
        <w:gridCol w:w="940"/>
        <w:gridCol w:w="257"/>
        <w:gridCol w:w="750"/>
        <w:gridCol w:w="132"/>
        <w:gridCol w:w="109"/>
        <w:gridCol w:w="109"/>
        <w:gridCol w:w="109"/>
        <w:gridCol w:w="281"/>
        <w:gridCol w:w="281"/>
        <w:gridCol w:w="398"/>
      </w:tblGrid>
      <w:tr>
        <w:trPr/>
        <w:tc>
          <w:tcPr>
            <w:tcW w:w="10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Useful life </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years)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Fellowship content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amortizing intangible assets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Based on our 2023 annual goodwill impairment test, the Company recorded a non-cash impairment charge of </w:t>
      </w:r>
      <w:r>
        <w:rPr>
          <w:rFonts w:ascii="Times New Roman;sans-serif" w:hAnsi="Times New Roman;sans-serif"/>
          <w:b w:val="false"/>
          <w:color w:val="000000"/>
          <w:sz w:val="20"/>
        </w:rPr>
        <w:t>$11.9 million</w:t>
      </w:r>
      <w:r>
        <w:rPr>
          <w:color w:val="000000"/>
          <w:shd w:fill="FFFFFF" w:val="clear"/>
        </w:rPr>
        <w:t xml:space="preserve"> </w:t>
      </w:r>
      <w:r>
        <w:rPr>
          <w:rFonts w:ascii="Times New Roman;sans-serif" w:hAnsi="Times New Roman;sans-serif"/>
          <w:b w:val="false"/>
          <w:color w:val="000000"/>
          <w:sz w:val="20"/>
          <w:shd w:fill="FFFFFF" w:val="clear"/>
        </w:rPr>
        <w:t>in our consolidated statements of operations, representing a portion of goodwill related to the WildHealth reporting unit. Additionally, based on the impairment test in the third quarter of 2023</w:t>
      </w:r>
      <w:r>
        <w:rPr>
          <w:rFonts w:ascii="Times New Roman;sans-serif" w:hAnsi="Times New Roman;sans-serif"/>
          <w:b w:val="false"/>
          <w:color w:val="000000"/>
          <w:sz w:val="20"/>
        </w:rPr>
        <w:t xml:space="preserve">, the Company recognized an immaterial non-cash impairment charge of $3.0 million included in the cost of revenue in the consolidated statements of operations, related to our intangible assets – developed technology associated with WildHealth. See Note 5 – </w:t>
      </w:r>
      <w:r>
        <w:rPr>
          <w:rFonts w:ascii="Times New Roman;sans-serif" w:hAnsi="Times New Roman;sans-serif"/>
          <w:b w:val="false"/>
          <w:i/>
          <w:color w:val="000000"/>
          <w:sz w:val="20"/>
        </w:rPr>
        <w:t xml:space="preserve">Goodwill and Intangible Assets, Net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former stockholders of WildHealth had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accounted for the earn-out as a compensation arrangement in accordance with ASC 718, “Compensation - Stock Compensation,” pursuant to which such earn-out payments are classified as liability awards to be recognized over the requisite service periods. On May 30, 2023, the Company and stockholders of WildHealth agreed to amend the terms of the merger agreement with respect to certain contingent potential earn-out payments under the agreement. Pursuant to the amended terms, in full satisfaction of all potential earn-out payments under the merger agreement, the parties agreed that the Company would pay (a) a lump sum cash payment of $12.0 million, less applicable withholding taxes to pre-acquisition stockholders, and (b) in the event of a future direct or indirect sale of WildHealth on or before May 30, 2033, the former WildHealth stockholders will receive an additional cash payment equal to 30% of the then-current equity value of WildHealth less all applicable escrows and closing payments and costs, up to a maximum payment of $23.0 million. On May 31, 2023, the Company made the lump sum payment of $12.0 million in connection with the settlement and reversed the preexisting accrued stock-based compensation of $40.2 million. As of December 31, 2023, there is no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earn-out liability related to WildHealth. The contingent cash settlement feature was deemed not probable as of December 31, 2023 and, therefore, the award was not recorded as a liability.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non-cancelable operating and finance leases for its corporate offices and other service agreements. Its leases have remaining lease terms of less than one to five years, some of which include options to extend. The Company uses the non-cancelable lease term when recognizing the ROU assets and lease liabilities, unless it is reasonably certain that a renewal or termination option will be exercised.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assess its global lease portfolio. However, any additional de-recognition of right-of-use assets and incurrence of various one-time expenses in connection with early termination of additional leases are not expected to be material to its financial condition or results of operations.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periods listed are as follows:</w:t>
      </w:r>
    </w:p>
    <w:p>
      <w:pPr>
        <w:pStyle w:val="TextBody"/>
        <w:bidi w:val="0"/>
        <w:spacing w:before="0" w:after="0"/>
        <w:ind w:left="0" w:right="0" w:firstLine="720"/>
        <w:jc w:val="both"/>
        <w:rPr/>
      </w:pPr>
      <w:r>
        <w:rPr/>
      </w:r>
    </w:p>
    <w:tbl>
      <w:tblPr>
        <w:tblW w:w="9371"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periods listed are as follows:</w:t>
      </w:r>
    </w:p>
    <w:p>
      <w:pPr>
        <w:pStyle w:val="TextBody"/>
        <w:bidi w:val="0"/>
        <w:spacing w:before="0" w:after="0"/>
        <w:ind w:left="0" w:right="0" w:firstLine="720"/>
        <w:jc w:val="both"/>
        <w:rPr/>
      </w:pPr>
      <w:r>
        <w:rPr/>
      </w:r>
    </w:p>
    <w:tbl>
      <w:tblPr>
        <w:tblW w:w="6912" w:type="dxa"/>
        <w:jc w:val="left"/>
        <w:tblInd w:w="0" w:type="dxa"/>
        <w:tblLayout w:type="fixed"/>
        <w:tblCellMar>
          <w:top w:w="28" w:type="dxa"/>
          <w:left w:w="28" w:type="dxa"/>
          <w:bottom w:w="28" w:type="dxa"/>
          <w:right w:w="28" w:type="dxa"/>
        </w:tblCellMar>
      </w:tblPr>
      <w:tblGrid>
        <w:gridCol w:w="1118"/>
        <w:gridCol w:w="984"/>
        <w:gridCol w:w="988"/>
        <w:gridCol w:w="211"/>
        <w:gridCol w:w="721"/>
        <w:gridCol w:w="109"/>
        <w:gridCol w:w="109"/>
        <w:gridCol w:w="109"/>
        <w:gridCol w:w="109"/>
        <w:gridCol w:w="211"/>
        <w:gridCol w:w="721"/>
        <w:gridCol w:w="109"/>
        <w:gridCol w:w="109"/>
        <w:gridCol w:w="109"/>
        <w:gridCol w:w="109"/>
        <w:gridCol w:w="211"/>
        <w:gridCol w:w="72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6266" w:type="dxa"/>
        <w:jc w:val="left"/>
        <w:tblInd w:w="0" w:type="dxa"/>
        <w:tblLayout w:type="fixed"/>
        <w:tblCellMar>
          <w:top w:w="28" w:type="dxa"/>
          <w:left w:w="28" w:type="dxa"/>
          <w:bottom w:w="28" w:type="dxa"/>
          <w:right w:w="28" w:type="dxa"/>
        </w:tblCellMar>
      </w:tblPr>
      <w:tblGrid>
        <w:gridCol w:w="1310"/>
        <w:gridCol w:w="1151"/>
        <w:gridCol w:w="1154"/>
        <w:gridCol w:w="254"/>
        <w:gridCol w:w="254"/>
        <w:gridCol w:w="632"/>
        <w:gridCol w:w="109"/>
        <w:gridCol w:w="109"/>
        <w:gridCol w:w="109"/>
        <w:gridCol w:w="240"/>
        <w:gridCol w:w="240"/>
        <w:gridCol w:w="70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1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w:t>
      </w:r>
    </w:p>
    <w:p>
      <w:pPr>
        <w:pStyle w:val="TextBody"/>
        <w:bidi w:val="0"/>
        <w:spacing w:before="0" w:after="0"/>
        <w:jc w:val="both"/>
        <w:rPr/>
      </w:pPr>
      <w:r>
        <w:rPr/>
      </w:r>
    </w:p>
    <w:tbl>
      <w:tblPr>
        <w:tblW w:w="9068" w:type="dxa"/>
        <w:jc w:val="center"/>
        <w:tblInd w:w="0" w:type="dxa"/>
        <w:tblLayout w:type="fixed"/>
        <w:tblCellMar>
          <w:top w:w="28" w:type="dxa"/>
          <w:left w:w="28" w:type="dxa"/>
          <w:bottom w:w="28" w:type="dxa"/>
          <w:right w:w="28" w:type="dxa"/>
        </w:tblCellMar>
      </w:tblPr>
      <w:tblGrid>
        <w:gridCol w:w="796"/>
        <w:gridCol w:w="701"/>
        <w:gridCol w:w="708"/>
        <w:gridCol w:w="1294"/>
        <w:gridCol w:w="1294"/>
        <w:gridCol w:w="1297"/>
        <w:gridCol w:w="109"/>
        <w:gridCol w:w="109"/>
        <w:gridCol w:w="109"/>
        <w:gridCol w:w="257"/>
        <w:gridCol w:w="750"/>
        <w:gridCol w:w="132"/>
        <w:gridCol w:w="109"/>
        <w:gridCol w:w="109"/>
        <w:gridCol w:w="109"/>
        <w:gridCol w:w="255"/>
        <w:gridCol w:w="744"/>
        <w:gridCol w:w="186"/>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ROU assets</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ROU assets</w:t>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operating and finance leases (with an initial or remaining lease term in excess of one year) are as follows:</w:t>
      </w:r>
    </w:p>
    <w:p>
      <w:pPr>
        <w:pStyle w:val="TextBody"/>
        <w:bidi w:val="0"/>
        <w:spacing w:before="0" w:after="0"/>
        <w:ind w:left="0" w:right="0" w:firstLine="480"/>
        <w:jc w:val="both"/>
        <w:rPr/>
      </w:pPr>
      <w:r>
        <w:rPr/>
      </w:r>
    </w:p>
    <w:tbl>
      <w:tblPr>
        <w:tblW w:w="5170" w:type="dxa"/>
        <w:jc w:val="left"/>
        <w:tblInd w:w="0" w:type="dxa"/>
        <w:tblLayout w:type="fixed"/>
        <w:tblCellMar>
          <w:top w:w="28" w:type="dxa"/>
          <w:left w:w="28" w:type="dxa"/>
          <w:bottom w:w="28" w:type="dxa"/>
          <w:right w:w="28" w:type="dxa"/>
        </w:tblCellMar>
      </w:tblPr>
      <w:tblGrid>
        <w:gridCol w:w="971"/>
        <w:gridCol w:w="856"/>
        <w:gridCol w:w="858"/>
        <w:gridCol w:w="230"/>
        <w:gridCol w:w="671"/>
        <w:gridCol w:w="119"/>
        <w:gridCol w:w="109"/>
        <w:gridCol w:w="109"/>
        <w:gridCol w:w="109"/>
        <w:gridCol w:w="211"/>
        <w:gridCol w:w="616"/>
        <w:gridCol w:w="311"/>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Operating </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Finance </w:t>
              <w:br/>
              <w:t>Leases</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Rental expense for operating leases and other service agreements was approximately $15.3 million, $15.2 million and $13.0 million for the years ended December 31, 2023, 2022, and 2021, respectively.</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Fair Value Measurements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Observable inputs that reflect quoted prices (unadjusted) for identical assets or liabilities in active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Level 2: Inputs reflect: quoted prices for identical assets or liabilities in markets that are not active; quoted prices for similar assets or liabilities in active markets; inputs other than quoted prices that are observable for the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or liabilities; or inputs that are derived principally from or corroborated by observable market data by correlation or other means.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Unobservable inputs reflecting the Company’s assumptions incorporated in valuation techniques used to determine fair value. These assumptions are required to be consistent with market participant assumptions that are reasonably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2023 and December 31, 2022, are summarized as follows:</w:t>
      </w:r>
    </w:p>
    <w:p>
      <w:pPr>
        <w:pStyle w:val="TextBody"/>
        <w:bidi w:val="0"/>
        <w:spacing w:before="0" w:after="0"/>
        <w:ind w:left="0" w:right="0" w:firstLine="480"/>
        <w:jc w:val="both"/>
        <w:rPr/>
      </w:pPr>
      <w:r>
        <w:rPr/>
      </w:r>
    </w:p>
    <w:tbl>
      <w:tblPr>
        <w:tblW w:w="6585" w:type="dxa"/>
        <w:jc w:val="center"/>
        <w:tblInd w:w="0" w:type="dxa"/>
        <w:tblLayout w:type="fixed"/>
        <w:tblCellMar>
          <w:top w:w="28" w:type="dxa"/>
          <w:left w:w="28" w:type="dxa"/>
          <w:bottom w:w="28" w:type="dxa"/>
          <w:right w:w="28" w:type="dxa"/>
        </w:tblCellMar>
      </w:tblPr>
      <w:tblGrid>
        <w:gridCol w:w="650"/>
        <w:gridCol w:w="572"/>
        <w:gridCol w:w="577"/>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887" w:type="dxa"/>
        <w:jc w:val="left"/>
        <w:tblInd w:w="0" w:type="dxa"/>
        <w:tblLayout w:type="fixed"/>
        <w:tblCellMar>
          <w:top w:w="28" w:type="dxa"/>
          <w:left w:w="28" w:type="dxa"/>
          <w:bottom w:w="28" w:type="dxa"/>
          <w:right w:w="28" w:type="dxa"/>
        </w:tblCellMar>
      </w:tblPr>
      <w:tblGrid>
        <w:gridCol w:w="1371"/>
        <w:gridCol w:w="1206"/>
        <w:gridCol w:w="1217"/>
        <w:gridCol w:w="211"/>
        <w:gridCol w:w="826"/>
        <w:gridCol w:w="109"/>
        <w:gridCol w:w="109"/>
        <w:gridCol w:w="109"/>
        <w:gridCol w:w="109"/>
        <w:gridCol w:w="213"/>
        <w:gridCol w:w="411"/>
        <w:gridCol w:w="110"/>
        <w:gridCol w:w="109"/>
        <w:gridCol w:w="109"/>
        <w:gridCol w:w="109"/>
        <w:gridCol w:w="211"/>
        <w:gridCol w:w="721"/>
        <w:gridCol w:w="109"/>
        <w:gridCol w:w="109"/>
        <w:gridCol w:w="109"/>
        <w:gridCol w:w="109"/>
        <w:gridCol w:w="211"/>
        <w:gridCol w:w="82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2022</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 treated as 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 treated as liability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During 2022, the unobservable inputs used for valuation of the earn-outs primarily included asset volatility, revenue volatility, weighted-average cost of capital and market price of risk for revenue. For 2023, the fair value was based on the negotiated contracts with the selling shareholders. Significant changes in unobservable inputs could result in significantly lower or higher fair value measurements.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outstanding balances of our 2024 Notes and 2026 Notes are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72"/>
        <w:gridCol w:w="585"/>
        <w:gridCol w:w="589"/>
        <w:gridCol w:w="327"/>
        <w:gridCol w:w="327"/>
        <w:gridCol w:w="329"/>
        <w:gridCol w:w="109"/>
        <w:gridCol w:w="109"/>
        <w:gridCol w:w="109"/>
        <w:gridCol w:w="211"/>
        <w:gridCol w:w="826"/>
        <w:gridCol w:w="109"/>
        <w:gridCol w:w="109"/>
        <w:gridCol w:w="109"/>
        <w:gridCol w:w="109"/>
        <w:gridCol w:w="211"/>
        <w:gridCol w:w="826"/>
        <w:gridCol w:w="109"/>
        <w:gridCol w:w="109"/>
        <w:gridCol w:w="109"/>
        <w:gridCol w:w="109"/>
        <w:gridCol w:w="464"/>
        <w:gridCol w:w="1751"/>
        <w:gridCol w:w="239"/>
        <w:gridCol w:w="109"/>
        <w:gridCol w:w="109"/>
        <w:gridCol w:w="109"/>
        <w:gridCol w:w="233"/>
        <w:gridCol w:w="914"/>
        <w:gridCol w:w="175"/>
      </w:tblGrid>
      <w:tr>
        <w:trPr/>
        <w:tc>
          <w:tcPr>
            <w:tcW w:w="67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76" w:before="0" w:after="0"/>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 xml:space="preserve">Level of </w:t>
            </w:r>
          </w:p>
          <w:p>
            <w:pPr>
              <w:pStyle w:val="TableContents"/>
              <w:bidi w:val="0"/>
              <w:spacing w:lineRule="auto" w:line="276" w:before="0" w:after="0"/>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Hierarchy</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 xml:space="preserve">Principal </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76" w:before="0" w:after="0"/>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Unamortized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76" w:before="0" w:after="0"/>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 xml:space="preserve">Net Carrying </w:t>
            </w:r>
          </w:p>
          <w:p>
            <w:pPr>
              <w:pStyle w:val="TableContents"/>
              <w:bidi w:val="0"/>
              <w:spacing w:lineRule="auto" w:line="276" w:before="0" w:after="0"/>
              <w:ind w:left="0" w:right="0" w:hanging="360"/>
              <w:jc w:val="center"/>
              <w:rPr>
                <w:rFonts w:ascii="Times New Roman;sans-serif" w:hAnsi="Times New Roman;sans-serif"/>
                <w:b/>
                <w:color w:val="000000"/>
                <w:sz w:val="19"/>
              </w:rPr>
            </w:pPr>
            <w:r>
              <w:rPr>
                <w:rFonts w:ascii="Times New Roman;sans-serif" w:hAnsi="Times New Roman;sans-serif"/>
                <w:b/>
                <w:color w:val="000000"/>
                <w:sz w:val="19"/>
              </w:rPr>
              <w:t>Value</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70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4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2026 Notes</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2026 Notes</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Management determines the fair value by using Level 2 inputs based on antithetic variable technique done by an independent valuation specialist. Refer to Note 8 – </w:t>
      </w:r>
      <w:r>
        <w:rPr>
          <w:rFonts w:ascii="Times New Roman;sans-serif" w:hAnsi="Times New Roman;sans-serif"/>
          <w:b w:val="false"/>
          <w:i/>
          <w:color w:val="000000"/>
          <w:sz w:val="20"/>
        </w:rPr>
        <w:t>Convertible Senior Notes, Net of Current Portion and Capped Call Transactions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fair value of the Level 3 liabilities are as follows:</w:t>
      </w:r>
    </w:p>
    <w:tbl>
      <w:tblPr>
        <w:tblW w:w="6519" w:type="dxa"/>
        <w:jc w:val="center"/>
        <w:tblInd w:w="0" w:type="dxa"/>
        <w:tblLayout w:type="fixed"/>
        <w:tblCellMar>
          <w:top w:w="28" w:type="dxa"/>
          <w:left w:w="28" w:type="dxa"/>
          <w:bottom w:w="28" w:type="dxa"/>
          <w:right w:w="28" w:type="dxa"/>
        </w:tblCellMar>
      </w:tblPr>
      <w:tblGrid>
        <w:gridCol w:w="1472"/>
        <w:gridCol w:w="1294"/>
        <w:gridCol w:w="1299"/>
        <w:gridCol w:w="211"/>
        <w:gridCol w:w="721"/>
        <w:gridCol w:w="109"/>
        <w:gridCol w:w="109"/>
        <w:gridCol w:w="109"/>
        <w:gridCol w:w="109"/>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in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liability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former stakeholders of the Company’s acquisitions were eligible to receive additional cash or share considerations based on the attainment of certain operating metrics in the periods subsequent to the acquisitions of e-bot7, Tenfold and VoiceBase. These earn-out arrangements were accounted for as either contingent considerations arrangements or compensation arrangements. Contingent considerations were fair valued using significant inputs that are not observable in the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earn-outs determined to be compensatory were remeasured each reporting period based on whether the performance targets were probable of being achieved and recognized over the related service periods. During the year ended December 31, 2023, the Company settled the VoiceBase, Tenfold and e-Bot7 earn-outs for approximately $19.9 million, $9.3 million, and $7.7 million,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During the year ended December 31, 2023, the Company paid approximately $12.0 million in connection with the WildHealth settlement. R</w:t>
      </w:r>
      <w:r>
        <w:rPr>
          <w:rFonts w:ascii="Times New Roman;sans-serif" w:hAnsi="Times New Roman;sans-serif"/>
          <w:b w:val="false"/>
          <w:color w:val="000000"/>
          <w:sz w:val="20"/>
          <w:shd w:fill="FFFFFF" w:val="clear"/>
        </w:rPr>
        <w:t xml:space="preserve">efer to Note 9 – </w:t>
      </w:r>
      <w:r>
        <w:rPr>
          <w:rFonts w:ascii="Times New Roman;sans-serif" w:hAnsi="Times New Roman;sans-serif"/>
          <w:b w:val="false"/>
          <w:i/>
          <w:color w:val="000000"/>
          <w:sz w:val="20"/>
          <w:shd w:fill="FFFFFF" w:val="clear"/>
        </w:rPr>
        <w:t xml:space="preserve">Acquisitions </w:t>
      </w:r>
      <w:r>
        <w:rPr>
          <w:rFonts w:ascii="Times New Roman;sans-serif" w:hAnsi="Times New Roman;sans-serif"/>
          <w:b w:val="false"/>
          <w:color w:val="000000"/>
          <w:sz w:val="20"/>
          <w:shd w:fill="FFFFFF" w:val="clear"/>
        </w:rPr>
        <w:t>for additional information.</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the fair value of the earnouts were recognized as a component of stock-based compensation expense and other income (expense), net in the accompanying consolidated statements of operations. Payments in cash were recognized as a component of compensation expense and payments in stock were recognized as a component of equity in the accompanying consolidated statements of operations. The carrying value of earnout liabilities are recorded in accrued expenses and other current liabilities and other liabilities as of December 31, 2022 in the accompanying consolidated balance sheet. There were no outstanding earnout liabilities as of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0" w:after="0"/>
        <w:ind w:left="0" w:right="0" w:firstLine="480"/>
        <w:jc w:val="both"/>
        <w:rPr>
          <w:color w:val="111111"/>
        </w:rPr>
      </w:pPr>
      <w:r>
        <w:rPr>
          <w:color w:val="11111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1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$3.8 million, $5.4 million, and $3.7 million of employer matching contributions for the years ended December 31, 2023, 2022, and 2021, respectively.</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letters of credit totaling $1.1 million outstanding as a security deposit for the due performance by the Company of the terms and conditions of a supply contract.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2023 and 2022.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Non-Income Related Taxes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sales tax liabilities, plus applicable interest, for states in which it has an economic nexus. As of December 31, 2023, there is a $0.5 million accrual balance for sales tax liabilities included within the consolidated balance sheets.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Contractual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purchase obligations consist of agreements to purchase goods and services entered into in the ordinary course of business. The Company has purchase obligation agreements primarily relating to contracts with vendors in connection with Information Technology (“IT”) infrastructure and cloud computing-related services with remaining terms of 2 years or less. The Company’s non-cancellable unconditional purchase obligation in connection with these arrangements is approximately</w:t>
      </w:r>
      <w:r>
        <w:rPr>
          <w:color w:val="000000"/>
          <w:shd w:fill="FFFFFF" w:val="clear"/>
        </w:rPr>
        <w:t xml:space="preserve"> </w:t>
      </w:r>
      <w:r>
        <w:rPr>
          <w:rFonts w:ascii="Times New Roman;sans-serif" w:hAnsi="Times New Roman;sans-serif"/>
          <w:b w:val="false"/>
          <w:color w:val="000000"/>
          <w:sz w:val="20"/>
        </w:rPr>
        <w:t>$21.3 million</w:t>
      </w:r>
      <w:r>
        <w:rPr>
          <w:color w:val="000000"/>
          <w:shd w:fill="FFFFFF" w:val="clear"/>
        </w:rPr>
        <w:t xml:space="preserve"> </w:t>
      </w:r>
      <w:r>
        <w:rPr>
          <w:rFonts w:ascii="Times New Roman;sans-serif" w:hAnsi="Times New Roman;sans-serif"/>
          <w:b w:val="false"/>
          <w:color w:val="000000"/>
          <w:sz w:val="20"/>
          <w:shd w:fill="FFFFFF" w:val="clear"/>
        </w:rPr>
        <w:t xml:space="preserve">for 2024 and </w:t>
      </w:r>
      <w:r>
        <w:rPr>
          <w:rFonts w:ascii="Times New Roman;sans-serif" w:hAnsi="Times New Roman;sans-serif"/>
          <w:b w:val="false"/>
          <w:color w:val="000000"/>
          <w:sz w:val="20"/>
        </w:rPr>
        <w:t>$14.7 million</w:t>
      </w:r>
      <w:r>
        <w:rPr>
          <w:color w:val="000000"/>
          <w:shd w:fill="FFFFFF" w:val="clear"/>
        </w:rPr>
        <w:t xml:space="preserve"> </w:t>
      </w:r>
      <w:r>
        <w:rPr>
          <w:rFonts w:ascii="Times New Roman;sans-serif" w:hAnsi="Times New Roman;sans-serif"/>
          <w:b w:val="false"/>
          <w:color w:val="000000"/>
          <w:sz w:val="20"/>
          <w:shd w:fill="FFFFFF" w:val="clear"/>
        </w:rPr>
        <w:t xml:space="preserve">for 2025.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Stockholders’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200,000,000 shares of common stock authorized, 90,603,519 shares issued, and 87,837,446 shares outstanding. As of December 31, 2022, there were 200,000,000 shares of common stock authorized, 78,350,984 shares issued, and 75,584,911 shares outstanding. The par value for the common stock is $0.001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there were 5,000,000 shares of preferred stock authorized, and no shares were issued or outstanding. The par value for the preferred stock is $0.001 per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Company’s stock-based compensation generally includes stock options, restricted stock units (“RSUs”), performance-vesting restricted stock units (“PRSUs”), and purchases under the Company’s 2019 ESPP.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w:t>
      </w:r>
      <w:r>
        <w:rPr>
          <w:color w:val="000000"/>
        </w:rPr>
        <w:t xml:space="preserve"> </w:t>
      </w:r>
      <w:r>
        <w:rPr>
          <w:rFonts w:ascii="Times New Roman;sans-serif" w:hAnsi="Times New Roman;sans-serif"/>
          <w:b w:val="false"/>
          <w:color w:val="000000"/>
          <w:sz w:val="20"/>
        </w:rPr>
        <w:t>on the expectation that performance goals will be achieved at the stated target level. The amount of compensation cost recognized depends on the relative satisfaction of the performance condition based on performance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2019 Stock Incentive Plan became effective on April 11, 2019. The 2019 Stock Incentive Plan, as amended and restated, allows the Company to grant incentive stock options and restricted stock units to its employees and directors to participate in the Company’s future performance through stock-based awards at the discretion of the board of directors. The number of shares authorized for issuance as of December 31, 2023 was 42,367,744 shares in the aggregate. Options to acquire common stock granted thereunder have ten-year terms. As of December 31, 2023, approximately 1.3 million shares of common stock remained available for issuance (taking into account all option exercises and other equity award settlements through December 31, 2023). At the Company’s annual meeting on October 5, 2023, the stockholders of the Company approved an amendment to increase the number of shares available for issuance thereunder by 2,300,000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2,000,000 shares authorized and reserved for issuance under the 2019 ESPP. As of December 31, 2023, approximately 1.0 million shares of common stock remained available for issuance under the ESPP (taking into account all share purchases through December 31, 2023). At the Company’s annual meeting on October 5, 2023, the stockholders of the Company approved an amendment of the ESPP to increase the number of shares available for issuance thereunder by 1,000,000 shares.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Inducement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6,159,009 shares of common stock authorized and reserved for issuance under the Inducement Plan. On February 9, 2022, the Company’s board of directors amended the plan and authorized 2,790,961 new shares for issuance. As of December 31, 2023, 0.7 million shares of common stock remained available for issuance under the Inducement Plan (taking into account all option exercises and other equity award settlements through December 31,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 Activity    </w:t>
      </w:r>
    </w:p>
    <w:p>
      <w:pPr>
        <w:pStyle w:val="TextBody"/>
        <w:bidi w:val="0"/>
        <w:spacing w:lineRule="auto" w:line="288" w:before="0" w:after="0"/>
        <w:ind w:left="0" w:right="0" w:firstLine="480"/>
        <w:jc w:val="both"/>
        <w:rPr>
          <w:color w:val="000000"/>
          <w:shd w:fill="FFFFFF" w:val="clear"/>
        </w:rPr>
      </w:pPr>
      <w:r>
        <w:rPr>
          <w:color w:val="000000"/>
          <w:shd w:fill="FFFFFF" w:val="clear"/>
        </w:rPr>
        <w:t>    </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the Company’s stock option activity and weighted average exercise prices follows:</w:t>
      </w:r>
    </w:p>
    <w:tbl>
      <w:tblPr>
        <w:tblW w:w="10205" w:type="dxa"/>
        <w:jc w:val="left"/>
        <w:tblInd w:w="0" w:type="dxa"/>
        <w:tblLayout w:type="fixed"/>
        <w:tblCellMar>
          <w:top w:w="28" w:type="dxa"/>
          <w:left w:w="28" w:type="dxa"/>
          <w:bottom w:w="28" w:type="dxa"/>
          <w:right w:w="28" w:type="dxa"/>
        </w:tblCellMar>
      </w:tblPr>
      <w:tblGrid>
        <w:gridCol w:w="783"/>
        <w:gridCol w:w="688"/>
        <w:gridCol w:w="690"/>
        <w:gridCol w:w="363"/>
        <w:gridCol w:w="363"/>
        <w:gridCol w:w="364"/>
        <w:gridCol w:w="118"/>
        <w:gridCol w:w="118"/>
        <w:gridCol w:w="118"/>
        <w:gridCol w:w="301"/>
        <w:gridCol w:w="879"/>
        <w:gridCol w:w="156"/>
        <w:gridCol w:w="109"/>
        <w:gridCol w:w="109"/>
        <w:gridCol w:w="109"/>
        <w:gridCol w:w="821"/>
        <w:gridCol w:w="821"/>
        <w:gridCol w:w="823"/>
        <w:gridCol w:w="109"/>
        <w:gridCol w:w="109"/>
        <w:gridCol w:w="109"/>
        <w:gridCol w:w="415"/>
        <w:gridCol w:w="1419"/>
        <w:gridCol w:w="311"/>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Stock Option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Weighted Average Remaining 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Aggregate Intrinsic Value (In thousands)</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Options </w:t>
              <w:br/>
              <w:t>(In thousands)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2020</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expired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2021</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w:t>
            </w:r>
          </w:p>
        </w:tc>
        <w:tc>
          <w:tcPr>
            <w:tcW w:w="7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3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December 31, 2021</w:t>
            </w:r>
          </w:p>
        </w:tc>
        <w:tc>
          <w:tcPr>
            <w:tcW w:w="7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3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46,932 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2021</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expired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2022</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w:t>
            </w:r>
          </w:p>
        </w:tc>
        <w:tc>
          <w:tcPr>
            <w:tcW w:w="7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3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December 31, 2022</w:t>
            </w:r>
          </w:p>
        </w:tc>
        <w:tc>
          <w:tcPr>
            <w:tcW w:w="7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3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2022</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expired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2023</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w:t>
            </w:r>
          </w:p>
        </w:tc>
        <w:tc>
          <w:tcPr>
            <w:tcW w:w="7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December 31, 2023</w:t>
            </w:r>
          </w:p>
        </w:tc>
        <w:tc>
          <w:tcPr>
            <w:tcW w:w="7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3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stock options exercised during the years ended December 31, 2023, 2022 and 2021 was approximately $3.4 million, $11.3 million and $6.6 million, respectively. As of December 31, 2023, there was approximately $5.3 million of total unrecognized compensation cost related to nonvested share-based compensation arrangements. That cost is expected to be recognized over a weighted average period of approximately 1.9 years.</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weighted average fair value of stock options granted during the years ended December 31, 2023, 2022 and 2021 was $6.54, $10.20, and $28.68, respectively. The fair value of each option grant is estimated on the date of grant, adjusted for estimated forfeitures, using the Black-Scholes option pricing model with the following weighted average assumptions:</w:t>
      </w:r>
    </w:p>
    <w:tbl>
      <w:tblPr>
        <w:tblW w:w="6823" w:type="dxa"/>
        <w:jc w:val="left"/>
        <w:tblInd w:w="0" w:type="dxa"/>
        <w:tblLayout w:type="fixed"/>
        <w:tblCellMar>
          <w:top w:w="28" w:type="dxa"/>
          <w:left w:w="28" w:type="dxa"/>
          <w:bottom w:w="28" w:type="dxa"/>
          <w:right w:w="28" w:type="dxa"/>
        </w:tblCellMar>
      </w:tblPr>
      <w:tblGrid>
        <w:gridCol w:w="723"/>
        <w:gridCol w:w="635"/>
        <w:gridCol w:w="637"/>
        <w:gridCol w:w="274"/>
        <w:gridCol w:w="274"/>
        <w:gridCol w:w="277"/>
        <w:gridCol w:w="140"/>
        <w:gridCol w:w="140"/>
        <w:gridCol w:w="140"/>
        <w:gridCol w:w="517"/>
        <w:gridCol w:w="517"/>
        <w:gridCol w:w="525"/>
        <w:gridCol w:w="140"/>
        <w:gridCol w:w="140"/>
        <w:gridCol w:w="140"/>
        <w:gridCol w:w="466"/>
        <w:gridCol w:w="466"/>
        <w:gridCol w:w="672"/>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 yield</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9"/>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9"/>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9"/>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Risk-free interest rate</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 xml:space="preserve">3.60%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1.62% – 4.20%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0.46% – 1.33%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life (in years)</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Historical volatility</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65.17%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53.87% – 64.13%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53.51% – 54.55%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methods used in the significant assumptions used to estimate the fair value of stock-based-based compensation awards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Dividend yield –</w:t>
      </w:r>
      <w:r>
        <w:rPr>
          <w:color w:val="000000"/>
        </w:rPr>
        <w:t xml:space="preserve"> </w:t>
      </w:r>
      <w:r>
        <w:rPr>
          <w:rFonts w:ascii="Times New Roman;sans-serif" w:hAnsi="Times New Roman;sans-serif"/>
          <w:b w:val="false"/>
          <w:color w:val="000000"/>
          <w:sz w:val="20"/>
        </w:rPr>
        <w:t>The Company uses 0% as it has never issued dividends and does not anticipate issuing dividends in the near term.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Risk-free interest rate –</w:t>
      </w:r>
      <w:r>
        <w:rPr>
          <w:color w:val="000000"/>
        </w:rPr>
        <w:t xml:space="preserve"> </w:t>
      </w:r>
      <w:r>
        <w:rPr>
          <w:rFonts w:ascii="Times New Roman;sans-serif" w:hAnsi="Times New Roman;sans-serif"/>
          <w:b w:val="false"/>
          <w:color w:val="000000"/>
          <w:sz w:val="20"/>
        </w:rPr>
        <w:t>The Company uses the market yield on U.S. Treasury securities at 5 years with constant maturity, representing the current expected life of stock options in years.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Expected life –</w:t>
      </w:r>
      <w:r>
        <w:rPr>
          <w:color w:val="000000"/>
        </w:rPr>
        <w:t xml:space="preserve"> </w:t>
      </w:r>
      <w:r>
        <w:rPr>
          <w:rFonts w:ascii="Times New Roman;sans-serif" w:hAnsi="Times New Roman;sans-serif"/>
          <w:b w:val="false"/>
          <w:color w:val="000000"/>
          <w:sz w:val="20"/>
        </w:rPr>
        <w:t>The Company uses historical data to estimate the expected life of a stock option.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Historical volatility –</w:t>
      </w:r>
      <w:r>
        <w:rPr>
          <w:color w:val="000000"/>
        </w:rPr>
        <w:t xml:space="preserve"> </w:t>
      </w:r>
      <w:r>
        <w:rPr>
          <w:rFonts w:ascii="Times New Roman;sans-serif" w:hAnsi="Times New Roman;sans-serif"/>
          <w:b w:val="false"/>
          <w:color w:val="000000"/>
          <w:sz w:val="20"/>
        </w:rPr>
        <w:t>The Company uses a trailing five year from grant date to determine volatility.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Stock Unit and Performance-Vesting Restricted Stock Unit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the Company’s RSUs and PRSUs activity and weighted average grant date fair value, as follows:</w:t>
      </w:r>
    </w:p>
    <w:tbl>
      <w:tblPr>
        <w:tblW w:w="10205" w:type="dxa"/>
        <w:jc w:val="center"/>
        <w:tblInd w:w="0" w:type="dxa"/>
        <w:tblLayout w:type="fixed"/>
        <w:tblCellMar>
          <w:top w:w="28" w:type="dxa"/>
          <w:left w:w="28" w:type="dxa"/>
          <w:bottom w:w="28" w:type="dxa"/>
          <w:right w:w="28" w:type="dxa"/>
        </w:tblCellMar>
      </w:tblPr>
      <w:tblGrid>
        <w:gridCol w:w="1455"/>
        <w:gridCol w:w="1279"/>
        <w:gridCol w:w="1283"/>
        <w:gridCol w:w="543"/>
        <w:gridCol w:w="534"/>
        <w:gridCol w:w="536"/>
        <w:gridCol w:w="109"/>
        <w:gridCol w:w="109"/>
        <w:gridCol w:w="109"/>
        <w:gridCol w:w="436"/>
        <w:gridCol w:w="1275"/>
        <w:gridCol w:w="225"/>
        <w:gridCol w:w="109"/>
        <w:gridCol w:w="109"/>
        <w:gridCol w:w="109"/>
        <w:gridCol w:w="350"/>
        <w:gridCol w:w="1375"/>
        <w:gridCol w:w="260"/>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9"/>
              </w:rPr>
              <w:br/>
            </w:r>
            <w:r>
              <w:rPr>
                <w:rFonts w:ascii="Times New Roman;sans-serif" w:hAnsi="Times New Roman;sans-serif"/>
                <w:b/>
                <w:color w:val="000000"/>
                <w:sz w:val="19"/>
              </w:rPr>
              <w:t xml:space="preserve">Weighted Average </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Aggregate Fair Value </w:t>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2020</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outstanding at December 31, 2021</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2021</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D9F2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225" w:type="dxa"/>
            <w:tcBorders/>
            <w:shd w:fill="D9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outstanding at December 31, 2022</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2022</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D9F2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25" w:type="dxa"/>
            <w:tcBorders/>
            <w:shd w:fill="D9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outstanding at December 31, 2023</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w:t>
            </w:r>
          </w:p>
        </w:tc>
        <w:tc>
          <w:tcPr>
            <w:tcW w:w="10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5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2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generally vest over a three to four-year period, or upon achievement of certain performance conditions. As of December 31, 2023, total unrecognized compensation cost, adjusted for estimated forfeitures, related to nonvested RSUs and PRSUs was approximately $48.3 million and the weighted-average remaining vesting period was 1.9 years.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the Company opted to settle cash awards related to bonuses entirely in cash. For the year ended December 31, 2021, the Company accrued approximately $18.4 million for cash awards related to bonuses to be settled in shares of the Company’s stock and recorded a corresponding expense, which is included as a component of stock-based compensation expense in the accompanying consolidated statement of operations.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in the Company’s consolidated statements of operations and cash flows was $11.9 million, $109.6 million, and $69.7 million for the years ended December 31, 2023, 2022, and 2021,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PRSUs granted in years 2023, 2022 and 2021 are immaterial. </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Restructuring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LivePerson began a restructuring initiative to realign the Company’s cost structure to better reflect significant product and business model innovation and then-recent changes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In 2023, due to the changing technology landscape related to the evolution of LLMs, we were able to identify opportunities for significant cost savings because the latest generation of LLMs is able to build a bot in minutes, enabling reduction of headcount previously devoted to bot-building. Additionally, we have moved to a product-led growth structure where we flattened the organization to align to more efficient sales and service support ratios. In connection with the restructuring initiatives, the Company recognized restructuring costs of $22.7 million, $20.0 million, and $3.4 million during the years ended December 31, 2023, 2022, and 2021, respectively, which is included in restructuring costs in the accompanying consolidated statements of operations. Such costs primarily include severance and other compensation-related costs as well as IT infrastructure contract termination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the liability for the Company’s restructuring charges, which is included within accrued expenses and other current liabilities within the consolidated balance sheets as of December 31, 2023 and 2022:</w:t>
      </w:r>
    </w:p>
    <w:p>
      <w:pPr>
        <w:pStyle w:val="TextBody"/>
        <w:bidi w:val="0"/>
        <w:spacing w:before="0" w:after="120"/>
        <w:jc w:val="both"/>
        <w:rPr/>
      </w:pPr>
      <w:r>
        <w:rPr/>
      </w:r>
    </w:p>
    <w:tbl>
      <w:tblPr>
        <w:tblW w:w="5333" w:type="dxa"/>
        <w:jc w:val="center"/>
        <w:tblInd w:w="0" w:type="dxa"/>
        <w:tblLayout w:type="fixed"/>
        <w:tblCellMar>
          <w:top w:w="28" w:type="dxa"/>
          <w:left w:w="28" w:type="dxa"/>
          <w:bottom w:w="28" w:type="dxa"/>
          <w:right w:w="28" w:type="dxa"/>
        </w:tblCellMar>
      </w:tblPr>
      <w:tblGrid>
        <w:gridCol w:w="1119"/>
        <w:gridCol w:w="983"/>
        <w:gridCol w:w="987"/>
        <w:gridCol w:w="211"/>
        <w:gridCol w:w="616"/>
        <w:gridCol w:w="109"/>
        <w:gridCol w:w="109"/>
        <w:gridCol w:w="109"/>
        <w:gridCol w:w="109"/>
        <w:gridCol w:w="211"/>
        <w:gridCol w:w="61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December 31, </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restructuring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contract termination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associated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expenses for the Company’s restructuring charges for the periods presented:</w:t>
      </w:r>
    </w:p>
    <w:p>
      <w:pPr>
        <w:pStyle w:val="TextBody"/>
        <w:bidi w:val="0"/>
        <w:spacing w:before="0" w:after="0"/>
        <w:ind w:left="0" w:right="0" w:firstLine="720"/>
        <w:jc w:val="both"/>
        <w:rPr/>
      </w:pPr>
      <w:r>
        <w:rPr/>
      </w:r>
    </w:p>
    <w:tbl>
      <w:tblPr>
        <w:tblW w:w="6807" w:type="dxa"/>
        <w:jc w:val="center"/>
        <w:tblInd w:w="0" w:type="dxa"/>
        <w:tblLayout w:type="fixed"/>
        <w:tblCellMar>
          <w:top w:w="28" w:type="dxa"/>
          <w:left w:w="28" w:type="dxa"/>
          <w:bottom w:w="28" w:type="dxa"/>
          <w:right w:w="28" w:type="dxa"/>
        </w:tblCellMar>
      </w:tblPr>
      <w:tblGrid>
        <w:gridCol w:w="1120"/>
        <w:gridCol w:w="983"/>
        <w:gridCol w:w="987"/>
        <w:gridCol w:w="211"/>
        <w:gridCol w:w="721"/>
        <w:gridCol w:w="109"/>
        <w:gridCol w:w="109"/>
        <w:gridCol w:w="109"/>
        <w:gridCol w:w="109"/>
        <w:gridCol w:w="211"/>
        <w:gridCol w:w="721"/>
        <w:gridCol w:w="109"/>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contract termination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associated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15. Legal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Stockholder Litigation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A parallel litigation on behalf of stockholders who purchased their shares on the Tel Aviv Stock Exchange, entitled Weissbrod v. LivePerson, Inc., is pending in the Tel Aviv District Court in Israel, but has been stayed pending further developments in the Damri case.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most of the members of the current board of directors and several former directors. The derivative litigation claims that the Company itself was harmed by the same acts and omissions underlying the Damri federal securities lawsuit, and seeks to recover unspecified losses on behalf of the Company. The Marti case is stayed pending further developments in the Damri case</w:t>
      </w:r>
      <w:r>
        <w:rPr>
          <w:rFonts w:ascii="Times New Roman;sans-serif" w:hAnsi="Times New Roman;sans-serif"/>
          <w:b/>
          <w:i/>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 xml:space="preserve">n January 2024, a purported stockholder of the Company filed a lawsuit against the Company and its Board of Directors entitled Browne v. Layfield, No. 2024-0079, in the Court of Chancery of the State of Delaware. The complaint asserted a claim for breach of fiduciary duty based upon a Tax Benefits Preservation Plan. In February 2024, the Board approved technical amendments to the Tax Benefits Preservation Plan which were filed by the Company on Form 8-K, and the case was dismissed as moot, subject to attorneys’ fees on behalf of the plaintiff.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alleges common law fraud, fraudulent inducement and negligent misrepresentation in connection with an alleged scheme to induce Starboard to settle its 2022 proxy contest against the Company and, as stated in the complaint, involves previous Starboard allegations of misrepresentations in the Company's public disclosures that the Company previously informed Starboard were found to be unsubstantiated following an independent investigation. The complaint seeks unspecified damages.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COVID-Related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has been widely reported, there is heightened scrutiny by the federal government across many programs related to global novel coronavirus disease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inquiries by Medicare, the Department of Justice and the U.S. Food and Drug Administration (“governmental agencies”).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a professional corporation managed by WildHealth received notice that Medicare reimbursements for its services rendered under a Medicare demonstration program related to COVID-19 testing (the “Program”) were suspended pending further review. Subsequently, WildHealth received and successfully responded to inquiries from additional governmental agencies with respect to its participation in the Program. The Centers for Medicare and Medicaid Services (CMS) has provided notice that the Medicare payment suspension was terminated. The reimbursements for services rendered under the Program were released in November and December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provided other products and services related to COVID-19 testing and accompanying software. Those COVID-19 related products and services have also been the subject of inquiry and review by governmental agencies.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WildHealth have discontinued all products and services related to COVID-19, and have responded to and intend to continue to cooperate with governmental inquiries related to their previous engagement in COVID-19 related product and service offerings.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Administrative, Governmental and Regulatory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or may be subject to or involved in legal, administrative, governmental and/or regulatory proceedings, inquiries and investigations as well as actual or threatened litigation, claims and/or demands (each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 xml:space="preserve">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our business, as well as Actions brought against the Company’s customers for which the Company has a contractual indemnification obligation.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the outcome, Actions can have an adverse impact on the Company because of defense and/or settlement costs, diversion of management resources, reputational risks and other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Accruals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certain contingencies when it is both probable that a liability has been incurred and the amount of the loss can be reasonably estimated and discloses certain contingencies for which no accrual has been made as appropriate and in compliance with ASC 450.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includes interest accrued on the underpayment of income taxes and certain interest expense and penalties, if any, related to unrecognized tax benefits as a component of the income tax provision. The Company recorded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 During the year ended December 31, 2023, there was an increase in the valuation allowance recorded of $23.7 million. </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The Company had a valuation allowance on certain deferred tax assets for the years ended December 31, 2023, 2022, and 2021 of $211.2 million, $187.5 million, and $107.1 million, respectively. For the year ended December 31, 2023, an increase in the valuation allowance in the amount of $23.7 million was recorded as an expense. For the year ended December 31, 2022, an increase in the valuation allowance in the amount of $38.7 million was recorded as an expense and an additional increase of $0.5 million was recorded to goodwill against acquired federal and state net operating losses and due to the adoption of ASU 2020-06,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the Company recorded an increase of the valuation allowance to other comprehensive income of $41.2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(the “Code”), the Company’s use of its federal net operating loss (“NOL”) carryforwards may be limited if the Company experiences an ownership change, as defined in Section 382 of the Code. The use of NOLs from acquired businesses may also be limited under Section 382. Such an annual limitation could result in the expiration of the NOL carryforwards before utilization. Corresponding provisions of state law may limit the Company’s ability to utilize NOL carryforwards for state tax purposes. As of December 31, 2023, the Company had approximately $583.1 million of federal NOL carryforwards available to offset future taxable income. Included in this amount is $0.9 million of federal NOL carryovers from the Company’s acquisition of Proficient in 2006, $49.4 million of federal NOL carryovers from the Company’s acquisition of Tenfold in 2021, $64.9 million of federal NOL carryovers from the Company’s acquisition of VoiceBase in 2021 and $1.0 million of federal NOL carryovers from the Company’s acquisition of WildHealth in 2022. Approximately $70.2 million of these federal NOL carryforwards were generated in taxable years ending on or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2017 and will expire in various years through 2037. Federal NOL carryforwards generated in taxable years ending after December 31, 2017, do not expire, but generally may only offset up to 80% of federal taxable income earned in a taxable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entered into a Tax Benefits Preservation Plan (the “Tax Benefits Preservation Plan”), which is designed to reduce the risk of substantial impairment to the Company’s NOLs and certain other tax attributes that could result from an “ownership change” within the meaning of Section 382 of the Code. See “Tax Benefits Preservation Plan” in Note 21 – </w:t>
      </w:r>
      <w:r>
        <w:rPr>
          <w:rFonts w:ascii="Times New Roman;sans-serif" w:hAnsi="Times New Roman;sans-serif"/>
          <w:b w:val="false"/>
          <w:i/>
          <w:color w:val="000000"/>
          <w:sz w:val="20"/>
        </w:rPr>
        <w:t xml:space="preserve">Subsequent Events </w:t>
      </w:r>
      <w:r>
        <w:rPr>
          <w:rFonts w:ascii="Times New Roman;sans-serif" w:hAnsi="Times New Roman;sans-serif"/>
          <w:b w:val="false"/>
          <w:color w:val="000000"/>
          <w:sz w:val="20"/>
        </w:rPr>
        <w:t>for additional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components of income (loss) before provision for (benefit from) income taxes consist of the following: </w:t>
      </w:r>
    </w:p>
    <w:tbl>
      <w:tblPr>
        <w:tblW w:w="5742" w:type="dxa"/>
        <w:jc w:val="left"/>
        <w:tblInd w:w="0" w:type="dxa"/>
        <w:tblLayout w:type="fixed"/>
        <w:tblCellMar>
          <w:top w:w="28" w:type="dxa"/>
          <w:left w:w="28" w:type="dxa"/>
          <w:bottom w:w="28" w:type="dxa"/>
          <w:right w:w="28" w:type="dxa"/>
        </w:tblCellMar>
      </w:tblPr>
      <w:tblGrid>
        <w:gridCol w:w="539"/>
        <w:gridCol w:w="472"/>
        <w:gridCol w:w="474"/>
        <w:gridCol w:w="211"/>
        <w:gridCol w:w="796"/>
        <w:gridCol w:w="109"/>
        <w:gridCol w:w="109"/>
        <w:gridCol w:w="109"/>
        <w:gridCol w:w="109"/>
        <w:gridCol w:w="211"/>
        <w:gridCol w:w="901"/>
        <w:gridCol w:w="109"/>
        <w:gridCol w:w="109"/>
        <w:gridCol w:w="109"/>
        <w:gridCol w:w="109"/>
        <w:gridCol w:w="211"/>
        <w:gridCol w:w="90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FFFFF" w:val="clear"/>
        </w:rPr>
        <w:t>Includes Bulgaria, Canada, France, India, Italy, Japan, Mexico, Poland, Singapore and Spain.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additional provision has been made for U.S. income taxes on the undistributed earnings of its wholly-owned Israeli subsidiary, LivePerson Ltd., as such earnings have been taxed in the U.S. A provision for the undistributed earnings of the Company’s other foreign subsidiaries have not been provided because the Company intends to indefinitely reinvest such earnings outside of the U.S., though if these foreign earnings were to be repatriated in the future the related U.S. tax liability would be immaterial through December 31, 2023.</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consists of the following:</w:t>
      </w:r>
    </w:p>
    <w:tbl>
      <w:tblPr>
        <w:tblW w:w="7497" w:type="dxa"/>
        <w:jc w:val="left"/>
        <w:tblInd w:w="0" w:type="dxa"/>
        <w:tblLayout w:type="fixed"/>
        <w:tblCellMar>
          <w:top w:w="28" w:type="dxa"/>
          <w:left w:w="28" w:type="dxa"/>
          <w:bottom w:w="28" w:type="dxa"/>
          <w:right w:w="28" w:type="dxa"/>
        </w:tblCellMar>
      </w:tblPr>
      <w:tblGrid>
        <w:gridCol w:w="1416"/>
        <w:gridCol w:w="1244"/>
        <w:gridCol w:w="1255"/>
        <w:gridCol w:w="211"/>
        <w:gridCol w:w="616"/>
        <w:gridCol w:w="109"/>
        <w:gridCol w:w="109"/>
        <w:gridCol w:w="109"/>
        <w:gridCol w:w="109"/>
        <w:gridCol w:w="211"/>
        <w:gridCol w:w="616"/>
        <w:gridCol w:w="109"/>
        <w:gridCol w:w="109"/>
        <w:gridCol w:w="109"/>
        <w:gridCol w:w="109"/>
        <w:gridCol w:w="211"/>
        <w:gridCol w:w="691"/>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total income taxes computed at the federal statutory rate and the provision for income taxes consists of the following:</w:t>
      </w:r>
    </w:p>
    <w:tbl>
      <w:tblPr>
        <w:tblW w:w="8921" w:type="dxa"/>
        <w:jc w:val="left"/>
        <w:tblInd w:w="0" w:type="dxa"/>
        <w:tblLayout w:type="fixed"/>
        <w:tblCellMar>
          <w:top w:w="28" w:type="dxa"/>
          <w:left w:w="28" w:type="dxa"/>
          <w:bottom w:w="28" w:type="dxa"/>
          <w:right w:w="28" w:type="dxa"/>
        </w:tblCellMar>
      </w:tblPr>
      <w:tblGrid>
        <w:gridCol w:w="1929"/>
        <w:gridCol w:w="1702"/>
        <w:gridCol w:w="1708"/>
        <w:gridCol w:w="344"/>
        <w:gridCol w:w="346"/>
        <w:gridCol w:w="271"/>
        <w:gridCol w:w="109"/>
        <w:gridCol w:w="109"/>
        <w:gridCol w:w="109"/>
        <w:gridCol w:w="344"/>
        <w:gridCol w:w="346"/>
        <w:gridCol w:w="271"/>
        <w:gridCol w:w="109"/>
        <w:gridCol w:w="109"/>
        <w:gridCol w:w="109"/>
        <w:gridCol w:w="344"/>
        <w:gridCol w:w="346"/>
        <w:gridCol w:w="316"/>
      </w:tblGrid>
      <w:tr>
        <w:trPr/>
        <w:tc>
          <w:tcPr>
            <w:tcW w:w="192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 stock-based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 earn-out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excess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 excess tax benefit / (tax deficiency)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 of subsidiary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temporary differences and federal NOL carryforwards that give rise to significant portions of federal deferred tax assets and deferred tax liabilities as of the dates presented:</w:t>
      </w:r>
    </w:p>
    <w:tbl>
      <w:tblPr>
        <w:tblW w:w="7643" w:type="dxa"/>
        <w:jc w:val="left"/>
        <w:tblInd w:w="0" w:type="dxa"/>
        <w:tblLayout w:type="fixed"/>
        <w:tblCellMar>
          <w:top w:w="28" w:type="dxa"/>
          <w:left w:w="28" w:type="dxa"/>
          <w:bottom w:w="28" w:type="dxa"/>
          <w:right w:w="28" w:type="dxa"/>
        </w:tblCellMar>
      </w:tblPr>
      <w:tblGrid>
        <w:gridCol w:w="1807"/>
        <w:gridCol w:w="1583"/>
        <w:gridCol w:w="1589"/>
        <w:gridCol w:w="211"/>
        <w:gridCol w:w="826"/>
        <w:gridCol w:w="109"/>
        <w:gridCol w:w="109"/>
        <w:gridCol w:w="109"/>
        <w:gridCol w:w="109"/>
        <w:gridCol w:w="211"/>
        <w:gridCol w:w="826"/>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tax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issue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capitalization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tax assets, net of 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amortization and contingent earn-out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difference in subsidiary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U.S. federal, Australian, and German NOLs of $583.1 million, $1.6 million, and $28.3 million, respectively. The Australian and German NOLs can be carried forward indefinitely. For the federal NOLs, $512.8 million can be carried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indefinitely, $0.9 million will expire between 2024 and 2029, and $69.4 million will expire between 2030 and 2037. We have $449.3 million of state NOLs, of which $108.0 million can be carried forward indefinitely and $341.4 million expire between 2024 and 2044.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$3.1 million as of December 31, 2023 and $2.7 million as of December 31, 2022, respectively, that would affect the effective tax rate if recognized. Accrued interest and penalties included in the Company’s liability related to unrecognized tax benefits and recorded in accrued expenses and other current liabilities was $0.5 million as of December 31, 2023 and was immaterial as of December 31, 2022. There are no unrecognized tax benefits expected to reverse in the next twelve months and impact the effective tax rate.</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8081" w:type="dxa"/>
        <w:jc w:val="left"/>
        <w:tblInd w:w="0" w:type="dxa"/>
        <w:tblLayout w:type="fixed"/>
        <w:tblCellMar>
          <w:top w:w="28" w:type="dxa"/>
          <w:left w:w="28" w:type="dxa"/>
          <w:bottom w:w="28" w:type="dxa"/>
          <w:right w:w="28" w:type="dxa"/>
        </w:tblCellMar>
      </w:tblPr>
      <w:tblGrid>
        <w:gridCol w:w="1657"/>
        <w:gridCol w:w="1455"/>
        <w:gridCol w:w="1462"/>
        <w:gridCol w:w="211"/>
        <w:gridCol w:w="616"/>
        <w:gridCol w:w="109"/>
        <w:gridCol w:w="109"/>
        <w:gridCol w:w="109"/>
        <w:gridCol w:w="109"/>
        <w:gridCol w:w="211"/>
        <w:gridCol w:w="616"/>
        <w:gridCol w:w="109"/>
        <w:gridCol w:w="109"/>
        <w:gridCol w:w="109"/>
        <w:gridCol w:w="109"/>
        <w:gridCol w:w="211"/>
        <w:gridCol w:w="61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business combinations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for tax positions of current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basis classified as held-for-sale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years subject to examination by major tax jurisdictions include the years 2019 and forward for U.S. states and cities, the years 2020 and forward for U.S. Federal, and the years 2018 and forward for certain foreign jurisdictions. </w: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i/>
          <w:color w:val="000000"/>
          <w:sz w:val="20"/>
        </w:rPr>
        <w:t>Tax Legislation</w:t>
      </w:r>
      <w:r>
        <w:rPr>
          <w:color w:val="000000"/>
        </w:rPr>
        <w:t>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(“IRA”) was signed into law. The IRA imposes a number of</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including, among other things, a 15% minimum tax on the book income of certain corporations and a 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excise tax on stock buybacks by U.S. public companies. Only limited guidance has been issued to date with respect to these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The Company does not currently expect the tax-related provisions of the IRA to have a material impact on its financial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statutory rate change in the United Kingdom was enacted as of the balance sheet date ending December 31, 2021. Effective April 1, 2023, the tax rate increased from 19% to 25%. The Company assessed and concluded the impact of the rate change is immaterial to its deferred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17</w:t>
      </w:r>
      <w:r>
        <w:rPr>
          <w:rFonts w:ascii="Times New Roman;sans-serif" w:hAnsi="Times New Roman;sans-serif"/>
          <w:b w:val="false"/>
          <w:color w:val="000000"/>
          <w:sz w:val="20"/>
        </w:rPr>
        <w:t xml:space="preserve">. </w:t>
      </w:r>
      <w:r>
        <w:rPr>
          <w:rFonts w:ascii="Times New Roman;sans-serif" w:hAnsi="Times New Roman;sans-serif"/>
          <w:b/>
          <w:color w:val="000000"/>
          <w:sz w:val="20"/>
        </w:rPr>
        <w:t>Equity Method Investment</w:t>
      </w:r>
    </w:p>
    <w:p>
      <w:pPr>
        <w:pStyle w:val="TextBody"/>
        <w:bidi w:val="0"/>
        <w:spacing w:before="0" w:after="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2022, the Company and Pasaca Capital Inc. (“Pasaca”) entered into a joint venture agreement (the “JV Agreement”) to form Claire, a joint venture to build, create, and administer a marketplace for health and well-being diagnostic testing.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The Company accounts for its 19.2% interest in Claire using the equity method of accounting. The Company recorded its ownership percentage of losses of Claire in Other income (expense), net of $2.3 million and $7.7 million for the years ended December 31, 2023 and 2022, respectively.</w:t>
      </w:r>
    </w:p>
    <w:p>
      <w:pPr>
        <w:pStyle w:val="TextBody"/>
        <w:bidi w:val="0"/>
        <w:spacing w:lineRule="auto" w:line="288" w:before="0" w:after="3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equity method investment in joint venture was reduced to zero on the consolidated balance sheets, based on current period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18</w:t>
      </w:r>
      <w:r>
        <w:rPr>
          <w:rFonts w:ascii="Times New Roman;sans-serif" w:hAnsi="Times New Roman;sans-serif"/>
          <w:b w:val="false"/>
          <w:color w:val="000000"/>
          <w:sz w:val="20"/>
        </w:rPr>
        <w:t xml:space="preserve">. </w:t>
      </w:r>
      <w:r>
        <w:rPr>
          <w:rFonts w:ascii="Times New Roman;sans-serif" w:hAnsi="Times New Roman;sans-serif"/>
          <w:b/>
          <w:color w:val="000000"/>
          <w:sz w:val="20"/>
        </w:rPr>
        <w:t>Variable Interest Entities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consolidated financial statements in accordance with ASC 810, which provides for the consolidation of VIEs of which the Company is the primary beneficiary.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The agreement entitles WildHealth to control rights sufficient to require the Company to consolidate the balance sheet and results of operations of the PCs as VIEs. The Company determined that the PCs are VIEs as WildHealth is the primary beneficiary of the PCs.</w:t>
      </w:r>
    </w:p>
    <w:p>
      <w:pPr>
        <w:pStyle w:val="TextBody"/>
        <w:bidi w:val="0"/>
        <w:spacing w:before="0" w:after="0"/>
        <w:ind w:left="0" w:right="0" w:firstLine="720"/>
        <w:jc w:val="both"/>
        <w:rPr/>
      </w:pPr>
      <w:r>
        <w:rPr/>
      </w:r>
    </w:p>
    <w:p>
      <w:pPr>
        <w:pStyle w:val="TextBody"/>
        <w:bidi w:val="0"/>
        <w:spacing w:lineRule="auto" w:line="288" w:before="0" w:after="3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liabilities, revenues, and operating results of the VIEs after elimination of intercompany transactions were not material as of and for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19.</w:t>
      </w:r>
      <w:r>
        <w:rPr>
          <w:color w:val="000000"/>
        </w:rPr>
        <w:t xml:space="preserve"> </w:t>
      </w:r>
      <w:r>
        <w:rPr>
          <w:rFonts w:ascii="Times New Roman;sans-serif" w:hAnsi="Times New Roman;sans-serif"/>
          <w:b/>
          <w:color w:val="000000"/>
          <w:sz w:val="20"/>
        </w:rPr>
        <w:t>Related Parties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Related parties are defined as entities related to the Company’s directors or main shareholders as well as equity method affiliates. During the year ended December 31, 2023, the Company provided services to Claire, an equity method affiliate (refer to Note 17 – </w:t>
      </w:r>
      <w:r>
        <w:rPr>
          <w:rFonts w:ascii="Times New Roman;sans-serif" w:hAnsi="Times New Roman;sans-serif"/>
          <w:b w:val="false"/>
          <w:i/>
          <w:color w:val="000000"/>
          <w:sz w:val="20"/>
        </w:rPr>
        <w:t>Equity Method Investment</w:t>
      </w:r>
      <w:r>
        <w:rPr>
          <w:color w:val="000000"/>
        </w:rPr>
        <w:t xml:space="preserve"> </w:t>
      </w:r>
      <w:r>
        <w:rPr>
          <w:rFonts w:ascii="Times New Roman;sans-serif" w:hAnsi="Times New Roman;sans-serif"/>
          <w:b w:val="false"/>
          <w:color w:val="000000"/>
          <w:sz w:val="20"/>
        </w:rPr>
        <w:t xml:space="preserve">for additional information on the equity method affiliate), in exchange for fees through certain commercial arrangements. These arrangements facilitated Claire’s build out and operations.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In connection with the JV Agreement, the Company entered into commercial agreements with Claire, under which the Company agreed to provide custom software development and managed services in exchange for fees governed by the terms and conditions set forth therein. In accordance with guidance under ASC 606, Claire is considered a customer of the Company. Revenues for the services provided to Claire included in the Company’s Consolidated Statements of Operations were $3.8 million and $38.7 million for the years ended December 31, 2023 and 2022, respectively. Accounts receivable totaling $2.1 million 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was included in the Company’s consolidated balance sheets, for which the Company recognized $1.5 million in its allowance for credit losses. Total unbilled invoices and accounts receivable were $4.8 million and $1.4 million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respectively, and were included in the Company’s consolidated balance sheets.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20. Divestiture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In the fourth quarter of 2022, the Company entered into a non-binding Letter of Intent to divest Kasamba, Inc. and Kasamba LTD (together “Kasamba”).</w:t>
      </w:r>
      <w:r>
        <w:rPr>
          <w:color w:val="000000"/>
          <w:shd w:fill="FFFFFF" w:val="clear"/>
        </w:rPr>
        <w:t xml:space="preserve"> </w:t>
      </w:r>
      <w:r>
        <w:rPr>
          <w:rFonts w:ascii="Times New Roman;sans-serif" w:hAnsi="Times New Roman;sans-serif"/>
          <w:b w:val="false"/>
          <w:color w:val="000000"/>
          <w:sz w:val="20"/>
        </w:rPr>
        <w:t xml:space="preserve">The Company determined that Kasamba met the criteria for classification as held for sale in accordance with ASC Subtopic 360-10, and the related net assets were separately presented in current assets and current liabilities as held for sale on the consolidated balance sheets as of </w:t>
      </w:r>
      <w:r>
        <w:rPr>
          <w:rFonts w:ascii="Times New Roman;sans-serif" w:hAnsi="Times New Roman;sans-serif"/>
          <w:b w:val="false"/>
          <w:color w:val="000000"/>
          <w:sz w:val="20"/>
          <w:shd w:fill="FFFFFF" w:val="clear"/>
        </w:rPr>
        <w:t>December 31, 2022</w:t>
      </w:r>
      <w:r>
        <w:rPr>
          <w:color w:val="000000"/>
        </w:rPr>
        <w:t xml:space="preserve"> </w:t>
      </w:r>
      <w:r>
        <w:rPr>
          <w:rFonts w:ascii="Times New Roman;sans-serif" w:hAnsi="Times New Roman;sans-serif"/>
          <w:b w:val="false"/>
          <w:color w:val="000000"/>
          <w:sz w:val="20"/>
        </w:rPr>
        <w:t>and depreciation of long-lived assets ceased. Pursuant to ASC 205-20, the divestiture did not meet the criteria for presentation as a discontinued operation.</w:t>
      </w:r>
      <w:r>
        <w:rPr>
          <w:color w:val="000000"/>
          <w:shd w:fill="FFFFFF" w:val="clear"/>
        </w:rPr>
        <w:t xml:space="preserve"> </w:t>
      </w:r>
      <w:r>
        <w:rPr>
          <w:rFonts w:ascii="Times New Roman;sans-serif" w:hAnsi="Times New Roman;sans-serif"/>
          <w:b w:val="false"/>
          <w:color w:val="000000"/>
          <w:sz w:val="20"/>
        </w:rPr>
        <w:t xml:space="preserve">Kasamba represented the Company’s </w:t>
      </w:r>
      <w:r>
        <w:rPr>
          <w:rFonts w:ascii="Times New Roman;sans-serif" w:hAnsi="Times New Roman;sans-serif"/>
          <w:b w:val="false"/>
          <w:color w:val="000000"/>
          <w:sz w:val="20"/>
          <w:shd w:fill="FFFFFF" w:val="clear"/>
        </w:rPr>
        <w:t>Consumer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Share Purchase Agreement between Ingenio, LLC (“Ingenio”) and the Company was executed and the transaction closed on March 20, 2023. In accordance with the Share Purchase Agreement, the Company sold all of the issued and outstanding shares of Kasamba. Cash of $16.9 million was received upon closing, $2.6 million as a deferred payment is expected to be received within a year, and was included in prepaid expenses and other current assets on the Company’s consolidated balance sheets as of December 31, 2023</w:t>
      </w:r>
      <w:r>
        <w:rPr>
          <w:rFonts w:ascii="Times New Roman;sans-serif" w:hAnsi="Times New Roman;sans-serif"/>
          <w:b w:val="false"/>
          <w:color w:val="000000"/>
          <w:sz w:val="20"/>
        </w:rPr>
        <w:t>. $11.8 million</w:t>
      </w:r>
      <w:r>
        <w:rPr>
          <w:color w:val="000000"/>
          <w:shd w:fill="FFFFFF" w:val="clear"/>
        </w:rPr>
        <w:t xml:space="preserve"> </w:t>
      </w:r>
      <w:r>
        <w:rPr>
          <w:rFonts w:ascii="Times New Roman;sans-serif" w:hAnsi="Times New Roman;sans-serif"/>
          <w:b w:val="false"/>
          <w:color w:val="000000"/>
          <w:sz w:val="20"/>
          <w:shd w:fill="FFFFFF" w:val="clear"/>
        </w:rPr>
        <w:t xml:space="preserve">was required to be held in various escrow accounts for up to 15 months, and was included in restricted cash on the Company’s consolidated balance sheets; </w:t>
      </w:r>
      <w:r>
        <w:rPr>
          <w:rFonts w:ascii="Times New Roman;sans-serif" w:hAnsi="Times New Roman;sans-serif"/>
          <w:b w:val="false"/>
          <w:color w:val="000000"/>
          <w:sz w:val="20"/>
        </w:rPr>
        <w:t xml:space="preserve">however, $9.8 million of this escrow amount was released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The transaction resulted in a gain of $17.6 million,</w:t>
      </w:r>
      <w:r>
        <w:rPr>
          <w:color w:val="000000"/>
        </w:rPr>
        <w:t xml:space="preserve"> </w:t>
      </w:r>
      <w:r>
        <w:rPr>
          <w:rFonts w:ascii="Times New Roman;sans-serif" w:hAnsi="Times New Roman;sans-serif"/>
          <w:b w:val="false"/>
          <w:color w:val="000000"/>
          <w:sz w:val="20"/>
        </w:rPr>
        <w:t xml:space="preserve">which was recognized and presented separately as a gain on divestiture </w:t>
      </w:r>
      <w:r>
        <w:rPr>
          <w:rFonts w:ascii="Times New Roman;sans-serif" w:hAnsi="Times New Roman;sans-serif"/>
          <w:b w:val="false"/>
          <w:color w:val="000000"/>
          <w:sz w:val="20"/>
          <w:shd w:fill="FFFFFF" w:val="clear"/>
        </w:rPr>
        <w:t>on the Company’s consolidated statements of operations during the year ended</w:t>
      </w:r>
      <w:r>
        <w:rPr>
          <w:color w:val="000000"/>
        </w:rPr>
        <w:t xml:space="preserve">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The Company received $0.9 million in cash in connection with the net working capital settlement during the third quarter of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Major classes of assets and liabilities sold were as follows:         </w:t>
      </w:r>
    </w:p>
    <w:tbl>
      <w:tblPr>
        <w:tblW w:w="5984" w:type="dxa"/>
        <w:jc w:val="left"/>
        <w:tblInd w:w="0" w:type="dxa"/>
        <w:tblLayout w:type="fixed"/>
        <w:tblCellMar>
          <w:top w:w="28" w:type="dxa"/>
          <w:left w:w="28" w:type="dxa"/>
          <w:bottom w:w="28" w:type="dxa"/>
          <w:right w:w="28" w:type="dxa"/>
        </w:tblCellMar>
      </w:tblPr>
      <w:tblGrid>
        <w:gridCol w:w="1458"/>
        <w:gridCol w:w="1283"/>
        <w:gridCol w:w="1293"/>
        <w:gridCol w:w="379"/>
        <w:gridCol w:w="1295"/>
        <w:gridCol w:w="276"/>
      </w:tblGrid>
      <w:tr>
        <w:trPr/>
        <w:tc>
          <w:tcPr>
            <w:tcW w:w="145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20, 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 held for sale</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related to assets held for sale</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21.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Tax Benefits Preservation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22, 2024, the Company entered into a Tax Benefits Preservation Plan designed to reduce the risk of substantial impairment to its NOLs that could result from an “ownership change” within the meaning of Section 382 of the Code. The Tax Benefits Preservation Plan creates a disincentive for any person or group of affiliated or associated persons to acquire 4.9% or more of the Company’s outstanding common stock (any such person or group, an “Acquiring Person”), or to further accumulate shares of the Company’s outstanding common stock if such person or group of person already owns 4.9% or more of the Company’s outstanding common stock, without the approval of the Company’s Board, unless and until the Board determines that the Tax Benefits Preservation Plan is no longer necessary or desirable for preservation of the Company’s NOLs.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therewith, on January 22, 2024, the Board authorized a dividend of one right (a “Right”) for each outstanding share of common stock of the Company. Each Right entitles the registered holder to purchase from the Company one one-thousandth of a share of Series A Junior Participating Preferred Stock, par value $0.001 per share, at a price of $18.00, subject to certain adjustments. The Rights will separate from the common stock and become exercisable and separately transferrable at the close of business on the date that is the tenth (10th) business day after the earlier of (i) the date on which on which a press release is issued or other public announcement is made indicating that a person or group of affiliated or associated persons has become an Acquiring Person and (ii) the date on which a tender offer or exchange offer is commenced that, upon consummation, would result in a person or group of affiliated or associated persons becoming an Acquiring Person. If issued and not redeemed by the Company, each holder of a Right (other than the Acquiring Person, the Rights of which shall become null and void) will, upon exercise, be entitled to purchase shares of the Company’s common stock having a then-current market value equal to two times the exercise price of the Right. However, prior to exercise, a Right does not give its holder any rights as a stockholder of the Company, including, without limitation, the right to vote or to receive dividends.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Convertible Senior Notes due 2024 and Capped Calls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2024, the Company repaid in full at maturity the outstanding $72.5 million in aggregate principal amount of the 2024 Notes.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Our management, including the Chief Executive Officer and Chief Financial Officer, evaluated the effectiveness of our “disclosure controls and procedures,” as that term is defined in Rule 13a-15(e) promulgated under the Exchange Act, as of December 31, 2023.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w:t>
      </w:r>
      <w:r>
        <w:rPr>
          <w:color w:val="1D1C1D"/>
          <w:shd w:fill="FFFFFF" w:val="clear"/>
        </w:rPr>
        <w:t xml:space="preserve"> </w:t>
      </w:r>
      <w:r>
        <w:rPr>
          <w:rFonts w:ascii="Times New Roman;sans-serif" w:hAnsi="Times New Roman;sans-serif"/>
          <w:b w:val="false"/>
          <w:color w:val="1D1C1D"/>
          <w:sz w:val="20"/>
          <w:shd w:fill="FFFFFF" w:val="clear"/>
        </w:rPr>
        <w:t xml:space="preserve">Based on that evaluation, the Chief Executive Officer and Chief Financial Officer concluded that our disclosure controls and procedures were effective as of </w:t>
      </w:r>
      <w:r>
        <w:rPr>
          <w:rFonts w:ascii="Times New Roman;sans-serif" w:hAnsi="Times New Roman;sans-serif"/>
          <w:b w:val="false"/>
          <w:color w:val="000000"/>
          <w:sz w:val="20"/>
          <w:shd w:fill="FFFFFF" w:val="clear"/>
        </w:rPr>
        <w:t>December 31,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1D1C1D"/>
          <w:sz w:val="20"/>
        </w:rPr>
      </w:pPr>
      <w:r>
        <w:rPr>
          <w:rFonts w:ascii="Times New Roman;sans-serif" w:hAnsi="Times New Roman;sans-serif"/>
          <w:b w:val="false"/>
          <w:i/>
          <w:color w:val="1D1C1D"/>
          <w:sz w:val="20"/>
        </w:rPr>
        <w:t>Remediation of Previously Reported Material Weakness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previously reported in Part II, Item 9A. “Controls and Procedures” in our Annual Report on Form 10-K for the year ended December 31, 2022, </w:t>
      </w:r>
      <w:r>
        <w:rPr>
          <w:rFonts w:ascii="Times New Roman;sans-serif" w:hAnsi="Times New Roman;sans-serif"/>
          <w:b w:val="false"/>
          <w:color w:val="1D1C1D"/>
          <w:sz w:val="20"/>
          <w:shd w:fill="FFFFFF" w:val="clear"/>
        </w:rPr>
        <w:t>our management identified control deficiencies that aggregated to a material weakness in the Company’s internal control over financial reporting as of December 31, 2022</w:t>
      </w:r>
      <w:r>
        <w:rPr>
          <w:rFonts w:ascii="Times New Roman;sans-serif" w:hAnsi="Times New Roman;sans-serif"/>
          <w:b w:val="false"/>
          <w:color w:val="1D1C1D"/>
          <w:sz w:val="20"/>
        </w:rPr>
        <w:t>. This material weakness related to the Company’s previously disclosed review of certain transactions related to its subsidiary WildHealth, which was acquired in February 2022, and primarily included a combination of ineffective operation of controls and inadequate controls in certain areas along with formal review, approval and evaluation of manual journal entries.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management has concluded that the material weakness did not result in any material misstatements to our previously issued financial statements, nor in the financial statements issued during the year 2023 included in this Form 10-K. The Company continues to be committed to maintaining a strong internal control environment. In response to the identified material weakness above, management, with the oversight of the Audit Committee of the Board of Directors, has taken comprehensive actions to remediate the material weakness in internal control over financial reporting.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took the following steps to remediate the material weakness discussed above: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re-evaluated the scope, level of precision and the personnel assigned for </w:t>
      </w:r>
      <w:r>
        <w:rPr>
          <w:rFonts w:ascii="Times New Roman;sans-serif" w:hAnsi="Times New Roman;sans-serif"/>
          <w:b w:val="false"/>
          <w:color w:val="1D1C1D"/>
          <w:sz w:val="20"/>
        </w:rPr>
        <w:t>review and approval of manual journal entries;</w:t>
      </w:r>
    </w:p>
    <w:p>
      <w:pPr>
        <w:pStyle w:val="TextBody"/>
        <w:bidi w:val="0"/>
        <w:spacing w:lineRule="auto" w:line="288" w:before="0" w:after="120"/>
        <w:ind w:left="0" w:right="0" w:hanging="360"/>
        <w:jc w:val="both"/>
        <w:rPr/>
      </w:pPr>
      <w:r>
        <w:rPr>
          <w:color w:val="1D1C1D"/>
        </w:rPr>
        <w:t>•</w:t>
      </w:r>
      <w:r>
        <w:rPr>
          <w:rFonts w:ascii="Times New Roman;sans-serif" w:hAnsi="Times New Roman;sans-serif"/>
          <w:b w:val="false"/>
          <w:color w:val="1D1C1D"/>
          <w:sz w:val="20"/>
        </w:rPr>
        <w:t xml:space="preserve">developed a formal policy related to journal entries and implemented IT system enhancements allowing proper segregation of duties in our journal entry process;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enhanced procedures for formal review, approval, and evaluation of non-core, complex transactions as well as engagement with government agencies;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enhanced operational processes and procedures for segregation of duties between accounting and contracting approval functions for non-core, complex transactions.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completed our testing of the operating effectiveness of the implemented controls and procedures and determined that they were effective. As a result, we have concluded the material weakness identified above has been remediated as of December 31,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Annual Report on Internal Control over Financial Reporting</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evaluated the effectiveness of our internal control over financial reporting as of December 31, 2023 based on the framework established in “Internal Control — Integrated Framework (2013),” issued by the Committee of Sponsoring Organizations of the Treadway Commission (“COSO”).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that assessment, our management, including the Chief Executive Officer and Chief Financial Officer, concluded that, as of December 31, 2023, our internal control over financial reporting was effective.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effectiveness of the internal control over financial reporting as of December 31, 2023 has been audited by BDO USA, P.C., an independent registered public accounting firm, as stated in their report, which appears in Part II, Item 8 of this Annual Report on Form 10-K.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Limitations of the Effectiveness of Internal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for the remediation of the material weakness, there have been no changes in the Company’s internal control over financial reporting during the quarter ended December 31, 2023,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audited LivePerson, Inc.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2023, based on the COSO criteria</w:t>
      </w:r>
      <w:r>
        <w:rPr>
          <w:rFonts w:ascii="Times New Roman;sans-serif" w:hAnsi="Times New Roman;sans-serif"/>
          <w:b w:val="false"/>
          <w:i/>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loss, stockholders’ equity, and cash flows for each of the three years in the period ended December 31, 2023, and the related notes and our report dated March 4, 2024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During the three months ended December 31, 2023, no director or executive officer of the Company adopted or terminated a “Rule 10b5-1 trading arrangement” or “non-Rule 10b5-1 trading arrangement,” as each term is defined in Item 408(a) of Regulations S-K.</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10 is incorporated by reference to the definitive proxy statement for our 2024 Annual Meeting of Stockholders or will be included in an amendment to this Annual Report on Form 10-K.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procedures by which stockholders may recommend nominees to our Board of Directors since our last disclosure of such procedures, which appeared in the definitive proxy statement for our 2023 Annual Meeting of Stockholders.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adopted a Code of Ethics that applies to our Chief Executive Officer, who is our principal executive officer, and other senior financial officers. Our Code of Ethics is available at: </w:t>
      </w:r>
      <w:r>
        <w:rPr>
          <w:rFonts w:ascii="Times New Roman;sans-serif" w:hAnsi="Times New Roman;sans-serif"/>
          <w:b w:val="false"/>
          <w:i/>
          <w:color w:val="000000"/>
          <w:sz w:val="20"/>
        </w:rPr>
        <w:t>www.liveperson.com</w:t>
      </w:r>
      <w:r>
        <w:rPr>
          <w:color w:val="000000"/>
        </w:rPr>
        <w:t xml:space="preserve"> </w:t>
      </w:r>
      <w:r>
        <w:rPr>
          <w:rFonts w:ascii="Times New Roman;sans-serif" w:hAnsi="Times New Roman;sans-serif"/>
          <w:b w:val="false"/>
          <w:color w:val="000000"/>
          <w:sz w:val="20"/>
        </w:rPr>
        <w:t xml:space="preserve">under “Investor Relations / Corporate Governance.” </w:t>
      </w:r>
      <w:r>
        <w:rPr>
          <w:rFonts w:ascii="Times New Roman;sans-serif" w:hAnsi="Times New Roman;sans-serif"/>
          <w:b w:val="false"/>
          <w:i/>
          <w:color w:val="000000"/>
          <w:sz w:val="20"/>
        </w:rPr>
        <w:t>The Company’s website address provided above is not intended to function as a hyperlink, and the information on the Company’s website is not and should not be considered part of this Annual Report on Form 10-K and is not incorporated by reference herein.</w:t>
      </w:r>
      <w:r>
        <w:rPr>
          <w:color w:val="000000"/>
        </w:rPr>
        <w:t xml:space="preserve"> </w:t>
      </w:r>
      <w:r>
        <w:rPr>
          <w:rFonts w:ascii="Times New Roman;sans-serif" w:hAnsi="Times New Roman;sans-serif"/>
          <w:b w:val="false"/>
          <w:color w:val="000000"/>
          <w:sz w:val="20"/>
        </w:rPr>
        <w:t>The Company will post on this website any amendments to our Code of Ethics.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11 is incorporated by reference to the definitive proxy statement for our 2024 Annual Meeting of Stockholders or will be included in an amendment to this Annual Report on Form 10-K.</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12 is incorporated by reference to the definitive proxy statement for our 2024 Annual Meeting of Stockholders or will be included in an amendment to this Annual Report on Form 10-K.</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13 is incorporated by reference to the definitive proxy statement for our 2024 Annual Meeting of Stockholders or will be included in an amendment to this Annual Report on Form 10-K.</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14 is incorporated by reference to the definitive proxy statement for our 2024 Annual Meeting of Stockholders or will be included in an amendment to this Annual Report on Form 10-K.</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1.Financial Statements. Incorporated by reference to the index of consolidated financial statements included in Item 8 of this Annual Report on Form 10-K.</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Statements Schedules. None.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3.Exhibits. Incorporated by reference to the Exhibit Index immediately following the signature pages to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r>
        <w:rPr>
          <w:rFonts w:ascii="Times New Roman;sans-serif" w:hAnsi="Times New Roman;sans-serif"/>
          <w:b w:val="false"/>
          <w:color w:val="000000"/>
          <w:sz w:val="20"/>
          <w:shd w:fill="FFFFFF" w:val="clear"/>
        </w:rPr>
        <w:t>on March 4, 2024.</w:t>
      </w:r>
    </w:p>
    <w:p>
      <w:pPr>
        <w:pStyle w:val="TextBody"/>
        <w:bidi w:val="0"/>
        <w:spacing w:before="0" w:after="0"/>
        <w:ind w:left="0" w:right="0" w:firstLine="720"/>
        <w:jc w:val="both"/>
        <w:rPr/>
      </w:pPr>
      <w:r>
        <w:rPr/>
      </w:r>
    </w:p>
    <w:tbl>
      <w:tblPr>
        <w:tblW w:w="3728" w:type="dxa"/>
        <w:jc w:val="left"/>
        <w:tblInd w:w="0" w:type="dxa"/>
        <w:tblLayout w:type="fixed"/>
        <w:tblCellMar>
          <w:top w:w="28" w:type="dxa"/>
          <w:left w:w="28" w:type="dxa"/>
          <w:bottom w:w="28" w:type="dxa"/>
          <w:right w:w="28" w:type="dxa"/>
        </w:tblCellMar>
      </w:tblPr>
      <w:tblGrid>
        <w:gridCol w:w="124"/>
        <w:gridCol w:w="109"/>
        <w:gridCol w:w="109"/>
        <w:gridCol w:w="294"/>
        <w:gridCol w:w="294"/>
        <w:gridCol w:w="294"/>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LIVEPERSON,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Sabino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Chief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100" w:after="120"/>
        <w:jc w:val="both"/>
        <w:rPr/>
      </w:pPr>
      <w:r>
        <w:rPr/>
      </w:r>
    </w:p>
    <w:p>
      <w:pPr>
        <w:pStyle w:val="TextBody"/>
        <w:bidi w:val="0"/>
        <w:spacing w:before="100" w:after="120"/>
        <w:jc w:val="both"/>
        <w:rPr/>
      </w:pPr>
      <w:r>
        <w:rPr/>
      </w:r>
    </w:p>
    <w:p>
      <w:pPr>
        <w:pStyle w:val="TextBody"/>
        <w:bidi w:val="0"/>
        <w:spacing w:before="1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John S. Sabino, John D. Collins,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lineRule="auto" w:line="288" w:before="100" w:after="120"/>
        <w:ind w:left="0" w:right="0" w:firstLine="720"/>
        <w:jc w:val="both"/>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bl>
      <w:tblPr>
        <w:tblW w:w="8496"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1438"/>
        <w:gridCol w:w="1438"/>
        <w:gridCol w:w="1458"/>
        <w:gridCol w:w="109"/>
        <w:gridCol w:w="109"/>
        <w:gridCol w:w="109"/>
        <w:gridCol w:w="389"/>
        <w:gridCol w:w="389"/>
        <w:gridCol w:w="556"/>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Sabino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Jill Layfield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Layfield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James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Bruce Hansen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Hansen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Vanessa Pegueros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Vanessa Pegueros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William G. Wesemann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G. Wesemann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Kevin C. Lavan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 Lavan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Yael Zhang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Yael Zhang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48"/>
        <w:gridCol w:w="2603"/>
        <w:gridCol w:w="37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r:id="rId3">
              <w:r>
                <w:rPr>
                  <w:rStyle w:val="InternetLink"/>
                  <w:rFonts w:ascii="Times New Roman;sans-serif" w:hAnsi="Times New Roman;sans-serif"/>
                  <w:b w:val="false"/>
                  <w:color w:val="0000FF"/>
                  <w:sz w:val="20"/>
                  <w:u w:val="single"/>
                </w:rPr>
                <w:t>Fourth Amended and Restated Certificate of Incorporation (incorporated by reference to the Exhibit 3.1 to LivePerson’s Annual Report on Form 10-K for the year ended December 31, 2000 and filed March 30, 2001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r:id="rId4">
              <w:r>
                <w:rPr>
                  <w:rStyle w:val="InternetLink"/>
                  <w:rFonts w:ascii="Times New Roman;sans-serif" w:hAnsi="Times New Roman;sans-serif"/>
                  <w:b w:val="false"/>
                  <w:color w:val="0000FF"/>
                  <w:sz w:val="20"/>
                  <w:u w:val="single"/>
                </w:rPr>
                <w:t>Certificate of Amendment to the Fourth Amended and Restated Certificate of Incorporation effective as of November 12, 2019 (incorporated by reference to Exhibit 4.2 to LivePerson’s Registration Statement on Form S-8 filed on November 13, 2019 (File No. 333-234676))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r:id="rId5">
              <w:r>
                <w:rPr>
                  <w:rStyle w:val="InternetLink"/>
                  <w:rFonts w:ascii="Times New Roman;sans-serif" w:hAnsi="Times New Roman;sans-serif"/>
                  <w:b w:val="false"/>
                  <w:color w:val="0000FF"/>
                  <w:sz w:val="20"/>
                  <w:u w:val="single"/>
                </w:rPr>
                <w:t>Third Amended and Restated By-Laws of LivePerson, Inc., as amended (incorporated by reference to Exhibit 3.1 to LivePerson’s Current Report on Form 8-K filed on June 12, 2023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Designations of the Series A Junior Participating Preferred Stock of the Company, dated January 22, 2024 (incorporated by reference to Exhibit 3.1 to LivePerson’s Current Report on Form 8-K filed on January 22,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20"/>
                  <w:u w:val="single"/>
                </w:rPr>
                <w:t>Specimen common stock certificate (incorporated by reference to Exhibit 4.1 to LivePerson’s Registration Statement on Form S-1/A filed on March 28, 2000 (Registration No. 333-9</w:t>
              </w:r>
            </w:hyperlink>
            <w:hyperlink r:id="rId8">
              <w:r>
                <w:rPr>
                  <w:rStyle w:val="InternetLink"/>
                  <w:rFonts w:ascii="Times New Roman;sans-serif" w:hAnsi="Times New Roman;sans-serif"/>
                  <w:b w:val="false"/>
                  <w:color w:val="000080"/>
                  <w:sz w:val="20"/>
                  <w:u w:val="single"/>
                </w:rPr>
                <w:t>5</w:t>
              </w:r>
            </w:hyperlink>
            <w:hyperlink r:id="rId9">
              <w:r>
                <w:rPr>
                  <w:rStyle w:val="InternetLink"/>
                  <w:rFonts w:ascii="Times New Roman;sans-serif" w:hAnsi="Times New Roman;sans-serif"/>
                  <w:b w:val="false"/>
                  <w:color w:val="000080"/>
                  <w:sz w:val="20"/>
                  <w:u w:val="single"/>
                </w:rPr>
                <w:t>689))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r:id="rId10">
              <w:r>
                <w:rPr>
                  <w:rStyle w:val="InternetLink"/>
                  <w:rFonts w:ascii="Times New Roman;sans-serif" w:hAnsi="Times New Roman;sans-serif"/>
                  <w:b w:val="false"/>
                  <w:color w:val="000080"/>
                  <w:sz w:val="20"/>
                  <w:u w:val="single"/>
                </w:rPr>
                <w:t>Second Amended and Restated Registration Rights Agreement, dated as of January 27, 2000, by and among LivePerson, the several persons and entities named on the signature pages thereto as Investors, and Robert LoCascio (incorporated by reference to Exhibit 4.2 to LivePerson’s Registration Statement on Form S-1/A filed on March 10, 2000 (Registration No. 333-9</w:t>
              </w:r>
            </w:hyperlink>
            <w:hyperlink r:id="rId11">
              <w:r>
                <w:rPr>
                  <w:rStyle w:val="InternetLink"/>
                  <w:rFonts w:ascii="Times New Roman;sans-serif" w:hAnsi="Times New Roman;sans-serif"/>
                  <w:b w:val="false"/>
                  <w:color w:val="000080"/>
                  <w:sz w:val="20"/>
                  <w:u w:val="single"/>
                </w:rPr>
                <w:t>5</w:t>
              </w:r>
            </w:hyperlink>
            <w:hyperlink r:id="rId12">
              <w:r>
                <w:rPr>
                  <w:rStyle w:val="InternetLink"/>
                  <w:rFonts w:ascii="Times New Roman;sans-serif" w:hAnsi="Times New Roman;sans-serif"/>
                  <w:b w:val="false"/>
                  <w:color w:val="000080"/>
                  <w:sz w:val="20"/>
                  <w:u w:val="single"/>
                </w:rPr>
                <w:t>689))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r:id="rId13">
              <w:r>
                <w:rPr>
                  <w:rStyle w:val="InternetLink"/>
                  <w:rFonts w:ascii="Times New Roman;sans-serif" w:hAnsi="Times New Roman;sans-serif"/>
                  <w:b w:val="false"/>
                  <w:color w:val="0000FF"/>
                  <w:sz w:val="20"/>
                  <w:u w:val="single"/>
                </w:rPr>
                <w:t>Indenture, dated as of March 4, 2019, by and between LivePerson, Inc. and U.S. Bank National Association, as Trustee (incorporated by reference to Exhibit 4.1 to LivePerson’s Current Report on Form 8-K filed on March 5, 2019 (File No. 000-30141))</w:t>
              </w:r>
            </w:hyperlink>
          </w:p>
          <w:p>
            <w:pPr>
              <w:pStyle w:val="TableContents"/>
              <w:bidi w:val="0"/>
              <w:spacing w:before="0" w:after="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r:id="rId14">
              <w:r>
                <w:rPr>
                  <w:rStyle w:val="InternetLink"/>
                  <w:rFonts w:ascii="Times New Roman;sans-serif" w:hAnsi="Times New Roman;sans-serif"/>
                  <w:b w:val="false"/>
                  <w:color w:val="0000FF"/>
                  <w:sz w:val="20"/>
                  <w:u w:val="single"/>
                </w:rPr>
                <w:t>Form of 0.750% Convertible Senior Notes due 2024 (included within the Indenture filed as Exhibit 4.3 hereto)</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 (incorporated by reference to Exhibit 4.5 to LivePerson’s Annual Report on Form 10-K for the year ended December 31, 2020 and filed on March 8, 2021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Indenture, dated as of December 4, 2020, by and between LivePerson, Inc. and U.S. Bank National Association, as Trustee (incorporated by reference to Exhibit 4.1 to LivePerson’s Current Report on Form 8-K/A filed on December 10, 2020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0% Convertible Senior Notes due 2026 (included within the Indenture filed as Exhibit 4.6 hereto)</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Tax Benefits Preservation Plan, dated as of January 22, 2024, by and between the Company and Equiniti Trust Company, LLC as rights agent (which includes the Form of Rights Certificate as Exhibit B thereto) (incorporated by reference to Exhibit 4.1 to LivePerson’s Current Form 8-K filed on January 22,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Amendment, dated as of February 16, 2024, to the Tax Benefits Preservation Plan, between LivePerson, Inc. and Equiniti Trust Company, LLC (incorporated by reference to Exhibit 4.1 to LivePerson’s Current Form 8-K filed on February 16,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2009 Stock Incentive Plan (incorporated by reference to Exhibit 99.1 to LivePerson’s Registration Statement on Form S-8 filed on June 9, 2009 (File No. 333-159850))</w:t>
              </w:r>
            </w:hyperlink>
            <w:r>
              <w:rPr>
                <w:color w:val="000000"/>
              </w:rPr>
              <w:t xml:space="preserve"> </w:t>
            </w:r>
          </w:p>
          <w:p>
            <w:pPr>
              <w:pStyle w:val="TableContents"/>
              <w:bidi w:val="0"/>
              <w:spacing w:before="0" w:after="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2009 Stock Incentive Plan (amended and restated as of June 7, 2012) (incorporated by reference to Exhibit 99.1 to LivePerson’s Current Report on Form 8-K filed on June 8, 2012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Forms of Grant Agreements under the 2009 Stock Incentive Plan (incorporated by reference to Exhibit 10.1 to LivePerson’s Quarterly Report on Form 10-Q filed on May 6, 2011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Restricted Stock Unit Award Agreement under the 2009 Stock Incentive Plan (incorporated by reference to Exhibit 10.12 to LivePerson’s Annual Report on Form 10-K for the year ended December 31, 2017, filed on March 15, 2018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Indemnification Agreement entered into with Executive Officers and Directors of LivePerson (incorporated by reference to Exhibit 10.6 to LivePerson’s Annual Report on Form 10-K for the year ended December 31, 2011, filed March 13, 2012 (File No. 000-30141))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222"/>
        <w:gridCol w:w="196"/>
        <w:gridCol w:w="199"/>
        <w:gridCol w:w="109"/>
        <w:gridCol w:w="109"/>
        <w:gridCol w:w="109"/>
        <w:gridCol w:w="2712"/>
        <w:gridCol w:w="2712"/>
        <w:gridCol w:w="3837"/>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Offer Letter Agreement between LivePerson, Inc. and Monica L. Greenberg, dated as of October 25, 2006 (incorporated by reference to Exhibit 10.8 to LivePerson’s Annual Report on Form 10-K for the year ended December 31, 2011, filed March 13, 2012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Incentive Plan effective April 1, 2011 (incorporated by reference to Exhibit 10.1 to LivePerson’s Current Report on Form 8-K filed on April 28, 2011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Restricted Stock Unit Award Agreement for Robert LoCascio (incorporated by reference to Exhibit 10.13 to LivePerson’s Annual Report on Form 10-K for the year ended December 31, 2017, filed on March 15, 2018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LivePerson, Inc. 2018 Inducement Plan, as amended (incorporated by reference to Exhibit 99.1 to LivePerson’s Registration Statement on Form S-8 filed on May, 12, 2022 (File No. 333-264897))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Amended Employment Agreement between LivePerson and Robert LoCascio, dated as of December 27, 2017 (incorporated by reference to Exhibit 10.15 to LivePerson’s Annual Report on Form 10-K for the year ended December 31, 2017, filed on March 15, 2018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Form of Capped Call Transaction Confirmation relating to the 0.750% Convertible Senior Notes due 2024 (incorporated by reference to Exhibit 10.1 to LivePerson’s Form 8-K filed on March 5, 2019 (File No. 000-30141))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Form of Additional Capped Call Transaction Confirmation relating to the 0.750% Convertible Senior Notes due 2024 (incorporated by reference to Exhibit 10.1 to LivePerson’s Form 8-K filed on March 14, 2019 (File No. 000-30141))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Nonstatutory Stock Option Agreement, by and between LivePerson, Inc. and Robert P. LoCascio, dated as of February 21, 2019 (incorporated by reference to Exhibit 10.3 to LivePerson’s Quarterly Report on Form 10-Q for the quarter ended March 31, 2019, filed on May 7, 2019 (File No. 000-30141))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2009 Stock Incentive Plan Restricted Stock Unit Award Agreement, by and between LivePerson, Inc. and Robert P. LoCascio, dated as of February 21, 2019 (incorporated by reference to Exhibit 10.4 to LivePerson’s Quarterly Report on Form 10-Q for the quarter ended March 31, 2019, filed on May 7,2019 (File No. 000-30141))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Amended and Restated LivePerson, Inc. 2019 Stock Incentive Plan, effective as of October 5, 2023 (incorporated by reference to Exhibit 99.1 to LivePerson’s Registration Statement on Form S-8 filed on November 17, 2023 (File No. 333-275611))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Amended and Restated LivePerson, Inc. 2019 Employee Stock Purchase Plan, effective as of October 5, 2023 (incorporated by reference to Exhibit 99.2 to LivePerson’s Registration Statement on Form S-8 filed on November 17, 2023 (File No. 333-275611)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Base Capped Call Transaction Confirmation relating to the 0% Convertible Senior Notes due 2026 (incorporated by reference to Exhibit 10.1 to LivePerson’s Current Report on Form 8-K/A filed on December 10, 2020 (File No. 000-30141))</w:t>
              </w:r>
            </w:hyperlink>
          </w:p>
          <w:p>
            <w:pPr>
              <w:pStyle w:val="TableContents"/>
              <w:bidi w:val="0"/>
              <w:spacing w:before="0" w:after="0"/>
              <w:jc w:val="left"/>
              <w:rPr/>
            </w:pPr>
            <w:r>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Additional Capped Call Transaction Confirmation relating to the 0% Convertible Senior Notes due 2026 (incorporated by reference to Exhibit 10.2 to LivePerson’s Current Report on Form 8-K/A filed on December 10, 2020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Agreement, dated as of July 20, 2022, by and among LivePerson, Inc. and the Starboard parties set forth on the signature pages thereto (incorporated by reference to Exhibit 10.1 to LivePerson’s Current Report on Form 8-K filed on July 21, 2022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Amended and Restated Offer Letter between LivePerson and John D. Collins, dated as of August 9, 2022 (incorporated by reference to Exhibit 10.1 to LivePerson’s Quarterly Report on Form 10-Q for the quarter ended September 30, 2022, filed on November 8, 2022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Offer Letter between LivePerson and Norman M. Osumi, dated as of January 25, 2021 (incorporated by reference to Exhibit 10.27 to LivePerson’s Annual Report on Form 10-K/A for the year ended December 31, 2021, filed on May 2, 2022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Form of Restricted Stock Unit Agreement under the 2019 Stock Incentive Plan (incorporated by reference to Exhibit 10.20 to LivePerson’s Annual Report on Form 10-K for the year ended December 31, 2022, filed on March 16, 2023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Form of Option Agreement under the 2019 Stock Incentive Plan (incorporated by reference to Exhibit 10.21 to LivePerson’s Annual Report on Form 10-K for the year ended December 31, 2022, filed on March 16, 2023 (File No. 000-30141))</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248"/>
        <w:gridCol w:w="218"/>
        <w:gridCol w:w="220"/>
        <w:gridCol w:w="109"/>
        <w:gridCol w:w="109"/>
        <w:gridCol w:w="109"/>
        <w:gridCol w:w="2772"/>
        <w:gridCol w:w="2658"/>
        <w:gridCol w:w="3762"/>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Letter Agreement, by and between LivePerson and Robert P. LoCascio, dated as of July 10, 2023 (incorporated by reference to Exhibit 10.1 to LivePerson’s Current Report on Form 8-K filed on July 12, 2023 (File No. 000-30141))</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Letter Agreement, by and between LivePerson and Robert P. LoCascio, dated as of August 7, 2023 (incorporated by reference to Exhibit 10.1 to LivePerson’s Current Report on Form 8-K filed on August 8, 2023 (File No. 000-30141))</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Offer Letter, by and between LivePerson and Jeffrey Ford, dated as of July 31, 2023 (incorporated by reference to Exhibit 10.5 to LivePerson’s Quarterly Report on Form 10-Q for the quarter ended September 30, 2023, filed on November 9, 2023 (File No. 000-30141))</w:t>
              </w:r>
            </w:hyperlink>
            <w:r>
              <w:rPr>
                <w:color w:val="0E32E1"/>
              </w:rPr>
              <w:t xml:space="preserve"> </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Letter Agreement, by and between LivePerson and Monica Greenberg, dated as of August 9, 2023 (incorporated by reference to Exhibit 10.4 to LivePerson’s Quarterly Report on Form 10-Q for the quarter ended September 30, 2023, filed on November 9, 2023 (File No. 000-30141))</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Letter Agreement, by and between LivePerson and John Collins, dated as of August 9, 2023 (incorporated by reference to Exhibit 10.3 to LivePerson’s Quarterly Report on Form 10-Q for the quarter ended September 30, 2023, filed on November 9, 2023 (File No. 000-30141))</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42023ex1026-ceoemployment.htm">
              <w:r>
                <w:rPr>
                  <w:rStyle w:val="InternetLink"/>
                  <w:rFonts w:ascii="Times New Roman;sans-serif" w:hAnsi="Times New Roman;sans-serif"/>
                  <w:b w:val="false"/>
                  <w:color w:val="0000FF"/>
                  <w:sz w:val="20"/>
                  <w:u w:val="single"/>
                </w:rPr>
                <w:t>Employment Agreement, by and between LivePerson and John Sabino, dated as of December 27, 2023</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211-subsidiariesof.htm">
              <w:r>
                <w:rPr>
                  <w:rStyle w:val="InternetLink"/>
                  <w:rFonts w:ascii="Times New Roman;sans-serif" w:hAnsi="Times New Roman;sans-serif"/>
                  <w:b w:val="false"/>
                  <w:color w:val="0000FF"/>
                  <w:sz w:val="20"/>
                  <w:u w:val="single"/>
                </w:rPr>
                <w:t>Subsidiaries of the Registrant</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pPr>
            <w:hyperlink w:anchor="q42023ex231-consentofindep.htm">
              <w:r>
                <w:rPr>
                  <w:rStyle w:val="InternetLink"/>
                  <w:rFonts w:ascii="Times New Roman;sans-serif" w:hAnsi="Times New Roman;sans-serif"/>
                  <w:b w:val="false"/>
                  <w:color w:val="0000FF"/>
                  <w:sz w:val="20"/>
                  <w:u w:val="single"/>
                </w:rPr>
                <w:t>Consent of BDO USA, P.C., an Independent Registered Public Accounting Firm</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8ef64ef974242869517aee433ffdd_214">
              <w:r>
                <w:rPr>
                  <w:rStyle w:val="InternetLink"/>
                  <w:rFonts w:ascii="Times New Roman;sans-serif" w:hAnsi="Times New Roman;sans-serif"/>
                  <w:b w:val="false"/>
                  <w:color w:val="0000FF"/>
                  <w:sz w:val="20"/>
                  <w:u w:val="single"/>
                </w:rPr>
                <w:t>Power of Attorney, pursuant to which amendments to this report may be filed (included on the signature page contained in Part IV of this Annual Report on Form 10-K)</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311-ceocertificati.htm">
              <w:r>
                <w:rPr>
                  <w:rStyle w:val="InternetLink"/>
                  <w:rFonts w:ascii="Times New Roman;sans-serif" w:hAnsi="Times New Roman;sans-serif"/>
                  <w:b w:val="false"/>
                  <w:color w:val="000080"/>
                  <w:sz w:val="20"/>
                  <w:u w:val="single"/>
                </w:rPr>
                <w:t>Certification by principal executive officer pursuant to Exchange Act Rule 13a-14(a)</w:t>
              </w:r>
            </w:hyperlink>
            <w:hyperlink w:anchor="q42023ex311-ceocertificati.htm">
              <w:r>
                <w:rPr>
                  <w:rStyle w:val="InternetLink"/>
                  <w:rFonts w:ascii="Times New Roman;sans-serif" w:hAnsi="Times New Roman;sans-serif"/>
                  <w:b w:val="false"/>
                  <w:color w:val="000080"/>
                  <w:sz w:val="20"/>
                  <w:u w:val="single"/>
                </w:rPr>
                <w:t xml:space="preserve"> and 15d-14</w:t>
              </w:r>
            </w:hyperlink>
            <w:hyperlink w:anchor="q42023ex311-ceocertificati.htm">
              <w:r>
                <w:rPr>
                  <w:rStyle w:val="InternetLink"/>
                  <w:rFonts w:ascii="Times New Roman;sans-serif" w:hAnsi="Times New Roman;sans-serif"/>
                  <w:b w:val="false"/>
                  <w:color w:val="000080"/>
                  <w:sz w:val="20"/>
                  <w:u w:val="single"/>
                </w:rPr>
                <w:t>(</w:t>
              </w:r>
            </w:hyperlink>
            <w:hyperlink w:anchor="q42023ex311-ceocertificati.htm">
              <w:r>
                <w:rPr>
                  <w:rStyle w:val="InternetLink"/>
                  <w:rFonts w:ascii="Times New Roman;sans-serif" w:hAnsi="Times New Roman;sans-serif"/>
                  <w:b w:val="false"/>
                  <w:color w:val="000080"/>
                  <w:sz w:val="20"/>
                  <w:u w:val="single"/>
                </w:rPr>
                <w:t>a)</w:t>
              </w:r>
            </w:hyperlink>
            <w:hyperlink w:anchor="q42023ex311-ceocertificati.htm">
              <w:r>
                <w:rPr>
                  <w:rStyle w:val="InternetLink"/>
                  <w:rFonts w:ascii="Times New Roman;sans-serif" w:hAnsi="Times New Roman;sans-serif"/>
                  <w:b w:val="false"/>
                  <w:color w:val="000080"/>
                  <w:sz w:val="20"/>
                  <w:u w:val="single"/>
                </w:rPr>
                <w:t>, as adopted pursuant to Section 302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312-cfocertificati.htm">
              <w:r>
                <w:rPr>
                  <w:rStyle w:val="InternetLink"/>
                  <w:rFonts w:ascii="Times New Roman;sans-serif" w:hAnsi="Times New Roman;sans-serif"/>
                  <w:b w:val="false"/>
                  <w:color w:val="000080"/>
                  <w:sz w:val="20"/>
                  <w:u w:val="single"/>
                </w:rPr>
                <w:t>Certification by principal financial officer pursuant to Exchange Act Rule 13a-14(a)</w:t>
              </w:r>
            </w:hyperlink>
            <w:hyperlink w:anchor="q42023ex312-cfocertificati.htm">
              <w:r>
                <w:rPr>
                  <w:rStyle w:val="InternetLink"/>
                  <w:rFonts w:ascii="Times New Roman;sans-serif" w:hAnsi="Times New Roman;sans-serif"/>
                  <w:b w:val="false"/>
                  <w:color w:val="000080"/>
                  <w:sz w:val="20"/>
                  <w:u w:val="single"/>
                </w:rPr>
                <w:t xml:space="preserve"> and 15d-14(</w:t>
              </w:r>
            </w:hyperlink>
            <w:hyperlink w:anchor="q42023ex312-cfocertificati.htm">
              <w:r>
                <w:rPr>
                  <w:rStyle w:val="InternetLink"/>
                  <w:rFonts w:ascii="Times New Roman;sans-serif" w:hAnsi="Times New Roman;sans-serif"/>
                  <w:b w:val="false"/>
                  <w:color w:val="000080"/>
                  <w:sz w:val="20"/>
                  <w:u w:val="single"/>
                </w:rPr>
                <w:t>a)</w:t>
              </w:r>
            </w:hyperlink>
            <w:hyperlink w:anchor="q42023ex312-cfocertificati.htm">
              <w:r>
                <w:rPr>
                  <w:rStyle w:val="InternetLink"/>
                  <w:rFonts w:ascii="Times New Roman;sans-serif" w:hAnsi="Times New Roman;sans-serif"/>
                  <w:b w:val="false"/>
                  <w:color w:val="000080"/>
                  <w:sz w:val="20"/>
                  <w:u w:val="single"/>
                </w:rPr>
                <w:t>, as adopted pursuant to Section 302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321-ceocertificati.htm">
              <w:r>
                <w:rPr>
                  <w:rStyle w:val="InternetLink"/>
                  <w:rFonts w:ascii="Times New Roman;sans-serif" w:hAnsi="Times New Roman;sans-serif"/>
                  <w:b w:val="false"/>
                  <w:color w:val="0E32E1"/>
                  <w:sz w:val="20"/>
                  <w:u w:val="single"/>
                </w:rPr>
                <w:t>Certification by Chief Executive Officer pursuant to 18 U.S.C. Section 1350, as adopted pursuant to Section 906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322-cfocertificati.htm">
              <w:r>
                <w:rPr>
                  <w:rStyle w:val="InternetLink"/>
                  <w:rFonts w:ascii="Times New Roman;sans-serif" w:hAnsi="Times New Roman;sans-serif"/>
                  <w:b w:val="false"/>
                  <w:color w:val="0000FF"/>
                  <w:sz w:val="20"/>
                  <w:u w:val="single"/>
                </w:rPr>
                <w:t>Certification by Chief Financial Officer pursuant to 18 U.S.C. Section 1350, as adopted pursuant to Section 906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971-lpsnclawbackpo.htm">
              <w:r>
                <w:rPr>
                  <w:rStyle w:val="InternetLink"/>
                  <w:rFonts w:ascii="Times New Roman;sans-serif" w:hAnsi="Times New Roman;sans-serif"/>
                  <w:b w:val="false"/>
                  <w:color w:val="0000FF"/>
                  <w:sz w:val="20"/>
                  <w:u w:val="single"/>
                </w:rPr>
                <w:t>LivePerson, Inc. Amended &amp; Restated Omnibus Clawback Policy</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r>
        <w:trPr/>
        <w:tc>
          <w:tcPr>
            <w:tcW w:w="6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furnished as Exhibit 32.1 and Exhibit 32.2 accompany the Annual Report on Form 10-K pursuant to Section 906 of the Sarbanes-Oxley Act of 2002 and shall not be deemed “filed” by the Company for purposes of Section 18 of the Securities Exchange Act of 1934, as amended.</w:t>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0" w:after="0"/>
        <w:jc w:val="right"/>
        <w:rPr>
          <w:rFonts w:ascii="Times New Roman;sans-serif" w:hAnsi="Times New Roman;sans-serif"/>
          <w:b/>
          <w:color w:val="000000"/>
          <w:sz w:val="22"/>
        </w:rPr>
      </w:pPr>
      <w:r>
        <w:rPr>
          <w:rFonts w:ascii="Times New Roman;sans-serif" w:hAnsi="Times New Roman;sans-serif"/>
          <w:b/>
          <w:color w:val="000000"/>
          <w:sz w:val="22"/>
        </w:rPr>
        <w:t>Exhibit 10.26</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20"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lineRule="auto" w:line="276"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EMPLOYMENT AGREEMENT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THIS EMPLOYMENT AGREEMENT, dated as of December 27th, 2023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by and between LivePerson,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Anthony John Sabino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(each of the Executive and the Company, a “</w:t>
      </w:r>
      <w:r>
        <w:rPr>
          <w:rFonts w:ascii="Times New Roman;sans-serif" w:hAnsi="Times New Roman;sans-serif"/>
          <w:b w:val="false"/>
          <w:color w:val="000000"/>
          <w:sz w:val="24"/>
          <w:u w:val="single"/>
        </w:rPr>
        <w:t>Party</w:t>
      </w:r>
      <w:r>
        <w:rPr>
          <w:rFonts w:ascii="Times New Roman;sans-serif" w:hAnsi="Times New Roman;sans-serif"/>
          <w:b w:val="false"/>
          <w:color w:val="000000"/>
          <w:sz w:val="24"/>
        </w:rPr>
        <w:t>,” and collectively,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7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Company desires to employ the Executive as its Chief Executive Officer on the terms and conditions set forth herein; and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Executive desires to be employed by the Company as its Chief Executive Officer on the terms and conditions set forth herein.</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in consideration of the mutual covenants contained herein and other valid consideration, the sufficiency of which is acknowledged, the Parties agree as follows: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u w:val="single"/>
        </w:rPr>
        <w:t>Section 1.Employment</w:t>
      </w:r>
      <w:r>
        <w:rPr>
          <w:rFonts w:ascii="Times New Roman;sans-serif" w:hAnsi="Times New Roman;sans-serif"/>
          <w:b w:val="false"/>
          <w:color w:val="000000"/>
          <w:sz w:val="24"/>
        </w:rPr>
        <w:t>.</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Company agrees to employ the Executive, and the Executive agrees to be employed by the Company, in each case pursuant to this Agreement, for a period commencing on a mutually agreeable date on or before January 12, 2024 (such chosen employment commencement date,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and ending on the date on which either Party terminates this Agreement in accordance with Section 3 hereof (the “</w:t>
      </w:r>
      <w:r>
        <w:rPr>
          <w:rFonts w:ascii="Times New Roman;sans-serif" w:hAnsi="Times New Roman;sans-serif"/>
          <w:b w:val="false"/>
          <w:color w:val="000000"/>
          <w:sz w:val="24"/>
          <w:u w:val="single"/>
        </w:rPr>
        <w:t>Employment Period</w:t>
      </w:r>
      <w:r>
        <w:rPr>
          <w:color w:val="000000"/>
        </w:rPr>
        <w:t>”</w:t>
      </w:r>
      <w:r>
        <w:rPr>
          <w:rFonts w:ascii="Times New Roman;sans-serif" w:hAnsi="Times New Roman;sans-serif"/>
          <w:b w:val="false"/>
          <w:color w:val="000000"/>
          <w:sz w:val="24"/>
        </w:rPr>
        <w:t>).</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Duties; Place of Performance</w:t>
      </w:r>
      <w:r>
        <w:rPr>
          <w:rFonts w:ascii="Times New Roman;sans-serif" w:hAnsi="Times New Roman;sans-serif"/>
          <w:b w:val="false"/>
          <w:color w:val="000000"/>
          <w:sz w:val="24"/>
        </w:rPr>
        <w:t>. During the Employment Period, the Executive agrees to serve as the Company’s Chief Executive Officer. The Executive will report directly to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xml:space="preserve">). In the Executive’s position as Chief Executive Officer, the Executive agrees to perform such duties, functions, and responsibilities during the Employment Period as are commensurate with such position, as reasonably and lawfully directed by the Board. As soon as reasonably practicable following the Effective Date, the Executive will be appointed to serve on the Board, and, following the expiration of the applicable term for the director class to which Executive is appointed, which class will be determined in the sole discretion of the Board, the Board will support the Executive’s nomination to continue to serve on the Board during the Employment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the Executive’s continued service on the Board will be subject to shareholder approval in the ordinary course in accordance with the Company’s bylaws and applicable Law. Furthermore, during the Employment Period, the Executive will be permitted to work remotely, but will be required to work at the Company’s headquarters in New York, or at other Company locations, and travel for business purposes, in each case, as reasonably requested by the Board, or as otherwise deemed necessary or desirable as part of the fulfillment of the Executive’s duties as Chief Executive Officer. </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u w:val="single"/>
        </w:rPr>
        <w:t>Exclusivity</w:t>
      </w:r>
      <w:r>
        <w:rPr>
          <w:rFonts w:ascii="Times New Roman;sans-serif" w:hAnsi="Times New Roman;sans-serif"/>
          <w:b w:val="false"/>
          <w:color w:val="000000"/>
          <w:sz w:val="24"/>
        </w:rPr>
        <w:t xml:space="preserve">. During the Employment Period, the Executive agrees to devote all of the Executive’s business time and attention and the Executive’s best efforts to the business and affairs of the Company, to faithfully serve the Company, and to conform to and comply with the lawful and reasonable directions and instructions given to the Executive by the Reporting Person, consistent with Section 1.2 hereof. During the Employment Period, the Executive agrees to promote and serve the interests of the Company and not to engage in any other business activity (including self-employment), whether or not such activity is engaged in for pecuniary profit, except that the Executive may (a) serve any civic, charitable, non-profit educational, or non-profit professional organization, and (b) manage the Executive’s personal investments, in each case so long </w:t>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4"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61599408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61599408</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such activities do not (x) violate the terms of this Agreement (including Section 4 and any other restrictive covenant obligations of the Executive as may be set forth in any other plan, program, policy, or agreement to which the Executive is subject from time to time), (y) interfere or conflict with the Executive’s duties and responsibilities to the Company, or (z) have an adverse impact on the Company’s business reputation, in each case as determined by the Board.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u w:val="single"/>
        </w:rPr>
        <w:t>Section 2.Compensation</w:t>
      </w:r>
      <w:r>
        <w:rPr>
          <w:rFonts w:ascii="Times New Roman;sans-serif" w:hAnsi="Times New Roman;sans-serif"/>
          <w:b w:val="false"/>
          <w:color w:val="000000"/>
          <w:sz w:val="24"/>
        </w:rPr>
        <w:t>.</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As compensation for the performance of the Executive’s services hereunder, during the Employment Period, the Company will pay to the Executive a base salary at an annual rate of $550,000 in accordance with the Company’s standard payroll policies as in effect from time to time (the “</w:t>
      </w:r>
      <w:r>
        <w:rPr>
          <w:rFonts w:ascii="Times New Roman;sans-serif" w:hAnsi="Times New Roman;sans-serif"/>
          <w:b w:val="false"/>
          <w:color w:val="000000"/>
          <w:sz w:val="24"/>
          <w:u w:val="single"/>
        </w:rPr>
        <w:t>Base Salary</w:t>
      </w:r>
      <w:r>
        <w:rPr>
          <w:color w:val="000000"/>
        </w:rPr>
        <w:t>”</w:t>
      </w:r>
      <w:r>
        <w:rPr>
          <w:rFonts w:ascii="Times New Roman;sans-serif" w:hAnsi="Times New Roman;sans-serif"/>
          <w:b w:val="false"/>
          <w:color w:val="000000"/>
          <w:sz w:val="24"/>
        </w:rPr>
        <w:t>). The Base Salary will be reviewed annually by the Board and subject to increase, as determined in the Board’s reasonable discretion.</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For each fiscal year of the Company ending during the Employment Period, the Executive will be eligible to participate in the Company’s annual bonus plan as it exists from time to time providing for the potential of earning an annual bonus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The Executive’s target Annual Bonus opportunity for each fiscal year that ends during the Employment Period will be 100% of the Base Salary in effect from time to time (the “</w:t>
      </w:r>
      <w:r>
        <w:rPr>
          <w:rFonts w:ascii="Times New Roman;sans-serif" w:hAnsi="Times New Roman;sans-serif"/>
          <w:b w:val="false"/>
          <w:color w:val="000000"/>
          <w:sz w:val="24"/>
          <w:u w:val="single"/>
        </w:rPr>
        <w:t>Target Annual Bonus Opportunity</w:t>
      </w:r>
      <w:r>
        <w:rPr>
          <w:color w:val="000000"/>
        </w:rPr>
        <w:t>”</w:t>
      </w:r>
      <w:r>
        <w:rPr>
          <w:rFonts w:ascii="Times New Roman;sans-serif" w:hAnsi="Times New Roman;sans-serif"/>
          <w:b w:val="false"/>
          <w:color w:val="000000"/>
          <w:sz w:val="24"/>
        </w:rPr>
        <w:t>), with the potential Annual Bonus payout ranging from a minimum of zero up to maximum of 200% of the Base Salary. The amount of the Annual Bonus actually earned and payable, if any, will be determined in the sole discretion of the Company based on its then-current annual bonus plan or program, and policies applicable to other executive officers of the Company, including the annual goals set by the Board,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xml:space="preserve">) or the Company, the profitability of the Company as compared to the Company’s fiscal plan and targets, Executive’s individual bonus target and goals, and Executive’s personal contribution to the Company’s performance as determined by the Board, in its sole discretion. The Annual Bonus is anticipated to be paid to the Executive in the first quarter of the subsequent fiscal year in respect of which it is earned. The Annual Bonus, if earned, shall be payable in the form of cash, equity or a combination thereof, as determined by the Company in accordance with the Company’s then-current annual bonus plan or program as applicable to other executive officers of the Company. Except as otherwise provided in this Agreement, eligibility for and payment of the Annual Bonus, if any, is conditioned on the Executive being actively employed by the Company as of the payment date of annual bonuses under the Company’s annual bonus plan. In any year, the Company may determine not to pay annual bonuses, including the Annual Bonus, based on the criteria above. The Company reserves the right to amend or terminate its annual bonus plan at any time in the future. </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Sign-On Equity Grants</w:t>
      </w:r>
      <w:r>
        <w:rPr>
          <w:rFonts w:ascii="Times New Roman;sans-serif" w:hAnsi="Times New Roman;sans-serif"/>
          <w:b w:val="false"/>
          <w:color w:val="000000"/>
          <w:sz w:val="24"/>
        </w:rPr>
        <w:t>. In connection with, and as an inducement for, the Executive’s commencement of employment with the Company, the Company will grant to the Executive, under the terms of the Company’s 2018 Inducement Plan, as amended from time to time (the “</w:t>
      </w:r>
      <w:r>
        <w:rPr>
          <w:rFonts w:ascii="Times New Roman;sans-serif" w:hAnsi="Times New Roman;sans-serif"/>
          <w:b w:val="false"/>
          <w:color w:val="000000"/>
          <w:sz w:val="24"/>
          <w:u w:val="single"/>
        </w:rPr>
        <w:t>Inducement Plan</w:t>
      </w:r>
      <w:r>
        <w:rPr>
          <w:color w:val="000000"/>
        </w:rPr>
        <w:t>”</w:t>
      </w:r>
      <w:r>
        <w:rPr>
          <w:rFonts w:ascii="Times New Roman;sans-serif" w:hAnsi="Times New Roman;sans-serif"/>
          <w:b w:val="false"/>
          <w:color w:val="000000"/>
          <w:sz w:val="24"/>
        </w:rPr>
        <w:t>) the following equity awards: (i) two awards of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one of which will have a value on the date of grant equal to $1,200,000 (the “</w:t>
      </w:r>
      <w:r>
        <w:rPr>
          <w:rFonts w:ascii="Times New Roman;sans-serif" w:hAnsi="Times New Roman;sans-serif"/>
          <w:b w:val="false"/>
          <w:color w:val="000000"/>
          <w:sz w:val="24"/>
          <w:u w:val="single"/>
        </w:rPr>
        <w:t>Two Year RSUs</w:t>
      </w:r>
      <w:r>
        <w:rPr>
          <w:color w:val="000000"/>
        </w:rPr>
        <w:t>”</w:t>
      </w:r>
      <w:r>
        <w:rPr>
          <w:rFonts w:ascii="Times New Roman;sans-serif" w:hAnsi="Times New Roman;sans-serif"/>
          <w:b w:val="false"/>
          <w:color w:val="000000"/>
          <w:sz w:val="24"/>
        </w:rPr>
        <w:t>), and the other of which will have a value on the date of grant of $4,000,000 (the “</w:t>
      </w:r>
      <w:r>
        <w:rPr>
          <w:rFonts w:ascii="Times New Roman;sans-serif" w:hAnsi="Times New Roman;sans-serif"/>
          <w:b w:val="false"/>
          <w:color w:val="000000"/>
          <w:sz w:val="24"/>
          <w:u w:val="single"/>
        </w:rPr>
        <w:t>Four Year RSUs</w:t>
      </w:r>
      <w:r>
        <w:rPr>
          <w:color w:val="000000"/>
        </w:rPr>
        <w:t xml:space="preserve">” </w:t>
      </w:r>
      <w:r>
        <w:rPr>
          <w:rFonts w:ascii="Times New Roman;sans-serif" w:hAnsi="Times New Roman;sans-serif"/>
          <w:b w:val="false"/>
          <w:color w:val="000000"/>
          <w:sz w:val="24"/>
        </w:rPr>
        <w:t>and together with the Two Year RSUs, the “</w:t>
      </w:r>
      <w:r>
        <w:rPr>
          <w:rFonts w:ascii="Times New Roman;sans-serif" w:hAnsi="Times New Roman;sans-serif"/>
          <w:b w:val="false"/>
          <w:color w:val="000000"/>
          <w:sz w:val="24"/>
          <w:u w:val="single"/>
        </w:rPr>
        <w:t>Sign-On RSUs</w:t>
      </w:r>
      <w:r>
        <w:rPr>
          <w:color w:val="000000"/>
        </w:rPr>
        <w:t>”</w:t>
      </w:r>
      <w:r>
        <w:rPr>
          <w:rFonts w:ascii="Times New Roman;sans-serif" w:hAnsi="Times New Roman;sans-serif"/>
          <w:b w:val="false"/>
          <w:color w:val="000000"/>
          <w:sz w:val="24"/>
        </w:rPr>
        <w:t>), and (ii) a stock option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acquire 1,000,000 shares of the Company’s common stock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(such Option, the “</w:t>
      </w:r>
      <w:r>
        <w:rPr>
          <w:rFonts w:ascii="Times New Roman;sans-serif" w:hAnsi="Times New Roman;sans-serif"/>
          <w:b w:val="false"/>
          <w:color w:val="000000"/>
          <w:sz w:val="24"/>
          <w:u w:val="single"/>
        </w:rPr>
        <w:t>Sign-On Option</w:t>
      </w:r>
      <w:r>
        <w:rPr>
          <w:color w:val="000000"/>
        </w:rPr>
        <w:t>”</w:t>
      </w:r>
      <w:r>
        <w:rPr>
          <w:rFonts w:ascii="Times New Roman;sans-serif" w:hAnsi="Times New Roman;sans-serif"/>
          <w:b w:val="false"/>
          <w:color w:val="000000"/>
          <w:sz w:val="24"/>
        </w:rPr>
        <w:t xml:space="preserve">), and each equity award will be subject to the terms and conditions set forth below. The Sign-On RSUs and the Sign-On Option will be granted as soon as reasonably practicable following the Effective Date, but in no event later than ninety (90) days following the Effective Date, and the grant date of each award will be determined in accordance with the </w:t>
      </w:r>
    </w:p>
    <w:p>
      <w:pPr>
        <w:pStyle w:val="TextBody"/>
        <w:bidi w:val="0"/>
        <w:spacing w:before="0" w:after="24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76555"/>
                <wp:effectExtent l="0" t="0" r="0" b="0"/>
                <wp:wrapNone/>
                <wp:docPr id="115" name="Frame114"/>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Company’s typical practices for the approval of equity grants, with such grant date being established to ensure that (i) the underlying shares of Common Stock to be granted pursuant to the Company’s Inducement Plan are covered by an active registration statement on Form S-8 filed with the Securities and Exchange Commission, and (ii) in respect of the Sign-On RSUs, the future vesting events will occur during expected open trading windows. </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Sign-On RSU Grants</w:t>
      </w:r>
      <w:r>
        <w:rPr>
          <w:rFonts w:ascii="Times New Roman;sans-serif" w:hAnsi="Times New Roman;sans-serif"/>
          <w:b w:val="false"/>
          <w:color w:val="000000"/>
          <w:sz w:val="24"/>
        </w:rPr>
        <w:t xml:space="preserve">. The number of RSUs subject to the Two Year RSUs and the Four Year RSUs will be determined by dividing the value of the applicable grant of the Sign-On RSUs by the 30-day volume weighted average price for a share of Common Stock quoted on NASDAQ for the 30 trading days immediately preceding and ending on the date of grant, with the resulting number of RSUs rounded up to the nearest whole share. Except as otherwise provided in this Agreement, subject to the Executive’s continued employment, (i) (x) 50% of the Two Year RSUs will vest and become payable on the first anniversary of the date of grant, and (y) 50% of the Two Year RSUs will vest and become payable on the second anniversary of the date of grant, and (ii) (x) 25% of the Four Year RSUs will vest and become payable on the first anniversary of the date of grant, and (y) 6.25% of the balance of the Four Year RSUs will vest and become payable on each subsequent quarter anniversary, so that the Four Year RSUs will be fully vested on the fourth anniversary of the date of grant. Notwithstanding the forgoing, in the event that the consummation of a Change in Control (as defined below) occurs prior to the three month anniversary of the Effective Date (as set forth in Section 1.1), 50% of the Two Year RSUs and 50% of the Four Year RSUs will terminate, will not be eligible to vest, and will be void and of no further force or effect as of immediately prior to the Change in Control. Payout of the Two Year and Four Year RSUs, respectively, will be made in Common Stock within five business days of the applicable vesting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if no days within that period are within an open trading window, payout will be made in Common Stock within five business days following the opening of the next trading window following the applicable vesting date or on such earlier date (following the vesting date) as determined by the Company in accordance with the Company’s equity plan administration practices and applicable Law. The terms and conditions of the Two Year RSUs and the Four Year RSUS, respectively, will be set forth in an individual award agreement to be provided to the Executive at the time of grant, with such terms and conditions subject to the Inducement Plan and not inconsistent with the terms hereof. Notwithstanding anything to the contrary contained in the Inducement Plan, in the event of a conflict between the award agreement and the Inducement Plan, the award agreement will control. </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Sign-On Option</w:t>
      </w:r>
      <w:r>
        <w:rPr>
          <w:rFonts w:ascii="Times New Roman;sans-serif" w:hAnsi="Times New Roman;sans-serif"/>
          <w:b w:val="false"/>
          <w:color w:val="000000"/>
          <w:sz w:val="24"/>
        </w:rPr>
        <w:t xml:space="preserve">. The exercise price per share of Common Stock of the Sign-On Option will be equal to the closing price of a share of Common Stock quoted on NASDAQ on the date that the Sign-On Option is granted. The Sign-On Option will vest and become exercisable upon both the (i) achievement of the applicable performance-based conditions and (ii) satisfaction of the applicable time-based vesting conditions, as described below, in each case subject to Section 3.2(b) of this Agreement. </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Performance-Based Conditions</w:t>
      </w:r>
      <w:r>
        <w:rPr>
          <w:rFonts w:ascii="Times New Roman;sans-serif" w:hAnsi="Times New Roman;sans-serif"/>
          <w:b w:val="false"/>
          <w:color w:val="000000"/>
          <w:sz w:val="24"/>
        </w:rPr>
        <w:t>. Subject to the Executive’s continued employment, (i) 50% of the Sign-On Option performance-based vesting conditions will be achieved on the date the Common Stock’s closing per share price has averaged at least $8.00 on a rolling 30-day trading basis, if such date occurs prior to the third anniversary of Effective Date, and (ii) 50% of the Sign-On Option performance-based vesting conditions will be achieved on the date the Common Stock’s closing per share price has averaged at least $13.00 on a rolling 30-day trading basis, if such date occurs prior to the fourth anniversary of the Effective Date (together, the “</w:t>
      </w:r>
      <w:r>
        <w:rPr>
          <w:rFonts w:ascii="Times New Roman;sans-serif" w:hAnsi="Times New Roman;sans-serif"/>
          <w:b w:val="false"/>
          <w:color w:val="000000"/>
          <w:sz w:val="24"/>
          <w:u w:val="single"/>
        </w:rPr>
        <w:t>Performance-Based Conditions</w:t>
      </w:r>
      <w:r>
        <w:rPr>
          <w:color w:val="000000"/>
        </w:rPr>
        <w:t>”</w:t>
      </w:r>
      <w:r>
        <w:rPr>
          <w:rFonts w:ascii="Times New Roman;sans-serif" w:hAnsi="Times New Roman;sans-serif"/>
          <w:b w:val="false"/>
          <w:color w:val="000000"/>
          <w:sz w:val="24"/>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76555"/>
                <wp:effectExtent l="0" t="0" r="0" b="0"/>
                <wp:wrapNone/>
                <wp:docPr id="116" name="Frame115"/>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Time-Based Conditions</w:t>
      </w:r>
      <w:r>
        <w:rPr>
          <w:rFonts w:ascii="Times New Roman;sans-serif" w:hAnsi="Times New Roman;sans-serif"/>
          <w:b w:val="false"/>
          <w:color w:val="000000"/>
          <w:sz w:val="24"/>
        </w:rPr>
        <w:t>. To the extent the Performance-Based Conditions described above in Section 2.3(b)(1) have been met, and subject to the Executive’s continued employment, (i) 50% of the Sign-On Option will vest and become exercisable on the second anniversary of the date of grant, and (ii) 50% of the Sign-On Option will vest and become exercisable in 24 substantially equal monthly installments following the second anniversary of the date of grant, such that 100% of the time-based vesting conditions will be satisfied on the fourth anniversary of the date of grant (together, the “</w:t>
      </w:r>
      <w:r>
        <w:rPr>
          <w:rFonts w:ascii="Times New Roman;sans-serif" w:hAnsi="Times New Roman;sans-serif"/>
          <w:b w:val="false"/>
          <w:color w:val="000000"/>
          <w:sz w:val="24"/>
          <w:u w:val="single"/>
        </w:rPr>
        <w:t>Time-Based Conditions</w:t>
      </w:r>
      <w:r>
        <w:rPr>
          <w:color w:val="000000"/>
        </w:rPr>
        <w:t>”</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and conditions of the Sign-On Option will be set forth in an individual option award agreement to be provided to the Executive at the time of grant, with such terms and conditions subject to the Inducement Plan and not inconsistent with the terms hereof. Notwithstanding anything to the contrary contained in the Inducement Plan, in the event of a conflict between the option award agreement and the Inducement Plan, the option award agreement will control.</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Annual Equity Grants</w:t>
      </w:r>
      <w:r>
        <w:rPr>
          <w:rFonts w:ascii="Times New Roman;sans-serif" w:hAnsi="Times New Roman;sans-serif"/>
          <w:b w:val="false"/>
          <w:color w:val="000000"/>
          <w:sz w:val="24"/>
        </w:rPr>
        <w:t>. Beginning with the 2025 fiscal year, the Executive will be eligible to be granted equity awards under the Company’s general equity program for the executive officers of the Company, with the form and value of equity awards to be determined by the Board and the Compensation Committee in their sole discretion. Nothing herein requires the Board or the Compensation Committee to grant the Executive equity awards in any fiscal year of the Employment Period.</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Employee Benefits</w:t>
      </w:r>
      <w:r>
        <w:rPr>
          <w:rFonts w:ascii="Times New Roman;sans-serif" w:hAnsi="Times New Roman;sans-serif"/>
          <w:b w:val="false"/>
          <w:color w:val="000000"/>
          <w:sz w:val="24"/>
        </w:rPr>
        <w:t>. During the Employment Period, the Executive will be eligible to enroll in such health and other group insurance, disability insurance, and other employee benefit plans and programs of the Company as in effect from time to time on the same basis as other senior executives and officers of the Company and subject to the terms and conditions of each plan and program. The Executive will be eligible to participate in the Company’s 401(k) savings plan, subject to the terms and conditions of the plan. Nothing contained herein should be construed to limit the Company’s ability to amend, suspend, or terminate any employee benefit plan or policy at any time without providing notice to the Executive, and the Company’s right to do so is expressly reserved.</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xml:space="preserve">. During the Employment Period, the Executive will be entitled to all paid company holidays as well as paid vacation time in accordance with the Company’s vacation policy as it exists from time to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no event shall the Executive be entitled to less than four (4) weeks’ paid vacation time per calendar year, except for the first and last calendar years of employment during which the number of vacation days available to the Executive will be pro-rated based on the number of days worked in the applicable calendar year.</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Business Expense Reimbursements</w:t>
      </w:r>
      <w:r>
        <w:rPr>
          <w:rFonts w:ascii="Times New Roman;sans-serif" w:hAnsi="Times New Roman;sans-serif"/>
          <w:b w:val="false"/>
          <w:color w:val="000000"/>
          <w:sz w:val="24"/>
        </w:rPr>
        <w:t>. The Company agrees to pay or reimburse the Executive, upon presentation of documentation, for all commercially reasonable out-of-pocket business expenses that the Executive incurs during the Employment Period in performing the Executive’s duties under this Agreement, in each case in accordance with the expense reimbursement policy of the Company as in effect from time to time. Notwithstanding anything herein to the contrary or otherwise, except to the extent that any expense or reimbursement described in this Agreement does not constitute a “deferral of compensation” within the meaning of Section 409A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and the regulations and guidance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any expense or reimbursement described in this Agreement will be paid in accordance with the following requirements: (a) the amount of expenses eligible for reimbursement provided to the Executive during any calendar year will not affect the amount of expenses eligible for reimbursement to the Executive in any other calendar year, (b) the reimbursements for expenses for </w:t>
      </w:r>
    </w:p>
    <w:p>
      <w:pPr>
        <w:pStyle w:val="TextBody"/>
        <w:bidi w:val="0"/>
        <w:spacing w:before="0" w:after="24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76555"/>
                <wp:effectExtent l="0" t="0" r="0" b="0"/>
                <wp:wrapNone/>
                <wp:docPr id="117" name="Frame116"/>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which the Executive is entitled to be reimbursed will be made on or before the last day of the calendar year following the calendar year in which the applicable expense is incurred, (c) the right to payment or reimbursement or in-kind benefits hereunder may not be liquidated or exchanged for any other benefit, and (d) the reimbursements will be made pursuant to objectively determinable and nondiscretionary Company policies and procedures regarding such reimbursement of expenses.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u w:val="single"/>
        </w:rPr>
        <w:t>Section 3.Employment Termination</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Subject to the notice and cure periods described in Sections 3.2(g)(1) and (5), the Company may terminate this Agreement and the Executive’s employment hereunder upon 30 days’ written notice to the Executive for any reason during the Employment Period, and the Executive may voluntarily terminate this Agreement and the Executive’s employment hereunder for any reason during the Employment Period at any time upon not less than 30 days’ notice to the Company, which notice period, in the case of the Executive’s voluntary resignation, the Company may waive in whole or in part in its sole discretion (the date on which the Executive’s employment terminates for any reason is referred to herein as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Upon the termination of this Agreement and the Executive’s employment with the Company for any reason, the Executive will be entitled to payment of: (a) any Base Salary earned but unpaid through the Termination Date, (b) accrued but unused vacation days, to the extent provided under the Company’s vacation policy as in effect at the time of termination, and (c) any unreimbursed expenses in accordance with Section 2.7 hereof, in each case payable in accordance with the applicable Company plan or policy or as otherwise required by applicable Law (collectively, the “</w:t>
      </w:r>
      <w:r>
        <w:rPr>
          <w:rFonts w:ascii="Times New Roman;sans-serif" w:hAnsi="Times New Roman;sans-serif"/>
          <w:b w:val="false"/>
          <w:color w:val="000000"/>
          <w:sz w:val="24"/>
          <w:u w:val="single"/>
        </w:rPr>
        <w:t>Accrued Amounts</w:t>
      </w:r>
      <w:r>
        <w:rPr>
          <w:color w:val="000000"/>
        </w:rPr>
        <w:t>”</w:t>
      </w:r>
      <w:r>
        <w:rPr>
          <w:rFonts w:ascii="Times New Roman;sans-serif" w:hAnsi="Times New Roman;sans-serif"/>
          <w:b w:val="false"/>
          <w:color w:val="000000"/>
          <w:sz w:val="24"/>
        </w:rPr>
        <w:t>).</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Certain Terminations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Involuntary Termination outside of the Change in Control Window</w:t>
      </w:r>
      <w:r>
        <w:rPr>
          <w:rFonts w:ascii="Times New Roman;sans-serif" w:hAnsi="Times New Roman;sans-serif"/>
          <w:b w:val="false"/>
          <w:color w:val="000000"/>
          <w:sz w:val="24"/>
        </w:rPr>
        <w:t xml:space="preserve">. If the Executive’s employment is terminated: (x) (i) by the Company other than for Cause (as defined below), or (ii) by the Executive for Good Reason (as defined below), in either case outside of the Change in Control Window, and (y) where the termination is not the result of the Executive’s death or Disability, the Executive will be entitled to the following payments and benefits in addition to the Accrued Amounts: </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(1)Cash severance equal to 18 months of the Executive’s Base Salary at the rate in effect immediately prior to the Termination Date (determined without regard to any decrease in Base Salary which may constitute Good Reason) (the “</w:t>
      </w:r>
      <w:r>
        <w:rPr>
          <w:rFonts w:ascii="Times New Roman;sans-serif" w:hAnsi="Times New Roman;sans-serif"/>
          <w:b w:val="false"/>
          <w:color w:val="000000"/>
          <w:sz w:val="24"/>
          <w:u w:val="single"/>
        </w:rPr>
        <w:t>Severance Amount</w:t>
      </w:r>
      <w:r>
        <w:rPr>
          <w:color w:val="000000"/>
        </w:rPr>
        <w:t>”</w:t>
      </w:r>
      <w:r>
        <w:rPr>
          <w:rFonts w:ascii="Times New Roman;sans-serif" w:hAnsi="Times New Roman;sans-serif"/>
          <w:b w:val="false"/>
          <w:color w:val="000000"/>
          <w:sz w:val="24"/>
        </w:rPr>
        <w:t>), payable in equal installments on the Company’s regular payroll dates occurring during the 18-month period following the Termination Date (the “</w:t>
      </w:r>
      <w:r>
        <w:rPr>
          <w:rFonts w:ascii="Times New Roman;sans-serif" w:hAnsi="Times New Roman;sans-serif"/>
          <w:b w:val="false"/>
          <w:color w:val="000000"/>
          <w:sz w:val="24"/>
          <w:u w:val="single"/>
        </w:rPr>
        <w:t>Severance Benefit Period</w:t>
      </w:r>
      <w:r>
        <w:rPr>
          <w:color w:val="000000"/>
        </w:rPr>
        <w:t>”</w:t>
      </w:r>
      <w:r>
        <w:rPr>
          <w:rFonts w:ascii="Times New Roman;sans-serif" w:hAnsi="Times New Roman;sans-serif"/>
          <w:b w:val="false"/>
          <w:color w:val="000000"/>
          <w:sz w:val="24"/>
        </w:rPr>
        <w:t>);</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(2)A prorated portion of the Target Annual Bonus Opportunity for the fiscal year of the Executive’s termination (determined without regard to any reduction thereto which may constitute Good Reason), multiplied by a fraction, the numerator of which is the number of days the Executive was employed by the Company during the fiscal year prior to and including the Termination Date, and the denominator of which is the full number of days in the applicable fiscal year (the “</w:t>
      </w:r>
      <w:r>
        <w:rPr>
          <w:rFonts w:ascii="Times New Roman;sans-serif" w:hAnsi="Times New Roman;sans-serif"/>
          <w:b w:val="false"/>
          <w:color w:val="000000"/>
          <w:sz w:val="24"/>
          <w:u w:val="single"/>
        </w:rPr>
        <w:t>Prorated Bonus</w:t>
      </w:r>
      <w:r>
        <w:rPr>
          <w:color w:val="000000"/>
        </w:rPr>
        <w:t>”</w:t>
      </w:r>
      <w:r>
        <w:rPr>
          <w:rFonts w:ascii="Times New Roman;sans-serif" w:hAnsi="Times New Roman;sans-serif"/>
          <w:b w:val="false"/>
          <w:color w:val="000000"/>
          <w:sz w:val="24"/>
        </w:rPr>
        <w:t>), payable in a lump sum;</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(3)Any earned but unpaid Annual Bonus for the prior completed fiscal year of the Company (the “</w:t>
      </w:r>
      <w:r>
        <w:rPr>
          <w:rFonts w:ascii="Times New Roman;sans-serif" w:hAnsi="Times New Roman;sans-serif"/>
          <w:b w:val="false"/>
          <w:color w:val="000000"/>
          <w:sz w:val="24"/>
          <w:u w:val="single"/>
        </w:rPr>
        <w:t>Prior Year Bonus</w:t>
      </w:r>
      <w:r>
        <w:rPr>
          <w:color w:val="000000"/>
        </w:rPr>
        <w:t>”</w:t>
      </w:r>
      <w:r>
        <w:rPr>
          <w:rFonts w:ascii="Times New Roman;sans-serif" w:hAnsi="Times New Roman;sans-serif"/>
          <w:b w:val="false"/>
          <w:color w:val="000000"/>
          <w:sz w:val="24"/>
        </w:rPr>
        <w:t>), payable at the time such bonuses are paid to other Company executive officers; and</w:t>
      </w:r>
    </w:p>
    <w:p>
      <w:pPr>
        <w:pStyle w:val="TextBody"/>
        <w:bidi w:val="0"/>
        <w:spacing w:before="0" w:after="24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76555"/>
                <wp:effectExtent l="0" t="0" r="0" b="0"/>
                <wp:wrapNone/>
                <wp:docPr id="118" name="Frame117"/>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(4)Subject to the Executive’s timely election of continuation coverage under the Consolidated Omnibus Budget Reconciliation Act of 1985,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and the Executive’s payment of premiums associated with such coverage, reimbursement for the same portion of the premium costs of continued health benefits for the Executive and the Executive’s covered dependents that the Company pays in respect of an active employee electing equivalent coverage, on a monthly basis from the Termination Date through the end of the Severance Benefit Period, or through such earlier date on which (i) COBRA coverage for the Executive and the Executive’s covered dependents terminates in accordance with COBRA, or (ii) the Executive becomes eligible to participate in health benefits of a new employer (such continued coverage and reimbursement, “</w:t>
      </w:r>
      <w:r>
        <w:rPr>
          <w:rFonts w:ascii="Times New Roman;sans-serif" w:hAnsi="Times New Roman;sans-serif"/>
          <w:b w:val="false"/>
          <w:color w:val="000000"/>
          <w:sz w:val="24"/>
          <w:u w:val="single"/>
        </w:rPr>
        <w:t>Medical Benefit Continuation</w:t>
      </w:r>
      <w:r>
        <w:rPr>
          <w:color w:val="000000"/>
        </w:rPr>
        <w:t>”</w:t>
      </w:r>
      <w:r>
        <w:rPr>
          <w:rFonts w:ascii="Times New Roman;sans-serif" w:hAnsi="Times New Roman;sans-serif"/>
          <w:b w:val="false"/>
          <w:color w:val="000000"/>
          <w:sz w:val="24"/>
        </w:rPr>
        <w:t xml:space="preserve">). Any such reimbursement under this Section 3.2(a)(4) shall be paid to the Executive within 60 days of the Company’s receipt of documentation from the Executive reflecting premiums paid. </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Involuntary Termination during the Change in Control Window</w:t>
      </w:r>
      <w:r>
        <w:rPr>
          <w:rFonts w:ascii="Times New Roman;sans-serif" w:hAnsi="Times New Roman;sans-serif"/>
          <w:b w:val="false"/>
          <w:color w:val="000000"/>
          <w:sz w:val="24"/>
        </w:rPr>
        <w:t xml:space="preserve">. If the Executive’s employment is terminated: (x) (i) by the Company other than for Cause, or (ii) by the Executive for Good Reason, in either case during the Change in Control Window, and (y) where the termination is not the result of the Executive’s death or Disability, the Executive will be entitled to the following payments and benefits in addition to the Accrued Amounts: </w:t>
      </w:r>
    </w:p>
    <w:p>
      <w:pPr>
        <w:pStyle w:val="TextBody"/>
        <w:bidi w:val="0"/>
        <w:spacing w:lineRule="auto" w:line="276"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(1)The Severance Amount;</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(2)An amount in cash equal to the Target Annual Bonus Opportunity for the fiscal year of the Executive’s termination (determined without regard to any reduction thereto which may constitute Good Reason) (the “</w:t>
      </w:r>
      <w:r>
        <w:rPr>
          <w:rFonts w:ascii="Times New Roman;sans-serif" w:hAnsi="Times New Roman;sans-serif"/>
          <w:b w:val="false"/>
          <w:color w:val="000000"/>
          <w:sz w:val="24"/>
          <w:u w:val="single"/>
        </w:rPr>
        <w:t>Change in Control Window Bonus</w:t>
      </w:r>
      <w:r>
        <w:rPr>
          <w:color w:val="000000"/>
        </w:rPr>
        <w:t>”</w:t>
      </w:r>
      <w:r>
        <w:rPr>
          <w:rFonts w:ascii="Times New Roman;sans-serif" w:hAnsi="Times New Roman;sans-serif"/>
          <w:b w:val="false"/>
          <w:color w:val="000000"/>
          <w:sz w:val="24"/>
        </w:rPr>
        <w:t>), payable in a lump sum;</w:t>
      </w:r>
    </w:p>
    <w:p>
      <w:pPr>
        <w:pStyle w:val="TextBody"/>
        <w:bidi w:val="0"/>
        <w:spacing w:lineRule="auto" w:line="276"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(3)The Prior Year Bonus;</w:t>
      </w:r>
    </w:p>
    <w:p>
      <w:pPr>
        <w:pStyle w:val="TextBody"/>
        <w:bidi w:val="0"/>
        <w:spacing w:lineRule="auto" w:line="276"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(4)Medical Benefit Continuation;</w:t>
      </w:r>
    </w:p>
    <w:p>
      <w:pPr>
        <w:pStyle w:val="TextBody"/>
        <w:bidi w:val="0"/>
        <w:spacing w:lineRule="auto" w:line="276"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(5)100% acceleration of vesting of any outstanding time-based equity awards (including the remaining outstanding portion of the Sign-On RSUs); provided, however, that with respect to the Sign-On RSUs, notwithstanding the foregoing, if the consummation of a Change in Control occurs prior to the three month anniversary of the Effective Date, no more than 50% of the original number of Two Year RSUs and no more than 50% of the original number of Four Year RSUs will vest;</w:t>
      </w:r>
    </w:p>
    <w:p>
      <w:pPr>
        <w:pStyle w:val="TextBody"/>
        <w:bidi w:val="0"/>
        <w:spacing w:lineRule="auto" w:line="276"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(6)The acceleration of vesting of any performance-based (or combined performance and time-based) equity awards, determined in accordance with the terms of the applicable award’s grant agreement; and</w:t>
      </w:r>
    </w:p>
    <w:p>
      <w:pPr>
        <w:pStyle w:val="TextBody"/>
        <w:bidi w:val="0"/>
        <w:spacing w:lineRule="auto" w:line="276"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(7)In respect of the Sign-On Option, (i) any remaining Time-Based Conditions will be accelerated immediately following the Termination for any portion of the Sign-On Option for which the Performance-Based Conditions have been achieved prior to the Change in Control, (ii) if the $8.00 share hurdle has been achieved based on the per share price paid for a share of Common Stock in the Change in Control transaction, the Performance-Based Condition in respect of 50% of the Sign-On Option will be deemed vested and exercisable and any remaining Time-Based Conditions will accelerate for that portion of the Sign-On Option immediately following the Termination, and (iii) if the $13.00 share hurdle has been achieved based on a per share price paid for a share of Common Stock in the Change in Control transaction, the Performance-Based </w:t>
      </w:r>
    </w:p>
    <w:p>
      <w:pPr>
        <w:pStyle w:val="TextBody"/>
        <w:bidi w:val="0"/>
        <w:spacing w:before="0" w:after="24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76555"/>
                <wp:effectExtent l="0" t="0" r="0" b="0"/>
                <wp:wrapNone/>
                <wp:docPr id="119" name="Frame118"/>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Conditions in respect of 100% of the Sign-On Option will be deemed vested and exercisable and any remaining Time-Based Conditions will accelerate immediately following the Termination, such that 100% of the Sign-On Option will be deemed vested and exercisable. If the Performance-Based Conditions are not achieved in connection with a Change in Control transaction, the unvested portion of the Sign-On Option will be forfeited and cancelled at the time of the Change in Control for no consideration. </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subject to Section 3.2(c) below, the Executive shall have no obligation to mitigate the payments and benefits set forth in the foregoing Sections 3.2(a) and (b) and such payments and benefits shall in no way be offset or reduced by, and the Company’s obligation to pay or provide such payments and benefits to the Executive in accordance with this Agreement shall not be affected by, any employment relationship that the Executive may enter into with a subsequent employer.</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The Executive’s entitlements pursuant to Sections 3.2(a), 3.2(b) and, in the case of Disability, 3.2(e), will be conditioned upon (i) the Executive’s continued compliance with the Executive’s obligations under Section 4 of this Agreement (and with any other restrictive covenant obligations of the Executive as may be set forth in any other plan, program, policy, or agreement to which the Executive is subject from time to time, including the Proprietary Information, Developments, and Non-Compete Agreement the form of which is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and (ii) the Executive’s execution and delivery to the Company of a general release substantially in the form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subject to updated deemed necessary or desirable by the Company to reflect then-current applicable Law, and the Release’s becoming irrevocable within 60 days following the Termination Date (the date on which the Release becomes irrevocable, the “</w:t>
      </w:r>
      <w:r>
        <w:rPr>
          <w:rFonts w:ascii="Times New Roman;sans-serif" w:hAnsi="Times New Roman;sans-serif"/>
          <w:b w:val="false"/>
          <w:color w:val="000000"/>
          <w:sz w:val="24"/>
          <w:u w:val="single"/>
        </w:rPr>
        <w:t>Release Effective Date</w:t>
      </w:r>
      <w:r>
        <w:rPr>
          <w:color w:val="000000"/>
        </w:rPr>
        <w:t>”</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Payments of the Severance Amount, Prorated Bonus, Change in Control Window Bonus, and Medical Benefit Continuation, as applicable, will be paid or commence on the first payroll date of the Company following the Release Effective Date, except that if the 60-day period referred to in the preceding Section 3.2(c) spans two calendar years, payments will in all cases be paid or commence to be paid on the first payroll date in the second calendar year, and the first payment will include any installments that would have been paid prior thereto but for this sentence. The Prior Year Bonus, if payable, will be paid at the time when the Annual Bonus would have been paid to the Executive had the Executive’s termination not occurred, but in all events during the fiscal year of the Company following the fiscal year to which the Prior Year Bonus relates. Settlement of equity awards that vest due to the application Sections 3.2(b)(5), (6) and (7), as applicable, will occur within 15 days of the later of the Termination Date and the consummation of the Change in Control. If the Executive’s continued participation in the Company’s medical insurance plan is not permitted pursuant to the terms of such plan or a determination by the Company’s insurance providers, or if such continued participation in any plan would either violate the nondiscrimination rules applicable to health plans or self-insured plans under Section 105(h) of the Code or result in the imposition of a tax on the Company pursuant to Code Section 4980D, the Company will reform Section 3.2(a)(4) or 3.2(b)(4) hereof, as applicable, in such a manner as mutually agreed by the Company and the Executive as to provide a substantially equivalent economic benefit that complies with applicable Law and does not subject the Company to excise tax.</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Termination by Death or Disability</w:t>
      </w:r>
      <w:r>
        <w:rPr>
          <w:rFonts w:ascii="Times New Roman;sans-serif" w:hAnsi="Times New Roman;sans-serif"/>
          <w:b w:val="false"/>
          <w:color w:val="000000"/>
          <w:sz w:val="24"/>
        </w:rPr>
        <w:t xml:space="preserve">. If the Executive’s employment is terminated by reason of the Executive’s death or Disability, the Company agrees to make a lump-sum payment, within 60 days following the Termination Date, to the Executive, in the event the termination is by reason of the Executive’s Disability, or to the Executive’s heirs, in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76555"/>
                <wp:effectExtent l="0" t="0" r="0" b="0"/>
                <wp:wrapNone/>
                <wp:docPr id="120" name="Frame119"/>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event the termination is by reason of the Executive’s death, in an amount equal to the sum of (i) the Accrued Amounts and (ii) the Prior Year Bonus. In addition, (x) in the case of a termination by reason of the Executive’s Disability, the Executive will be entitled to the Medical Benefit Continuation, and (y) in the case of the Executive’s death, the Medical Benefit Continuation will be provided to the Executive’s covered dependents,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the covered dependents were covered under the Company’s health plan as of the Executive’s termination date. Furthermore, notwithstanding anything to the contrary in this Agreement, to the extent any Options held by the Executive are vested as of the Termination Date under this Section 3.2(e), such Options shall remain exercisable for the earlier to occur of (1) 12 months or (2) the original expiration date of the Option.</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Section 280G Treatment</w:t>
      </w:r>
      <w:r>
        <w:rPr>
          <w:rFonts w:ascii="Times New Roman;sans-serif" w:hAnsi="Times New Roman;sans-serif"/>
          <w:b w:val="false"/>
          <w:color w:val="000000"/>
          <w:sz w:val="24"/>
        </w:rPr>
        <w:t>. To the extent that any of the payments to which the Executive is entitled to pursuant to Section 3.2 or otherwise under an equity award agreement or other agreement between the Company and the Executive (collectively,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constitute a “parachute payment” within the meaning of Section 280G of the Code, and but for this Section 3.2(f) would be subject to the excise tax imposed by Section 4999 of the Code, the Payments will be payable either (i) in full, or (ii) as to such lesser amount which would result in no portion of such Payments being subject to excise tax under Section 4999 of the Code; whichever of the foregoing amounts, taking into account the applicable federal, state and local income taxes and the excise tax imposed by Section 4999, results in the Executive’s receipt on an after-tax basis, of the greatest amount of economic benefits under this and other agreements pertaining to the Payments, notwithstanding that all or some portion of such benefits may be taxable under Section 4999 of the Code. Unless the Executive and the Company otherwise agree in writing, any determination required under this Section 3.2(f) will be made in writing by the Company’s independent public accountants (the “</w:t>
      </w:r>
      <w:r>
        <w:rPr>
          <w:rFonts w:ascii="Times New Roman;sans-serif" w:hAnsi="Times New Roman;sans-serif"/>
          <w:b w:val="false"/>
          <w:color w:val="000000"/>
          <w:sz w:val="24"/>
          <w:u w:val="single"/>
        </w:rPr>
        <w:t>Accountants</w:t>
      </w:r>
      <w:r>
        <w:rPr>
          <w:color w:val="000000"/>
        </w:rPr>
        <w:t>”</w:t>
      </w:r>
      <w:r>
        <w:rPr>
          <w:rFonts w:ascii="Times New Roman;sans-serif" w:hAnsi="Times New Roman;sans-serif"/>
          <w:b w:val="false"/>
          <w:color w:val="000000"/>
          <w:sz w:val="24"/>
        </w:rPr>
        <w:t xml:space="preserve">), whose reasonable determination will be conclusive and binding upon the Executive and the Company for all purposes. For purposes of making the calculations required by this Section 3.2(f), the Accountants may make reasonable assumptions and approximations concerning applicable taxes and may rely on reasonable, good faith interpretations concerning the application of the Sections 280G and 4999 of the Code. The Executive and the Company will furnish to the Accountants such information and documents as the Accountants may reasonably request in order to make a determination under this Section 3.2(f). If a reduction in Payments is necessary so that no portion of the Payments is subject to the excise tax under Section 4999 of the Code, reduction will occur in the manner that results in the greatest economic benefit to Executive. If more than one method of reduction will result in the same economic benefit, the items so reduced will be reduced pro rata. </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 the following terms have the following meanings:</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(1)</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the occurrence of any of the following: (A) the Executive materially failed to perform the Executive’s specified or fundamental duties to the Company or any of its subsidiaries as reasonably determined by the Board, (B) the Executive was convicted of, or pled</w:t>
      </w:r>
      <w:r>
        <w:rPr>
          <w:color w:val="000000"/>
        </w:rPr>
        <w:t xml:space="preserve">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to, a felony (regardless of the nature of the felony) or any other crime involving dishonesty, fraud, or moral turpitude, (C) the Executive engaged in or acted with gross negligence or willful misconduct (including but not limited to acts of fraud, criminal activity, or professional misconduct) in connection with the performance of the Executive’s duties and responsibilities to the Company or any of its subsidiaries, (D) the Executive materially failed to comply with the written rules and policies of the Company or any of its subsidiaries governing employee conduct, financial reporting and internal control over financial reporting (ICFR), or with the lawful directives of the Board, or (E) the Executive breached any non-disclosure, non-solicitation, or other restrictive covenant obligation to the Company or its subsidiaries. If the Company in its reasonable discretion determines that an event or incident described in clauses (A) or (D) of this definition of “Cause” is curable, then in order to terminate the Executive’s employment for “Cause”, the Company will (i) provide the Executive written notice of the event or incident that it considers to </w:t>
      </w: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76555"/>
                <wp:effectExtent l="0" t="0" r="0" b="0"/>
                <wp:wrapNone/>
                <wp:docPr id="121" name="Frame120"/>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“Cause” within 30 calendar days following its occurrence, (ii) provide the Executive with a period of at least 30 calendar days to cure the event or incident, and (iii) if the “Cause” persists following the cure period, terminate the Executive’s employment by written termination letter any time within 60 calendar days follow the date that notice to cure was delivered to the Executive.</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(2)</w:t>
      </w: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(i) any person’s, entity’s or affiliated group’s becoming the beneficial owner or owners of more than 50% of the outstanding equity securities of the Company, or otherwise becoming entitled to vote shares representing more than 50% of the undiluted total voting power of the Company’s then-outstanding securities eligible to vote to elect members of the Board (the “</w:t>
      </w:r>
      <w:r>
        <w:rPr>
          <w:rFonts w:ascii="Times New Roman;sans-serif" w:hAnsi="Times New Roman;sans-serif"/>
          <w:b w:val="false"/>
          <w:color w:val="000000"/>
          <w:sz w:val="24"/>
          <w:u w:val="single"/>
        </w:rPr>
        <w:t>Voting Securities</w:t>
      </w:r>
      <w:r>
        <w:rPr>
          <w:color w:val="000000"/>
        </w:rPr>
        <w:t>”</w:t>
      </w:r>
      <w:r>
        <w:rPr>
          <w:rFonts w:ascii="Times New Roman;sans-serif" w:hAnsi="Times New Roman;sans-serif"/>
          <w:b w:val="false"/>
          <w:color w:val="000000"/>
          <w:sz w:val="24"/>
        </w:rPr>
        <w:t>), (ii) a transaction, including by sale, consolidation, merger, reorganization, recapitalization (leveraged or otherwise) or comparable business combination transaction (in one transaction or a series of related transactions) of the Company pursuant to which the holders of the Company’s equity securities immediately prior to such transaction or series of related transactions are not the holders immediately after such transaction or series of related transactions of at least 51% of the Voting Securities of the entity surviving such transaction or series of related transactions, or (iii) the sale or other transfer (in one transaction or a series of related transactions) of all or substantially all of the assets of the Company to a third party that is not an Affiliate or a group of third parties that are not Affiliates of the Company. Notwithstanding the foregoing, no event or events shall constitute a Change in Control for purposes hereof unless such event or events constitute a change in the ownership or effective control of, or a change in the ownership of a substantial portion of the assets of, the Company under Treas. Reg. Section 1.409A-3(i)(5).</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(3)</w:t>
      </w:r>
      <w:r>
        <w:rPr>
          <w:color w:val="000000"/>
        </w:rPr>
        <w:t>“</w:t>
      </w:r>
      <w:r>
        <w:rPr>
          <w:rFonts w:ascii="Times New Roman;sans-serif" w:hAnsi="Times New Roman;sans-serif"/>
          <w:b w:val="false"/>
          <w:color w:val="000000"/>
          <w:sz w:val="24"/>
          <w:u w:val="single"/>
        </w:rPr>
        <w:t>Change in Control Window</w:t>
      </w:r>
      <w:r>
        <w:rPr>
          <w:color w:val="000000"/>
        </w:rPr>
        <w:t xml:space="preserve">” </w:t>
      </w:r>
      <w:r>
        <w:rPr>
          <w:rFonts w:ascii="Times New Roman;sans-serif" w:hAnsi="Times New Roman;sans-serif"/>
          <w:b w:val="false"/>
          <w:color w:val="000000"/>
          <w:sz w:val="24"/>
        </w:rPr>
        <w:t>means the three months prior to the date of, and the twelve months following, a Change in Control.</w:t>
      </w:r>
    </w:p>
    <w:p>
      <w:pPr>
        <w:pStyle w:val="TextBody"/>
        <w:bidi w:val="0"/>
        <w:spacing w:lineRule="auto" w:line="276" w:before="0" w:after="240"/>
        <w:ind w:left="0" w:right="0" w:firstLine="3600"/>
        <w:jc w:val="both"/>
        <w:rPr/>
      </w:pPr>
      <w:r>
        <w:rPr>
          <w:rFonts w:ascii="Times New Roman;sans-serif" w:hAnsi="Times New Roman;sans-serif"/>
          <w:b w:val="false"/>
          <w:color w:val="000000"/>
          <w:sz w:val="24"/>
        </w:rPr>
        <w:t>(4)</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means the Executive is entitled to and has begun to receive long-term disability benefits under the long-term disability plan of the Company in which the Executive participates, or, if there is no such plan, the Executive’s inability, due to physical or mental disability or infirmity, to perform the essential functions of the Executive’s job, with or without a reasonable accommodation, for 90 consecutive days, or 120 days out of any 12-month period. Any question as to the existence, extent, or potentiality of the Executive’s Disability upon which the Executive and the Company cannot agree must be determined by a qualified, independent physician selected by the Company and approved by the Executive (which approval the Executive may not unreasonably withhold). The determination of any such physician will be final and conclusive for all purposes of this Agreement.</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(5)</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 xml:space="preserve">means one of the following has occurred without the Executive’s written consent: (A) a material reduction of the Base Salary or Target Annual Bonus Opportunity, or the Company’s failure to timely grant the Sign On RSUs or Sign On Option as set forth in Section 2.3 of this Agreement, (B) a material reduction in the Executive’s job duties, authority, or responsibilities, including without limitation a material change to the Executive’s reporting structure such that the Executive no longer reports exclusively to the Board, unless such reduction arises out of or relates to the Executive’s violation of the Company’s policies, including if such violation causes damages to the Company, (C) a relocation of the Executive’s principal work location (which for purposes of this definition will be the Company’s headquarters in New York) to a location which is more than 50 miles from Executive’s principal work location on the date hereof (or from such other location to which the Executive has consented to after the date hereof), unless such new location is closer to the Executive’s primary residence than the prior location, or (D) the Company’s material breach of its obligations under this Agreement or any other written agreement by and between Executive and the Company. To resign for Good Reason, the Executive must give the Company written notice of the termination, setting forth the conduct of the Company that constitutes </w:t>
      </w: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76555"/>
                <wp:effectExtent l="0" t="0" r="0" b="0"/>
                <wp:wrapNone/>
                <wp:docPr id="122" name="Frame121"/>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Good Reason, within 30 calendar days of the first date on which the Executive has knowledge of such conduct. The Executive must further provide the Company at least 30 calendar days following the date on which such notice is provided to cure such conduct. Failing such cure, the Executive must resign by written resignation effective as of the date of the expiration of the cure period.</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To the maximum extent permitted by Law, this Agreement should be interpreted in such a manner that the payments to Executive under this Agreement are either exempt from, or comply with, Section 409A and the regulations promulgated thereunder. If the Executive is a “specified employee” for purposes of Section 409A, to the extent that any of the payments or benefits required to be paid or provided pursuant to Section 3.2 hereof constitutes “non-qualified deferred compensation” for purposes of Section 409A that is payable upon a separation from service (and not upon any other permissible payment event under Section 409A, such as the lapsing of a substantial risk of forfeiture), the Company will delay payment thereof until the day after the first to occur of (i) the date that is six months from the Termination Date and (ii) the date of the Executive’s death, with any delayed amounts being paid, without interest, in a lump sum on such date and any remaining payments being made in the normal course. To the extent any other payment or benefit cannot be provided or made at the time specified in this Agreement without incurring sanctions under Section 409A, then such benefit or payment shall be provided in full at the earliest time thereafter when such sanctions will not be imposed. For purposes of this Agreement, the terms “terminate,” “terminated,” and “termination” mean a termination of the Executive’s employment that constitutes a “separation from service” within the meaning of the default rules under Section 409A. For purposes of Section 409A, the right to a series of installment payments under this Agreement will be treated as a right to a series of separate payments.</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Exclusive Remedy</w:t>
      </w:r>
      <w:r>
        <w:rPr>
          <w:rFonts w:ascii="Times New Roman;sans-serif" w:hAnsi="Times New Roman;sans-serif"/>
          <w:b w:val="false"/>
          <w:color w:val="000000"/>
          <w:sz w:val="24"/>
        </w:rPr>
        <w:t xml:space="preserve">. The foregoing payments upon termination of the Executive’s employment constitute the exclusive severance payments and benefits owing to the Executive upon a termination of the Executive’s employment. </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Resignation from All Positions</w:t>
      </w:r>
      <w:r>
        <w:rPr>
          <w:rFonts w:ascii="Times New Roman;sans-serif" w:hAnsi="Times New Roman;sans-serif"/>
          <w:b w:val="false"/>
          <w:color w:val="000000"/>
          <w:sz w:val="24"/>
        </w:rPr>
        <w:t>. Upon the termination of the Executive’s employment with the Company for any reason, the Executive will be deemed to have resigned, as of the Termination Date, from the Board and all other positions that the Executive then holds as an officer, director, employee, and member of the boards of directors (and any committee thereof, or similar governing body) of the Company and its Affiliates. The Executive agrees to execute such writings to effectuate the foregoing, as and when requested by the Company.</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Following the termination of the Executive’s employment with the Company for any reason, upon reasonable request from the Company, the Executive agrees to respond and provide truthful and complete information with respect to matters of which the Executive has knowledge as a result of the Executive’s services to the Company and its Affiliates, and agrees to provide reasonable assistance to the Company and its Affiliates in defense of any claims that may be made against the Company or any Affiliate, and will assist the Company and its Affiliates in the prosecution of any claims that may be made by the Company or any of its Affiliates, to the extent that such claims may relate to the period of the Executive’s employment with the Company or any of its Affiliates.</w:t>
      </w:r>
    </w:p>
    <w:p>
      <w:pPr>
        <w:pStyle w:val="TextBody"/>
        <w:bidi w:val="0"/>
        <w:spacing w:lineRule="auto" w:line="276"/>
        <w:ind w:left="0" w:right="0" w:firstLine="720"/>
        <w:jc w:val="both"/>
        <w:rPr/>
      </w:pPr>
      <w:r>
        <w:rPr>
          <w:rFonts w:ascii="Times New Roman;sans-serif" w:hAnsi="Times New Roman;sans-serif"/>
          <w:b w:val="false"/>
          <w:color w:val="000000"/>
          <w:sz w:val="24"/>
          <w:u w:val="single"/>
        </w:rPr>
        <w:t>Section 4.Proprietary Information, Developments and Non-Compete Agreement; Non-Disparagement</w:t>
      </w:r>
      <w:r>
        <w:rPr>
          <w:rFonts w:ascii="Times New Roman;sans-serif" w:hAnsi="Times New Roman;sans-serif"/>
          <w:b w:val="false"/>
          <w:color w:val="000000"/>
          <w:sz w:val="24"/>
        </w:rPr>
        <w:t xml:space="preserve">. The Parties mutually agree that the terms and conditions of the Proprietary Information, Developments, and Non-Compete Agreement to be executed by the Executive and the Company on or about the Effective Date, and the Executive’s obligations thereunder, are incorporated herein by reference. From and after the Effective Date, including following termination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76555"/>
                <wp:effectExtent l="0" t="0" r="0" b="0"/>
                <wp:wrapNone/>
                <wp:docPr id="123" name="Frame122"/>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Executive’s employment with the Company, the Executive agrees not to make any statement that is intended to become public, or that should reasonably be expected to become public, and that criticizes, ridicules, disparages, or is otherwise derogatory to the Company, any of its subsidiaries or Affiliates, or any of their employees, officers, directors, or stockholders, other than statements to a Governmental Agency made specifically in connection with the Executive’s right to participate in or fully cooperate with any investigation or proceeding that may be conducted by a Governmental Agency. In addition, the Company agrees that the Company, acting through or at the direction of its officers, will not issue or direct the issuance to the public of any false, misleading, libelous or slanderous statements that result in harm to the Executive’s personal or professional character or integrity. The Executive agrees that the Company cannot control all statements made by all of its employees. For clarity, the foregoing shall not limit any internal communications between the Company and its attorneys, management, accountants, human resources department or other necessary internal communications at the Company or any truthful testimony given under oath in connection with any legal or administrative proceeding or pleading, and does not limit the Company in any way from disclosing any information that is legally required to be disclosed by the Company.</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Section 5.Executive Representations and Covenants</w:t>
      </w:r>
      <w:r>
        <w:rPr>
          <w:rFonts w:ascii="Times New Roman;sans-serif" w:hAnsi="Times New Roman;sans-serif"/>
          <w:b w:val="false"/>
          <w:color w:val="000000"/>
          <w:sz w:val="24"/>
        </w:rPr>
        <w:t xml:space="preserve">. The Executive represents and warrants that (a) the Executive is not subject to any contract, arrangement, policy, or understanding, or to any statute, governmental rule, or regulation, that in any way limits the Executive’s ability to enter into and fully perform the Executive’s obligations under this Agreement and (b) the Executive is otherwise able to enter into and fully perform the Executive’s obligations under this Agreement. The Executive further represents, warrants, and covenants that (i) prior to commencing employment with the Company, the Executive has ensured compliance with all of the Executive’s former employers’ policies, procedures, and codes of conduct regarding the Executive’s employment termination, including the return of any company property, (ii) the Executive will continue to comply with all continuing obligations that the Executive may have relating to any confidential, proprietary, or trade secret information belonging to those employers, (iii) the Executive, whether or not required by the Executive’s former employers’ policies and procedures, has (x) reviewed all of the Executive’s laptops, home computers, USB sticks, etc., to make sure that all materials relating to the Executive’s prior employers (e.g., emails and documents on which the Executive may have worked) have been deleted or returned to the Executive’s prior employer and (y) made reasonable efforts to search the Executive’s home and personal property for prior employer materials and has returned all hard copy materials relating to the Executive’s prior employers, regardless of whether the Executive believes their contents to be public or non-public, and (iv) the Executive agrees not to place any materials that the Executive used at a prior employer, other than rolodex-type non-confidential information, on the Company’s computers or emails or in the Company’s files, even if the Executive was the one who wrote or created the material. Further, the Executive represents that the Executive did not engage in any misconduct, and was not subject to any disciplinary action, while employed by any former employer that could reasonably be expected to cause any damage to the Company’s reputation or business or the Company’s employees, and the Executive has not engaged in any conduct (or aided or assisted any other person or entity to engage in any conduct or cover-up of such conduct), whether within the scope of the Executive’s employment at a previous employer or otherwise, that reasonably could cause any damage to the Company’s reputation or business or the Company’s employees, including but not limited to any conduct constituting sexual misconduct, sexual harassment, harassment, or discrimination. In the event of a breach of any representation or covenant in this Section 5, the Company may terminate this Agreement and the Executive’s employment with the Company for Cause without any liability to the Executive, and the Executive will indemnify the Company for any liability it may incur as a result of any such breach.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u w:val="single"/>
        </w:rPr>
        <w:t>Section 6.Taxes; Clawbacks; Attorney Fees</w:t>
      </w:r>
      <w:r>
        <w:rPr>
          <w:rFonts w:ascii="Times New Roman;sans-serif" w:hAnsi="Times New Roman;sans-serif"/>
          <w:b w:val="false"/>
          <w:color w:val="000000"/>
          <w:sz w:val="24"/>
        </w:rPr>
        <w:t>.</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xml:space="preserve">. All amounts paid to the Executive under this Agreement during or following the Employment Period will be subject to income and employment taxes, and other withholdings, imposed by applicable Law. The Executive is solely responsible for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76555"/>
                <wp:effectExtent l="0" t="0" r="0" b="0"/>
                <wp:wrapNone/>
                <wp:docPr id="124" name="Frame123"/>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payment of all taxes imposed on the Executive relating to the payment or provision of any amounts or benefits hereunder. </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Clawbacks</w:t>
      </w:r>
      <w:r>
        <w:rPr>
          <w:rFonts w:ascii="Times New Roman;sans-serif" w:hAnsi="Times New Roman;sans-serif"/>
          <w:b w:val="false"/>
          <w:color w:val="000000"/>
          <w:sz w:val="24"/>
        </w:rPr>
        <w:t xml:space="preserve">. The Executive acknowledges that any amount paid or payable to the Executive hereunder will be subject to each applicable clawback policy maintained by the Company from time to time as necessary to comply with applicable Law, including for the avoidance of doubt, exchange listing requirements, regardless of whether such clawback policy is implemented before the execution of this Agreement, and if the Company determines, in its good faith discretion, that such forfeiture or recoupment is required, the Executive hereby consents to such forfeiture or recoupment. Furthermore, if the Executive engages in any act of embezzlement, fraud, or dishonesty involving the Company or its Affiliates that results in a financial loss to the Company or its Affiliates, the Company will be entitled to recoup an amount from the Executive determined by the Company in its reasonable discretion to be commensurate with such financial loss. </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Attorney Fees</w:t>
      </w:r>
      <w:r>
        <w:rPr>
          <w:rFonts w:ascii="Times New Roman;sans-serif" w:hAnsi="Times New Roman;sans-serif"/>
          <w:b w:val="false"/>
          <w:color w:val="000000"/>
          <w:sz w:val="24"/>
        </w:rPr>
        <w:t>. The Company will reimburse the Executive up to $20,000 for attorney fees and costs that the Executive incurs with the review, negotiation, preparation, documentation, and execution of this Agreement within 30 days of the Executive’s presentation to the Company of an invoice reflecting the amount of such attorney’s fees and costs incurred by the Executive.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u w:val="single"/>
        </w:rPr>
        <w:t>Section 7.Indemnification</w:t>
      </w:r>
      <w:r>
        <w:rPr>
          <w:rFonts w:ascii="Times New Roman;sans-serif" w:hAnsi="Times New Roman;sans-serif"/>
          <w:b w:val="false"/>
          <w:color w:val="000000"/>
          <w:sz w:val="24"/>
        </w:rPr>
        <w:t>. To the extent provided in the Company’s organizational documents, the Company agrees to indemnify the Executive for losses or damages incurred by the Executive as a result of all causes of action arising from the Executive’s performance of duties for the benefit of the Company, whether or not the claim is asserted during the Employment Period. This indemnity will not apply to the Executive’s acts of willful misconduct or gross negligence. The Executive will be covered under any directors’ and officers’ insurance that the Company maintains for its directors and other officers in the same manner and on the same basis as the Company’s directors and other officers. As soon as reasonably practicable following the Effective Date, the Parties will execute an Indemnification Agreement in a form substantially similar to the Company’s indemnification agreement entered into with other Company executive officers and directors of the Board.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u w:val="single"/>
        </w:rPr>
        <w:t>Section 8.Miscellaneous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Amendments and Waivers</w:t>
      </w:r>
      <w:r>
        <w:rPr>
          <w:rFonts w:ascii="Times New Roman;sans-serif" w:hAnsi="Times New Roman;sans-serif"/>
          <w:b w:val="false"/>
          <w:color w:val="000000"/>
          <w:sz w:val="24"/>
        </w:rPr>
        <w:t>. This Agreement may be amended, waived (either generally or in a particular instance and either retroactively or prospectively), modified, or supplemented, in whole or in part, only by written agreement signed by the Parties, except that the observance of any provision of this Agreement may be waived in writing by the Party that will lose the benefit of such provision as a result of such waiver. The waiver by any Party of a breach of any provision of this Agreement will not operate or be construed as a further or continuing waiver of such breach or as a waiver of any other or subsequent breach, except as otherwise explicitly provided for in such waiver. Except as otherwise expressly provided herein, no failure on the part of any Party to exercise, and no delay in exercising, any right, power, or remedy hereunder, or otherwise available in respect hereof at law or in equity, will operate as a waiver thereof, nor will any single or partial exercise of such right, power, or remedy by such Party preclude any other or further exercise thereof or the exercise of any other right, power, or remedy.</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Assignment; No Third-Party Beneficiaries</w:t>
      </w:r>
      <w:r>
        <w:rPr>
          <w:rFonts w:ascii="Times New Roman;sans-serif" w:hAnsi="Times New Roman;sans-serif"/>
          <w:b w:val="false"/>
          <w:color w:val="000000"/>
          <w:sz w:val="24"/>
        </w:rPr>
        <w:t xml:space="preserve">. Neither this Agreement nor the Executive’s rights and obligations hereunder may be assigned by the Executive, and any purported assignment by the Executive in violation hereof will be null and void. Nothing in this Agreement is intended to confer upon any Person not a party to this Agreement, or the legal representatives of such Person, any rights or remedies of any nature or kind whatsoever under or by </w:t>
      </w:r>
    </w:p>
    <w:p>
      <w:pPr>
        <w:pStyle w:val="TextBody"/>
        <w:bidi w:val="0"/>
        <w:spacing w:before="0" w:after="24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76555"/>
                <wp:effectExtent l="0" t="0" r="0" b="0"/>
                <wp:wrapNone/>
                <wp:docPr id="125" name="Frame124"/>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 of this Agreement, except the personal representative of the deceased Executive may enforce the provisions hereof applicable in the event of the death of the Executive. The Company is authorized to assign this Agreement and its rights and obligations hereunder without the consent of the Executive if the Company hereafter effects a reorganization, or consolidates with or merges into any other Person or entity, or transfers all or substantially all of its properties or assets to any other Person or entity.</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Unless provided otherwise herein, all notices, requests, demands, claims, and other communications provided for under the terms of this Agreement must be in writing. Any notice, request, demand, claim, or other communication hereunder must be sent by (i) personal delivery (including receipted courier service) or overnight delivery service, with confirmation of receipt, (ii) e-mail, (iii) reputable commercial overnight delivery service courier, with confirmation of receipt, or (iv) registered or certified mail, return receipt requested, postage prepaid, and addressed to the intended recipient as set forth below:</w:t>
      </w:r>
    </w:p>
    <w:p>
      <w:pPr>
        <w:pStyle w:val="TextBody"/>
        <w:bidi w:val="0"/>
        <w:spacing w:lineRule="auto" w:line="240" w:before="0" w:after="0"/>
        <w:ind w:left="0" w:right="0" w:firstLine="99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     </w:t>
      </w:r>
    </w:p>
    <w:p>
      <w:pPr>
        <w:pStyle w:val="TextBody"/>
        <w:bidi w:val="0"/>
        <w:spacing w:lineRule="auto" w:line="240" w:before="0" w:after="0"/>
        <w:ind w:left="0" w:right="0" w:firstLine="1440"/>
        <w:jc w:val="both"/>
        <w:rPr>
          <w:color w:val="000000"/>
        </w:rPr>
      </w:pPr>
      <w:r>
        <w:rPr>
          <w:color w:val="000000"/>
        </w:rPr>
        <w:t>            </w:t>
      </w:r>
    </w:p>
    <w:p>
      <w:pPr>
        <w:pStyle w:val="TextBody"/>
        <w:bidi w:val="0"/>
        <w:spacing w:lineRule="auto" w:line="240" w:before="0" w:after="0"/>
        <w:ind w:left="0" w:right="0" w:firstLine="1440"/>
        <w:jc w:val="both"/>
        <w:rPr>
          <w:color w:val="000000"/>
        </w:rPr>
      </w:pPr>
      <w:r>
        <w:rPr>
          <w:color w:val="000000"/>
        </w:rPr>
        <w:t>            </w:t>
      </w:r>
      <w:r>
        <w:rPr>
          <w:rFonts w:ascii="Times New Roman;sans-serif" w:hAnsi="Times New Roman;sans-serif"/>
          <w:b w:val="false"/>
          <w:color w:val="000000"/>
          <w:sz w:val="24"/>
        </w:rPr>
        <w:t>LivePerson, Inc.</w:t>
      </w:r>
    </w:p>
    <w:p>
      <w:pPr>
        <w:pStyle w:val="TextBody"/>
        <w:bidi w:val="0"/>
        <w:spacing w:lineRule="auto" w:line="276" w:before="0" w:after="0"/>
        <w:jc w:val="both"/>
        <w:rPr/>
      </w:pPr>
      <w:r>
        <w:rPr>
          <w:color w:val="000000"/>
        </w:rPr>
        <w:t>    </w:t>
      </w:r>
      <w:r>
        <w:rPr>
          <w:rFonts w:ascii="Times New Roman;sans-serif" w:hAnsi="Times New Roman;sans-serif"/>
          <w:b w:val="false"/>
          <w:color w:val="000000"/>
          <w:sz w:val="24"/>
        </w:rPr>
        <w:t>530 7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Avenue, Floor M1</w:t>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4"/>
        </w:rPr>
        <w:t>New York, NY 10018</w:t>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4"/>
        </w:rPr>
        <w:t>Attention: CFO &amp; General Counsel</w:t>
      </w:r>
    </w:p>
    <w:p>
      <w:pPr>
        <w:pStyle w:val="TextBody"/>
        <w:bidi w:val="0"/>
        <w:spacing w:lineRule="auto" w:line="27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E-Mail: John.Collins@liveperson.com</w:t>
      </w:r>
    </w:p>
    <w:p>
      <w:pPr>
        <w:pStyle w:val="TextBody"/>
        <w:bidi w:val="0"/>
        <w:spacing w:lineRule="auto" w:line="27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Monica.Greenberg@liveperson.com</w:t>
      </w:r>
    </w:p>
    <w:p>
      <w:pPr>
        <w:pStyle w:val="TextBody"/>
        <w:bidi w:val="0"/>
        <w:spacing w:lineRule="auto" w:line="27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Legal@liveperson.com</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4"/>
        </w:rPr>
        <w:t>with a copy (which will not constitute notice) to:        </w:t>
      </w:r>
    </w:p>
    <w:p>
      <w:pPr>
        <w:pStyle w:val="TextBody"/>
        <w:bidi w:val="0"/>
        <w:spacing w:before="0" w:after="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Fried, Frank, Harris, Shriver &amp; Jacobson LLP</w:t>
      </w:r>
    </w:p>
    <w:p>
      <w:pPr>
        <w:pStyle w:val="TextBody"/>
        <w:bidi w:val="0"/>
        <w:spacing w:lineRule="auto" w:line="240" w:before="0" w:after="0"/>
        <w:ind w:left="0" w:right="0" w:firstLine="1440"/>
        <w:jc w:val="both"/>
        <w:rPr>
          <w:color w:val="000000"/>
        </w:rPr>
      </w:pPr>
      <w:r>
        <w:rPr>
          <w:color w:val="000000"/>
        </w:rPr>
        <w:t>            </w:t>
      </w:r>
      <w:r>
        <w:rPr>
          <w:rFonts w:ascii="Times New Roman;sans-serif" w:hAnsi="Times New Roman;sans-serif"/>
          <w:b w:val="false"/>
          <w:color w:val="000000"/>
          <w:sz w:val="24"/>
        </w:rPr>
        <w:t>One New York Plaza</w:t>
      </w:r>
    </w:p>
    <w:p>
      <w:pPr>
        <w:pStyle w:val="TextBody"/>
        <w:bidi w:val="0"/>
        <w:spacing w:lineRule="auto" w:line="240" w:before="0" w:after="0"/>
        <w:ind w:left="0" w:right="0" w:firstLine="1440"/>
        <w:jc w:val="both"/>
        <w:rPr>
          <w:color w:val="000000"/>
        </w:rPr>
      </w:pPr>
      <w:r>
        <w:rPr>
          <w:color w:val="000000"/>
        </w:rPr>
        <w:t>            </w:t>
      </w:r>
      <w:r>
        <w:rPr>
          <w:rFonts w:ascii="Times New Roman;sans-serif" w:hAnsi="Times New Roman;sans-serif"/>
          <w:b w:val="false"/>
          <w:color w:val="000000"/>
          <w:sz w:val="24"/>
        </w:rPr>
        <w:t>New York, NY 10004</w:t>
      </w:r>
    </w:p>
    <w:p>
      <w:pPr>
        <w:pStyle w:val="TextBody"/>
        <w:bidi w:val="0"/>
        <w:spacing w:lineRule="auto" w:line="240" w:before="0" w:after="0"/>
        <w:ind w:left="0" w:right="0" w:firstLine="1440"/>
        <w:jc w:val="both"/>
        <w:rPr>
          <w:color w:val="000000"/>
        </w:rPr>
      </w:pPr>
      <w:r>
        <w:rPr>
          <w:color w:val="000000"/>
        </w:rPr>
        <w:t>            </w:t>
      </w:r>
      <w:r>
        <w:rPr>
          <w:rFonts w:ascii="Times New Roman;sans-serif" w:hAnsi="Times New Roman;sans-serif"/>
          <w:b w:val="false"/>
          <w:color w:val="000000"/>
          <w:sz w:val="24"/>
        </w:rPr>
        <w:t>Attention: Amy Blackman</w:t>
      </w:r>
    </w:p>
    <w:p>
      <w:pPr>
        <w:pStyle w:val="TextBody"/>
        <w:bidi w:val="0"/>
        <w:spacing w:lineRule="auto" w:line="240" w:before="0" w:after="0"/>
        <w:ind w:left="0" w:right="0" w:firstLine="1440"/>
        <w:jc w:val="both"/>
        <w:rPr>
          <w:color w:val="000000"/>
        </w:rPr>
      </w:pPr>
      <w:r>
        <w:rPr>
          <w:color w:val="000000"/>
        </w:rPr>
        <w:t>            </w:t>
      </w:r>
      <w:r>
        <w:rPr>
          <w:rFonts w:ascii="Times New Roman;sans-serif" w:hAnsi="Times New Roman;sans-serif"/>
          <w:b w:val="false"/>
          <w:color w:val="000000"/>
          <w:sz w:val="24"/>
        </w:rPr>
        <w:t>E-mail: Amy.Blackman@FriedFrank.com</w:t>
      </w:r>
    </w:p>
    <w:p>
      <w:pPr>
        <w:pStyle w:val="TextBody"/>
        <w:bidi w:val="0"/>
        <w:spacing w:before="0" w:after="0"/>
        <w:jc w:val="both"/>
        <w:rPr/>
      </w:pPr>
      <w:r>
        <w:rPr/>
      </w:r>
    </w:p>
    <w:p>
      <w:pPr>
        <w:pStyle w:val="TextBody"/>
        <w:bidi w:val="0"/>
        <w:spacing w:lineRule="auto" w:line="276"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If to the Executive:    At the Executive’s principal office at the Company (during the Employment Period), and at all other times to the Executive’s principal residence as reflected in the records of the Company. If by e-mail during the Employment Period, to the Executive’s Company-supplied e-mail address.</w:t>
      </w:r>
    </w:p>
    <w:p>
      <w:pPr>
        <w:pStyle w:val="TextBody"/>
        <w:bidi w:val="0"/>
        <w:spacing w:before="0" w:after="0"/>
        <w:ind w:left="0" w:right="0" w:hanging="2160"/>
        <w:jc w:val="both"/>
        <w:rPr/>
      </w:pPr>
      <w:r>
        <w:rPr/>
      </w:r>
    </w:p>
    <w:p>
      <w:pPr>
        <w:pStyle w:val="TextBody"/>
        <w:bidi w:val="0"/>
        <w:spacing w:lineRule="auto" w:line="276" w:before="0" w:after="0"/>
        <w:ind w:left="0" w:right="0" w:hanging="2160"/>
        <w:jc w:val="both"/>
        <w:rPr>
          <w:color w:val="000000"/>
        </w:rPr>
      </w:pPr>
      <w:r>
        <w:rPr>
          <w:color w:val="000000"/>
        </w:rPr>
        <w:t>    </w:t>
      </w:r>
      <w:r>
        <w:rPr>
          <w:rFonts w:ascii="Times New Roman;sans-serif" w:hAnsi="Times New Roman;sans-serif"/>
          <w:b w:val="false"/>
          <w:color w:val="000000"/>
          <w:sz w:val="24"/>
        </w:rPr>
        <w:t>with a copy (which will not constitute notice) to:</w:t>
      </w:r>
    </w:p>
    <w:p>
      <w:pPr>
        <w:pStyle w:val="TextBody"/>
        <w:bidi w:val="0"/>
        <w:spacing w:before="0" w:after="0"/>
        <w:ind w:left="0" w:right="0" w:hanging="216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Zukerman Gore Brandeis &amp; Crossman, LLP</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Eleven Times Square</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10036</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Attention: Jeffrey D. Zukerman, Esq.</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563C1"/>
          <w:sz w:val="24"/>
          <w:u w:val="single"/>
        </w:rPr>
        <w:t>jzukerman@zukermangore.com</w:t>
      </w:r>
      <w:r>
        <w:rPr>
          <w:color w:val="000000"/>
        </w:rPr>
        <w:t xml:space="preserve"> </w:t>
      </w:r>
    </w:p>
    <w:p>
      <w:pPr>
        <w:pStyle w:val="TextBody"/>
        <w:bidi w:val="0"/>
        <w:spacing w:lineRule="auto" w:line="276"/>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such notices, requests, consents, and other communications will be deemed to have been given when received. Either Party may change its address to which notices, requests, demands, claims, and other communications hereunder are to be delivered by giving the other Parties notice in the manner then set forth.</w:t>
      </w:r>
    </w:p>
    <w:p>
      <w:pPr>
        <w:pStyle w:val="TextBody"/>
        <w:bidi w:val="0"/>
        <w:spacing w:before="0" w:after="24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76555"/>
                <wp:effectExtent l="0" t="0" r="0" b="0"/>
                <wp:wrapNone/>
                <wp:docPr id="126" name="Frame125"/>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must be construed and enforced in accordance with, and the rights and obligations of the Parties are governed by, the laws of the State of New York, without giving effect to the conflicts of law principles thereof.</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Jurisdiction</w:t>
      </w:r>
      <w:r>
        <w:rPr>
          <w:rFonts w:ascii="Times New Roman;sans-serif" w:hAnsi="Times New Roman;sans-serif"/>
          <w:b w:val="false"/>
          <w:color w:val="000000"/>
          <w:sz w:val="26"/>
          <w:u w:val="single"/>
        </w:rPr>
        <w:t xml:space="preserve">;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The Parties agree jurisdiction and venue for any dispute, controversy, or claim between the Parties that arises out of or relates to this Agreement, the Executive’s employment with the Company, or any termination of such employment, including but not limited to matters concerning validity, construction, performance, or enforcement, must be exclusively in the federal and state courts of the State of New York, located in New York County (collectively, the “</w:t>
      </w:r>
      <w:r>
        <w:rPr>
          <w:rFonts w:ascii="Times New Roman;sans-serif" w:hAnsi="Times New Roman;sans-serif"/>
          <w:b w:val="false"/>
          <w:color w:val="000000"/>
          <w:sz w:val="24"/>
          <w:u w:val="single"/>
        </w:rPr>
        <w:t>Selected Courts</w:t>
      </w:r>
      <w:r>
        <w:rPr>
          <w:color w:val="000000"/>
        </w:rPr>
        <w:t>”</w:t>
      </w:r>
      <w:r>
        <w:rPr>
          <w:rFonts w:ascii="Times New Roman;sans-serif" w:hAnsi="Times New Roman;sans-serif"/>
          <w:b w:val="false"/>
          <w:color w:val="000000"/>
          <w:sz w:val="24"/>
        </w:rPr>
        <w:t>) (except that a final judgment in any such action will be conclusive and enforced in other jurisdictions), and agree further that service of process may be made in any matter permitted by Law. Each of the Parties irrevocably waives and agrees not to assert (i) any objection that the Executive or it may ever have to the laying of venue of any action or proceeding arising hereunder in the Selected Courts or (ii) any claim that any such action brought in any such court has been brought in an inconvenient forum. This Section 8.5 is intended to fix the location of potential litigation between the parties and does not create any causes of action or waive any defenses or immunities to suit. EACH PARTY WAIVES ANY RIGHT TO A TRIAL BY JURY, TO THE EXTENT LAWFUL, AND AGREES THAT ANY OF THEM MAY FILE A COPY OF THIS SECTION 8.5 WITH ANY COURT AS WRITTEN EVIDENCE OF THE KNOWING, VOLUNTARY, AND BARGAINED-FOR AGREEMENT AMONG THE PARTIES IRREVOCABLY TO WAIVE THEIR RIGHT TO TRIAL BY JURY IN ANY LITIGATION WHATSOEVER BETWEEN THEM RELATING TO THIS AGREEMENT OR THE CONTEMPLATED TRANSACTIONS.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Whenever possible, each provision or portion of any provision of this Agreement, including those contained in Section 4 hereof, must be interpreted in such manner as to be effective and valid under applicable Law, but the invalidity or unenforceability of any provision or portion of any provision of this Agreement in any jurisdiction will not affect the validity or enforceability of the remainder of this Agreement in that jurisdiction or the validity or enforceability of this Agreement, including that provision or portion of any provision, in any other jurisdiction. In addition, should a court determine that any provision or portion of any provision of this Agreement, including any provision contained in Section 4 hereof, is not reasonable or valid, either in period of time, geographical area, or otherwise, the Parties agree that such provision should be interpreted and enforced to the maximum extent that such court deems reasonable or valid.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From and after the Effective Date, this Agreement, together with the Proprietary Information, Developments, and Non-Compete Agreement, constitutes the entire agreement between the Parties and supersedes all prior representations, agreements, and understandings (including any prior course of dealings), both written and oral, between the Parties with respect to the subject matter hereof, including for the avoidance of doubt, the LivePerson, Inc. CEO Employment Agreement Summary of Key Terms, executed by the Company and the Executive on November 17, 2023.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by .pdf (or similar file format) or facsimile signatures in any number of counterparts, each of which will be deemed an original, but all such counterparts will together constitute one and the same instrument.</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This Agreement will inure to the benefit of, and be binding on, the successors and assigns of each of the Parties, including, without limitation, the Executive’s heirs and the personal representatives of the Executive’s estate and any successor to all or substantially all of the business or assets of the Company.</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General Interpretive Principles</w:t>
      </w:r>
      <w:r>
        <w:rPr>
          <w:rFonts w:ascii="Times New Roman;sans-serif" w:hAnsi="Times New Roman;sans-serif"/>
          <w:b w:val="false"/>
          <w:color w:val="000000"/>
          <w:sz w:val="24"/>
        </w:rPr>
        <w:t xml:space="preserve">. The name assigned to this Agreement and headings of the sections, paragraphs, sub-paragraphs, clauses, and sub-clauses of this Agreement are for convenience of reference only and are not intended in any way to affect the meaning or </w:t>
      </w:r>
    </w:p>
    <w:p>
      <w:pPr>
        <w:pStyle w:val="TextBody"/>
        <w:bidi w:val="0"/>
        <w:spacing w:before="0" w:after="24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76555"/>
                <wp:effectExtent l="0" t="0" r="0" b="0"/>
                <wp:wrapNone/>
                <wp:docPr id="127" name="Frame126"/>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interpretation of any of the provisions hereof. Words of inclusion are not intended to be construed as terms of limitation herein, so that references to “include,” “includes,” and “including” are not limiting and should be regarded as references to non-exclusive and non-characterizing illustrations. Any reference to a section of the Code should be deemed to include any successor to such section.</w:t>
      </w:r>
    </w:p>
    <w:p>
      <w:pPr>
        <w:pStyle w:val="TextBody"/>
        <w:bidi w:val="0"/>
        <w:spacing w:lineRule="auto" w:line="276" w:before="0" w:after="240"/>
        <w:ind w:left="0" w:right="0" w:firstLine="216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76"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Affiliates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For purposes of this Agreement, the term “</w:t>
      </w:r>
      <w:r>
        <w:rPr>
          <w:rFonts w:ascii="Times New Roman;sans-serif" w:hAnsi="Times New Roman;sans-serif"/>
          <w:b w:val="false"/>
          <w:color w:val="000000"/>
          <w:sz w:val="24"/>
          <w:u w:val="single"/>
        </w:rPr>
        <w:t>Affiliates</w:t>
      </w:r>
      <w:r>
        <w:rPr>
          <w:color w:val="000000"/>
        </w:rPr>
        <w:t xml:space="preserve">” </w:t>
      </w:r>
      <w:r>
        <w:rPr>
          <w:rFonts w:ascii="Times New Roman;sans-serif" w:hAnsi="Times New Roman;sans-serif"/>
          <w:b w:val="false"/>
          <w:color w:val="000000"/>
          <w:sz w:val="24"/>
        </w:rPr>
        <w:t>means any person or entity Controlling, Controlled by, or Under Common Control with the Company. The term “</w:t>
      </w:r>
      <w:r>
        <w:rPr>
          <w:rFonts w:ascii="Times New Roman;sans-serif" w:hAnsi="Times New Roman;sans-serif"/>
          <w:b w:val="false"/>
          <w:color w:val="000000"/>
          <w:sz w:val="24"/>
          <w:u w:val="single"/>
        </w:rPr>
        <w:t>Control</w:t>
      </w:r>
      <w:r>
        <w:rPr>
          <w:rFonts w:ascii="Times New Roman;sans-serif" w:hAnsi="Times New Roman;sans-serif"/>
          <w:b w:val="false"/>
          <w:color w:val="000000"/>
          <w:sz w:val="24"/>
        </w:rPr>
        <w:t>,” including the correlative terms “</w:t>
      </w:r>
      <w:r>
        <w:rPr>
          <w:rFonts w:ascii="Times New Roman;sans-serif" w:hAnsi="Times New Roman;sans-serif"/>
          <w:b w:val="false"/>
          <w:color w:val="000000"/>
          <w:sz w:val="24"/>
          <w:u w:val="single"/>
        </w:rPr>
        <w:t>Controlling</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Controlled By</w:t>
      </w:r>
      <w:r>
        <w:rPr>
          <w:rFonts w:ascii="Times New Roman;sans-serif" w:hAnsi="Times New Roman;sans-serif"/>
          <w:b w:val="false"/>
          <w:color w:val="000000"/>
          <w:sz w:val="24"/>
        </w:rPr>
        <w:t>,” and “</w:t>
      </w:r>
      <w:r>
        <w:rPr>
          <w:rFonts w:ascii="Times New Roman;sans-serif" w:hAnsi="Times New Roman;sans-serif"/>
          <w:b w:val="false"/>
          <w:color w:val="000000"/>
          <w:sz w:val="24"/>
          <w:u w:val="single"/>
        </w:rPr>
        <w:t>Under Common Control with</w:t>
      </w:r>
      <w:r>
        <w:rPr>
          <w:color w:val="000000"/>
        </w:rPr>
        <w:t xml:space="preserve">” </w:t>
      </w:r>
      <w:r>
        <w:rPr>
          <w:rFonts w:ascii="Times New Roman;sans-serif" w:hAnsi="Times New Roman;sans-serif"/>
          <w:b w:val="false"/>
          <w:color w:val="000000"/>
          <w:sz w:val="24"/>
        </w:rPr>
        <w:t xml:space="preserve">means possession, directly or indirectly, of the power to direct or cause the direction of management or policies (whether through ownership of securities of any company or other ownership interest, by contract, or otherwise) of a person or entity.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Governmental Agency</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Governmental Agency</w:t>
      </w:r>
      <w:r>
        <w:rPr>
          <w:color w:val="000000"/>
        </w:rPr>
        <w:t xml:space="preserve">” </w:t>
      </w:r>
      <w:r>
        <w:rPr>
          <w:rFonts w:ascii="Times New Roman;sans-serif" w:hAnsi="Times New Roman;sans-serif"/>
          <w:b w:val="false"/>
          <w:color w:val="000000"/>
          <w:sz w:val="24"/>
        </w:rPr>
        <w:t>means any national, state, local, or foreign government, any instrumentality, subdivision, court, administrative agency or commission, or other governmental authority.</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Law</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 xml:space="preserve">means any federal, state, local, foreign, multi-national or other laws (including common law), acts, statutes, ordinances, rules, regulations, codes, or other legally enforceable requirements enacted, issued, adopted, promulgated, enforced, ordered, or applied by a Governmental Agency. </w:t>
      </w:r>
    </w:p>
    <w:p>
      <w:pPr>
        <w:pStyle w:val="TextBody"/>
        <w:bidi w:val="0"/>
        <w:spacing w:lineRule="auto" w:line="276"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76555"/>
                <wp:effectExtent l="0" t="0" r="0" b="0"/>
                <wp:wrapNone/>
                <wp:docPr id="128" name="Frame127"/>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tbl>
      <w:tblPr>
        <w:tblW w:w="3477" w:type="dxa"/>
        <w:jc w:val="left"/>
        <w:tblInd w:w="0" w:type="dxa"/>
        <w:tblLayout w:type="fixed"/>
        <w:tblCellMar>
          <w:top w:w="28" w:type="dxa"/>
          <w:left w:w="28" w:type="dxa"/>
          <w:bottom w:w="28" w:type="dxa"/>
          <w:right w:w="28" w:type="dxa"/>
        </w:tblCellMar>
      </w:tblPr>
      <w:tblGrid>
        <w:gridCol w:w="124"/>
        <w:gridCol w:w="109"/>
        <w:gridCol w:w="109"/>
        <w:gridCol w:w="917"/>
        <w:gridCol w:w="917"/>
        <w:gridCol w:w="13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COMPANY</w:t>
            </w:r>
          </w:p>
          <w:p>
            <w:pPr>
              <w:pStyle w:val="TableContents"/>
              <w:bidi w:val="0"/>
              <w:spacing w:lineRule="auto" w:line="276" w:before="0" w:after="0"/>
              <w:jc w:val="left"/>
              <w:rPr/>
            </w:pPr>
            <w:r>
              <w:rPr>
                <w:rFonts w:ascii="Times New Roman;sans-serif" w:hAnsi="Times New Roman;sans-serif"/>
                <w:b w:val="false"/>
                <w:color w:val="000000"/>
                <w:sz w:val="24"/>
                <w:shd w:fill="FFFFFF" w:val="clear"/>
              </w:rPr>
              <w:t>By:    </w:t>
            </w:r>
            <w:r>
              <w:rPr>
                <w:rFonts w:ascii="Times New Roman;sans-serif" w:hAnsi="Times New Roman;sans-serif"/>
                <w:b w:val="false"/>
                <w:color w:val="000000"/>
                <w:sz w:val="24"/>
                <w:u w:val="single"/>
                <w:shd w:fill="FFFFFF" w:val="clear"/>
              </w:rPr>
              <w:t>/s/ Jill Layfield    </w:t>
            </w:r>
          </w:p>
          <w:p>
            <w:pPr>
              <w:pStyle w:val="TableContents"/>
              <w:bidi w:val="0"/>
              <w:spacing w:lineRule="auto" w:line="276"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Name: Jill Layfield</w:t>
            </w:r>
          </w:p>
          <w:p>
            <w:pPr>
              <w:pStyle w:val="TableContents"/>
              <w:bidi w:val="0"/>
              <w:spacing w:lineRule="auto" w:line="276"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Title: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ableContents"/>
              <w:bidi w:val="0"/>
              <w:spacing w:before="0" w:after="0"/>
              <w:jc w:val="both"/>
              <w:rPr/>
            </w:pPr>
            <w:r>
              <w:rPr/>
            </w:r>
          </w:p>
          <w:p>
            <w:pPr>
              <w:pStyle w:val="TableContents"/>
              <w:bidi w:val="0"/>
              <w:spacing w:lineRule="auto" w:line="288" w:before="0" w:after="6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Anthony John Sabino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Anthony John Sabino</w:t>
            </w:r>
          </w:p>
        </w:tc>
      </w:tr>
    </w:tbl>
    <w:p>
      <w:pPr>
        <w:pStyle w:val="TextBody"/>
        <w:bidi w:val="0"/>
        <w:spacing w:before="0" w:after="2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29"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4"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Employment Agreement</w:t>
                            </w:r>
                            <w:r>
                              <w:rPr>
                                <w:rFonts w:ascii="Times New Roman;sans-serif" w:hAnsi="Times New Roman;sans-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Employment Agreement</w:t>
                      </w:r>
                      <w:r>
                        <w:rPr>
                          <w:rFonts w:ascii="Times New Roman;sans-serif" w:hAnsi="Times New Roman;sans-serif"/>
                          <w:b w:val="false"/>
                          <w:color w:val="000000"/>
                          <w:sz w:val="22"/>
                        </w:rPr>
                        <w:t>]</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68" w:before="0" w:after="0"/>
        <w:ind w:left="0" w:right="0" w:firstLine="7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PROPRIETARY INFORMATION, DEVELOPMENTS, </w:t>
      </w:r>
    </w:p>
    <w:p>
      <w:pPr>
        <w:pStyle w:val="TextBody"/>
        <w:bidi w:val="0"/>
        <w:spacing w:lineRule="auto" w:line="268" w:before="0" w:after="0"/>
        <w:ind w:left="0" w:right="0" w:firstLine="2795"/>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AND NON-COMPETE AGREEMENT</w:t>
      </w:r>
    </w:p>
    <w:p>
      <w:pPr>
        <w:pStyle w:val="TextBody"/>
        <w:bidi w:val="0"/>
        <w:spacing w:before="0" w:after="0"/>
        <w:ind w:left="0" w:right="0" w:firstLine="2795"/>
        <w:jc w:val="center"/>
        <w:rPr/>
      </w:pPr>
      <w:r>
        <w:rPr/>
      </w:r>
    </w:p>
    <w:p>
      <w:pPr>
        <w:pStyle w:val="TextBody"/>
        <w:bidi w:val="0"/>
        <w:spacing w:lineRule="auto" w:line="228" w:before="0" w:after="0"/>
        <w:ind w:left="0" w:right="0" w:firstLine="1577"/>
        <w:jc w:val="both"/>
        <w:rPr/>
      </w:pPr>
      <w:r>
        <w:rPr>
          <w:rFonts w:ascii="Times New Roman;sans-serif" w:hAnsi="Times New Roman;sans-serif"/>
          <w:b w:val="false"/>
          <w:color w:val="000000"/>
          <w:sz w:val="24"/>
        </w:rPr>
        <w:t>THIS PROPRIETARY INFORMATION, DEVELOPMENTS, AND NON-COMPETE AGREEMENT, dated as of December 27, 2023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by and between LivePerson, Inc., a Delaware corporation (“</w:t>
      </w:r>
      <w:r>
        <w:rPr>
          <w:rFonts w:ascii="Times New Roman;sans-serif" w:hAnsi="Times New Roman;sans-serif"/>
          <w:b w:val="false"/>
          <w:color w:val="000000"/>
          <w:sz w:val="24"/>
          <w:u w:val="single"/>
        </w:rPr>
        <w:t>LivePerson</w:t>
      </w:r>
      <w:r>
        <w:rPr>
          <w:color w:val="000000"/>
        </w:rPr>
        <w:t>”</w:t>
      </w:r>
      <w:r>
        <w:rPr>
          <w:rFonts w:ascii="Times New Roman;sans-serif" w:hAnsi="Times New Roman;sans-serif"/>
          <w:b w:val="false"/>
          <w:color w:val="000000"/>
          <w:sz w:val="24"/>
        </w:rPr>
        <w:t>), and Anthony John Sabino (“</w:t>
      </w:r>
      <w:r>
        <w:rPr>
          <w:rFonts w:ascii="Times New Roman;sans-serif" w:hAnsi="Times New Roman;sans-serif"/>
          <w:b w:val="false"/>
          <w:color w:val="000000"/>
          <w:sz w:val="24"/>
          <w:u w:val="single"/>
        </w:rPr>
        <w:t>me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I</w:t>
      </w:r>
      <w:r>
        <w:rPr>
          <w:color w:val="000000"/>
        </w:rPr>
        <w:t>”</w:t>
      </w:r>
      <w:r>
        <w:rPr>
          <w:rFonts w:ascii="Times New Roman;sans-serif" w:hAnsi="Times New Roman;sans-serif"/>
          <w:b w:val="false"/>
          <w:color w:val="000000"/>
          <w:sz w:val="24"/>
        </w:rPr>
        <w:t>). Capitalize terms used but defined herein shall have the meaning attributed to such terms in that certain employment agreement, dated December 27, 2023, by and between me and LivePerson (my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w:t>
      </w:r>
    </w:p>
    <w:p>
      <w:pPr>
        <w:pStyle w:val="TextBody"/>
        <w:bidi w:val="0"/>
        <w:spacing w:before="0" w:after="0"/>
        <w:ind w:left="0" w:right="0" w:firstLine="1577"/>
        <w:jc w:val="both"/>
        <w:rPr/>
      </w:pPr>
      <w:r>
        <w:rPr/>
      </w:r>
    </w:p>
    <w:p>
      <w:pPr>
        <w:pStyle w:val="TextBody"/>
        <w:bidi w:val="0"/>
        <w:spacing w:lineRule="auto" w:line="228" w:before="0" w:after="0"/>
        <w:ind w:left="0" w:right="0" w:firstLine="1577"/>
        <w:jc w:val="both"/>
        <w:rPr/>
      </w:pPr>
      <w:r>
        <w:rPr>
          <w:rFonts w:ascii="Times New Roman;sans-serif" w:hAnsi="Times New Roman;sans-serif"/>
          <w:b w:val="false"/>
          <w:color w:val="000000"/>
          <w:sz w:val="24"/>
        </w:rPr>
        <w:t>As a condition of my becoming employed (or my employment being continued) by or retained as a consultant (or my consulting relationship being continued) by LivePerson or any of its current or future subsidiaries, affiliates, successors, or assigns (collectively,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in consideration of my employment or consulting relationship with the Company and my receipt of the compensation previously and hereafter paid to me by the Company, I agree to the following: </w:t>
      </w:r>
    </w:p>
    <w:p>
      <w:pPr>
        <w:pStyle w:val="TextBody"/>
        <w:bidi w:val="0"/>
        <w:spacing w:before="0" w:after="0"/>
        <w:ind w:left="0" w:right="0" w:firstLine="1577"/>
        <w:jc w:val="both"/>
        <w:rPr/>
      </w:pPr>
      <w:r>
        <w:rPr/>
      </w:r>
    </w:p>
    <w:p>
      <w:pPr>
        <w:pStyle w:val="TextBody"/>
        <w:bidi w:val="0"/>
        <w:spacing w:lineRule="auto" w:line="268" w:before="0" w:after="0"/>
        <w:ind w:left="0" w:right="0" w:firstLine="882"/>
        <w:jc w:val="left"/>
        <w:rPr/>
      </w:pPr>
      <w:r>
        <w:rPr>
          <w:rFonts w:ascii="Times New Roman;sans-serif" w:hAnsi="Times New Roman;sans-serif"/>
          <w:b w:val="false"/>
          <w:color w:val="000000"/>
          <w:sz w:val="23"/>
        </w:rPr>
        <w:t xml:space="preserve">1. </w:t>
      </w:r>
      <w:r>
        <w:rPr>
          <w:rFonts w:ascii="Times New Roman;sans-serif" w:hAnsi="Times New Roman;sans-serif"/>
          <w:b/>
          <w:color w:val="000000"/>
          <w:sz w:val="24"/>
        </w:rPr>
        <w:t>Confidential Information and Company Materials</w:t>
      </w:r>
      <w:r>
        <w:rPr>
          <w:rFonts w:ascii="Times New Roman;sans-serif" w:hAnsi="Times New Roman;sans-serif"/>
          <w:b w:val="false"/>
          <w:color w:val="000000"/>
          <w:sz w:val="24"/>
        </w:rPr>
        <w:t xml:space="preserve">. </w:t>
      </w:r>
    </w:p>
    <w:p>
      <w:pPr>
        <w:pStyle w:val="TextBody"/>
        <w:bidi w:val="0"/>
        <w:spacing w:before="0" w:after="0"/>
        <w:ind w:left="0" w:right="0" w:firstLine="882"/>
        <w:jc w:val="left"/>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(a) </w:t>
      </w: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shall include, but is not limited to any information including plans, research, know-how, trade secrets, specifications, drawings, sketches, models, samples, data, technology, computer programs, documentation, software, computer systems, source code, object code methodologies, product development, distribution plans, contractual arrangements, profits, sales, pricing policies, operational methods, technical processes, marketing and product development plans, forecasts, the salaries and terms of compensation of other employees, client and supplier lists, contacts at or knowledge of clients or prospective clients of the Company, other business affairs and methods, plans for future developments and other technical and business information, which is not publicly available and can be communicated by any means whatsoever, including without limitation, oral, visual, written, and electronic transmission, that relates to the Company’s: </w:t>
      </w:r>
    </w:p>
    <w:p>
      <w:pPr>
        <w:pStyle w:val="TextBody"/>
        <w:bidi w:val="0"/>
        <w:spacing w:before="0" w:after="0"/>
        <w:jc w:val="both"/>
        <w:rPr/>
      </w:pPr>
      <w:r>
        <w:rPr/>
      </w:r>
    </w:p>
    <w:p>
      <w:pPr>
        <w:pStyle w:val="TextBody"/>
        <w:bidi w:val="0"/>
        <w:spacing w:lineRule="auto" w:line="22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existing hardware and software products and hardware and software in various stages of research and development; </w:t>
      </w:r>
    </w:p>
    <w:p>
      <w:pPr>
        <w:pStyle w:val="TextBody"/>
        <w:bidi w:val="0"/>
        <w:spacing w:lineRule="auto" w:line="22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business policies, practices, and customer lists; or </w:t>
      </w:r>
    </w:p>
    <w:p>
      <w:pPr>
        <w:pStyle w:val="TextBody"/>
        <w:bidi w:val="0"/>
        <w:spacing w:lineRule="auto" w:line="22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information received from others that the Company is obligated to treat as confidential or proprietary. </w:t>
      </w:r>
    </w:p>
    <w:p>
      <w:pPr>
        <w:pStyle w:val="TextBody"/>
        <w:bidi w:val="0"/>
        <w:spacing w:before="0" w:after="0"/>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(b) </w:t>
      </w:r>
      <w:r>
        <w:rPr>
          <w:rFonts w:ascii="Times New Roman;sans-serif" w:hAnsi="Times New Roman;sans-serif"/>
          <w:b w:val="false"/>
          <w:color w:val="000000"/>
          <w:sz w:val="24"/>
        </w:rPr>
        <w:t xml:space="preserve">Confidential Information shall not include that information defined as Confidential Information above that I can conclusively establish entered the public domain without my breach of any obligation owed the Company. </w:t>
      </w:r>
    </w:p>
    <w:p>
      <w:pPr>
        <w:pStyle w:val="TextBody"/>
        <w:bidi w:val="0"/>
        <w:spacing w:before="0" w:after="0"/>
        <w:ind w:left="0" w:right="0" w:firstLine="1587"/>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(c) </w:t>
      </w:r>
      <w:r>
        <w:rPr>
          <w:color w:val="000000"/>
        </w:rPr>
        <w:t>“</w:t>
      </w:r>
      <w:r>
        <w:rPr>
          <w:rFonts w:ascii="Times New Roman;sans-serif" w:hAnsi="Times New Roman;sans-serif"/>
          <w:b w:val="false"/>
          <w:color w:val="000000"/>
          <w:sz w:val="24"/>
          <w:u w:val="single"/>
        </w:rPr>
        <w:t>Company Materials</w:t>
      </w:r>
      <w:r>
        <w:rPr>
          <w:color w:val="000000"/>
        </w:rPr>
        <w:t xml:space="preserve">” </w:t>
      </w:r>
      <w:r>
        <w:rPr>
          <w:rFonts w:ascii="Times New Roman;sans-serif" w:hAnsi="Times New Roman;sans-serif"/>
          <w:b w:val="false"/>
          <w:color w:val="000000"/>
          <w:sz w:val="24"/>
        </w:rPr>
        <w:t>shall mean all documents or tangible materials containing Confidential Information, including without limitation written or printed documents and computer disks or tapes whether machine or user readable, or any other information concerning the business operations or plans of the Company whether prepared by me or others. All Company Materials are and shall be the sole property of the Company. I agree that during my employment by or consultancy with the Company, I will not remove any Company Materials from the business premises of the Company or deliver any Company Materials to any person or entity outside the Company, except as I am required to do in connection with performing the duties of my employment or consultancy.</w:t>
      </w:r>
    </w:p>
    <w:p>
      <w:pPr>
        <w:pStyle w:val="TextBody"/>
        <w:bidi w:val="0"/>
        <w:spacing w:before="0" w:after="0"/>
        <w:jc w:val="left"/>
        <w:rPr/>
      </w:pPr>
      <w:r>
        <w:rPr/>
      </w:r>
    </w:p>
    <w:p>
      <w:pPr>
        <w:pStyle w:val="TextBody"/>
        <w:bidi w:val="0"/>
        <w:spacing w:lineRule="auto" w:line="228"/>
        <w:ind w:left="0" w:right="0" w:firstLine="862"/>
        <w:jc w:val="both"/>
        <w:rPr/>
      </w:pPr>
      <w:r>
        <w:rPr>
          <w:rFonts w:ascii="Times New Roman;sans-serif" w:hAnsi="Times New Roman;sans-serif"/>
          <w:b w:val="false"/>
          <w:color w:val="000000"/>
          <w:sz w:val="23"/>
        </w:rPr>
        <w:t xml:space="preserve">2. </w:t>
      </w:r>
      <w:r>
        <w:rPr>
          <w:rFonts w:ascii="Times New Roman;sans-serif" w:hAnsi="Times New Roman;sans-serif"/>
          <w:b/>
          <w:color w:val="000000"/>
          <w:sz w:val="24"/>
        </w:rPr>
        <w:t>Non-Disclosure</w:t>
      </w:r>
      <w:r>
        <w:rPr>
          <w:rFonts w:ascii="Times New Roman;sans-serif" w:hAnsi="Times New Roman;sans-serif"/>
          <w:b w:val="false"/>
          <w:color w:val="000000"/>
          <w:sz w:val="24"/>
        </w:rPr>
        <w:t xml:space="preserve">. I acknowledge that the Confidential Information was developed and will continue to be developed by the Company at great expense and constitutes trade secrets of </w:t>
      </w:r>
    </w:p>
    <w:p>
      <w:pPr>
        <w:pStyle w:val="TextBody"/>
        <w:bidi w:val="0"/>
        <w:spacing w:before="0" w:after="24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2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that irreparable injury will result to the Company from unauthorized disclosure of Confidential Information. I shall hold in strict confidence and not disclose any Confidential Information to third parties at any time during or after the term of this Agreement following the date of its disclosure by the Company to me, except (i) in pursuance of the business of the Company or as permitted under this Agreement, (ii) as may be required pursuant to a valid subpoena, a request by a government agency in connection with any charge filed or investigation it is conducting or as otherwise required by law or (iii) to my spouse, financial advisor(s) and attorney, provided that I first inform them of the confidentiality thereof and they agree to maintain its confidentiality. I also recognize that the Company has received and in the future will receive confidential or proprietary information from third parties subject to a duty on the Company’s part to maintain the confidentiality of such information and to use it only for certain limited purposes. I further agree to hold all such confidential or proprietary information in strict confidence and not to use it at any time during or after the term of this Agreement following the date of its disclosure by the Company to me, except in the proper performance of duties for the Company. </w:t>
      </w:r>
    </w:p>
    <w:p>
      <w:pPr>
        <w:pStyle w:val="TextBody"/>
        <w:bidi w:val="0"/>
        <w:spacing w:before="0" w:after="0"/>
        <w:ind w:left="0" w:right="0" w:firstLine="862"/>
        <w:jc w:val="both"/>
        <w:rPr/>
      </w:pPr>
      <w:r>
        <w:rPr/>
      </w:r>
    </w:p>
    <w:p>
      <w:pPr>
        <w:pStyle w:val="TextBody"/>
        <w:bidi w:val="0"/>
        <w:spacing w:lineRule="auto" w:line="228" w:before="0" w:after="0"/>
        <w:ind w:left="0" w:right="0" w:firstLine="865"/>
        <w:jc w:val="both"/>
        <w:rPr/>
      </w:pPr>
      <w:r>
        <w:rPr>
          <w:rFonts w:ascii="Times New Roman;sans-serif" w:hAnsi="Times New Roman;sans-serif"/>
          <w:b w:val="false"/>
          <w:color w:val="000000"/>
          <w:sz w:val="23"/>
        </w:rPr>
        <w:t xml:space="preserve">3. </w:t>
      </w:r>
      <w:r>
        <w:rPr>
          <w:rFonts w:ascii="Times New Roman;sans-serif" w:hAnsi="Times New Roman;sans-serif"/>
          <w:b/>
          <w:color w:val="000000"/>
          <w:sz w:val="24"/>
        </w:rPr>
        <w:t>Representations</w:t>
      </w:r>
      <w:r>
        <w:rPr>
          <w:rFonts w:ascii="Times New Roman;sans-serif" w:hAnsi="Times New Roman;sans-serif"/>
          <w:b w:val="false"/>
          <w:color w:val="000000"/>
          <w:sz w:val="24"/>
        </w:rPr>
        <w:t xml:space="preserve">. I represent that my performance of all terms of this Agreement as an employee or consultant of the Company has not breached and will not breach any agreement to keep in confidence proprietary information, knowledge, or data acquired by me in confidence or trust prior or subsequent to the commencement of my relationship with the Company, and I will not disclose to the Company, or induce the Company to use, any inventions, confidential or proprietary information or material belonging to any previous employer or any other party. </w:t>
      </w:r>
    </w:p>
    <w:p>
      <w:pPr>
        <w:pStyle w:val="TextBody"/>
        <w:bidi w:val="0"/>
        <w:spacing w:before="0" w:after="0"/>
        <w:ind w:left="0" w:right="0" w:firstLine="865"/>
        <w:jc w:val="both"/>
        <w:rPr/>
      </w:pPr>
      <w:r>
        <w:rPr/>
      </w:r>
    </w:p>
    <w:p>
      <w:pPr>
        <w:pStyle w:val="TextBody"/>
        <w:bidi w:val="0"/>
        <w:spacing w:lineRule="auto" w:line="268" w:before="0" w:after="0"/>
        <w:ind w:left="0" w:right="0" w:firstLine="859"/>
        <w:jc w:val="left"/>
        <w:rPr/>
      </w:pPr>
      <w:r>
        <w:rPr>
          <w:rFonts w:ascii="Times New Roman;sans-serif" w:hAnsi="Times New Roman;sans-serif"/>
          <w:b w:val="false"/>
          <w:color w:val="000000"/>
          <w:sz w:val="23"/>
        </w:rPr>
        <w:t xml:space="preserve">4. </w:t>
      </w:r>
      <w:r>
        <w:rPr>
          <w:rFonts w:ascii="Times New Roman;sans-serif" w:hAnsi="Times New Roman;sans-serif"/>
          <w:b/>
          <w:color w:val="000000"/>
          <w:sz w:val="24"/>
        </w:rPr>
        <w:t>Rights and Remedies</w:t>
      </w:r>
      <w:r>
        <w:rPr>
          <w:rFonts w:ascii="Times New Roman;sans-serif" w:hAnsi="Times New Roman;sans-serif"/>
          <w:b w:val="false"/>
          <w:color w:val="000000"/>
          <w:sz w:val="24"/>
        </w:rPr>
        <w:t xml:space="preserve">. </w:t>
      </w:r>
    </w:p>
    <w:p>
      <w:pPr>
        <w:pStyle w:val="TextBody"/>
        <w:bidi w:val="0"/>
        <w:spacing w:before="0" w:after="0"/>
        <w:ind w:left="0" w:right="0" w:firstLine="859"/>
        <w:jc w:val="left"/>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(a) </w:t>
      </w:r>
      <w:r>
        <w:rPr>
          <w:rFonts w:ascii="Times New Roman;sans-serif" w:hAnsi="Times New Roman;sans-serif"/>
          <w:b w:val="false"/>
          <w:color w:val="000000"/>
          <w:sz w:val="24"/>
        </w:rPr>
        <w:t xml:space="preserve">I shall notify the Company immediately upon discovery of any unauthorized disclosure of Confidential Information, use of Confidential Information other than in pursuance of my business relationship with the Company (except as provided in Section 8(c)), or any other breach of this Agreement by me, and will cooperate with the Company in every reasonable way to help the Company regain possession of any such Confidential Information and prevent its further unauthorized use. </w:t>
      </w:r>
    </w:p>
    <w:p>
      <w:pPr>
        <w:pStyle w:val="TextBody"/>
        <w:bidi w:val="0"/>
        <w:spacing w:before="0" w:after="0"/>
        <w:ind w:left="0" w:right="0" w:firstLine="1587"/>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(b) </w:t>
      </w:r>
      <w:r>
        <w:rPr>
          <w:rFonts w:ascii="Times New Roman;sans-serif" w:hAnsi="Times New Roman;sans-serif"/>
          <w:b w:val="false"/>
          <w:color w:val="000000"/>
          <w:sz w:val="24"/>
        </w:rPr>
        <w:t xml:space="preserve">I shall return all originals, copies, reproductions, and summaries of Confidential Information and Company Materials upon the termination of my employment by or consultancy with the Company or at the Company’s request, and return, or at the Company’s option erase, all Confidential Information from all electronic media in my possession. </w:t>
      </w:r>
    </w:p>
    <w:p>
      <w:pPr>
        <w:pStyle w:val="TextBody"/>
        <w:bidi w:val="0"/>
        <w:spacing w:before="0" w:after="0"/>
        <w:ind w:left="0" w:right="0" w:firstLine="1587"/>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(c) </w:t>
      </w:r>
      <w:r>
        <w:rPr>
          <w:rFonts w:ascii="Times New Roman;sans-serif" w:hAnsi="Times New Roman;sans-serif"/>
          <w:b w:val="false"/>
          <w:color w:val="000000"/>
          <w:sz w:val="24"/>
        </w:rPr>
        <w:t xml:space="preserve">I agree to indemnify and hold the Company harmless from and against any and all damages, losses or expenses arising from any breach of the covenants set forth in this Agreement. </w:t>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(d) </w:t>
      </w:r>
      <w:r>
        <w:rPr>
          <w:rFonts w:ascii="Times New Roman;sans-serif" w:hAnsi="Times New Roman;sans-serif"/>
          <w:b w:val="false"/>
          <w:color w:val="000000"/>
          <w:sz w:val="24"/>
        </w:rPr>
        <w:t>The Company retains all rights and remedies afforded it under patent, copyright, trade secret, trademark, and other laws of the United States and the states thereof, or any applicable foreign countries, including without limitation any laws designed to protect proprietary or confidential information.</w:t>
      </w:r>
    </w:p>
    <w:p>
      <w:pPr>
        <w:pStyle w:val="TextBody"/>
        <w:bidi w:val="0"/>
        <w:spacing w:before="0" w:after="0"/>
        <w:jc w:val="left"/>
        <w:rPr/>
      </w:pPr>
      <w:r>
        <w:rPr/>
      </w:r>
    </w:p>
    <w:p>
      <w:pPr>
        <w:pStyle w:val="TextBody"/>
        <w:bidi w:val="0"/>
        <w:spacing w:lineRule="auto" w:line="268" w:before="0" w:after="0"/>
        <w:ind w:left="0" w:right="0" w:firstLine="864"/>
        <w:jc w:val="left"/>
        <w:rPr/>
      </w:pPr>
      <w:r>
        <w:rPr>
          <w:rFonts w:ascii="Times New Roman;sans-serif" w:hAnsi="Times New Roman;sans-serif"/>
          <w:b w:val="false"/>
          <w:color w:val="000000"/>
          <w:sz w:val="23"/>
        </w:rPr>
        <w:t xml:space="preserve">5. </w:t>
      </w:r>
      <w:r>
        <w:rPr>
          <w:rFonts w:ascii="Times New Roman;sans-serif" w:hAnsi="Times New Roman;sans-serif"/>
          <w:b/>
          <w:color w:val="000000"/>
          <w:sz w:val="24"/>
        </w:rPr>
        <w:t>Inventions</w:t>
      </w:r>
      <w:r>
        <w:rPr>
          <w:rFonts w:ascii="Times New Roman;sans-serif" w:hAnsi="Times New Roman;sans-serif"/>
          <w:b w:val="false"/>
          <w:color w:val="000000"/>
          <w:sz w:val="24"/>
        </w:rPr>
        <w:t xml:space="preserve">. </w:t>
      </w:r>
    </w:p>
    <w:p>
      <w:pPr>
        <w:pStyle w:val="TextBody"/>
        <w:bidi w:val="0"/>
        <w:spacing w:before="0" w:after="0"/>
        <w:ind w:left="0" w:right="0" w:firstLine="864"/>
        <w:jc w:val="left"/>
        <w:rPr/>
      </w:pPr>
      <w:r>
        <w:rPr/>
      </w:r>
    </w:p>
    <w:p>
      <w:pPr>
        <w:pStyle w:val="TextBody"/>
        <w:bidi w:val="0"/>
        <w:spacing w:lineRule="auto" w:line="228"/>
        <w:ind w:left="0" w:right="0" w:firstLine="1587"/>
        <w:jc w:val="both"/>
        <w:rPr/>
      </w:pPr>
      <w:r>
        <w:rPr>
          <w:rFonts w:ascii="Times New Roman;sans-serif" w:hAnsi="Times New Roman;sans-serif"/>
          <w:b w:val="false"/>
          <w:color w:val="000000"/>
          <w:sz w:val="23"/>
        </w:rPr>
        <w:t xml:space="preserve">(a) </w:t>
      </w:r>
      <w:r>
        <w:rPr>
          <w:rFonts w:ascii="Times New Roman;sans-serif" w:hAnsi="Times New Roman;sans-serif"/>
          <w:b w:val="false"/>
          <w:color w:val="000000"/>
          <w:sz w:val="24"/>
        </w:rPr>
        <w:t xml:space="preserve">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is a description of all inventions developed by me as of the date of this Agreement and which are not assigned to the Company hereunder; or, if no such list is attached, I represent that there are no such prior inventions. Any and all inventions, ideas, products, discoveries, improvements, processes, manufacturing, marketing and service methods or techniques, formulae, designs, styles, specifications, data bases, computer programs (whether in source code or object code) and other works of authorship, know-how, strategies and data, whether or not patentable or registrable under copyright or similar statutes, </w:t>
      </w:r>
    </w:p>
    <w:p>
      <w:pPr>
        <w:pStyle w:val="TextBody"/>
        <w:bidi w:val="0"/>
        <w:spacing w:before="0" w:after="24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28" w:before="0" w:after="0"/>
        <w:jc w:val="both"/>
        <w:rPr/>
      </w:pPr>
      <w:r>
        <w:rPr>
          <w:rFonts w:ascii="Times New Roman;sans-serif" w:hAnsi="Times New Roman;sans-serif"/>
          <w:b w:val="false"/>
          <w:color w:val="000000"/>
          <w:sz w:val="24"/>
        </w:rPr>
        <w:t>made, developed or created by me (whether at the request or suggestion of the Company, or otherwise, whether alone or in conjunction with others, and whether during regular hours of work or otherwise) (collectively, together with all intellectual property rights therein and thereto, “</w:t>
      </w:r>
      <w:r>
        <w:rPr>
          <w:rFonts w:ascii="Times New Roman;sans-serif" w:hAnsi="Times New Roman;sans-serif"/>
          <w:b w:val="false"/>
          <w:color w:val="000000"/>
          <w:sz w:val="24"/>
          <w:u w:val="single"/>
        </w:rPr>
        <w:t>Inventions</w:t>
      </w:r>
      <w:r>
        <w:rPr>
          <w:color w:val="000000"/>
        </w:rPr>
        <w:t>”</w:t>
      </w:r>
      <w:r>
        <w:rPr>
          <w:rFonts w:ascii="Times New Roman;sans-serif" w:hAnsi="Times New Roman;sans-serif"/>
          <w:b w:val="false"/>
          <w:color w:val="000000"/>
          <w:sz w:val="24"/>
        </w:rPr>
        <w:t xml:space="preserve">) either: (i) during the course of my employment by or consultancy with the Company which pertain to any business, products or processes of the Company whether then conducted or then being actively planned by the Company; (ii) which have been developed during working hours or using the Company’s resources; or (iii) which directly relates to any of my work during my term of employment by or consultancy with the Company, are the Company’s sole and exclusive property and I shall have no claims, interest or title to the Inventions. </w:t>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(b) </w:t>
      </w:r>
      <w:r>
        <w:rPr>
          <w:rFonts w:ascii="Times New Roman;sans-serif" w:hAnsi="Times New Roman;sans-serif"/>
          <w:b w:val="false"/>
          <w:color w:val="000000"/>
          <w:sz w:val="24"/>
        </w:rPr>
        <w:t>With respect to the foregoing Inventions, I will promptly: (i) execute, sign and acknowledge any document necessary to secure the Company's right, title and interest to the Inventions; (ii) deliver to an appropriate executive officer of the Company (other than me) without any additional compensation therefore, all papers, drawings, models, data, documents and other material pertaining to or in any way relating to any Inventions made, developed or created by me as aforesaid. I further acknowledge that all Inventions are “</w:t>
      </w:r>
      <w:r>
        <w:rPr>
          <w:rFonts w:ascii="Times New Roman;sans-serif" w:hAnsi="Times New Roman;sans-serif"/>
          <w:b w:val="false"/>
          <w:color w:val="000000"/>
          <w:sz w:val="24"/>
          <w:u w:val="single"/>
        </w:rPr>
        <w:t>works made for hire</w:t>
      </w:r>
      <w:r>
        <w:rPr>
          <w:color w:val="000000"/>
        </w:rPr>
        <w:t xml:space="preserve">” </w:t>
      </w:r>
      <w:r>
        <w:rPr>
          <w:rFonts w:ascii="Times New Roman;sans-serif" w:hAnsi="Times New Roman;sans-serif"/>
          <w:b w:val="false"/>
          <w:color w:val="000000"/>
          <w:sz w:val="24"/>
        </w:rPr>
        <w:t xml:space="preserve">(to the greatest extent permitted by applicable law) and are compensated by my salary (if I am an employee) or by such amounts paid to me under any applicable consulting agreement or consulting arrangements (if I am a consultant), unless otherwise required by applicable law. If any Invention does not constitute a “work made for hire”, I hereby irrevocably assign to the Company for no additional consideration all right, title and interest in and to such Invention. I hereby irrevocably designate and appoint the Company and its duly authorized officers and agents, as my agents and attorney-in- fact to act for and on my behalf and instead of me, to execute and file any documents, applications or related findings and to do all other lawfully permitted acts to further the purposes set forth above in this Section 5, including, without limitation, the perfection of assignment and the prosecution and issuance of patents, patent applications, copyright applications and registrations, trademark applications and registrations or other rights in connection with such Inventions and improvements thereto with the same legal force and effect as if executed by me. </w:t>
      </w:r>
    </w:p>
    <w:p>
      <w:pPr>
        <w:pStyle w:val="TextBody"/>
        <w:bidi w:val="0"/>
        <w:spacing w:before="0" w:after="0"/>
        <w:ind w:left="0" w:right="0" w:firstLine="1587"/>
        <w:jc w:val="both"/>
        <w:rPr/>
      </w:pPr>
      <w:r>
        <w:rPr/>
      </w:r>
    </w:p>
    <w:p>
      <w:pPr>
        <w:pStyle w:val="TextBody"/>
        <w:bidi w:val="0"/>
        <w:spacing w:lineRule="auto" w:line="268" w:before="0" w:after="0"/>
        <w:ind w:left="0" w:right="0" w:firstLine="866"/>
        <w:jc w:val="left"/>
        <w:rPr/>
      </w:pPr>
      <w:r>
        <w:rPr>
          <w:rFonts w:ascii="Times New Roman;sans-serif" w:hAnsi="Times New Roman;sans-serif"/>
          <w:b w:val="false"/>
          <w:color w:val="000000"/>
          <w:sz w:val="23"/>
        </w:rPr>
        <w:t xml:space="preserve">6. </w:t>
      </w:r>
      <w:r>
        <w:rPr>
          <w:rFonts w:ascii="Times New Roman;sans-serif" w:hAnsi="Times New Roman;sans-serif"/>
          <w:b/>
          <w:color w:val="000000"/>
          <w:sz w:val="24"/>
        </w:rPr>
        <w:t>Non-Compete</w:t>
      </w:r>
      <w:r>
        <w:rPr>
          <w:rFonts w:ascii="Times New Roman;sans-serif" w:hAnsi="Times New Roman;sans-serif"/>
          <w:b w:val="false"/>
          <w:color w:val="000000"/>
          <w:sz w:val="24"/>
        </w:rPr>
        <w:t xml:space="preserve">. </w:t>
      </w:r>
    </w:p>
    <w:p>
      <w:pPr>
        <w:pStyle w:val="TextBody"/>
        <w:bidi w:val="0"/>
        <w:spacing w:before="0" w:after="0"/>
        <w:ind w:left="0" w:right="0" w:firstLine="866"/>
        <w:jc w:val="left"/>
        <w:rPr/>
      </w:pPr>
      <w:r>
        <w:rPr/>
      </w:r>
    </w:p>
    <w:p>
      <w:pPr>
        <w:pStyle w:val="TextBody"/>
        <w:bidi w:val="0"/>
        <w:spacing w:lineRule="auto" w:line="228"/>
        <w:ind w:left="0" w:right="0" w:firstLine="1587"/>
        <w:jc w:val="both"/>
        <w:rPr/>
      </w:pPr>
      <w:r>
        <w:rPr>
          <w:rFonts w:ascii="Times New Roman;sans-serif" w:hAnsi="Times New Roman;sans-serif"/>
          <w:b w:val="false"/>
          <w:color w:val="000000"/>
          <w:sz w:val="23"/>
        </w:rPr>
        <w:t xml:space="preserve">(a) </w:t>
      </w:r>
      <w:r>
        <w:rPr>
          <w:rFonts w:ascii="Times New Roman;sans-serif" w:hAnsi="Times New Roman;sans-serif"/>
          <w:b w:val="false"/>
          <w:color w:val="000000"/>
          <w:sz w:val="24"/>
          <w:u w:val="single"/>
        </w:rPr>
        <w:t>Need for Covenants and Legitimate Business Interest</w:t>
      </w:r>
      <w:r>
        <w:rPr>
          <w:rFonts w:ascii="Times New Roman;sans-serif" w:hAnsi="Times New Roman;sans-serif"/>
          <w:b w:val="false"/>
          <w:color w:val="000000"/>
          <w:sz w:val="24"/>
        </w:rPr>
        <w:t>. I acknowledge that the Company has expended, and is expected to expend, large amounts of time, money and effort researching, developing, designing its products, services, and business model, developing and keeping a committed management team and marketing its products and services. I further acknowledge that crucial to the success of the Company will be its ability to attract and obtain financial capital and to continuously develop superior products, services and its business model, that are Confidential Information of the Company and that are not known to others engaged in similar businesses or ventures. I acknowledge that I am in a position of trust and responsibility and have learned, and will continue to learn, a great deal of information about the business of the Company, including its Confidential Information, and I agree that the Company is entitled to be protected from the possibility, both during my employment and after my employment terminates, of me becoming associated with a business that competes with the business of the Company. I further acknowledge that if I did become associated with such a business, such business would compete unfairly with the business of the Company in view of the Confidential Information that has and will become known to me by reason of being employed by the Company in my capacity. Both the Company and I acknowledge that the Company has a “</w:t>
      </w:r>
      <w:r>
        <w:rPr>
          <w:rFonts w:ascii="Times New Roman;sans-serif" w:hAnsi="Times New Roman;sans-serif"/>
          <w:b w:val="false"/>
          <w:color w:val="000000"/>
          <w:sz w:val="24"/>
          <w:u w:val="single"/>
        </w:rPr>
        <w:t>Legitimate Business Interest</w:t>
      </w:r>
      <w:r>
        <w:rPr>
          <w:rFonts w:ascii="Times New Roman;sans-serif" w:hAnsi="Times New Roman;sans-serif"/>
          <w:b w:val="false"/>
          <w:color w:val="000000"/>
          <w:sz w:val="24"/>
        </w:rPr>
        <w:t xml:space="preserve">,” which includes, but is not limited to, protecting its: (i) trade secrets; (ii) valuable Confidential Information that otherwise does not qualify as a trade secret; </w:t>
      </w:r>
      <w:r>
        <w:rPr>
          <w:rFonts w:ascii="Times New Roman;sans-serif" w:hAnsi="Times New Roman;sans-serif"/>
          <w:b w:val="false"/>
          <w:color w:val="000000"/>
          <w:sz w:val="23"/>
        </w:rPr>
        <w:t xml:space="preserve">(iii) </w:t>
      </w:r>
      <w:r>
        <w:rPr>
          <w:rFonts w:ascii="Times New Roman;sans-serif" w:hAnsi="Times New Roman;sans-serif"/>
          <w:b w:val="false"/>
          <w:color w:val="000000"/>
          <w:sz w:val="24"/>
        </w:rPr>
        <w:t xml:space="preserve">substantial relationships with specific prospective or existing customers, vendors, or clients; </w:t>
      </w:r>
      <w:r>
        <w:rPr>
          <w:rFonts w:ascii="Times New Roman;sans-serif" w:hAnsi="Times New Roman;sans-serif"/>
          <w:b w:val="false"/>
          <w:color w:val="000000"/>
          <w:sz w:val="23"/>
        </w:rPr>
        <w:t xml:space="preserve">(iv) </w:t>
      </w:r>
      <w:r>
        <w:rPr>
          <w:rFonts w:ascii="Times New Roman;sans-serif" w:hAnsi="Times New Roman;sans-serif"/>
          <w:b w:val="false"/>
          <w:color w:val="000000"/>
          <w:sz w:val="24"/>
        </w:rPr>
        <w:t xml:space="preserve">customer or client good will associated with: (A) an ongoing business, including, but not limited to, by way of trade name, trademark, service mark, or trade dress; (B) a specific geographic location; or (C) a specific marketing or trade area; and (v) extraordinary or specialized training. Accordingly, I agree that the time, geographic, and other restrictions contained in this Agreement are reasonable and </w:t>
      </w:r>
    </w:p>
    <w:p>
      <w:pPr>
        <w:pStyle w:val="TextBody"/>
        <w:bidi w:val="0"/>
        <w:spacing w:before="0" w:after="24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2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necessary to protect the legitimate interest of the Company and do not unfairly restrict or penalize myself. </w:t>
      </w:r>
    </w:p>
    <w:p>
      <w:pPr>
        <w:pStyle w:val="TextBody"/>
        <w:bidi w:val="0"/>
        <w:spacing w:before="0" w:after="0"/>
        <w:ind w:left="0" w:right="0" w:firstLine="1587"/>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(b) </w:t>
      </w:r>
      <w:r>
        <w:rPr>
          <w:rFonts w:ascii="Times New Roman;sans-serif" w:hAnsi="Times New Roman;sans-serif"/>
          <w:b w:val="false"/>
          <w:color w:val="000000"/>
          <w:sz w:val="24"/>
          <w:u w:val="single"/>
        </w:rPr>
        <w:t>Non-competition During and After Employment</w:t>
      </w:r>
      <w:r>
        <w:rPr>
          <w:rFonts w:ascii="Times New Roman;sans-serif" w:hAnsi="Times New Roman;sans-serif"/>
          <w:b w:val="false"/>
          <w:color w:val="000000"/>
          <w:sz w:val="24"/>
        </w:rPr>
        <w:t>. During my employment with the Company and for a period of twelve (12) months after (A) the termination of my employment with the Company with or without Cause or (B) my resignation from employment with the Company for any reason, I shall not, directly or by assisting others, engage in activities or the provision of products or services that are competitive with or the same or similar to the activities, products, or services conducted, authorized, offered, or provided by the Company within the twelve (12) month period prior to my termination date (“</w:t>
      </w:r>
      <w:r>
        <w:rPr>
          <w:rFonts w:ascii="Times New Roman;sans-serif" w:hAnsi="Times New Roman;sans-serif"/>
          <w:b w:val="false"/>
          <w:color w:val="000000"/>
          <w:sz w:val="24"/>
          <w:u w:val="single"/>
        </w:rPr>
        <w:t>Competitive Activities</w:t>
      </w:r>
      <w:r>
        <w:rPr>
          <w:color w:val="000000"/>
        </w:rPr>
        <w:t>”</w:t>
      </w:r>
      <w:r>
        <w:rPr>
          <w:rFonts w:ascii="Times New Roman;sans-serif" w:hAnsi="Times New Roman;sans-serif"/>
          <w:b w:val="false"/>
          <w:color w:val="000000"/>
          <w:sz w:val="24"/>
        </w:rPr>
        <w:t>). Notwithstanding the foregoing, ownership of 2% or less of any class of securities of any entity whose securities are publicly traded does not constitute a violation of this Section 6(b). The Company acknowledges that the foregoing restrictions will not apply in the event I resign from my employment without Good Reason within three (3) months of a Change in Control that occurs prior to the three (3) month anniversary of the Effective Date of my employment.</w:t>
      </w:r>
    </w:p>
    <w:p>
      <w:pPr>
        <w:pStyle w:val="TextBody"/>
        <w:bidi w:val="0"/>
        <w:spacing w:before="0" w:after="0"/>
        <w:ind w:left="0" w:right="0" w:firstLine="1587"/>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(c) </w:t>
      </w:r>
      <w:r>
        <w:rPr>
          <w:rFonts w:ascii="Times New Roman;sans-serif" w:hAnsi="Times New Roman;sans-serif"/>
          <w:b w:val="false"/>
          <w:color w:val="000000"/>
          <w:sz w:val="24"/>
          <w:u w:val="single"/>
        </w:rPr>
        <w:t>Non-solicitation of Customers</w:t>
      </w:r>
      <w:r>
        <w:rPr>
          <w:rFonts w:ascii="Times New Roman;sans-serif" w:hAnsi="Times New Roman;sans-serif"/>
          <w:b w:val="false"/>
          <w:color w:val="000000"/>
          <w:sz w:val="24"/>
        </w:rPr>
        <w:t>. During my employment with the Company and for a period of twelve (12) months after (A) the termination of my employment with the Company with or without Cause or (B) my resignation from employment with the Company for any reason, I shall not, directly or by assisting others, take any action to solicit, divert, take away, contact, call upon, communicate with, or attempt to solicit, divert, take away, contact, call upon, communicate with any customers of the Company for the purpose of or in connection with any Competitive Activities, including actively seeking prospective customers, with whom I had Material Contact with during my employment, for the purposes of inducing or attempting to induce or divert their business away from the Company. The term “</w:t>
      </w:r>
      <w:r>
        <w:rPr>
          <w:rFonts w:ascii="Times New Roman;sans-serif" w:hAnsi="Times New Roman;sans-serif"/>
          <w:b w:val="false"/>
          <w:color w:val="000000"/>
          <w:sz w:val="24"/>
          <w:u w:val="single"/>
        </w:rPr>
        <w:t>Material Contact</w:t>
      </w:r>
      <w:r>
        <w:rPr>
          <w:color w:val="000000"/>
        </w:rPr>
        <w:t xml:space="preserve">” </w:t>
      </w:r>
      <w:r>
        <w:rPr>
          <w:rFonts w:ascii="Times New Roman;sans-serif" w:hAnsi="Times New Roman;sans-serif"/>
          <w:b w:val="false"/>
          <w:color w:val="000000"/>
          <w:sz w:val="24"/>
        </w:rPr>
        <w:t xml:space="preserve">means contact between each customer or potential customer: (i) with whom or which I personally dealt on behalf of the Company; (ii) whose dealings with the Company I coordinated or supervised; (iii) about whom I obtained Confidential Information in the ordinary course of business as a result of my association with the Company; or (iv) who receives products or services authorized by the Company, the sale or provision of which results or resulted in compensation, commissions, or earnings for me within two years prior to the date of my termination with the Company (other than payment of my Base Salary). </w:t>
      </w:r>
    </w:p>
    <w:p>
      <w:pPr>
        <w:pStyle w:val="TextBody"/>
        <w:bidi w:val="0"/>
        <w:spacing w:before="0" w:after="0"/>
        <w:ind w:left="0" w:right="0" w:firstLine="1587"/>
        <w:jc w:val="both"/>
        <w:rPr/>
      </w:pPr>
      <w:r>
        <w:rPr/>
      </w:r>
    </w:p>
    <w:p>
      <w:pPr>
        <w:pStyle w:val="TextBody"/>
        <w:bidi w:val="0"/>
        <w:spacing w:lineRule="auto" w:line="228" w:before="0" w:after="0"/>
        <w:ind w:left="0" w:right="0" w:firstLine="1587"/>
        <w:jc w:val="both"/>
        <w:rPr/>
      </w:pPr>
      <w:r>
        <w:rPr>
          <w:rFonts w:ascii="Times New Roman;sans-serif" w:hAnsi="Times New Roman;sans-serif"/>
          <w:b w:val="false"/>
          <w:color w:val="000000"/>
          <w:sz w:val="23"/>
        </w:rPr>
        <w:t xml:space="preserve">(d) </w:t>
      </w:r>
      <w:r>
        <w:rPr>
          <w:rFonts w:ascii="Times New Roman;sans-serif" w:hAnsi="Times New Roman;sans-serif"/>
          <w:b w:val="false"/>
          <w:color w:val="000000"/>
          <w:sz w:val="24"/>
          <w:u w:val="single"/>
        </w:rPr>
        <w:t>Non-solicitation of Employees</w:t>
      </w:r>
      <w:r>
        <w:rPr>
          <w:rFonts w:ascii="Times New Roman;sans-serif" w:hAnsi="Times New Roman;sans-serif"/>
          <w:b w:val="false"/>
          <w:color w:val="000000"/>
          <w:sz w:val="24"/>
        </w:rPr>
        <w:t>. During my employment with the Company and for a period of twelve (12) months after the termination of my employment with the Company, for any reason, I shall not directly or indirectly solicit, induce, recruit, encourage,</w:t>
      </w:r>
      <w:r>
        <w:rPr>
          <w:color w:val="000000"/>
        </w:rPr>
        <w:t xml:space="preserve"> </w:t>
      </w:r>
      <w:r>
        <w:rPr>
          <w:rFonts w:ascii="Times New Roman;sans-serif" w:hAnsi="Times New Roman;sans-serif"/>
          <w:b w:val="false"/>
          <w:color w:val="000000"/>
          <w:sz w:val="24"/>
        </w:rPr>
        <w:t xml:space="preserve">take away, or hire (or attempt any of the foregoing actions) or otherwise cause (or attempt to cause) any officer, board member, investor, representative, agent, director, employee or independent contractor of the Company to leave his or her employment or engagement with the Company either for employment with myself or with any other entity or person, or otherwise interfere with or disrupt (or attempt to disrupt) the employment or service relationship between any such individual and the Company. </w:t>
      </w:r>
    </w:p>
    <w:p>
      <w:pPr>
        <w:pStyle w:val="TextBody"/>
        <w:bidi w:val="0"/>
        <w:spacing w:before="0" w:after="0"/>
        <w:ind w:left="0" w:right="0" w:firstLine="1587"/>
        <w:jc w:val="both"/>
        <w:rPr/>
      </w:pPr>
      <w:r>
        <w:rPr/>
      </w:r>
    </w:p>
    <w:p>
      <w:pPr>
        <w:pStyle w:val="TextBody"/>
        <w:bidi w:val="0"/>
        <w:spacing w:lineRule="auto" w:line="228" w:before="0" w:after="0"/>
        <w:ind w:left="0" w:right="0" w:firstLine="1467"/>
        <w:jc w:val="both"/>
        <w:rPr/>
      </w:pPr>
      <w:r>
        <w:rPr>
          <w:rFonts w:ascii="Times New Roman;sans-serif" w:hAnsi="Times New Roman;sans-serif"/>
          <w:b w:val="false"/>
          <w:color w:val="000000"/>
          <w:sz w:val="23"/>
        </w:rPr>
        <w:t xml:space="preserve">(e) </w:t>
      </w:r>
      <w:r>
        <w:rPr>
          <w:rFonts w:ascii="Times New Roman;sans-serif" w:hAnsi="Times New Roman;sans-serif"/>
          <w:b w:val="false"/>
          <w:color w:val="000000"/>
          <w:sz w:val="24"/>
          <w:u w:val="single"/>
        </w:rPr>
        <w:t>Tolling of Covenants</w:t>
      </w:r>
      <w:r>
        <w:rPr>
          <w:rFonts w:ascii="Times New Roman;sans-serif" w:hAnsi="Times New Roman;sans-serif"/>
          <w:b w:val="false"/>
          <w:color w:val="000000"/>
          <w:sz w:val="24"/>
        </w:rPr>
        <w:t xml:space="preserve">. In the event the enforceability of any of the restrictive covenants in this section is challenged in a court of law and I am not enjoined from breaching any of such covenants, and a court of competent jurisdiction then finds the challenged covenant to be enforceable, or if I am in violation of any such covenant, such court shall have the discretion to toll the time period for the challenged or violated covenant upon the filing of the action in which the covenant is challenged or the violation is alleged, until the dispute is finally resolved and all periods of appeal have expired. </w:t>
      </w:r>
    </w:p>
    <w:p>
      <w:pPr>
        <w:pStyle w:val="TextBody"/>
        <w:bidi w:val="0"/>
        <w:spacing w:before="0" w:after="0"/>
        <w:ind w:left="0" w:right="0" w:firstLine="1467"/>
        <w:jc w:val="both"/>
        <w:rPr/>
      </w:pPr>
      <w:r>
        <w:rPr/>
      </w:r>
    </w:p>
    <w:p>
      <w:pPr>
        <w:pStyle w:val="TextBody"/>
        <w:bidi w:val="0"/>
        <w:spacing w:lineRule="auto" w:line="268"/>
        <w:ind w:left="0" w:right="0" w:firstLine="741"/>
        <w:jc w:val="both"/>
        <w:rPr/>
      </w:pPr>
      <w:r>
        <w:rPr>
          <w:rFonts w:ascii="Times New Roman;sans-serif" w:hAnsi="Times New Roman;sans-serif"/>
          <w:b w:val="false"/>
          <w:color w:val="000000"/>
          <w:sz w:val="23"/>
        </w:rPr>
        <w:t xml:space="preserve">7. </w:t>
      </w:r>
      <w:r>
        <w:rPr>
          <w:rFonts w:ascii="Times New Roman;sans-serif" w:hAnsi="Times New Roman;sans-serif"/>
          <w:b/>
          <w:color w:val="000000"/>
          <w:sz w:val="24"/>
        </w:rPr>
        <w:t>At-Will Employment</w:t>
      </w:r>
      <w:r>
        <w:rPr>
          <w:rFonts w:ascii="Times New Roman;sans-serif" w:hAnsi="Times New Roman;sans-serif"/>
          <w:b w:val="false"/>
          <w:color w:val="000000"/>
          <w:sz w:val="24"/>
        </w:rPr>
        <w:t xml:space="preserve">. I agree and understand that employment with the Company is “at-will,” meaning that it is not for any specified period of time and can be terminated by me or by the Company at any time, with or without advance notice, and for any or no particular reason or cause, subject to the terms and conditions of my Employment Agreement. I agree and understand that it also means that the Company’s personnel policies and procedures, may be </w:t>
      </w:r>
    </w:p>
    <w:p>
      <w:pPr>
        <w:pStyle w:val="TextBody"/>
        <w:bidi w:val="0"/>
        <w:spacing w:before="0" w:after="24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changed at any time at-will by the Company. I understand and agree that nothing about the fact or the content of this Agreement is intended to, nor should be construed to, alter the at-will nature of my employment with the Company. </w:t>
      </w:r>
    </w:p>
    <w:p>
      <w:pPr>
        <w:pStyle w:val="TextBody"/>
        <w:bidi w:val="0"/>
        <w:spacing w:before="0" w:after="0"/>
        <w:ind w:left="0" w:right="0" w:firstLine="741"/>
        <w:jc w:val="both"/>
        <w:rPr/>
      </w:pPr>
      <w:r>
        <w:rPr/>
      </w:r>
    </w:p>
    <w:p>
      <w:pPr>
        <w:pStyle w:val="TextBody"/>
        <w:bidi w:val="0"/>
        <w:spacing w:lineRule="auto" w:line="268" w:before="0" w:after="0"/>
        <w:ind w:left="0" w:right="0" w:firstLine="749"/>
        <w:jc w:val="left"/>
        <w:rPr/>
      </w:pPr>
      <w:r>
        <w:rPr>
          <w:rFonts w:ascii="Times New Roman;sans-serif" w:hAnsi="Times New Roman;sans-serif"/>
          <w:b w:val="false"/>
          <w:color w:val="000000"/>
          <w:sz w:val="23"/>
        </w:rPr>
        <w:t xml:space="preserve">8. </w:t>
      </w:r>
      <w:r>
        <w:rPr>
          <w:rFonts w:ascii="Times New Roman;sans-serif" w:hAnsi="Times New Roman;sans-serif"/>
          <w:b/>
          <w:color w:val="000000"/>
          <w:sz w:val="24"/>
        </w:rPr>
        <w:t>Miscellaneous</w:t>
      </w:r>
      <w:r>
        <w:rPr>
          <w:rFonts w:ascii="Times New Roman;sans-serif" w:hAnsi="Times New Roman;sans-serif"/>
          <w:b w:val="false"/>
          <w:color w:val="000000"/>
          <w:sz w:val="24"/>
        </w:rPr>
        <w:t xml:space="preserve">. </w:t>
      </w:r>
    </w:p>
    <w:p>
      <w:pPr>
        <w:pStyle w:val="TextBody"/>
        <w:bidi w:val="0"/>
        <w:spacing w:before="0" w:after="0"/>
        <w:ind w:left="0" w:right="0" w:firstLine="749"/>
        <w:jc w:val="left"/>
        <w:rPr/>
      </w:pPr>
      <w:r>
        <w:rPr/>
      </w:r>
    </w:p>
    <w:p>
      <w:pPr>
        <w:pStyle w:val="TextBody"/>
        <w:bidi w:val="0"/>
        <w:spacing w:lineRule="auto" w:line="228" w:before="0" w:after="0"/>
        <w:ind w:left="0" w:right="0" w:firstLine="1467"/>
        <w:jc w:val="both"/>
        <w:rPr/>
      </w:pPr>
      <w:r>
        <w:rPr>
          <w:rFonts w:ascii="Times New Roman;sans-serif" w:hAnsi="Times New Roman;sans-serif"/>
          <w:b w:val="false"/>
          <w:color w:val="000000"/>
          <w:sz w:val="23"/>
        </w:rPr>
        <w:t xml:space="preserve">(a) </w:t>
      </w:r>
      <w:r>
        <w:rPr>
          <w:rFonts w:ascii="Times New Roman;sans-serif" w:hAnsi="Times New Roman;sans-serif"/>
          <w:b w:val="false"/>
          <w:color w:val="000000"/>
          <w:sz w:val="24"/>
        </w:rPr>
        <w:t xml:space="preserve">This Agreement, together with my Employment Agreement, constitutes the entire agreement between the parties with respect to the subject matter hereof and merges all prior communications between the parties or their representatives. This Agreement shall not be modified except by a written agreement dated subsequent to the date of this Agreement and signed by me and an authorized officer of the Company. None of the provisions of this Agreement shall be deemed to have been waived by any act or acquiescence on the part of the Company, its agents, employees or consultants, but only by an instrument in writing signed by an authorized officer of the Company. No waiver of any provision of this Agreement shall constitute a waiver of any other provision(s) or of the same provision on another occasion. </w:t>
      </w:r>
    </w:p>
    <w:p>
      <w:pPr>
        <w:pStyle w:val="TextBody"/>
        <w:bidi w:val="0"/>
        <w:spacing w:before="0" w:after="0"/>
        <w:ind w:left="0" w:right="0" w:firstLine="1467"/>
        <w:jc w:val="both"/>
        <w:rPr/>
      </w:pPr>
      <w:r>
        <w:rPr/>
      </w:r>
    </w:p>
    <w:p>
      <w:pPr>
        <w:pStyle w:val="TextBody"/>
        <w:bidi w:val="0"/>
        <w:spacing w:lineRule="auto" w:line="228" w:before="0" w:after="0"/>
        <w:ind w:left="0" w:right="0" w:firstLine="1467"/>
        <w:jc w:val="both"/>
        <w:rPr/>
      </w:pPr>
      <w:r>
        <w:rPr>
          <w:rFonts w:ascii="Times New Roman;sans-serif" w:hAnsi="Times New Roman;sans-serif"/>
          <w:b w:val="false"/>
          <w:color w:val="000000"/>
          <w:sz w:val="23"/>
        </w:rPr>
        <w:t xml:space="preserve">(b) </w:t>
      </w:r>
      <w:r>
        <w:rPr>
          <w:rFonts w:ascii="Times New Roman;sans-serif" w:hAnsi="Times New Roman;sans-serif"/>
          <w:b w:val="false"/>
          <w:color w:val="000000"/>
          <w:sz w:val="24"/>
        </w:rPr>
        <w:t xml:space="preserve">If either the Company or I employ attorneys to enforce any rights in any litigation arising out of or relating to this Agreement, the prevailing party shall be entitled to recover reasonable attorneys’ fees. This Agreement shall be construed and controlled by the laws of the State of New York, and I further consent to jurisdiction by the state and federal courts sitting in the State of New York. Both parties agree that the exclusive venue for any action, demand, claim, or counterclaim relating to this Agreement shall be in the state or federal courts located in the State and County of New York. Process may be served on either party by U.S. Mail, postage prepaid, certified or registered, return receipt requested. </w:t>
      </w:r>
    </w:p>
    <w:p>
      <w:pPr>
        <w:pStyle w:val="TextBody"/>
        <w:bidi w:val="0"/>
        <w:spacing w:before="0" w:after="0"/>
        <w:ind w:left="0" w:right="0" w:firstLine="1467"/>
        <w:jc w:val="both"/>
        <w:rPr/>
      </w:pPr>
      <w:r>
        <w:rPr/>
      </w:r>
    </w:p>
    <w:p>
      <w:pPr>
        <w:pStyle w:val="TextBody"/>
        <w:bidi w:val="0"/>
        <w:spacing w:lineRule="auto" w:line="228" w:before="0" w:after="0"/>
        <w:ind w:left="0" w:right="0" w:firstLine="1467"/>
        <w:jc w:val="both"/>
        <w:rPr/>
      </w:pPr>
      <w:r>
        <w:rPr>
          <w:rFonts w:ascii="Times New Roman;sans-serif" w:hAnsi="Times New Roman;sans-serif"/>
          <w:b w:val="false"/>
          <w:color w:val="000000"/>
          <w:sz w:val="24"/>
        </w:rPr>
        <w:t>(c) Notwithstanding any other provision herein or therein, nothing in this Agreement or any policy or procedure of the Company prohibits me from filing a charge or complaint with any federal, state or local governmental agency or commission (“</w:t>
      </w:r>
      <w:r>
        <w:rPr>
          <w:rFonts w:ascii="Times New Roman;sans-serif" w:hAnsi="Times New Roman;sans-serif"/>
          <w:b w:val="false"/>
          <w:color w:val="000000"/>
          <w:sz w:val="24"/>
          <w:u w:val="single"/>
        </w:rPr>
        <w:t>Government Agencies</w:t>
      </w:r>
      <w:r>
        <w:rPr>
          <w:color w:val="000000"/>
        </w:rPr>
        <w:t>”</w:t>
      </w:r>
      <w:r>
        <w:rPr>
          <w:rFonts w:ascii="Times New Roman;sans-serif" w:hAnsi="Times New Roman;sans-serif"/>
          <w:b w:val="false"/>
          <w:color w:val="000000"/>
          <w:sz w:val="24"/>
        </w:rPr>
        <w:t>), or making other disclosures that are protected under the whistleblower provisions of federal law or regulation. The Company acknowledges and agrees that I do not need the prior authorization of any representative of the Company to file any such charge or complaint or to communicate with any Government Agencies or otherwise to participate in any investigation or proceeding that may be commenced by any Government Agency including providing documents or other information without notice to the Company. I acknowledge and understand that I shall not be held criminally or civilly liable under any federal or state trade secret law for disclosure of a trade secret that (i) is made in confidence to a federal, state or local government official or to an attorney solely for the purpose of reporting or investigating a suspected violation of law; or (ii) is made in a complaint or other document filed in a lawsuit or other proceeding, if such filing is made under seal. I acknowledge and understand that nothing herein is intended to impair my right to receive an award from any Government Agencies for information provided under any whistleblower or similar program.</w:t>
      </w:r>
    </w:p>
    <w:p>
      <w:pPr>
        <w:pStyle w:val="TextBody"/>
        <w:bidi w:val="0"/>
        <w:spacing w:before="0" w:after="0"/>
        <w:ind w:left="0" w:right="0" w:firstLine="1467"/>
        <w:jc w:val="both"/>
        <w:rPr/>
      </w:pPr>
      <w:r>
        <w:rPr/>
      </w:r>
    </w:p>
    <w:p>
      <w:pPr>
        <w:pStyle w:val="TextBody"/>
        <w:bidi w:val="0"/>
        <w:spacing w:lineRule="auto" w:line="228" w:before="0" w:after="0"/>
        <w:ind w:left="0" w:right="0" w:firstLine="1467"/>
        <w:jc w:val="both"/>
        <w:rPr/>
      </w:pPr>
      <w:r>
        <w:rPr>
          <w:rFonts w:ascii="Times New Roman;sans-serif" w:hAnsi="Times New Roman;sans-serif"/>
          <w:b w:val="false"/>
          <w:color w:val="000000"/>
          <w:sz w:val="23"/>
        </w:rPr>
        <w:t xml:space="preserve">(d) </w:t>
      </w:r>
      <w:r>
        <w:rPr>
          <w:rFonts w:ascii="Times New Roman;sans-serif" w:hAnsi="Times New Roman;sans-serif"/>
          <w:b w:val="false"/>
          <w:color w:val="000000"/>
          <w:sz w:val="24"/>
        </w:rPr>
        <w:t xml:space="preserve">Subject to the limitation set forth in this Agreement, this Agreement will inure to the benefit of and be binding upon the parties, their successors and assigns, including without limitation a successor to the Company by merger or consolidation. </w:t>
      </w:r>
    </w:p>
    <w:p>
      <w:pPr>
        <w:pStyle w:val="TextBody"/>
        <w:bidi w:val="0"/>
        <w:spacing w:before="0" w:after="0"/>
        <w:ind w:left="0" w:right="0" w:firstLine="1467"/>
        <w:jc w:val="both"/>
        <w:rPr/>
      </w:pPr>
      <w:r>
        <w:rPr/>
      </w:r>
    </w:p>
    <w:p>
      <w:pPr>
        <w:pStyle w:val="TextBody"/>
        <w:bidi w:val="0"/>
        <w:spacing w:lineRule="auto" w:line="228" w:before="0" w:after="0"/>
        <w:ind w:left="0" w:right="0" w:firstLine="1467"/>
        <w:jc w:val="both"/>
        <w:rPr/>
      </w:pPr>
      <w:r>
        <w:rPr>
          <w:rFonts w:ascii="Times New Roman;sans-serif" w:hAnsi="Times New Roman;sans-serif"/>
          <w:b w:val="false"/>
          <w:color w:val="000000"/>
          <w:sz w:val="23"/>
        </w:rPr>
        <w:t xml:space="preserve">(e) </w:t>
      </w:r>
      <w:r>
        <w:rPr>
          <w:rFonts w:ascii="Times New Roman;sans-serif" w:hAnsi="Times New Roman;sans-serif"/>
          <w:b w:val="false"/>
          <w:color w:val="000000"/>
          <w:sz w:val="24"/>
        </w:rPr>
        <w:t xml:space="preserve">If any provision of this Agreement shall be held by a court of competent jurisdiction to be illegal, invalid or unenforceable, the remaining provision shall remain in full force and effect. If any court of competent jurisdiction shall find any provision in Section 6 hereof to be unenforceable, such provision shall be tailored to the maximum scope that is enforceable. </w:t>
      </w:r>
    </w:p>
    <w:p>
      <w:pPr>
        <w:pStyle w:val="TextBody"/>
        <w:bidi w:val="0"/>
        <w:spacing w:before="0" w:after="0"/>
        <w:ind w:left="0" w:right="0" w:firstLine="1467"/>
        <w:jc w:val="both"/>
        <w:rPr/>
      </w:pPr>
      <w:r>
        <w:rPr/>
      </w:r>
    </w:p>
    <w:p>
      <w:pPr>
        <w:pStyle w:val="TextBody"/>
        <w:bidi w:val="0"/>
        <w:spacing w:lineRule="auto" w:line="228"/>
        <w:ind w:left="0" w:right="0" w:firstLine="1467"/>
        <w:jc w:val="both"/>
        <w:rPr/>
      </w:pPr>
      <w:r>
        <w:rPr>
          <w:rFonts w:ascii="Times New Roman;sans-serif" w:hAnsi="Times New Roman;sans-serif"/>
          <w:b w:val="false"/>
          <w:color w:val="000000"/>
          <w:sz w:val="23"/>
        </w:rPr>
        <w:t xml:space="preserve">(f) </w:t>
      </w:r>
      <w:r>
        <w:rPr>
          <w:rFonts w:ascii="Times New Roman;sans-serif" w:hAnsi="Times New Roman;sans-serif"/>
          <w:b w:val="false"/>
          <w:color w:val="000000"/>
          <w:sz w:val="24"/>
        </w:rPr>
        <w:t xml:space="preserve">I acknowledge and agree that a remedy at law for any breach or threatened breach of the provisions of this Agreement would be inadequate and, therefore, agree that the Company and its Affiliates shall be entitled to injunctive relief in addition to any other available </w:t>
      </w:r>
    </w:p>
    <w:p>
      <w:pPr>
        <w:pStyle w:val="TextBody"/>
        <w:bidi w:val="0"/>
        <w:spacing w:before="0" w:after="24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2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rights and remedies in case of any such breach or threatened breach; provided, however, that nothing contained herein shall be construed as prohibiting the Company or any of its Affiliates from pursuing any other rights and remedies available for any such breach or threatened breach. I further acknowledge and agree that the covenants contained herein are necessary for the protection of the Company's legitimate business interests and are reasonable in scope and content. </w:t>
      </w:r>
    </w:p>
    <w:p>
      <w:pPr>
        <w:pStyle w:val="TextBody"/>
        <w:bidi w:val="0"/>
        <w:spacing w:lineRule="auto" w:line="228" w:before="0" w:after="0"/>
        <w:ind w:left="0" w:right="0" w:firstLine="1467"/>
        <w:jc w:val="left"/>
        <w:rPr/>
      </w:pPr>
      <w:r>
        <w:rPr>
          <w:rFonts w:ascii="Times New Roman;sans-serif" w:hAnsi="Times New Roman;sans-serif"/>
          <w:b w:val="false"/>
          <w:color w:val="000000"/>
          <w:sz w:val="23"/>
        </w:rPr>
        <w:t xml:space="preserve">(g) </w:t>
      </w:r>
      <w:r>
        <w:rPr>
          <w:rFonts w:ascii="Times New Roman;sans-serif" w:hAnsi="Times New Roman;sans-serif"/>
          <w:b w:val="false"/>
          <w:color w:val="000000"/>
          <w:sz w:val="24"/>
        </w:rPr>
        <w:t xml:space="preserve">All obligations created by this Agreement shall survive change or termination of the parties’ business relationship.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41"/>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xml:space="preserve">, the parties hereto have duly executed this Agreement. </w:t>
      </w:r>
    </w:p>
    <w:p>
      <w:pPr>
        <w:pStyle w:val="TextBody"/>
        <w:bidi w:val="0"/>
        <w:spacing w:lineRule="auto" w:line="268" w:before="0" w:after="0"/>
        <w:ind w:left="0" w:right="0" w:firstLine="141"/>
        <w:jc w:val="left"/>
        <w:rPr>
          <w:rFonts w:ascii="Times New Roman;sans-serif" w:hAnsi="Times New Roman;sans-serif"/>
          <w:b/>
          <w:color w:val="000000"/>
          <w:sz w:val="28"/>
        </w:rPr>
      </w:pPr>
      <w:r>
        <w:rPr>
          <w:rFonts w:ascii="Times New Roman;sans-serif" w:hAnsi="Times New Roman;sans-serif"/>
          <w:b/>
          <w:color w:val="000000"/>
          <w:sz w:val="28"/>
        </w:rPr>
        <w:t xml:space="preserve">Employee </w:t>
      </w:r>
    </w:p>
    <w:p>
      <w:pPr>
        <w:pStyle w:val="TextBody"/>
        <w:bidi w:val="0"/>
        <w:spacing w:lineRule="auto" w:line="268" w:before="0" w:after="0"/>
        <w:ind w:left="0" w:right="0" w:firstLine="141"/>
        <w:jc w:val="left"/>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 xml:space="preserve">/s/ Anthony J. Sabino </w:t>
      </w:r>
    </w:p>
    <w:p>
      <w:pPr>
        <w:pStyle w:val="TextBody"/>
        <w:bidi w:val="0"/>
        <w:spacing w:before="0" w:after="0"/>
        <w:jc w:val="left"/>
        <w:rPr/>
      </w:pPr>
      <w:r>
        <w:rPr/>
      </w:r>
    </w:p>
    <w:p>
      <w:pPr>
        <w:pStyle w:val="TextBody"/>
        <w:bidi w:val="0"/>
        <w:spacing w:lineRule="auto" w:line="268" w:before="0" w:after="0"/>
        <w:ind w:left="0" w:right="0" w:firstLine="141"/>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 xml:space="preserve">Anthony J Sabino </w:t>
      </w:r>
    </w:p>
    <w:p>
      <w:pPr>
        <w:pStyle w:val="TextBody"/>
        <w:bidi w:val="0"/>
        <w:spacing w:lineRule="auto" w:line="268" w:before="0" w:after="0"/>
        <w:ind w:left="0" w:right="0" w:firstLine="139"/>
        <w:jc w:val="left"/>
        <w:rPr>
          <w:rFonts w:ascii="Times New Roman;sans-serif" w:hAnsi="Times New Roman;sans-serif"/>
          <w:b w:val="false"/>
          <w:color w:val="000000"/>
          <w:sz w:val="24"/>
        </w:rPr>
      </w:pPr>
      <w:r>
        <w:rPr>
          <w:rFonts w:ascii="Times New Roman;sans-serif" w:hAnsi="Times New Roman;sans-serif"/>
          <w:b w:val="false"/>
          <w:color w:val="000000"/>
          <w:sz w:val="24"/>
        </w:rPr>
        <w:t>Address City, State Zip ______</w:t>
      </w:r>
    </w:p>
    <w:p>
      <w:pPr>
        <w:pStyle w:val="TextBody"/>
        <w:bidi w:val="0"/>
        <w:spacing w:lineRule="auto" w:line="268" w:before="0" w:after="0"/>
        <w:ind w:left="0" w:right="0" w:firstLine="140"/>
        <w:jc w:val="left"/>
        <w:rPr>
          <w:rFonts w:ascii="Times New Roman;sans-serif" w:hAnsi="Times New Roman;sans-serif"/>
          <w:b w:val="false"/>
          <w:color w:val="000000"/>
          <w:sz w:val="24"/>
        </w:rPr>
      </w:pPr>
      <w:r>
        <w:rPr>
          <w:rFonts w:ascii="Times New Roman;sans-serif" w:hAnsi="Times New Roman;sans-serif"/>
          <w:b w:val="false"/>
          <w:color w:val="000000"/>
          <w:sz w:val="24"/>
        </w:rPr>
        <w:t>Date Last 4 digits of SSN _____</w:t>
      </w:r>
    </w:p>
    <w:p>
      <w:pPr>
        <w:pStyle w:val="TextBody"/>
        <w:bidi w:val="0"/>
        <w:spacing w:before="0" w:after="0"/>
        <w:ind w:left="0" w:right="0" w:firstLine="145"/>
        <w:jc w:val="left"/>
        <w:rPr/>
      </w:pPr>
      <w:r>
        <w:rPr/>
      </w:r>
    </w:p>
    <w:p>
      <w:pPr>
        <w:pStyle w:val="TextBody"/>
        <w:bidi w:val="0"/>
        <w:spacing w:lineRule="auto" w:line="268" w:before="0" w:after="0"/>
        <w:ind w:left="0" w:right="0" w:firstLine="145"/>
        <w:jc w:val="left"/>
        <w:rPr>
          <w:rFonts w:ascii="Times New Roman;sans-serif" w:hAnsi="Times New Roman;sans-serif"/>
          <w:b/>
          <w:color w:val="000000"/>
          <w:sz w:val="28"/>
        </w:rPr>
      </w:pPr>
      <w:r>
        <w:rPr>
          <w:rFonts w:ascii="Times New Roman;sans-serif" w:hAnsi="Times New Roman;sans-serif"/>
          <w:b/>
          <w:color w:val="000000"/>
          <w:sz w:val="28"/>
        </w:rPr>
        <w:t xml:space="preserve">The Company </w:t>
      </w:r>
    </w:p>
    <w:p>
      <w:pPr>
        <w:pStyle w:val="TextBody"/>
        <w:bidi w:val="0"/>
        <w:spacing w:lineRule="auto" w:line="268" w:before="0" w:after="0"/>
        <w:ind w:left="0" w:right="0" w:firstLine="139"/>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LivePerson, Inc. </w:t>
      </w:r>
    </w:p>
    <w:p>
      <w:pPr>
        <w:pStyle w:val="TextBody"/>
        <w:bidi w:val="0"/>
        <w:spacing w:lineRule="auto" w:line="268" w:before="0" w:after="0"/>
        <w:ind w:left="0" w:right="0" w:firstLine="145"/>
        <w:jc w:val="left"/>
        <w:rPr/>
      </w:pPr>
      <w:r>
        <w:rPr>
          <w:rFonts w:ascii="Times New Roman;sans-serif" w:hAnsi="Times New Roman;sans-serif"/>
          <w:b w:val="false"/>
          <w:color w:val="000000"/>
          <w:sz w:val="24"/>
        </w:rPr>
        <w:t xml:space="preserve">Signature /s/ </w:t>
      </w:r>
      <w:r>
        <w:rPr>
          <w:rFonts w:ascii="Times New Roman;sans-serif" w:hAnsi="Times New Roman;sans-serif"/>
          <w:b w:val="false"/>
          <w:color w:val="000000"/>
          <w:sz w:val="24"/>
          <w:u w:val="single"/>
          <w:shd w:fill="FFFFFF" w:val="clear"/>
        </w:rPr>
        <w:t>Jill Layfield</w:t>
      </w:r>
      <w:r>
        <w:rPr>
          <w:rFonts w:ascii="Times New Roman;sans-serif" w:hAnsi="Times New Roman;sans-serif"/>
          <w:b w:val="false"/>
          <w:color w:val="000000"/>
          <w:sz w:val="24"/>
        </w:rPr>
        <w:t>______</w:t>
      </w:r>
    </w:p>
    <w:p>
      <w:pPr>
        <w:pStyle w:val="TextBody"/>
        <w:bidi w:val="0"/>
        <w:spacing w:before="0" w:after="0"/>
        <w:jc w:val="left"/>
        <w:rPr/>
      </w:pPr>
      <w:r>
        <w:rPr/>
      </w:r>
    </w:p>
    <w:p>
      <w:pPr>
        <w:pStyle w:val="TextBody"/>
        <w:bidi w:val="0"/>
        <w:spacing w:lineRule="auto" w:line="268" w:before="0" w:after="0"/>
        <w:ind w:left="0" w:right="0" w:firstLine="145"/>
        <w:jc w:val="left"/>
        <w:rPr/>
      </w:pPr>
      <w:r>
        <w:rPr>
          <w:rFonts w:ascii="Times New Roman;sans-serif" w:hAnsi="Times New Roman;sans-serif"/>
          <w:b w:val="false"/>
          <w:color w:val="000000"/>
          <w:sz w:val="24"/>
        </w:rPr>
        <w:t>Name __</w:t>
      </w:r>
      <w:r>
        <w:rPr>
          <w:rFonts w:ascii="Times New Roman;sans-serif" w:hAnsi="Times New Roman;sans-serif"/>
          <w:b w:val="false"/>
          <w:color w:val="000000"/>
          <w:sz w:val="24"/>
          <w:u w:val="single"/>
          <w:shd w:fill="FFFFFF" w:val="clear"/>
        </w:rPr>
        <w:t>Jill Layfield</w:t>
      </w:r>
      <w:r>
        <w:rPr>
          <w:rFonts w:ascii="Times New Roman;sans-serif" w:hAnsi="Times New Roman;sans-serif"/>
          <w:b w:val="false"/>
          <w:color w:val="000000"/>
          <w:sz w:val="24"/>
        </w:rPr>
        <w:t>__________</w:t>
      </w:r>
    </w:p>
    <w:p>
      <w:pPr>
        <w:pStyle w:val="TextBody"/>
        <w:bidi w:val="0"/>
        <w:spacing w:lineRule="auto" w:line="268" w:before="0" w:after="0"/>
        <w:ind w:left="0" w:right="0" w:firstLine="139"/>
        <w:jc w:val="left"/>
        <w:rPr>
          <w:rFonts w:ascii="Times New Roman;sans-serif" w:hAnsi="Times New Roman;sans-serif"/>
          <w:b w:val="false"/>
          <w:color w:val="000000"/>
          <w:sz w:val="24"/>
        </w:rPr>
      </w:pPr>
      <w:r>
        <w:rPr>
          <w:rFonts w:ascii="Times New Roman;sans-serif" w:hAnsi="Times New Roman;sans-serif"/>
          <w:b w:val="false"/>
          <w:color w:val="000000"/>
          <w:sz w:val="24"/>
        </w:rPr>
        <w:t>Address City, State Zip 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EXHIBIT A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LIST OF PRIOR INVENTIONS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AND ORIGINAL WORKS OF AUTHORSHIP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EXCLUDED FROM SECTION 5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Identifying Number or Brief Description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240"/>
        <w:jc w:val="center"/>
        <w:rPr/>
      </w:pPr>
      <w:r>
        <w:rPr/>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You should consult with an attorney before signing this release of claims.</w:t>
      </w:r>
    </w:p>
    <w:p>
      <w:pPr>
        <w:pStyle w:val="TextBody"/>
        <w:bidi w:val="0"/>
        <w:spacing w:lineRule="auto" w:line="276"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In consideration of the payments and benefits to be made under the Employment Agreement, dated as of December [ ], 2023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 by and between John Sabino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and LivePerson,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sufficiency of which the Executive acknowledges, the Executive, with the intention of binding the Executive and the Executive’s heirs, executors, administrators, and assigns, does hereby release, remise, acquit, and forever discharge the Company and each of its subsidiaries and Affiliates (the “</w:t>
      </w:r>
      <w:r>
        <w:rPr>
          <w:rFonts w:ascii="Times New Roman;sans-serif" w:hAnsi="Times New Roman;sans-serif"/>
          <w:b w:val="false"/>
          <w:color w:val="000000"/>
          <w:sz w:val="24"/>
          <w:u w:val="single"/>
        </w:rPr>
        <w:t>Company Affiliated Group</w:t>
      </w:r>
      <w:r>
        <w:rPr>
          <w:color w:val="000000"/>
        </w:rPr>
        <w:t>”</w:t>
      </w:r>
      <w:r>
        <w:rPr>
          <w:rFonts w:ascii="Times New Roman;sans-serif" w:hAnsi="Times New Roman;sans-serif"/>
          <w:b w:val="false"/>
          <w:color w:val="000000"/>
          <w:sz w:val="24"/>
        </w:rPr>
        <w:t>), their present and former officers, directors, executives, shareholders, agents, attorneys, employees, and employee benefit plans (and the fiduciaries thereof), and the successors, predecessors, and assigns of each of the foregoing (collectively, the “</w:t>
      </w:r>
      <w:r>
        <w:rPr>
          <w:rFonts w:ascii="Times New Roman;sans-serif" w:hAnsi="Times New Roman;sans-serif"/>
          <w:b w:val="false"/>
          <w:color w:val="000000"/>
          <w:sz w:val="24"/>
          <w:u w:val="single"/>
        </w:rPr>
        <w:t>Company Released Parties</w:t>
      </w:r>
      <w:r>
        <w:rPr>
          <w:color w:val="000000"/>
        </w:rPr>
        <w:t>”</w:t>
      </w:r>
      <w:r>
        <w:rPr>
          <w:rFonts w:ascii="Times New Roman;sans-serif" w:hAnsi="Times New Roman;sans-serif"/>
          <w:b w:val="false"/>
          <w:color w:val="000000"/>
          <w:sz w:val="24"/>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the Executive, individually or as a member of a class, now has, owns, or holds, or has at any time heretofore had, owned, or held, arising on or prior to the date hereof, against any Company Released Party that arises out of, or relates to, the Employment Agreement, the Executive’s employment with the Company or any of its subsidiaries and Affiliates, or any termination of such employment, including claims for (i) severance or vacation benefits, unpaid wages, salary, or incentive payments, (ii) breach of contract, wrongful discharge, impairment of economic opportunity, defamation, intentional infliction of emotional harm, or other tort, (iii) any violation of applicable state and local labor and employment laws (including, without limitation, all laws concerning unlawful and unfair labor and employment practices), and (iv) employment discrimination under any applicable federal, state, or local statute, provision, order, or regulation, and including, without limitation, any claim under Title VII of the Civil Rights Act of 1964 (“</w:t>
      </w:r>
      <w:r>
        <w:rPr>
          <w:rFonts w:ascii="Times New Roman;sans-serif" w:hAnsi="Times New Roman;sans-serif"/>
          <w:b w:val="false"/>
          <w:color w:val="000000"/>
          <w:sz w:val="24"/>
          <w:u w:val="single"/>
        </w:rPr>
        <w:t>Title VII</w:t>
      </w:r>
      <w:r>
        <w:rPr>
          <w:color w:val="000000"/>
        </w:rPr>
        <w:t>”</w:t>
      </w:r>
      <w:r>
        <w:rPr>
          <w:rFonts w:ascii="Times New Roman;sans-serif" w:hAnsi="Times New Roman;sans-serif"/>
          <w:b w:val="false"/>
          <w:color w:val="000000"/>
          <w:sz w:val="24"/>
        </w:rPr>
        <w:t>), the Civil Rights Act of 1988, the Fair Labor Standards Act, the Americans with Disabilities Act (“</w:t>
      </w:r>
      <w:r>
        <w:rPr>
          <w:rFonts w:ascii="Times New Roman;sans-serif" w:hAnsi="Times New Roman;sans-serif"/>
          <w:b w:val="false"/>
          <w:color w:val="000000"/>
          <w:sz w:val="24"/>
          <w:u w:val="single"/>
        </w:rPr>
        <w:t>ADA</w:t>
      </w:r>
      <w:r>
        <w:rPr>
          <w:color w:val="000000"/>
        </w:rPr>
        <w:t>”</w:t>
      </w:r>
      <w:r>
        <w:rPr>
          <w:rFonts w:ascii="Times New Roman;sans-serif" w:hAnsi="Times New Roman;sans-serif"/>
          <w:b w:val="false"/>
          <w:color w:val="000000"/>
          <w:sz w:val="24"/>
        </w:rPr>
        <w:t>), the Employee Retirement Income Security Act of 1974, as amended (“</w:t>
      </w:r>
      <w:r>
        <w:rPr>
          <w:rFonts w:ascii="Times New Roman;sans-serif" w:hAnsi="Times New Roman;sans-serif"/>
          <w:b w:val="false"/>
          <w:color w:val="000000"/>
          <w:sz w:val="24"/>
          <w:u w:val="single"/>
        </w:rPr>
        <w:t>ERISA</w:t>
      </w:r>
      <w:r>
        <w:rPr>
          <w:color w:val="000000"/>
        </w:rPr>
        <w:t>”</w:t>
      </w:r>
      <w:r>
        <w:rPr>
          <w:rFonts w:ascii="Times New Roman;sans-serif" w:hAnsi="Times New Roman;sans-serif"/>
          <w:b w:val="false"/>
          <w:color w:val="000000"/>
          <w:sz w:val="24"/>
        </w:rPr>
        <w:t>), the Age Discrimination in Employment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and any similar or analogous state statute, excepting only: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A.rights of the Executive arising under, or preserved by, this Release or Section 3.2 of the Employment Agreement;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right of the Executive to receive COBRA continuation coverage in accordance with applicable law;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C.claims for vested benefits under any health, disability, retirement, life insurance, or other similar welfare benefit plan (within the meaning of Section 3(3) of ERISA) of the Company Affiliated Group;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D.rights to indemnification that the Executive has or may have under the Employment Agreement, the by-laws, certificate of incorporation or other organizational document of any member of the Company Affiliated Group or as an insured under any director’s and officer’s liability insurance policy now or previously in force; and</w:t>
      </w:r>
    </w:p>
    <w:p>
      <w:pPr>
        <w:pStyle w:val="TextBody"/>
        <w:bidi w:val="0"/>
        <w:spacing w:before="0" w:after="24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E.the Executive’s rights as an equity holder in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Executive acknowledges and agrees that this Release is not to be construed in any way as an admission of any liability whatsoever by any Company Released Party, any such liability being expressly denied.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This Release applies to any relief no matter how called, including, without limitation, wages, back pay, front pay, compensatory damages, liquidated damages, punitive damages, damages for pain or suffering, costs, and attorneys’ fees and expenses.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The Executive specifically acknowledges that the Executive’s acceptance of the terms of this Release is, among other things, a specific waiver of the Executive’s rights, claims, and causes of action under Title VII, the ADEA, the ADA, and any state or local law or regulation in respect of discrimination of any kind, except that nothing herein should be deemed, nor does anything contained herein purport to be, a waiver of any right or claim or cause of action that by law the Executive is not permitted to waive. Nothing in this Release prevents the Executive from discussing or disclosing information about unlawful acts in the workplace, such as harassment or discrimination or any other conduct that the Executive has reason to believe is unlawful. In addition, nothing in this Release, or any Company policy or agreement, will prohibit the Executive from reporting suspected violations of law or regulation to any governmental agency (including the Equal Employment or Securities Exchange Commission), regulatory body, self-regulatory organization, or criminal or civil law enforcement agency (collectively, a “</w:t>
      </w:r>
      <w:r>
        <w:rPr>
          <w:rFonts w:ascii="Times New Roman;sans-serif" w:hAnsi="Times New Roman;sans-serif"/>
          <w:b w:val="false"/>
          <w:color w:val="000000"/>
          <w:sz w:val="24"/>
          <w:u w:val="single"/>
        </w:rPr>
        <w:t>Law Enforcement Entity</w:t>
      </w:r>
      <w:r>
        <w:rPr>
          <w:color w:val="000000"/>
        </w:rPr>
        <w:t>”</w:t>
      </w:r>
      <w:r>
        <w:rPr>
          <w:rFonts w:ascii="Times New Roman;sans-serif" w:hAnsi="Times New Roman;sans-serif"/>
          <w:b w:val="false"/>
          <w:color w:val="000000"/>
          <w:sz w:val="24"/>
        </w:rPr>
        <w:t>), from making any other disclosures that are protected under any law or regulation, or from participating or cooperating in any inquiry, investigation, or proceeding conducted by such Law Enforcement Entity, or to provide advance notice to the Company or obtain any authorization of the Company prior to doing so. Further, nothing in this Release will limit the Executive’s ability to consult with an attorney retained by the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 xml:space="preserve">The Executive acknowledges that the Executive has been given a period of </w:t>
      </w:r>
      <w:r>
        <w:rPr>
          <w:rFonts w:ascii="Times New Roman;sans-serif" w:hAnsi="Times New Roman;sans-serif"/>
          <w:b/>
          <w:color w:val="000000"/>
          <w:sz w:val="24"/>
        </w:rPr>
        <w:t xml:space="preserve">[twenty-one (21)] [forty-five (45)] </w:t>
      </w:r>
      <w:r>
        <w:rPr>
          <w:rFonts w:ascii="Times New Roman;sans-serif" w:hAnsi="Times New Roman;sans-serif"/>
          <w:b w:val="false"/>
          <w:color w:val="000000"/>
          <w:sz w:val="24"/>
        </w:rPr>
        <w:t>days to consider whether to execute this Release. If the Executive accepts the terms hereof and executes this Release, the Executive may thereafter, for a period of seven (7) days following (and not including) the date of execution, revoke this Release. If no such revocation occurs, this Release will become irrevocable in its entirety, and binding and enforceable against the Executive, on the day next following the day on which the foregoing seven-day period has elapsed. If such a revocation occurs, the Executive will irrevocably forfeit any right to payment of the entitlements set forth in Section 3.2 of the Employment Agreement, but the remainder of the Employment Agreement that survives the end of the Employment Period will continue in full force.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The Executive acknowledges that the Executive has been advised to seek, and has had the opportunity to seek, the advice and assistance of an attorney with regard to this Release, and has been given a sufficient period within which to consider this Release.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The Executive acknowledges that this Release relates only to claims that exist as of the date of this Release.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The Executive acknowledges that the severance payments and benefits the Executive is receiving in connection with this Release and the Executive’s obligations under this Release are in addition to anything of value to which the Executive is entitled from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 xml:space="preserve">For the avoidance of doubt, however, nothing in this Release is intended to constitute a waiver of any Company Released Party’s right to enforce any obligations of the Executive under the Employment Agreement that survive the Employment Agreement’s </w:t>
      </w:r>
    </w:p>
    <w:p>
      <w:pPr>
        <w:pStyle w:val="TextBody"/>
        <w:bidi w:val="0"/>
        <w:spacing w:before="0" w:after="24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including without limitation, any non-competition covenant, non-solicitation covenant, and any other restrictive covenants contained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 xml:space="preserve">Section 8 of the Employment Agreement is incorporated into this Release and made a part hereof,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before="0" w:after="0"/>
        <w:ind w:left="0" w:right="0" w:firstLine="1430"/>
        <w:jc w:val="both"/>
        <w:rPr/>
      </w:pPr>
      <w:r>
        <w:rPr/>
      </w:r>
    </w:p>
    <w:p>
      <w:pPr>
        <w:pStyle w:val="TextBody"/>
        <w:bidi w:val="0"/>
        <w:spacing w:lineRule="auto" w:line="276"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76" w:before="0" w:after="0"/>
        <w:jc w:val="both"/>
        <w:rPr/>
      </w:pPr>
      <w:r>
        <w:rPr>
          <w:color w:val="000000"/>
        </w:rPr>
        <w:t>    </w:t>
      </w:r>
      <w:r>
        <w:rPr>
          <w:rFonts w:ascii="Times New Roman;sans-serif" w:hAnsi="Times New Roman;sans-serif"/>
          <w:b w:val="false"/>
          <w:color w:val="000000"/>
          <w:sz w:val="24"/>
        </w:rPr>
        <w:t>IN WITNESS WHEREOF, this Release has been signed by or on behalf of the Executive as of [ ]</w:t>
      </w:r>
      <w:r>
        <w:rPr>
          <w:rFonts w:ascii="Times New Roman;sans-serif" w:hAnsi="Times New Roman;sans-serif"/>
          <w:b w:val="false"/>
          <w:color w:val="000000"/>
          <w:sz w:val="24"/>
          <w:u w:val="single"/>
        </w:rPr>
        <w:t>.</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76" w:before="0" w:after="0"/>
              <w:jc w:val="left"/>
              <w:rPr>
                <w:color w:val="000000"/>
                <w:u w:val="single"/>
              </w:rPr>
            </w:pPr>
            <w:r>
              <w:rPr>
                <w:color w:val="000000"/>
                <w:u w:val="single"/>
              </w:rPr>
              <w:t>    </w:t>
            </w:r>
          </w:p>
          <w:p>
            <w:pPr>
              <w:pStyle w:val="TableContents"/>
              <w:bidi w:val="0"/>
              <w:spacing w:lineRule="auto" w:line="276" w:before="0" w:after="0"/>
              <w:jc w:val="left"/>
              <w:rPr>
                <w:rFonts w:ascii="Times New Roman;sans-serif" w:hAnsi="Times New Roman;sans-serif"/>
                <w:b w:val="false"/>
                <w:color w:val="000000"/>
                <w:sz w:val="26"/>
              </w:rPr>
            </w:pPr>
            <w:r>
              <w:rPr>
                <w:rFonts w:ascii="Times New Roman;sans-serif" w:hAnsi="Times New Roman;sans-serif"/>
                <w:b w:val="false"/>
                <w:color w:val="000000"/>
                <w:sz w:val="26"/>
              </w:rPr>
              <w:t>Anthony John Sabino</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21.1</w:t>
      </w:r>
    </w:p>
    <w:p>
      <w:pPr>
        <w:pStyle w:val="TextBody"/>
        <w:bidi w:val="0"/>
        <w:spacing w:lineRule="auto" w:line="288" w:before="100" w:after="240"/>
        <w:jc w:val="center"/>
        <w:rPr>
          <w:rFonts w:ascii="Times New Roman;sans-serif" w:hAnsi="Times New Roman;sans-serif"/>
          <w:b/>
          <w:color w:val="000000"/>
          <w:sz w:val="20"/>
        </w:rPr>
      </w:pPr>
      <w:r>
        <w:rPr>
          <w:rFonts w:ascii="Times New Roman;sans-serif" w:hAnsi="Times New Roman;sans-serif"/>
          <w:b/>
          <w:color w:val="000000"/>
          <w:sz w:val="20"/>
        </w:rPr>
        <w:t>SUBSIDIARIES OF LIVEPERSON,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LivePerson Ltd. (formerly HumanClick Ltd.) — Israel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LivePerson Germany GmbH — Germany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LivePerson (UK) Ltd. — United Kingdom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LivePerson Netherlands B.V. — Netherlands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LivePerson Automotive, LLC (formerly Contact At Once!, LLC) — Georgia</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right"/>
        <w:rPr>
          <w:rFonts w:ascii="Times New Roman;sans-serif" w:hAnsi="Times New Roman;sans-serif"/>
          <w:b w:val="false"/>
          <w:color w:val="000000"/>
          <w:sz w:val="22"/>
        </w:rPr>
      </w:pPr>
      <w:r>
        <w:rPr>
          <w:rFonts w:ascii="Times New Roman;sans-serif" w:hAnsi="Times New Roman;sans-serif"/>
          <w:b w:val="false"/>
          <w:color w:val="000000"/>
          <w:sz w:val="22"/>
        </w:rPr>
        <w:t>Exhibit 23.1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LivePerson,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New York, New York</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hereby consent to the incorporation by reference in the Registration Statements on Form S-3 (No.'s 333-112018, 333-112019, 333-136249 and 333-147929) and Form S-8 (No.’s 333-275611, 333-264897, 333-261121, 333-258578, 333-245808, 333-234676, 333-229495, 333-224059, 333-34230, 333-147572, 333-159850, 333-168945, 333-194590 and 333-219573) of LivePerson, Inc. (the “Company”) of our reports dated March 4, 2024, relating to the consolidated financial statements, and the effectiveness of the Company’s internal control over financial reporting, which appears in this Annual Report on Form 10-K.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BDO USA, P.C.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New York, New York</w:t>
      </w:r>
    </w:p>
    <w:p>
      <w:pPr>
        <w:pStyle w:val="TextBody"/>
        <w:bidi w:val="0"/>
        <w:spacing w:before="0" w:after="0"/>
        <w:ind w:left="0" w:right="0" w:firstLine="27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Sabino,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LivePerson, Inc.;</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4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08"/>
        <w:gridCol w:w="208"/>
        <w:gridCol w:w="213"/>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Collins,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LivePerson, Inc.;</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9088"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(Principal Financial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John Sabino, Chief Executive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of the Company on Form 10-K for the period ended December 31, 2023,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91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08"/>
        <w:gridCol w:w="208"/>
        <w:gridCol w:w="213"/>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288"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32.2</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John Collins, Chief Financial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of the Company on Form 10-K for the period ended December 31, 2023,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9088"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(Principal Financial Officer)</w:t>
            </w:r>
          </w:p>
        </w:tc>
      </w:tr>
    </w:tbl>
    <w:p>
      <w:pPr>
        <w:pStyle w:val="TextBody"/>
        <w:bidi w:val="0"/>
        <w:spacing w:lineRule="auto" w:line="288"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
        <w:jc w:val="right"/>
        <w:rPr/>
      </w:pPr>
      <w:r>
        <w:rPr/>
      </w:r>
    </w:p>
    <w:p>
      <w:pPr>
        <w:pStyle w:val="TextBody"/>
        <w:bidi w:val="0"/>
        <w:spacing w:before="0" w:after="0"/>
        <w:ind w:left="0" w:right="0" w:hanging="2"/>
        <w:jc w:val="right"/>
        <w:rPr/>
      </w:pPr>
      <w:r>
        <w:rPr/>
      </w:r>
    </w:p>
    <w:p>
      <w:pPr>
        <w:pStyle w:val="TextBody"/>
        <w:bidi w:val="0"/>
        <w:spacing w:before="0" w:after="0"/>
        <w:ind w:left="0" w:right="0" w:hanging="2"/>
        <w:jc w:val="right"/>
        <w:rPr/>
      </w:pPr>
      <w:r>
        <w:rPr/>
      </w:r>
    </w:p>
    <w:p>
      <w:pPr>
        <w:pStyle w:val="TextBody"/>
        <w:bidi w:val="0"/>
        <w:spacing w:lineRule="auto" w:line="192" w:before="0" w:after="0"/>
        <w:ind w:left="0" w:right="0" w:hanging="2"/>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97.1</w:t>
      </w:r>
    </w:p>
    <w:p>
      <w:pPr>
        <w:pStyle w:val="TextBody"/>
        <w:bidi w:val="0"/>
        <w:spacing w:before="0" w:after="240"/>
        <w:ind w:left="0" w:right="0" w:hanging="2"/>
        <w:jc w:val="both"/>
        <w:rPr/>
      </w:pPr>
      <w:r>
        <w:rPr/>
        <w:drawing>
          <wp:inline distT="0" distB="0" distL="0" distR="0">
            <wp:extent cx="1504950" cy="228600"/>
            <wp:effectExtent l="0" t="0" r="0" b="0"/>
            <wp:docPr id="1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 descr=""/>
                    <pic:cNvPicPr>
                      <a:picLocks noChangeAspect="1" noChangeArrowheads="1"/>
                    </pic:cNvPicPr>
                  </pic:nvPicPr>
                  <pic:blipFill>
                    <a:blip r:embed="rId48"/>
                    <a:stretch>
                      <a:fillRect/>
                    </a:stretch>
                  </pic:blipFill>
                  <pic:spPr bwMode="auto">
                    <a:xfrm>
                      <a:off x="0" y="0"/>
                      <a:ext cx="1504950" cy="228600"/>
                    </a:xfrm>
                    <a:prstGeom prst="rect">
                      <a:avLst/>
                    </a:prstGeom>
                  </pic:spPr>
                </pic:pic>
              </a:graphicData>
            </a:graphic>
          </wp:inline>
        </w:drawing>
      </w:r>
    </w:p>
    <w:p>
      <w:pPr>
        <w:pStyle w:val="TextBody"/>
        <w:bidi w:val="0"/>
        <w:spacing w:lineRule="auto" w:line="240" w:before="0" w:after="240"/>
        <w:ind w:left="0" w:right="0" w:hanging="2"/>
        <w:jc w:val="center"/>
        <w:rPr>
          <w:rFonts w:ascii="Times New Roman;sans-serif" w:hAnsi="Times New Roman;sans-serif"/>
          <w:b/>
          <w:color w:val="000000"/>
          <w:sz w:val="22"/>
        </w:rPr>
      </w:pPr>
      <w:r>
        <w:rPr>
          <w:rFonts w:ascii="Times New Roman;sans-serif" w:hAnsi="Times New Roman;sans-serif"/>
          <w:b/>
          <w:color w:val="000000"/>
          <w:sz w:val="22"/>
        </w:rPr>
        <w:t xml:space="preserve">LIVEPERSON, INC. </w:t>
      </w:r>
    </w:p>
    <w:p>
      <w:pPr>
        <w:pStyle w:val="TextBody"/>
        <w:bidi w:val="0"/>
        <w:spacing w:lineRule="auto" w:line="240" w:before="0" w:after="0"/>
        <w:ind w:left="0" w:right="0" w:hanging="2"/>
        <w:jc w:val="center"/>
        <w:rPr>
          <w:rFonts w:ascii="Times New Roman;sans-serif" w:hAnsi="Times New Roman;sans-serif"/>
          <w:b/>
          <w:color w:val="000000"/>
          <w:sz w:val="22"/>
        </w:rPr>
      </w:pPr>
      <w:r>
        <w:rPr>
          <w:rFonts w:ascii="Times New Roman;sans-serif" w:hAnsi="Times New Roman;sans-serif"/>
          <w:b/>
          <w:color w:val="000000"/>
          <w:sz w:val="22"/>
        </w:rPr>
        <w:t>AMENDED &amp; RESTATED OMNIBUS CLAWBACK POLICY</w:t>
      </w:r>
    </w:p>
    <w:p>
      <w:pPr>
        <w:pStyle w:val="TextBody"/>
        <w:bidi w:val="0"/>
        <w:spacing w:before="0" w:after="0"/>
        <w:ind w:left="0" w:right="0" w:hanging="1"/>
        <w:jc w:val="center"/>
        <w:rPr/>
      </w:pPr>
      <w:r>
        <w:rPr/>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w:t>
      </w:r>
      <w:r>
        <w:rPr>
          <w:rFonts w:ascii="Times New Roman;sans-serif" w:hAnsi="Times New Roman;sans-serif"/>
          <w:b/>
          <w:color w:val="000000"/>
          <w:sz w:val="22"/>
          <w:u w:val="single"/>
        </w:rPr>
        <w:t>Purpose</w:t>
      </w:r>
      <w:r>
        <w:rPr>
          <w:rFonts w:ascii="Times New Roman;sans-serif" w:hAnsi="Times New Roman;sans-serif"/>
          <w:b w:val="false"/>
          <w:color w:val="000000"/>
          <w:sz w:val="22"/>
        </w:rPr>
        <w:t>. The Board of Directors (the “</w:t>
      </w:r>
      <w:r>
        <w:rPr>
          <w:rFonts w:ascii="Times New Roman;sans-serif" w:hAnsi="Times New Roman;sans-serif"/>
          <w:b w:val="false"/>
          <w:color w:val="000000"/>
          <w:sz w:val="22"/>
          <w:u w:val="single"/>
        </w:rPr>
        <w:t>Board</w:t>
      </w:r>
      <w:r>
        <w:rPr>
          <w:color w:val="000000"/>
        </w:rPr>
        <w:t>”</w:t>
      </w:r>
      <w:r>
        <w:rPr>
          <w:rFonts w:ascii="Times New Roman;sans-serif" w:hAnsi="Times New Roman;sans-serif"/>
          <w:b w:val="false"/>
          <w:color w:val="000000"/>
          <w:sz w:val="22"/>
        </w:rPr>
        <w:t>) of LivePerson,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sans-serif" w:hAnsi="Times New Roman;sans-serif"/>
          <w:b w:val="false"/>
          <w:color w:val="000000"/>
          <w:sz w:val="22"/>
          <w:u w:val="single"/>
        </w:rPr>
        <w:t>Policy</w:t>
      </w:r>
      <w:r>
        <w:rPr>
          <w:color w:val="000000"/>
        </w:rPr>
        <w:t>”</w:t>
      </w:r>
      <w:r>
        <w:rPr>
          <w:rFonts w:ascii="Times New Roman;sans-serif" w:hAnsi="Times New Roman;sans-serif"/>
          <w:b w:val="false"/>
          <w:color w:val="000000"/>
          <w:sz w:val="22"/>
        </w:rPr>
        <w:t>).</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2.</w:t>
      </w:r>
      <w:r>
        <w:rPr>
          <w:rFonts w:ascii="Times New Roman;sans-serif" w:hAnsi="Times New Roman;sans-serif"/>
          <w:b/>
          <w:color w:val="000000"/>
          <w:sz w:val="22"/>
          <w:u w:val="single"/>
        </w:rPr>
        <w:t>Definitions</w:t>
      </w:r>
      <w:r>
        <w:rPr>
          <w:rFonts w:ascii="Times New Roman;sans-serif" w:hAnsi="Times New Roman;sans-serif"/>
          <w:b w:val="false"/>
          <w:color w:val="000000"/>
          <w:sz w:val="22"/>
        </w:rPr>
        <w:t>.</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a.</w:t>
      </w:r>
      <w:r>
        <w:rPr>
          <w:color w:val="000000"/>
        </w:rPr>
        <w:t>“</w:t>
      </w:r>
      <w:r>
        <w:rPr>
          <w:rFonts w:ascii="Times New Roman;sans-serif" w:hAnsi="Times New Roman;sans-serif"/>
          <w:b w:val="false"/>
          <w:color w:val="000000"/>
          <w:sz w:val="22"/>
          <w:u w:val="single"/>
        </w:rPr>
        <w:t>Accounting Restatement Date</w:t>
      </w:r>
      <w:r>
        <w:rPr>
          <w:color w:val="000000"/>
        </w:rPr>
        <w:t xml:space="preserve">” </w:t>
      </w:r>
      <w:r>
        <w:rPr>
          <w:rFonts w:ascii="Times New Roman;sans-serif" w:hAnsi="Times New Roman;sans-serif"/>
          <w:b w:val="false"/>
          <w:color w:val="000000"/>
          <w:sz w:val="22"/>
        </w:rPr>
        <w:t>means the earlier to occur of (i) the date on which the Board, or the officers of the Company authorized to take action if Board action is not required, concludes, or reasonably should have concluded, that the Company is required to prepare an Accounting Restatement and (ii) the date on which any court, regulator, or other legally authorized body directs the Company to prepare an Accounting Restatement, in either case, regardless of whether or when the restated financial statements are filed with the SEC.</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2"/>
          <w:u w:val="single"/>
        </w:rPr>
        <w:t>Clawback Period</w:t>
      </w:r>
      <w:r>
        <w:rPr>
          <w:color w:val="000000"/>
        </w:rPr>
        <w:t xml:space="preserve">” </w:t>
      </w:r>
      <w:r>
        <w:rPr>
          <w:rFonts w:ascii="Times New Roman;sans-serif" w:hAnsi="Times New Roman;sans-serif"/>
          <w:b w:val="false"/>
          <w:color w:val="000000"/>
          <w:sz w:val="22"/>
        </w:rPr>
        <w:t>means the three completed fiscal years immediately preceding the Accounting Restatement Date as well as any transition period that results from a change in the Company’s fiscal year within or immediately following those three completed fiscal years; provided, that a transition period lasting nine months or longer will count as a completed fiscal year for purposes determining the Clawback Period.</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c.</w:t>
      </w:r>
      <w:r>
        <w:rPr>
          <w:color w:val="000000"/>
        </w:rPr>
        <w:t>“</w:t>
      </w:r>
      <w:r>
        <w:rPr>
          <w:rFonts w:ascii="Times New Roman;sans-serif" w:hAnsi="Times New Roman;sans-serif"/>
          <w:b w:val="false"/>
          <w:color w:val="000000"/>
          <w:sz w:val="22"/>
          <w:u w:val="single"/>
        </w:rPr>
        <w:t>Covered Executives”</w:t>
      </w:r>
      <w:r>
        <w:rPr>
          <w:color w:val="000000"/>
        </w:rPr>
        <w:t xml:space="preserve"> </w:t>
      </w:r>
      <w:r>
        <w:rPr>
          <w:rFonts w:ascii="Times New Roman;sans-serif" w:hAnsi="Times New Roman;sans-serif"/>
          <w:b w:val="false"/>
          <w:color w:val="000000"/>
          <w:sz w:val="22"/>
        </w:rPr>
        <w:t>means the Company’s president, chief executive officer, principal financial officer, and principal accounting officer (or, if there is no such accounting officer, the controller), any vice-president of the Company in charge of a principal business unit, division, or function (such as sales, administration, or finance), any other officer of the Company who performs a policy-making function, and any other person who performs similar policy-making functions for the Company. An executive officer of the Company’s parent(s) or subsidiaries is deemed to be a Covered Executive if the executive officer performs policy-making functions for the Company. For purposes of this definition, policy-making functions are not intended to include policy-making functions that are not significant, and identification of a Covered Executive for purposes of this definition would include the minimum executive officers identified pursuant to Item 401(b) of Regulation S-K.</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2"/>
          <w:u w:val="single"/>
        </w:rPr>
        <w:t>Financial Reporting Measures</w:t>
      </w:r>
      <w:r>
        <w:rPr>
          <w:color w:val="000000"/>
        </w:rPr>
        <w:t xml:space="preserve">” </w:t>
      </w:r>
      <w:r>
        <w:rPr>
          <w:rFonts w:ascii="Times New Roman;sans-serif" w:hAnsi="Times New Roman;sans-serif"/>
          <w:b w:val="false"/>
          <w:color w:val="000000"/>
          <w:sz w:val="22"/>
        </w:rPr>
        <w:t>means any measures that are determined and presented in accordance with the accounting principles used in the Company’s financial statements, and any measures that are derived wholly or in part from such measures. Stock price and total shareholder return are also Financial Reporting Measures. A Financial Reporting Measure need not be presented within the Company’s financial statements or included in a filing with the SEC to be considered a Financial Reporting Measure.</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e.</w:t>
      </w:r>
      <w:r>
        <w:rPr>
          <w:color w:val="000000"/>
        </w:rPr>
        <w:t>“</w:t>
      </w:r>
      <w:r>
        <w:rPr>
          <w:rFonts w:ascii="Times New Roman;sans-serif" w:hAnsi="Times New Roman;sans-serif"/>
          <w:b w:val="false"/>
          <w:color w:val="000000"/>
          <w:sz w:val="22"/>
          <w:u w:val="single"/>
        </w:rPr>
        <w:t>Incentive-Based Compensation</w:t>
      </w:r>
      <w:r>
        <w:rPr>
          <w:color w:val="000000"/>
        </w:rPr>
        <w:t xml:space="preserve">” </w:t>
      </w:r>
      <w:r>
        <w:rPr>
          <w:rFonts w:ascii="Times New Roman;sans-serif" w:hAnsi="Times New Roman;sans-serif"/>
          <w:b w:val="false"/>
          <w:color w:val="000000"/>
          <w:sz w:val="22"/>
        </w:rPr>
        <w:t>means any compensation (in any form, including without limitation cash or equity) that is granted, earned, or vested based wholly or in part upon the attainment of a Financial Reporting Measure.</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f.</w:t>
      </w:r>
      <w:r>
        <w:rPr>
          <w:color w:val="000000"/>
        </w:rPr>
        <w:t>“</w:t>
      </w:r>
      <w:r>
        <w:rPr>
          <w:rFonts w:ascii="Times New Roman;sans-serif" w:hAnsi="Times New Roman;sans-serif"/>
          <w:b w:val="false"/>
          <w:color w:val="000000"/>
          <w:sz w:val="22"/>
          <w:u w:val="single"/>
        </w:rPr>
        <w:t>Received</w:t>
      </w:r>
      <w:r>
        <w:rPr>
          <w:color w:val="000000"/>
        </w:rPr>
        <w:t xml:space="preserve">” </w:t>
      </w:r>
      <w:r>
        <w:rPr>
          <w:rFonts w:ascii="Times New Roman;sans-serif" w:hAnsi="Times New Roman;sans-serif"/>
          <w:b w:val="false"/>
          <w:color w:val="000000"/>
          <w:sz w:val="22"/>
        </w:rPr>
        <w:t>means, with respect to Incentive-Based Compensation, actual or deemed receipt of such compensation, and Incentive-Based Compensation will be deemed Received by a Covered Executive in the Company’s fiscal period during which the Financial Reporting Measure specified in the Incentive-Based Compensation award is attained, even if the payment or grant of such Incentive-Based Compensation occurs after the end of that period. For the avoidance of doubt, Incentive-Based Compensation that is subject to deferral pursuant to a deferred compensation plan of the Company will be deemed Received by the Covered Executive for purposes of this Policy as of the date of deferral.</w:t>
      </w:r>
    </w:p>
    <w:p>
      <w:pPr>
        <w:pStyle w:val="TextBody"/>
        <w:bidi w:val="0"/>
        <w:spacing w:lineRule="auto" w:line="276" w:before="0" w:after="240"/>
        <w:ind w:left="0" w:right="0" w:hanging="2"/>
        <w:jc w:val="left"/>
        <w:rPr/>
      </w:pPr>
      <w:r>
        <w:rPr>
          <w:rFonts w:ascii="Times New Roman;sans-serif" w:hAnsi="Times New Roman;sans-serif"/>
          <w:b w:val="false"/>
          <w:color w:val="000000"/>
          <w:sz w:val="20"/>
        </w:rPr>
        <w:t>g.</w:t>
      </w: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that U.S. Securities and Exchange Commission.</w:t>
      </w:r>
    </w:p>
    <w:p>
      <w:pPr>
        <w:pStyle w:val="TextBody"/>
        <w:bidi w:val="0"/>
        <w:spacing w:lineRule="auto" w:line="276" w:before="0" w:after="240"/>
        <w:ind w:left="0" w:right="0" w:hanging="2"/>
        <w:jc w:val="left"/>
        <w:rPr/>
      </w:pPr>
      <w:r>
        <w:rPr>
          <w:rFonts w:ascii="Times New Roman;sans-serif" w:hAnsi="Times New Roman;sans-serif"/>
          <w:b w:val="false"/>
          <w:color w:val="000000"/>
          <w:sz w:val="20"/>
        </w:rPr>
        <w:t>h.</w:t>
      </w:r>
      <w:r>
        <w:rPr>
          <w:color w:val="000000"/>
        </w:rPr>
        <w:t>“</w:t>
      </w:r>
      <w:r>
        <w:rPr>
          <w:rFonts w:ascii="Times New Roman;sans-serif" w:hAnsi="Times New Roman;sans-serif"/>
          <w:b w:val="false"/>
          <w:color w:val="000000"/>
          <w:sz w:val="22"/>
          <w:u w:val="single"/>
        </w:rPr>
        <w:t>Stock 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3.</w:t>
      </w:r>
      <w:r>
        <w:rPr>
          <w:rFonts w:ascii="Times New Roman;sans-serif" w:hAnsi="Times New Roman;sans-serif"/>
          <w:b/>
          <w:color w:val="000000"/>
          <w:sz w:val="22"/>
          <w:u w:val="single"/>
        </w:rPr>
        <w:t>Administration</w:t>
      </w:r>
      <w:r>
        <w:rPr>
          <w:rFonts w:ascii="Times New Roman;sans-serif" w:hAnsi="Times New Roman;sans-serif"/>
          <w:b w:val="false"/>
          <w:color w:val="000000"/>
          <w:sz w:val="22"/>
        </w:rPr>
        <w:t>. This Policy shall be administered by the Board or, if so designated by the Board, the Compensation Committee of the Board (the “</w:t>
      </w:r>
      <w:r>
        <w:rPr>
          <w:rFonts w:ascii="Times New Roman;sans-serif" w:hAnsi="Times New Roman;sans-serif"/>
          <w:b w:val="false"/>
          <w:color w:val="000000"/>
          <w:sz w:val="22"/>
          <w:u w:val="single"/>
        </w:rPr>
        <w:t>Committee</w:t>
      </w:r>
      <w:r>
        <w:rPr>
          <w:color w:val="000000"/>
        </w:rPr>
        <w:t>”</w:t>
      </w:r>
      <w:r>
        <w:rPr>
          <w:rFonts w:ascii="Times New Roman;sans-serif" w:hAnsi="Times New Roman;sans-serif"/>
          <w:b w:val="false"/>
          <w:color w:val="000000"/>
          <w:sz w:val="22"/>
        </w:rPr>
        <w:t>), in which case references herein to the Board shall be deemed references to the Committee. Any determinations made by the Board shall be final and binding on all affected individuals. The Board may consult with the Audit Committee of the Board in evaluating any determinations made pursuant to this Policy. Any action or inaction by the Committee with respect to a Covered Executive (as defined below) under this Policy in no way limits the Committee’s actions or decisions not to act with respect to any other Covered Executive under this Policy or under any similar policy, agreement, or arrangement, nor will any such action or inaction serve as a waiver of any rights that the Company may have against any Covered Executive, other than as set forth in this Policy.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4.</w:t>
      </w:r>
      <w:r>
        <w:rPr>
          <w:rFonts w:ascii="Times New Roman;sans-serif" w:hAnsi="Times New Roman;sans-serif"/>
          <w:b/>
          <w:color w:val="000000"/>
          <w:sz w:val="22"/>
          <w:u w:val="single"/>
        </w:rPr>
        <w:t>Scope of Application</w:t>
      </w:r>
      <w:r>
        <w:rPr>
          <w:rFonts w:ascii="Times New Roman;sans-serif" w:hAnsi="Times New Roman;sans-serif"/>
          <w:b w:val="false"/>
          <w:color w:val="000000"/>
          <w:sz w:val="22"/>
        </w:rPr>
        <w:t>. This Policy applies to Incentive-Based Compensation Received by a Covered Executive on or after the Effective Date and during any applicable Clawback Period if (a) such Incentive-Based Compensation was Received by the Covered Executive after beginning service as a Covered Executive, (b) the Covered Executive served as a Covered Executive at any time during the performance period for such Incentive-Based Compensation, and (c) the Incentive-Based Compensation was Received by the Covered Executive while the Company had a class of securities listed on a national securities exchange or a national securities association</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5.</w:t>
      </w:r>
      <w:r>
        <w:rPr>
          <w:rFonts w:ascii="Times New Roman;sans-serif" w:hAnsi="Times New Roman;sans-serif"/>
          <w:b/>
          <w:color w:val="000000"/>
          <w:sz w:val="22"/>
          <w:u w:val="single"/>
        </w:rPr>
        <w:t>Recoupment; Accounting Restatement</w:t>
      </w:r>
      <w:r>
        <w:rPr>
          <w:rFonts w:ascii="Times New Roman;sans-serif" w:hAnsi="Times New Roman;sans-serif"/>
          <w:b w:val="false"/>
          <w:color w:val="000000"/>
          <w:sz w:val="22"/>
        </w:rPr>
        <w:t>. In the event the Board determines that the Company is required to prepare an accounting restatement of its financial statements due to the Company’s material noncompliance with any financial reporting requirement under the federal securities laws, including any required restatement to correct an error in the Company’s previously issued financial statements (i) that is material to the previously issued financial statements (i.e., a “Big R” restatement), or (ii) that would result in a material misstatement if the error were corrected in the current period or left uncorrected in the current period (i.e., a “little r” restatement) (“</w:t>
      </w:r>
      <w:r>
        <w:rPr>
          <w:rFonts w:ascii="Times New Roman;sans-serif" w:hAnsi="Times New Roman;sans-serif"/>
          <w:b w:val="false"/>
          <w:color w:val="000000"/>
          <w:sz w:val="22"/>
          <w:u w:val="single"/>
        </w:rPr>
        <w:t>Accounting Restatement</w:t>
      </w:r>
      <w:r>
        <w:rPr>
          <w:color w:val="000000"/>
        </w:rPr>
        <w:t>”</w:t>
      </w:r>
      <w:r>
        <w:rPr>
          <w:rFonts w:ascii="Times New Roman;sans-serif" w:hAnsi="Times New Roman;sans-serif"/>
          <w:b w:val="false"/>
          <w:color w:val="000000"/>
          <w:sz w:val="22"/>
        </w:rPr>
        <w:t>), the Company must recover (and each Covered Executive must repay), reasonably promptly, reimbursement or forfeiture of any excess Incentive-Based Compensation Received by any Covered Executive during the Clawback Period, except as provided in Section 8 of this Policy. The Company may recover excess Incentive-Based Compensation in any manner set forth in Section 7 of this Policy.</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6.</w:t>
      </w:r>
      <w:r>
        <w:rPr>
          <w:rFonts w:ascii="Times New Roman;sans-serif" w:hAnsi="Times New Roman;sans-serif"/>
          <w:b/>
          <w:color w:val="000000"/>
          <w:sz w:val="22"/>
          <w:u w:val="single"/>
        </w:rPr>
        <w:t>Excess Incentive-Based Compensation: Amount Subject to Recovery</w:t>
      </w:r>
      <w:r>
        <w:rPr>
          <w:rFonts w:ascii="Times New Roman;sans-serif" w:hAnsi="Times New Roman;sans-serif"/>
          <w:b w:val="false"/>
          <w:color w:val="000000"/>
          <w:sz w:val="22"/>
        </w:rPr>
        <w:t xml:space="preserve">. The amount to be recovered pursuant to this Policy will be the excess of the Incentive-Based Compensation paid to the Covered Executive based on the erroneous data over the Incentive-Based Compensation that would have been paid to the Covered Executive had it been based on the restated results in the Accounting Restatement, as determined by the Board based on all applicable facts and circumstances (including, without limitation, as the time value of money, the gross amount of dividends or other distributions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2    </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2    </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Received by the Covered Executive in respect of the Incentive-Based Compensation, and any gain realized by the Covered Executive upon the subsequent disposition of any property Received in connection with any Incentive-Based Compensation); provided, that (i) the amount to be recovered must be computed without regard to any taxes paid by such Covered Executive, and (ii) for Incentive-Based Compensation Received by a Covered Executive based on stock price or total shareholder return, where the amount of erroneously awarded Incentive-Based Compensation is not subject to mathematical recalculation directly from the information in the Accounting Restatement, (A) the amount of Incentive-Based Compensation to be recovered under this Section 8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The Nasdaq Stock Market.</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7.</w:t>
      </w:r>
      <w:r>
        <w:rPr>
          <w:rFonts w:ascii="Times New Roman;sans-serif" w:hAnsi="Times New Roman;sans-serif"/>
          <w:b/>
          <w:color w:val="000000"/>
          <w:sz w:val="22"/>
          <w:u w:val="single"/>
        </w:rPr>
        <w:t>Method of Recoupment</w:t>
      </w:r>
      <w:r>
        <w:rPr>
          <w:rFonts w:ascii="Times New Roman;sans-serif" w:hAnsi="Times New Roman;sans-serif"/>
          <w:b w:val="false"/>
          <w:color w:val="000000"/>
          <w:sz w:val="22"/>
        </w:rPr>
        <w:t>. The Board will determine, in its sole discretion, the timing and method for recouping Incentive-Based Compensation hereunder which may include, without limitation:</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requiring reimbursement of cash Incentive-Based Compensation previously paid;</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b.</w:t>
      </w:r>
      <w:r>
        <w:rPr>
          <w:rFonts w:ascii="Times New Roman;sans-serif" w:hAnsi="Times New Roman;sans-serif"/>
          <w:b w:val="false"/>
          <w:color w:val="000000"/>
          <w:sz w:val="22"/>
        </w:rPr>
        <w:t>seeking recovery of any gain realized on the vesting, exercise, settlement, sale, transfer or other disposition of any equity-based awards;</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c.</w:t>
      </w:r>
      <w:r>
        <w:rPr>
          <w:rFonts w:ascii="Times New Roman;sans-serif" w:hAnsi="Times New Roman;sans-serif"/>
          <w:b w:val="false"/>
          <w:color w:val="000000"/>
          <w:sz w:val="22"/>
        </w:rPr>
        <w:t>offsetting the recouped amount from any compensation otherwise owed by the Company to the Covered Executive;</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d.</w:t>
      </w:r>
      <w:r>
        <w:rPr>
          <w:rFonts w:ascii="Times New Roman;sans-serif" w:hAnsi="Times New Roman;sans-serif"/>
          <w:b w:val="false"/>
          <w:color w:val="000000"/>
          <w:sz w:val="22"/>
        </w:rPr>
        <w:t>cancelling outstanding vested or unvested equity awards; and/or</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e.</w:t>
      </w:r>
      <w:r>
        <w:rPr>
          <w:rFonts w:ascii="Times New Roman;sans-serif" w:hAnsi="Times New Roman;sans-serif"/>
          <w:b w:val="false"/>
          <w:color w:val="000000"/>
          <w:sz w:val="22"/>
        </w:rPr>
        <w:t>taking any other remedial and recovery action permitted by law, as determined by the Board.</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8.</w:t>
      </w:r>
      <w:r>
        <w:rPr>
          <w:rFonts w:ascii="Times New Roman;sans-serif" w:hAnsi="Times New Roman;sans-serif"/>
          <w:b/>
          <w:color w:val="000000"/>
          <w:sz w:val="22"/>
          <w:u w:val="single"/>
        </w:rPr>
        <w:t>Clawback Requirement; Impracticability</w:t>
      </w:r>
      <w:r>
        <w:rPr>
          <w:rFonts w:ascii="Times New Roman;sans-serif" w:hAnsi="Times New Roman;sans-serif"/>
          <w:b w:val="false"/>
          <w:color w:val="000000"/>
          <w:sz w:val="22"/>
        </w:rPr>
        <w:t xml:space="preserve">. If the Company is required to prepare an Accounting Restatement, the Company must recover (and each Covered Executive must repay), reasonably promptly, each Covered Executive’s erroneously awarded Incentive-Based Compensation, except as provided in the remainder of this section. The Committee or, if the determination is made by the Board, a majority of the independent directors serving on the Board, shall not seek to recover any excess Incentive-Based Compensation in accordance with this Policy if the Board determines that such recovery would be impracticable and that one or more of the following applies: </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 xml:space="preserve">the direct expense paid to a third party to assist in enforcing this Policy would exceed the amount of excess Incentive-Based Compensation;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before concluding that it would be impracticable to recover any excess Incentive-Based Compensation based on expense of enforcement, the Company must (i) make a reasonable attempt to recover such excess Incentive-Based Compensation, (ii) document such reasonable attempt to recover, and (iii) provide that documentation to the Stock Exchange;</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recovery would violate home country law where that law was adopted prior to November 28, 2022;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before concluding that it would be impracticable to recoup compensation based on violation of home country law, the Company must (i) obtain an opinion of home country counsel, acceptable to the Stock Exchange, that recovery would result in such a violation and (ii) provide such opinion to the Stock Exchange; or</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c.</w:t>
      </w:r>
      <w:r>
        <w:rPr>
          <w:rFonts w:ascii="Times New Roman;sans-serif" w:hAnsi="Times New Roman;sans-serif"/>
          <w:b w:val="false"/>
          <w:color w:val="000000"/>
          <w:sz w:val="22"/>
        </w:rPr>
        <w:t>recovery would likely cause an otherwise tax-qualified retirement plan, under which benefits are broadly available to employees of the Company, to fail to meet the requirements of Section 401(a)(13) of the Code or Section 411(a) of the Code.</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3    </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3    </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9.</w:t>
      </w:r>
      <w:r>
        <w:rPr>
          <w:rFonts w:ascii="Times New Roman;sans-serif" w:hAnsi="Times New Roman;sans-serif"/>
          <w:b/>
          <w:color w:val="000000"/>
          <w:sz w:val="22"/>
          <w:u w:val="single"/>
        </w:rPr>
        <w:t>Required Disclosures</w:t>
      </w:r>
      <w:r>
        <w:rPr>
          <w:rFonts w:ascii="Times New Roman;sans-serif" w:hAnsi="Times New Roman;sans-serif"/>
          <w:b w:val="false"/>
          <w:color w:val="000000"/>
          <w:sz w:val="22"/>
        </w:rPr>
        <w:t>. The Company will file all disclosures with respect to this Policy in accordance with the requirements of the federal securities laws, including any disclosures required by the SEC.</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10.</w:t>
      </w:r>
      <w:r>
        <w:rPr>
          <w:rFonts w:ascii="Times New Roman;sans-serif" w:hAnsi="Times New Roman;sans-serif"/>
          <w:b/>
          <w:color w:val="000000"/>
          <w:sz w:val="22"/>
          <w:u w:val="single"/>
        </w:rPr>
        <w:t>No Indemnification</w:t>
      </w:r>
      <w:r>
        <w:rPr>
          <w:rFonts w:ascii="Times New Roman;sans-serif" w:hAnsi="Times New Roman;sans-serif"/>
          <w:b w:val="false"/>
          <w:color w:val="000000"/>
          <w:sz w:val="22"/>
        </w:rPr>
        <w:t>. Notwithstanding the terms of any indemnification arrangement or insurance policy or contract with, or for the benefit of, any Covered Executive, the Company shall not indemnify any Covered Executives against the loss of any incorrectly awarded or recovered or forfeited Incentive-Based Compensation, including any payment or reimbursement for the cost of third-party insurance purchased by any Covered Executive to fund potential clawback obligations under this Policy, or against the requirement to reimburse the Company hereunder for expenses incurred by the Company in recovering compensation.</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11.</w:t>
      </w:r>
      <w:r>
        <w:rPr>
          <w:rFonts w:ascii="Times New Roman;sans-serif" w:hAnsi="Times New Roman;sans-serif"/>
          <w:b/>
          <w:color w:val="000000"/>
          <w:sz w:val="22"/>
          <w:u w:val="single"/>
        </w:rPr>
        <w:t>Interpretation</w:t>
      </w:r>
      <w:r>
        <w:rPr>
          <w:rFonts w:ascii="Times New Roman;sans-serif" w:hAnsi="Times New Roman;sans-serif"/>
          <w:b w:val="false"/>
          <w:color w:val="000000"/>
          <w:sz w:val="22"/>
        </w:rPr>
        <w:t>. The Board is authorized to interpret and construe this Policy and to make all determinations necessary, appropriate or advisable for the administration of this Policy. It is intended that this Policy be interpreted in a manner that is consistent with any applicable rules or standards adopted by the Securities and Exchange Commission or any national securities exchange on which the Company’s securities are listed (the “</w:t>
      </w:r>
      <w:r>
        <w:rPr>
          <w:rFonts w:ascii="Times New Roman;sans-serif" w:hAnsi="Times New Roman;sans-serif"/>
          <w:b w:val="false"/>
          <w:color w:val="000000"/>
          <w:sz w:val="22"/>
          <w:u w:val="single"/>
        </w:rPr>
        <w:t>Applicable Rules</w:t>
      </w:r>
      <w:r>
        <w:rPr>
          <w:color w:val="000000"/>
        </w:rPr>
        <w:t>”</w:t>
      </w:r>
      <w:r>
        <w:rPr>
          <w:rFonts w:ascii="Times New Roman;sans-serif" w:hAnsi="Times New Roman;sans-serif"/>
          <w:b w:val="false"/>
          <w:color w:val="000000"/>
          <w:sz w:val="22"/>
        </w:rPr>
        <w:t xml:space="preserve">). To the extent the Applicable Rules require recovery of Incentive-Based Compensation in additional circumstances besides those specified in this Policy, nothing in this Policy shall be deemed to limit or restrict the right or obligation of the Company to recover Incentive-Based Compensation to the fullest extent required by the Applicable Rules. </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12.</w:t>
      </w:r>
      <w:r>
        <w:rPr>
          <w:rFonts w:ascii="Times New Roman;sans-serif" w:hAnsi="Times New Roman;sans-serif"/>
          <w:b/>
          <w:color w:val="000000"/>
          <w:sz w:val="22"/>
          <w:u w:val="single"/>
        </w:rPr>
        <w:t>Effective Date</w:t>
      </w:r>
      <w:r>
        <w:rPr>
          <w:rFonts w:ascii="Times New Roman;sans-serif" w:hAnsi="Times New Roman;sans-serif"/>
          <w:b w:val="false"/>
          <w:color w:val="000000"/>
          <w:sz w:val="22"/>
        </w:rPr>
        <w:t>. This Policy was adopted by the Board on November 29, 2023 and shall be effective as of October 2, 2023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The terms and conditions of this Policy will apply to Incentive-Based Compensation that is Received by any Covered Executive on or after the Effective Date, even if such Incentive-Based Compensation was approved, awarded, or granted to the Covered Executive prior to the Effective Date.</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13.</w:t>
      </w:r>
      <w:r>
        <w:rPr>
          <w:rFonts w:ascii="Times New Roman;sans-serif" w:hAnsi="Times New Roman;sans-serif"/>
          <w:b/>
          <w:color w:val="000000"/>
          <w:sz w:val="22"/>
          <w:u w:val="single"/>
        </w:rPr>
        <w:t>Amendment; Termination</w:t>
      </w:r>
      <w:r>
        <w:rPr>
          <w:rFonts w:ascii="Times New Roman;sans-serif" w:hAnsi="Times New Roman;sans-serif"/>
          <w:b w:val="false"/>
          <w:color w:val="000000"/>
          <w:sz w:val="22"/>
        </w:rPr>
        <w:t>. The Board may amend this Policy from time to time in its discretion and shall amend this Policy to comply with any rules or standards adopted by a national securities exchange on which the Company’s securities are listed. The Board may suspend, discontinue or terminate this Policy at any time.</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14.</w:t>
      </w:r>
      <w:r>
        <w:rPr>
          <w:rFonts w:ascii="Times New Roman;sans-serif" w:hAnsi="Times New Roman;sans-serif"/>
          <w:b/>
          <w:color w:val="000000"/>
          <w:sz w:val="22"/>
          <w:u w:val="single"/>
        </w:rPr>
        <w:t>Other Recoupment Rights</w:t>
      </w:r>
      <w:r>
        <w:rPr>
          <w:rFonts w:ascii="Times New Roman;sans-serif" w:hAnsi="Times New Roman;sans-serif"/>
          <w:b w:val="false"/>
          <w:color w:val="000000"/>
          <w:sz w:val="22"/>
        </w:rPr>
        <w:t>. 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lineRule="auto" w:line="276" w:before="0" w:after="240"/>
        <w:ind w:left="0" w:right="0" w:hanging="2"/>
        <w:jc w:val="both"/>
        <w:rPr/>
      </w:pPr>
      <w:r>
        <w:rPr>
          <w:rFonts w:ascii="Times New Roman;sans-serif" w:hAnsi="Times New Roman;sans-serif"/>
          <w:b w:val="false"/>
          <w:color w:val="000000"/>
          <w:sz w:val="20"/>
        </w:rPr>
        <w:t>15.</w:t>
      </w:r>
      <w:r>
        <w:rPr>
          <w:rFonts w:ascii="Times New Roman;sans-serif" w:hAnsi="Times New Roman;sans-serif"/>
          <w:b/>
          <w:color w:val="000000"/>
          <w:sz w:val="22"/>
          <w:u w:val="single"/>
        </w:rPr>
        <w:t>Successors</w:t>
      </w:r>
      <w:r>
        <w:rPr>
          <w:rFonts w:ascii="Times New Roman;sans-serif" w:hAnsi="Times New Roman;sans-serif"/>
          <w:b w:val="false"/>
          <w:color w:val="000000"/>
          <w:sz w:val="22"/>
        </w:rPr>
        <w:t>. This Policy shall be binding and enforceable against all Covered Executives and their beneficiaries, heirs, executors, administrators or other legal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4    </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4    </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76" w:before="120" w:after="40"/>
        <w:ind w:left="0" w:right="0" w:firstLine="358"/>
        <w:jc w:val="center"/>
        <w:rPr>
          <w:rFonts w:ascii="Times New Roman;sans-serif" w:hAnsi="Times New Roman;sans-serif"/>
          <w:b w:val="false"/>
          <w:color w:val="000000"/>
          <w:sz w:val="20"/>
        </w:rPr>
      </w:pPr>
      <w:r>
        <w:rPr>
          <w:rFonts w:ascii="Times New Roman;sans-serif" w:hAnsi="Times New Roman;sans-serif"/>
          <w:b w:val="false"/>
          <w:color w:val="000000"/>
          <w:sz w:val="20"/>
        </w:rPr>
        <w:t>ACKNOWLEDGMENT AND ACCEPTANCE OF TERMS AND CONDITIONS OF</w:t>
      </w:r>
    </w:p>
    <w:p>
      <w:pPr>
        <w:pStyle w:val="TextBody"/>
        <w:bidi w:val="0"/>
        <w:spacing w:lineRule="auto" w:line="276" w:before="120" w:after="40"/>
        <w:ind w:left="0" w:right="0" w:firstLine="358"/>
        <w:jc w:val="center"/>
        <w:rPr>
          <w:rFonts w:ascii="Times New Roman;sans-serif" w:hAnsi="Times New Roman;sans-serif"/>
          <w:b w:val="false"/>
          <w:color w:val="000000"/>
          <w:sz w:val="20"/>
        </w:rPr>
      </w:pPr>
      <w:r>
        <w:rPr>
          <w:rFonts w:ascii="Times New Roman;sans-serif" w:hAnsi="Times New Roman;sans-serif"/>
          <w:b w:val="false"/>
          <w:color w:val="000000"/>
          <w:sz w:val="20"/>
        </w:rPr>
        <w:t>AMENDED &amp; RESTATED LIVEPERSON, INC.’S OMNIBUS CLAWBACK POLICY</w:t>
      </w:r>
    </w:p>
    <w:p>
      <w:pPr>
        <w:pStyle w:val="TextBody"/>
        <w:bidi w:val="0"/>
        <w:spacing w:lineRule="auto" w:line="240" w:before="0" w:after="0"/>
        <w:ind w:left="0" w:right="0" w:hanging="2"/>
        <w:jc w:val="both"/>
        <w:rPr>
          <w:color w:val="000000"/>
        </w:rPr>
      </w:pPr>
      <w:r>
        <w:rPr>
          <w:color w:val="000000"/>
        </w:rPr>
        <w:t> </w:t>
      </w:r>
    </w:p>
    <w:p>
      <w:pPr>
        <w:pStyle w:val="TextBody"/>
        <w:bidi w:val="0"/>
        <w:spacing w:lineRule="auto" w:line="240" w:before="0" w:after="0"/>
        <w:ind w:left="0" w:right="0" w:hanging="2"/>
        <w:jc w:val="both"/>
        <w:rPr>
          <w:color w:val="000000"/>
        </w:rPr>
      </w:pPr>
      <w:r>
        <w:rPr>
          <w:color w:val="000000"/>
        </w:rPr>
        <w:t> </w:t>
      </w:r>
    </w:p>
    <w:p>
      <w:pPr>
        <w:pStyle w:val="TextBody"/>
        <w:bidi w:val="0"/>
        <w:spacing w:lineRule="auto" w:line="240" w:before="80" w:after="15"/>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I understand and agree the terms and conditions of this Policy will apply to any of my outstanding awards at any point in time, including those granted prior to the adoption of this Policy and any awards I may be granted in the future under any of the Company’s plans, including without limitation and for the avoidance of doubt, any awards granted under the Company’s 2019 Stock Incentive Plan.</w:t>
      </w:r>
    </w:p>
    <w:p>
      <w:pPr>
        <w:pStyle w:val="TextBody"/>
        <w:bidi w:val="0"/>
        <w:spacing w:lineRule="auto" w:line="240" w:before="0" w:after="0"/>
        <w:ind w:left="0" w:right="0" w:hanging="2"/>
        <w:jc w:val="both"/>
        <w:rPr>
          <w:color w:val="000000"/>
        </w:rPr>
      </w:pPr>
      <w:r>
        <w:rPr>
          <w:color w:val="000000"/>
        </w:rPr>
        <w:t> </w:t>
      </w:r>
    </w:p>
    <w:p>
      <w:pPr>
        <w:pStyle w:val="TextBody"/>
        <w:bidi w:val="0"/>
        <w:spacing w:lineRule="auto" w:line="240" w:before="80" w:after="15"/>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I acknowledge that revisions to the Policy may occur. All such changes will generally be communicated through official notices, and I understand that revised information may supersede, modify, or eliminate existing policies. Only the Board has the ability to adopt any revisions to the Policy.</w:t>
      </w:r>
    </w:p>
    <w:p>
      <w:pPr>
        <w:pStyle w:val="TextBody"/>
        <w:bidi w:val="0"/>
        <w:spacing w:lineRule="auto" w:line="240" w:before="0" w:after="0"/>
        <w:ind w:left="0" w:right="0" w:hanging="2"/>
        <w:jc w:val="both"/>
        <w:rPr>
          <w:color w:val="000000"/>
        </w:rPr>
      </w:pPr>
      <w:r>
        <w:rPr>
          <w:color w:val="000000"/>
        </w:rPr>
        <w:t> </w:t>
      </w:r>
    </w:p>
    <w:p>
      <w:pPr>
        <w:pStyle w:val="TextBody"/>
        <w:bidi w:val="0"/>
        <w:spacing w:lineRule="auto" w:line="240" w:before="0" w:after="0"/>
        <w:ind w:left="0" w:right="0" w:hanging="2"/>
        <w:jc w:val="left"/>
        <w:rPr>
          <w:color w:val="000000"/>
        </w:rPr>
      </w:pPr>
      <w:r>
        <w:rPr>
          <w:color w:val="000000"/>
        </w:rPr>
        <w:t> </w:t>
      </w:r>
    </w:p>
    <w:p>
      <w:pPr>
        <w:pStyle w:val="TextBody"/>
        <w:bidi w:val="0"/>
        <w:spacing w:lineRule="auto" w:line="240" w:before="0" w:after="0"/>
        <w:ind w:left="0" w:right="0" w:hanging="2"/>
        <w:jc w:val="left"/>
        <w:rPr>
          <w:color w:val="000000"/>
        </w:rPr>
      </w:pPr>
      <w:r>
        <w:rPr>
          <w:color w:val="000000"/>
        </w:rPr>
        <w:t> </w:t>
      </w:r>
    </w:p>
    <w:p>
      <w:pPr>
        <w:pStyle w:val="TextBody"/>
        <w:bidi w:val="0"/>
        <w:spacing w:lineRule="auto" w:line="240" w:before="80" w:after="15"/>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      __________________</w:t>
      </w:r>
    </w:p>
    <w:p>
      <w:pPr>
        <w:pStyle w:val="TextBody"/>
        <w:bidi w:val="0"/>
        <w:spacing w:lineRule="auto" w:line="240" w:before="80" w:after="15"/>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                                     Date</w:t>
      </w:r>
    </w:p>
    <w:p>
      <w:pPr>
        <w:pStyle w:val="TextBody"/>
        <w:bidi w:val="0"/>
        <w:spacing w:lineRule="auto" w:line="240" w:before="0" w:after="0"/>
        <w:ind w:left="0" w:right="0" w:hanging="2"/>
        <w:jc w:val="left"/>
        <w:rPr>
          <w:color w:val="000000"/>
        </w:rPr>
      </w:pPr>
      <w:r>
        <w:rPr>
          <w:color w:val="000000"/>
        </w:rPr>
        <w:t> </w:t>
      </w:r>
    </w:p>
    <w:p>
      <w:pPr>
        <w:pStyle w:val="TextBody"/>
        <w:bidi w:val="0"/>
        <w:spacing w:lineRule="auto" w:line="240" w:before="0" w:after="0"/>
        <w:ind w:left="0" w:right="0" w:hanging="2"/>
        <w:jc w:val="left"/>
        <w:rPr>
          <w:color w:val="000000"/>
        </w:rPr>
      </w:pPr>
      <w:r>
        <w:rPr>
          <w:color w:val="000000"/>
        </w:rPr>
        <w:t> </w:t>
      </w:r>
    </w:p>
    <w:p>
      <w:pPr>
        <w:pStyle w:val="TextBody"/>
        <w:bidi w:val="0"/>
        <w:spacing w:lineRule="auto" w:line="240" w:before="80" w:after="15"/>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40" w:before="80" w:after="15"/>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Employee's Name - Printed</w:t>
      </w:r>
    </w:p>
    <w:p>
      <w:pPr>
        <w:pStyle w:val="TextBody"/>
        <w:bidi w:val="0"/>
        <w:spacing w:lineRule="auto" w:line="240" w:before="0" w:after="0"/>
        <w:ind w:left="0" w:right="0" w:hanging="2"/>
        <w:jc w:val="left"/>
        <w:rPr>
          <w:color w:val="000000"/>
        </w:rPr>
      </w:pPr>
      <w:r>
        <w:rPr>
          <w:color w:val="000000"/>
        </w:rPr>
        <w:t> </w:t>
      </w:r>
    </w:p>
    <w:p>
      <w:pPr>
        <w:pStyle w:val="TextBody"/>
        <w:bidi w:val="0"/>
        <w:spacing w:lineRule="auto" w:line="240" w:before="0" w:after="0"/>
        <w:ind w:left="0" w:right="0" w:hanging="2"/>
        <w:jc w:val="left"/>
        <w:rPr>
          <w:color w:val="000000"/>
        </w:rPr>
      </w:pPr>
      <w:r>
        <w:rPr>
          <w:color w:val="000000"/>
        </w:rPr>
        <w:t> </w:t>
      </w:r>
    </w:p>
    <w:p>
      <w:pPr>
        <w:pStyle w:val="TextBody"/>
        <w:bidi w:val="0"/>
        <w:spacing w:before="0" w:after="240"/>
        <w:ind w:left="0" w:right="0" w:firstLine="358"/>
        <w:jc w:val="left"/>
        <w:rPr/>
      </w:pPr>
      <w:r>
        <w:rPr/>
      </w:r>
    </w:p>
    <w:p>
      <w:pPr>
        <w:pStyle w:val="TextBody"/>
        <w:bidi w:val="0"/>
        <w:spacing w:before="0" w:after="240"/>
        <w:ind w:left="0" w:right="0" w:firstLine="358"/>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102993/000091205701505793/a2041838zex-3_1.txt" TargetMode="External"/><Relationship Id="rId4" Type="http://schemas.openxmlformats.org/officeDocument/2006/relationships/hyperlink" Target="http://www.sec.gov/Archives/edgar/data/1102993/000110299319000123/exhibit42-certificateamend.htm" TargetMode="External"/><Relationship Id="rId5" Type="http://schemas.openxmlformats.org/officeDocument/2006/relationships/hyperlink" Target="https://www.sec.gov/Archives/edgar/data/1102993/000110299323000054/exhibit31amended_bylaws.htm" TargetMode="External"/><Relationship Id="rId6" Type="http://schemas.openxmlformats.org/officeDocument/2006/relationships/hyperlink" Target="https://www.sec.gov/Archives/edgar/data/1102993/000110299324000019/exhibit31liveperson-certif.htm" TargetMode="External"/><Relationship Id="rId7" Type="http://schemas.openxmlformats.org/officeDocument/2006/relationships/hyperlink" Target="https://www.sec.gov/Archives/edgar/data/1102993/000091205700014106/0000912057-00-014106.txt" TargetMode="External"/><Relationship Id="rId8" Type="http://schemas.openxmlformats.org/officeDocument/2006/relationships/hyperlink" Target="https://www.sec.gov/Archives/edgar/data/1102993/000091205700014106/0000912057-00-014106.txt" TargetMode="External"/><Relationship Id="rId9" Type="http://schemas.openxmlformats.org/officeDocument/2006/relationships/hyperlink" Target="https://www.sec.gov/Archives/edgar/data/1102993/000091205700014106/0000912057-00-014106.txt" TargetMode="External"/><Relationship Id="rId10" Type="http://schemas.openxmlformats.org/officeDocument/2006/relationships/hyperlink" Target="https://www.sec.gov/Archives/edgar/data/1102993/000091205700011049/0000912057-00-011049.txt" TargetMode="External"/><Relationship Id="rId11" Type="http://schemas.openxmlformats.org/officeDocument/2006/relationships/hyperlink" Target="https://www.sec.gov/Archives/edgar/data/1102993/000091205700011049/0000912057-00-011049.txt" TargetMode="External"/><Relationship Id="rId12" Type="http://schemas.openxmlformats.org/officeDocument/2006/relationships/hyperlink" Target="https://www.sec.gov/Archives/edgar/data/1102993/000091205700011049/0000912057-00-011049.txt" TargetMode="External"/><Relationship Id="rId13" Type="http://schemas.openxmlformats.org/officeDocument/2006/relationships/hyperlink" Target="http://www.sec.gov/Archives/edgar/data/1102993/000110299319000026/exhibit41-indenture.htm" TargetMode="External"/><Relationship Id="rId14" Type="http://schemas.openxmlformats.org/officeDocument/2006/relationships/hyperlink" Target="http://www.sec.gov/Archives/edgar/data/1102993/000110299319000026/exhibit41-indenture.htm" TargetMode="External"/><Relationship Id="rId15" Type="http://schemas.openxmlformats.org/officeDocument/2006/relationships/hyperlink" Target="http://www.sec.gov/Archives/edgar/data/1102993/000110299321000031/a2020q4livepersonexhibit451.htm" TargetMode="External"/><Relationship Id="rId16" Type="http://schemas.openxmlformats.org/officeDocument/2006/relationships/hyperlink" Target="https://www.sec.gov/Archives/edgar/data/1102993/000119312520314917/d16236dex41.htm" TargetMode="External"/><Relationship Id="rId17" Type="http://schemas.openxmlformats.org/officeDocument/2006/relationships/hyperlink" Target="https://www.sec.gov/Archives/edgar/data/1102993/000119312520314917/d16236dex41.htm" TargetMode="External"/><Relationship Id="rId18" Type="http://schemas.openxmlformats.org/officeDocument/2006/relationships/hyperlink" Target="https://www.sec.gov/Archives/edgar/data/1102993/000110299324000019/exhibit41-livepersonxnolri.htm" TargetMode="External"/><Relationship Id="rId19" Type="http://schemas.openxmlformats.org/officeDocument/2006/relationships/hyperlink" Target="https://www.sec.gov/Archives/edgar/data/1102993/000110299324000029/lpsn-rightsplanamendment.htm" TargetMode="External"/><Relationship Id="rId20" Type="http://schemas.openxmlformats.org/officeDocument/2006/relationships/hyperlink" Target="http://www.sec.gov/Archives/edgar/data/1102993/000114420409031652/v151820_ex99-1.htm" TargetMode="External"/><Relationship Id="rId21" Type="http://schemas.openxmlformats.org/officeDocument/2006/relationships/hyperlink" Target="http://www.sec.gov/Archives/edgar/data/1102993/000114420412034047/v315687_ex99-1.htm" TargetMode="External"/><Relationship Id="rId22" Type="http://schemas.openxmlformats.org/officeDocument/2006/relationships/hyperlink" Target="https://www.sec.gov/Archives/edgar/data/1102993/000114420411026825/v221138_ex10-1.htm" TargetMode="External"/><Relationship Id="rId23" Type="http://schemas.openxmlformats.org/officeDocument/2006/relationships/hyperlink" Target="https://www.sec.gov/Archives/edgar/data/1102993/000110299318000030/rsu_2015xtime8.htm" TargetMode="External"/><Relationship Id="rId24" Type="http://schemas.openxmlformats.org/officeDocument/2006/relationships/hyperlink" Target="http://www.sec.gov/Archives/edgar/data/1102993/000114420412014539/v303693_ex10-6.htm" TargetMode="External"/><Relationship Id="rId25" Type="http://schemas.openxmlformats.org/officeDocument/2006/relationships/hyperlink" Target="http://www.sec.gov/Archives/edgar/data/1102993/000114420412014539/v303693_ex10-8.htm" TargetMode="External"/><Relationship Id="rId26" Type="http://schemas.openxmlformats.org/officeDocument/2006/relationships/hyperlink" Target="http://www.sec.gov/Archives/edgar/data/1102993/000114420411024667/v220093_ex10-1.htm" TargetMode="External"/><Relationship Id="rId27" Type="http://schemas.openxmlformats.org/officeDocument/2006/relationships/hyperlink" Target="http://www.sec.gov/Archives/edgar/data/1102993/000110299318000030/rsu_2017xceo.htm" TargetMode="External"/><Relationship Id="rId28" Type="http://schemas.openxmlformats.org/officeDocument/2006/relationships/hyperlink" Target="https://www.sec.gov/Archives/edgar/data/1102993/000110299322000045/exhibit991-liveperson2017i.htm" TargetMode="External"/><Relationship Id="rId29" Type="http://schemas.openxmlformats.org/officeDocument/2006/relationships/hyperlink" Target="http://www.sec.gov/Archives/edgar/data/1102993/000110299318000030/liveperson-execagmtlocasci.htm" TargetMode="External"/><Relationship Id="rId30" Type="http://schemas.openxmlformats.org/officeDocument/2006/relationships/hyperlink" Target="https://www.sec.gov/Archives/edgar/data/1102993/000110299319000026/exhibit101-formofcappedcal.htm" TargetMode="External"/><Relationship Id="rId31" Type="http://schemas.openxmlformats.org/officeDocument/2006/relationships/hyperlink" Target="https://www.sec.gov/Archives/edgar/data/1102993/000110299319000032/exhibit101-formofadditiona.htm" TargetMode="External"/><Relationship Id="rId32" Type="http://schemas.openxmlformats.org/officeDocument/2006/relationships/hyperlink" Target="https://www.sec.gov/Archives/edgar/data/1102993/000110299319000059/a2019q1livepersonex103rsu.htm" TargetMode="External"/><Relationship Id="rId33" Type="http://schemas.openxmlformats.org/officeDocument/2006/relationships/hyperlink" Target="https://www.sec.gov/Archives/edgar/data/1102993/000110299319000059/a2019q1livepersonex104rsu.htm" TargetMode="External"/><Relationship Id="rId34" Type="http://schemas.openxmlformats.org/officeDocument/2006/relationships/hyperlink" Target="https://www.sec.gov/Archives/edgar/data/1102993/000110299323000136/exhibit991-livepersoninc20.htm" TargetMode="External"/><Relationship Id="rId35" Type="http://schemas.openxmlformats.org/officeDocument/2006/relationships/hyperlink" Target="https://www.sec.gov/Archives/edgar/data/1102993/000110299323000136/exhibit992-livepersoninc20.htm" TargetMode="External"/><Relationship Id="rId36" Type="http://schemas.openxmlformats.org/officeDocument/2006/relationships/hyperlink" Target="http://www.sec.gov/Archives/edgar/data/1102993/000110299319000123/exhibit992-employeestockpu.htm" TargetMode="External"/><Relationship Id="rId37" Type="http://schemas.openxmlformats.org/officeDocument/2006/relationships/hyperlink" Target="https://www.sec.gov/Archives/edgar/data/1102993/000119312520314917/d16236dex101.htm" TargetMode="External"/><Relationship Id="rId38" Type="http://schemas.openxmlformats.org/officeDocument/2006/relationships/hyperlink" Target="https://www.sec.gov/Archives/edgar/data/1102993/000121390022040737/ea163030ex10-1_liveperson.htm" TargetMode="External"/><Relationship Id="rId39" Type="http://schemas.openxmlformats.org/officeDocument/2006/relationships/hyperlink" Target="https://www.sec.gov/Archives/edgar/data/1102993/000110299322000080/amendedandrestatedofferl.htm" TargetMode="External"/><Relationship Id="rId40" Type="http://schemas.openxmlformats.org/officeDocument/2006/relationships/hyperlink" Target="https://www.sec.gov/Archives/edgar/data/1102993/000110299322000035/normanosumiofferletter.htm" TargetMode="External"/><Relationship Id="rId41" Type="http://schemas.openxmlformats.org/officeDocument/2006/relationships/hyperlink" Target="https://www.sec.gov/Archives/edgar/data/1102993/000110299323000019/lp2019rsustockincentiveplan.htm" TargetMode="External"/><Relationship Id="rId42" Type="http://schemas.openxmlformats.org/officeDocument/2006/relationships/hyperlink" Target="https://www.sec.gov/Archives/edgar/data/1102993/000110299323000019/lp2019stockincentiveplan.htm" TargetMode="External"/><Relationship Id="rId43" Type="http://schemas.openxmlformats.org/officeDocument/2006/relationships/hyperlink" Target="https://www.sec.gov/Archives/edgar/data/1102993/000121390023056490/ea181703ex10-1_liveperson.htm" TargetMode="External"/><Relationship Id="rId44" Type="http://schemas.openxmlformats.org/officeDocument/2006/relationships/hyperlink" Target="https://www.sec.gov/Archives/edgar/data/1102993/000121390023064603/ea183078ex10-1_liveperson.htm" TargetMode="External"/><Relationship Id="rId45" Type="http://schemas.openxmlformats.org/officeDocument/2006/relationships/hyperlink" Target="https://www.sec.gov/Archives/edgar/data/1102993/000110299323000133/exhibit105jeff_fordxoffe.htm" TargetMode="External"/><Relationship Id="rId46" Type="http://schemas.openxmlformats.org/officeDocument/2006/relationships/hyperlink" Target="https://www.sec.gov/Archives/edgar/data/1102993/000110299323000133/exhibit104monica_greenbe.htm" TargetMode="External"/><Relationship Id="rId47" Type="http://schemas.openxmlformats.org/officeDocument/2006/relationships/hyperlink" Target="https://www.sec.gov/Archives/edgar/data/1102993/000110299323000133/exhibit103john_collins.htm" TargetMode="External"/><Relationship Id="rId48" Type="http://schemas.openxmlformats.org/officeDocument/2006/relationships/image" Target="media/image2.pn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84098</Words>
  <Characters>470693</Characters>
  <CharactersWithSpaces>552487</CharactersWithSpaces>
  <Paragraphs>4548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